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SECURITIES AND EXCHANGE COMMISSION</w:t>
      </w:r>
    </w:p>
    <w:p>
      <w:pPr>
        <w:spacing w:after="0" w:line="63"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278130</wp:posOffset>
            </wp:positionV>
            <wp:extent cx="5023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277495</wp:posOffset>
            </wp:positionV>
            <wp:extent cx="5023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00" w:hanging="247"/>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0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For the quarterly period ended September 30, 2025</w:t>
      </w:r>
    </w:p>
    <w:p>
      <w:pPr>
        <w:spacing w:after="0" w:line="2" w:lineRule="exact"/>
        <w:rPr>
          <w:sz w:val="24"/>
          <w:szCs w:val="24"/>
          <w:color w:val="auto"/>
        </w:rPr>
      </w:pPr>
    </w:p>
    <w:p>
      <w:pPr>
        <w:ind w:left="320"/>
        <w:spacing w:after="0"/>
        <w:rPr>
          <w:sz w:val="20"/>
          <w:szCs w:val="20"/>
          <w:color w:val="auto"/>
        </w:rPr>
      </w:pPr>
      <w:r>
        <w:rPr>
          <w:rFonts w:ascii="Arial" w:cs="Arial" w:eastAsia="Arial" w:hAnsi="Arial"/>
          <w:sz w:val="14"/>
          <w:szCs w:val="14"/>
          <w:color w:val="auto"/>
        </w:rPr>
        <w:t>OR</w:t>
      </w:r>
    </w:p>
    <w:p>
      <w:pPr>
        <w:spacing w:after="0" w:line="15" w:lineRule="exact"/>
        <w:rPr>
          <w:sz w:val="24"/>
          <w:szCs w:val="24"/>
          <w:color w:val="auto"/>
        </w:rPr>
      </w:pPr>
    </w:p>
    <w:p>
      <w:pPr>
        <w:ind w:left="320" w:right="3360" w:hanging="267"/>
        <w:spacing w:after="0" w:line="421" w:lineRule="auto"/>
        <w:tabs>
          <w:tab w:leader="none" w:pos="297"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jc w:val="center"/>
        <w:ind w:right="120"/>
        <w:spacing w:after="0"/>
        <w:rPr>
          <w:sz w:val="20"/>
          <w:szCs w:val="20"/>
          <w:color w:val="auto"/>
        </w:rPr>
      </w:pPr>
      <w:r>
        <w:rPr>
          <w:rFonts w:ascii="Arial" w:cs="Arial" w:eastAsia="Arial" w:hAnsi="Arial"/>
          <w:sz w:val="14"/>
          <w:szCs w:val="14"/>
          <w:b w:val="1"/>
          <w:bCs w:val="1"/>
          <w:color w:val="auto"/>
        </w:rPr>
        <w:t>Commission File Number: 001-37388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272415</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20"/>
        <w:spacing w:after="0"/>
        <w:rPr>
          <w:sz w:val="20"/>
          <w:szCs w:val="20"/>
          <w:color w:val="auto"/>
        </w:rPr>
      </w:pPr>
      <w:r>
        <w:rPr>
          <w:rFonts w:ascii="Arial" w:cs="Arial" w:eastAsia="Arial" w:hAnsi="Arial"/>
          <w:sz w:val="29"/>
          <w:szCs w:val="29"/>
          <w:b w:val="1"/>
          <w:bCs w:val="1"/>
          <w:color w:val="auto"/>
        </w:rPr>
        <w:t>Talen Energy Corporation</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271780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20" w:type="dxa"/>
        <w:tblCellMar>
          <w:top w:w="0" w:type="dxa"/>
          <w:left w:w="0" w:type="dxa"/>
          <w:bottom w:w="0" w:type="dxa"/>
          <w:right w:w="0" w:type="dxa"/>
        </w:tblCellMar>
      </w:tblPr>
      <w:tr>
        <w:trPr>
          <w:trHeight w:val="196"/>
        </w:trPr>
        <w:tc>
          <w:tcPr>
            <w:tcW w:w="5700" w:type="dxa"/>
            <w:vAlign w:val="bottom"/>
          </w:tcPr>
          <w:p>
            <w:pPr>
              <w:jc w:val="right"/>
              <w:ind w:right="3853"/>
              <w:spacing w:after="0"/>
              <w:rPr>
                <w:sz w:val="20"/>
                <w:szCs w:val="20"/>
                <w:color w:val="auto"/>
              </w:rPr>
            </w:pPr>
            <w:r>
              <w:rPr>
                <w:rFonts w:ascii="Arial" w:cs="Arial" w:eastAsia="Arial" w:hAnsi="Arial"/>
                <w:sz w:val="14"/>
                <w:szCs w:val="14"/>
                <w:b w:val="1"/>
                <w:bCs w:val="1"/>
                <w:color w:val="auto"/>
              </w:rPr>
              <w:t>Delaware</w:t>
            </w:r>
          </w:p>
        </w:tc>
        <w:tc>
          <w:tcPr>
            <w:tcW w:w="1960" w:type="dxa"/>
            <w:vAlign w:val="bottom"/>
          </w:tcPr>
          <w:p>
            <w:pPr>
              <w:jc w:val="right"/>
              <w:ind w:right="613"/>
              <w:spacing w:after="0"/>
              <w:rPr>
                <w:sz w:val="20"/>
                <w:szCs w:val="20"/>
                <w:color w:val="auto"/>
              </w:rPr>
            </w:pPr>
            <w:r>
              <w:rPr>
                <w:rFonts w:ascii="Arial" w:cs="Arial" w:eastAsia="Arial" w:hAnsi="Arial"/>
                <w:sz w:val="14"/>
                <w:szCs w:val="14"/>
                <w:b w:val="1"/>
                <w:bCs w:val="1"/>
                <w:color w:val="auto"/>
              </w:rPr>
              <w:t>47-1197305</w:t>
            </w:r>
          </w:p>
        </w:tc>
        <w:tc>
          <w:tcPr>
            <w:tcW w:w="0" w:type="dxa"/>
            <w:vAlign w:val="bottom"/>
          </w:tcPr>
          <w:p>
            <w:pPr>
              <w:spacing w:after="0"/>
              <w:rPr>
                <w:sz w:val="1"/>
                <w:szCs w:val="1"/>
                <w:color w:val="auto"/>
              </w:rPr>
            </w:pPr>
          </w:p>
        </w:tc>
      </w:tr>
      <w:tr>
        <w:trPr>
          <w:trHeight w:val="177"/>
        </w:trPr>
        <w:tc>
          <w:tcPr>
            <w:tcW w:w="5700" w:type="dxa"/>
            <w:vAlign w:val="bottom"/>
          </w:tcPr>
          <w:p>
            <w:pPr>
              <w:jc w:val="right"/>
              <w:ind w:right="2373"/>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1960" w:type="dxa"/>
            <w:vAlign w:val="bottom"/>
            <w:vMerge w:val="restart"/>
          </w:tcPr>
          <w:p>
            <w:pPr>
              <w:jc w:val="right"/>
              <w:spacing w:after="0"/>
              <w:rPr>
                <w:sz w:val="20"/>
                <w:szCs w:val="20"/>
                <w:color w:val="auto"/>
              </w:rPr>
            </w:pPr>
            <w:r>
              <w:rPr>
                <w:rFonts w:ascii="Arial" w:cs="Arial" w:eastAsia="Arial" w:hAnsi="Arial"/>
                <w:sz w:val="13"/>
                <w:szCs w:val="13"/>
                <w:color w:val="auto"/>
              </w:rPr>
              <w:t>(IRS Employer Identification No.)</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5700" w:type="dxa"/>
            <w:vAlign w:val="bottom"/>
          </w:tcPr>
          <w:p>
            <w:pPr>
              <w:jc w:val="center"/>
              <w:ind w:left="2093"/>
              <w:spacing w:after="0"/>
              <w:rPr>
                <w:sz w:val="20"/>
                <w:szCs w:val="20"/>
                <w:color w:val="auto"/>
              </w:rPr>
            </w:pPr>
            <w:r>
              <w:rPr>
                <w:rFonts w:ascii="Arial" w:cs="Arial" w:eastAsia="Arial" w:hAnsi="Arial"/>
                <w:sz w:val="14"/>
                <w:szCs w:val="14"/>
                <w:b w:val="1"/>
                <w:bCs w:val="1"/>
                <w:color w:val="auto"/>
              </w:rPr>
              <w:t>2929 Allen Pkwy, Suite 2200, Houston, TX 77019</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700" w:type="dxa"/>
            <w:vAlign w:val="bottom"/>
          </w:tcPr>
          <w:p>
            <w:pPr>
              <w:jc w:val="center"/>
              <w:ind w:left="2093"/>
              <w:spacing w:after="0"/>
              <w:rPr>
                <w:sz w:val="20"/>
                <w:szCs w:val="20"/>
                <w:color w:val="auto"/>
              </w:rPr>
            </w:pPr>
            <w:r>
              <w:rPr>
                <w:rFonts w:ascii="Arial" w:cs="Arial" w:eastAsia="Arial" w:hAnsi="Arial"/>
                <w:sz w:val="13"/>
                <w:szCs w:val="13"/>
                <w:color w:val="auto"/>
                <w:w w:val="96"/>
              </w:rPr>
              <w:t>(Address of principal executive offices) (Zip Code)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700" w:type="dxa"/>
            <w:vAlign w:val="bottom"/>
          </w:tcPr>
          <w:p>
            <w:pPr>
              <w:jc w:val="right"/>
              <w:ind w:right="1053"/>
              <w:spacing w:after="0"/>
              <w:rPr>
                <w:sz w:val="20"/>
                <w:szCs w:val="20"/>
                <w:color w:val="auto"/>
              </w:rPr>
            </w:pPr>
            <w:r>
              <w:rPr>
                <w:rFonts w:ascii="Arial" w:cs="Arial" w:eastAsia="Arial" w:hAnsi="Arial"/>
                <w:sz w:val="14"/>
                <w:szCs w:val="14"/>
                <w:b w:val="1"/>
                <w:bCs w:val="1"/>
                <w:color w:val="auto"/>
              </w:rPr>
              <w:t>(888) 211-6011</w:t>
            </w: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5700" w:type="dxa"/>
            <w:vAlign w:val="bottom"/>
          </w:tcPr>
          <w:p>
            <w:pPr>
              <w:jc w:val="center"/>
              <w:ind w:left="2073"/>
              <w:spacing w:after="0"/>
              <w:rPr>
                <w:sz w:val="20"/>
                <w:szCs w:val="20"/>
                <w:color w:val="auto"/>
              </w:rPr>
            </w:pPr>
            <w:r>
              <w:rPr>
                <w:rFonts w:ascii="Arial" w:cs="Arial" w:eastAsia="Arial" w:hAnsi="Arial"/>
                <w:sz w:val="13"/>
                <w:szCs w:val="13"/>
                <w:color w:val="auto"/>
                <w:w w:val="96"/>
              </w:rPr>
              <w:t>(Registrant’s telephone number, including area code)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Not applicable</w:t>
      </w:r>
    </w:p>
    <w:p>
      <w:pPr>
        <w:jc w:val="center"/>
        <w:ind w:right="1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1047750</wp:posOffset>
            </wp:positionH>
            <wp:positionV relativeFrom="paragraph">
              <wp:posOffset>268605</wp:posOffset>
            </wp:positionV>
            <wp:extent cx="5023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0" w:lineRule="exact"/>
        <w:rPr>
          <w:sz w:val="24"/>
          <w:szCs w:val="24"/>
          <w:color w:val="auto"/>
        </w:rPr>
      </w:pPr>
    </w:p>
    <w:p>
      <w:pPr>
        <w:spacing w:after="0" w:line="368" w:lineRule="exact"/>
        <w:rPr>
          <w:sz w:val="24"/>
          <w:szCs w:val="24"/>
          <w:color w:val="auto"/>
        </w:rPr>
      </w:pPr>
    </w:p>
    <w:tbl>
      <w:tblPr>
        <w:tblLayout w:type="fixed"/>
        <w:tblInd w:w="80" w:type="dxa"/>
        <w:tblCellMar>
          <w:top w:w="0" w:type="dxa"/>
          <w:left w:w="0" w:type="dxa"/>
          <w:bottom w:w="0" w:type="dxa"/>
          <w:right w:w="0" w:type="dxa"/>
        </w:tblCellMar>
      </w:tblPr>
      <w:tr>
        <w:trPr>
          <w:trHeight w:val="197"/>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80" w:type="dxa"/>
            <w:vAlign w:val="bottom"/>
            <w:gridSpan w:val="2"/>
          </w:tcPr>
          <w:p>
            <w:pPr>
              <w:jc w:val="center"/>
              <w:ind w:right="160"/>
              <w:spacing w:after="0"/>
              <w:rPr>
                <w:sz w:val="20"/>
                <w:szCs w:val="20"/>
                <w:color w:val="auto"/>
              </w:rPr>
            </w:pPr>
            <w:r>
              <w:rPr>
                <w:rFonts w:ascii="Arial" w:cs="Arial" w:eastAsia="Arial" w:hAnsi="Arial"/>
                <w:sz w:val="14"/>
                <w:szCs w:val="14"/>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TLN</w:t>
            </w:r>
          </w:p>
        </w:tc>
        <w:tc>
          <w:tcPr>
            <w:tcW w:w="420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bl>
    <w:p>
      <w:pPr>
        <w:spacing w:after="0" w:line="200" w:lineRule="exact"/>
        <w:rPr>
          <w:sz w:val="24"/>
          <w:szCs w:val="24"/>
          <w:color w:val="auto"/>
        </w:rPr>
      </w:pPr>
    </w:p>
    <w:p>
      <w:pPr>
        <w:spacing w:after="0" w:line="204" w:lineRule="exact"/>
        <w:rPr>
          <w:sz w:val="24"/>
          <w:szCs w:val="24"/>
          <w:color w:val="auto"/>
        </w:rPr>
      </w:pPr>
    </w:p>
    <w:p>
      <w:pPr>
        <w:ind w:right="60"/>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39" w:lineRule="exact"/>
        <w:rPr>
          <w:sz w:val="24"/>
          <w:szCs w:val="24"/>
          <w:color w:val="auto"/>
        </w:rPr>
      </w:pPr>
    </w:p>
    <w:p>
      <w:pPr>
        <w:ind w:left="20"/>
        <w:spacing w:after="0" w:line="161" w:lineRule="exact"/>
        <w:tabs>
          <w:tab w:leader="none" w:pos="2140" w:val="left"/>
          <w:tab w:leader="none" w:pos="3860" w:val="left"/>
          <w:tab w:leader="none" w:pos="5840" w:val="left"/>
          <w:tab w:leader="none" w:pos="82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p>
    <w:p>
      <w:pPr>
        <w:spacing w:after="0" w:line="235" w:lineRule="exact"/>
        <w:rPr>
          <w:sz w:val="24"/>
          <w:szCs w:val="24"/>
          <w:color w:val="auto"/>
        </w:rPr>
      </w:pPr>
    </w:p>
    <w:p>
      <w:pPr>
        <w:ind w:right="6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1"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5, 2025, the registrant had 45,687,828 shares outstanding of common stock, par value $0.001 per share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576580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1440"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gridSpan w:val="4"/>
          </w:tcPr>
          <w:p>
            <w:pPr>
              <w:ind w:left="1060"/>
              <w:spacing w:after="0"/>
              <w:rPr>
                <w:sz w:val="20"/>
                <w:szCs w:val="20"/>
                <w:color w:val="auto"/>
              </w:rPr>
            </w:pPr>
            <w:r>
              <w:rPr>
                <w:rFonts w:ascii="Arial" w:cs="Arial" w:eastAsia="Arial" w:hAnsi="Arial"/>
                <w:sz w:val="14"/>
                <w:szCs w:val="14"/>
                <w:color w:val="auto"/>
              </w:rPr>
              <w:t>Page</w:t>
            </w:r>
          </w:p>
        </w:tc>
      </w:tr>
      <w:tr>
        <w:trPr>
          <w:trHeight w:val="159"/>
        </w:trPr>
        <w:tc>
          <w:tcPr>
            <w:tcW w:w="260" w:type="dxa"/>
            <w:vAlign w:val="bottom"/>
          </w:tcPr>
          <w:p>
            <w:pPr>
              <w:spacing w:after="0"/>
              <w:rPr>
                <w:sz w:val="13"/>
                <w:szCs w:val="13"/>
                <w:color w:val="auto"/>
              </w:rPr>
            </w:pPr>
          </w:p>
        </w:tc>
        <w:tc>
          <w:tcPr>
            <w:tcW w:w="4800" w:type="dxa"/>
            <w:vAlign w:val="bottom"/>
            <w:tcBorders>
              <w:top w:val="single" w:sz="8" w:color="auto"/>
            </w:tcBorders>
            <w:gridSpan w:val="27"/>
          </w:tcPr>
          <w:p>
            <w:pPr>
              <w:spacing w:after="0" w:line="159" w:lineRule="exact"/>
              <w:rPr>
                <w:sz w:val="20"/>
                <w:szCs w:val="20"/>
                <w:color w:val="auto"/>
              </w:rPr>
            </w:pPr>
            <w:r>
              <w:rPr>
                <w:rFonts w:ascii="Arial" w:cs="Arial" w:eastAsia="Arial" w:hAnsi="Arial"/>
                <w:sz w:val="14"/>
                <w:szCs w:val="14"/>
                <w:color w:val="0000FF"/>
              </w:rPr>
              <w:t>CAUTIONARY NOTE REGARDING FORWARD-LOOKING INFORMATION</w:t>
            </w:r>
          </w:p>
        </w:tc>
        <w:tc>
          <w:tcPr>
            <w:tcW w:w="4340" w:type="dxa"/>
            <w:vAlign w:val="bottom"/>
            <w:tcBorders>
              <w:top w:val="single" w:sz="8" w:color="auto"/>
            </w:tcBorders>
            <w:gridSpan w:val="4"/>
          </w:tcPr>
          <w:p>
            <w:pPr>
              <w:spacing w:after="0"/>
              <w:rPr>
                <w:sz w:val="13"/>
                <w:szCs w:val="13"/>
                <w:color w:val="auto"/>
              </w:rPr>
            </w:pPr>
          </w:p>
        </w:tc>
        <w:tc>
          <w:tcPr>
            <w:tcW w:w="1260" w:type="dxa"/>
            <w:vAlign w:val="bottom"/>
            <w:tcBorders>
              <w:top w:val="single" w:sz="8" w:color="auto"/>
            </w:tcBorders>
            <w:gridSpan w:val="2"/>
          </w:tcPr>
          <w:p>
            <w:pPr>
              <w:jc w:val="center"/>
              <w:ind w:left="1108"/>
              <w:spacing w:after="0" w:line="159" w:lineRule="exact"/>
              <w:rPr>
                <w:sz w:val="20"/>
                <w:szCs w:val="20"/>
                <w:color w:val="auto"/>
              </w:rPr>
            </w:pPr>
            <w:r>
              <w:rPr>
                <w:rFonts w:ascii="Arial" w:cs="Arial" w:eastAsia="Arial" w:hAnsi="Arial"/>
                <w:sz w:val="14"/>
                <w:szCs w:val="14"/>
                <w:color w:val="0000FF"/>
              </w:rPr>
              <w:t>1</w:t>
            </w:r>
          </w:p>
        </w:tc>
        <w:tc>
          <w:tcPr>
            <w:tcW w:w="3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4800" w:type="dxa"/>
            <w:vAlign w:val="bottom"/>
            <w:gridSpan w:val="27"/>
          </w:tcPr>
          <w:p>
            <w:pPr>
              <w:spacing w:after="0"/>
              <w:rPr>
                <w:sz w:val="20"/>
                <w:szCs w:val="20"/>
                <w:color w:val="auto"/>
              </w:rPr>
            </w:pPr>
            <w:r>
              <w:rPr>
                <w:rFonts w:ascii="Arial" w:cs="Arial" w:eastAsia="Arial" w:hAnsi="Arial"/>
                <w:sz w:val="14"/>
                <w:szCs w:val="14"/>
                <w:color w:val="0000FF"/>
              </w:rPr>
              <w:t>MARKET AND INDUSTRY DATA</w:t>
            </w:r>
          </w:p>
        </w:tc>
        <w:tc>
          <w:tcPr>
            <w:tcW w:w="4340" w:type="dxa"/>
            <w:vAlign w:val="bottom"/>
            <w:gridSpan w:val="4"/>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1"/>
          </w:tcPr>
          <w:p>
            <w:pPr>
              <w:spacing w:after="0"/>
              <w:rPr>
                <w:sz w:val="20"/>
                <w:szCs w:val="20"/>
                <w:color w:val="auto"/>
              </w:rPr>
            </w:pPr>
            <w:r>
              <w:rPr>
                <w:rFonts w:ascii="Arial" w:cs="Arial" w:eastAsia="Arial" w:hAnsi="Arial"/>
                <w:sz w:val="14"/>
                <w:szCs w:val="14"/>
                <w:color w:val="0000FF"/>
              </w:rPr>
              <w:t>PART I. FINANCIAL INFORMATION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0"/>
          </w:tcPr>
          <w:p>
            <w:pPr>
              <w:spacing w:after="0"/>
              <w:rPr>
                <w:sz w:val="20"/>
                <w:szCs w:val="20"/>
                <w:color w:val="auto"/>
              </w:rPr>
            </w:pPr>
            <w:r>
              <w:rPr>
                <w:rFonts w:ascii="Arial" w:cs="Arial" w:eastAsia="Arial" w:hAnsi="Arial"/>
                <w:sz w:val="14"/>
                <w:szCs w:val="14"/>
                <w:color w:val="0000FF"/>
              </w:rPr>
              <w:t>ITEM 1. FINANCIAL STATEMENTS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Condensed Consolidated Statements of Operations (Unaudited)</w:t>
            </w: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2</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Condensed Consolidated Statements of Comprehensive Income (Loss) (Unaudited)</w:t>
            </w: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00" w:type="dxa"/>
            <w:vAlign w:val="bottom"/>
            <w:gridSpan w:val="26"/>
          </w:tcPr>
          <w:p>
            <w:pPr>
              <w:spacing w:after="0"/>
              <w:rPr>
                <w:sz w:val="20"/>
                <w:szCs w:val="20"/>
                <w:color w:val="auto"/>
              </w:rPr>
            </w:pPr>
            <w:r>
              <w:rPr>
                <w:rFonts w:ascii="Arial" w:cs="Arial" w:eastAsia="Arial" w:hAnsi="Arial"/>
                <w:sz w:val="14"/>
                <w:szCs w:val="14"/>
                <w:color w:val="0000FF"/>
              </w:rPr>
              <w:t>Condensed Consolidated Balance Sheets (Unaudited)</w:t>
            </w:r>
          </w:p>
        </w:tc>
        <w:tc>
          <w:tcPr>
            <w:tcW w:w="338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4</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gridSpan w:val="23"/>
          </w:tcPr>
          <w:p>
            <w:pPr>
              <w:spacing w:after="0"/>
              <w:rPr>
                <w:sz w:val="20"/>
                <w:szCs w:val="20"/>
                <w:color w:val="auto"/>
              </w:rPr>
            </w:pPr>
            <w:r>
              <w:rPr>
                <w:rFonts w:ascii="Arial" w:cs="Arial" w:eastAsia="Arial" w:hAnsi="Arial"/>
                <w:sz w:val="14"/>
                <w:szCs w:val="14"/>
                <w:color w:val="0000FF"/>
              </w:rPr>
              <w:t>Condensed Consolidated Statements of Cash Flows (Unaudited)</w:t>
            </w:r>
          </w:p>
        </w:tc>
        <w:tc>
          <w:tcPr>
            <w:tcW w:w="4600" w:type="dxa"/>
            <w:vAlign w:val="bottom"/>
            <w:gridSpan w:val="6"/>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gridSpan w:val="23"/>
          </w:tcPr>
          <w:p>
            <w:pPr>
              <w:spacing w:after="0"/>
              <w:rPr>
                <w:sz w:val="20"/>
                <w:szCs w:val="20"/>
                <w:color w:val="auto"/>
              </w:rPr>
            </w:pPr>
            <w:r>
              <w:rPr>
                <w:rFonts w:ascii="Arial" w:cs="Arial" w:eastAsia="Arial" w:hAnsi="Arial"/>
                <w:sz w:val="14"/>
                <w:szCs w:val="14"/>
                <w:color w:val="0000FF"/>
              </w:rPr>
              <w:t>Condensed Consolidated Statements of Equity (Unaudited)</w:t>
            </w:r>
          </w:p>
        </w:tc>
        <w:tc>
          <w:tcPr>
            <w:tcW w:w="4600" w:type="dxa"/>
            <w:vAlign w:val="bottom"/>
            <w:gridSpan w:val="6"/>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4"/>
                <w:szCs w:val="14"/>
                <w:color w:val="0000FF"/>
              </w:rPr>
              <w:t>Notes to the Interim Financial Statements (Unaudited)</w:t>
            </w:r>
          </w:p>
        </w:tc>
        <w:tc>
          <w:tcPr>
            <w:tcW w:w="320" w:type="dxa"/>
            <w:vAlign w:val="bottom"/>
            <w:tcBorders>
              <w:top w:val="single" w:sz="8" w:color="0000FF"/>
            </w:tcBorders>
          </w:tcPr>
          <w:p>
            <w:pPr>
              <w:spacing w:after="0"/>
              <w:rPr>
                <w:sz w:val="15"/>
                <w:szCs w:val="15"/>
                <w:color w:val="auto"/>
              </w:rPr>
            </w:pPr>
          </w:p>
        </w:tc>
        <w:tc>
          <w:tcPr>
            <w:tcW w:w="4900" w:type="dxa"/>
            <w:vAlign w:val="bottom"/>
            <w:gridSpan w:val="7"/>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00" w:type="dxa"/>
            <w:vAlign w:val="bottom"/>
            <w:gridSpan w:val="26"/>
          </w:tcPr>
          <w:p>
            <w:pPr>
              <w:spacing w:after="0"/>
              <w:rPr>
                <w:sz w:val="20"/>
                <w:szCs w:val="20"/>
                <w:color w:val="auto"/>
              </w:rPr>
            </w:pPr>
            <w:r>
              <w:rPr>
                <w:rFonts w:ascii="Arial" w:cs="Arial" w:eastAsia="Arial" w:hAnsi="Arial"/>
                <w:sz w:val="14"/>
                <w:szCs w:val="14"/>
                <w:color w:val="0000FF"/>
              </w:rPr>
              <w:t>1. Business, Basis of Presentation, and Summary of Significant Accounting Policies</w:t>
            </w:r>
          </w:p>
        </w:tc>
        <w:tc>
          <w:tcPr>
            <w:tcW w:w="338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00" w:type="dxa"/>
            <w:vAlign w:val="bottom"/>
            <w:gridSpan w:val="26"/>
          </w:tcPr>
          <w:p>
            <w:pPr>
              <w:spacing w:after="0"/>
              <w:rPr>
                <w:sz w:val="20"/>
                <w:szCs w:val="20"/>
                <w:color w:val="auto"/>
              </w:rPr>
            </w:pPr>
            <w:r>
              <w:rPr>
                <w:rFonts w:ascii="Arial" w:cs="Arial" w:eastAsia="Arial" w:hAnsi="Arial"/>
                <w:sz w:val="14"/>
                <w:szCs w:val="14"/>
                <w:color w:val="0000FF"/>
              </w:rPr>
              <w:t>2. Risk Management, Derivative Instruments and Hedging Activities</w:t>
            </w:r>
          </w:p>
        </w:tc>
        <w:tc>
          <w:tcPr>
            <w:tcW w:w="338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gridSpan w:val="24"/>
          </w:tcPr>
          <w:p>
            <w:pPr>
              <w:spacing w:after="0"/>
              <w:rPr>
                <w:sz w:val="20"/>
                <w:szCs w:val="20"/>
                <w:color w:val="auto"/>
              </w:rPr>
            </w:pPr>
            <w:r>
              <w:rPr>
                <w:rFonts w:ascii="Arial" w:cs="Arial" w:eastAsia="Arial" w:hAnsi="Arial"/>
                <w:sz w:val="14"/>
                <w:szCs w:val="14"/>
                <w:color w:val="0000FF"/>
              </w:rPr>
              <w:t>3. Revenue</w:t>
            </w:r>
          </w:p>
        </w:tc>
        <w:tc>
          <w:tcPr>
            <w:tcW w:w="4440" w:type="dxa"/>
            <w:vAlign w:val="bottom"/>
            <w:gridSpan w:val="5"/>
          </w:tcPr>
          <w:p>
            <w:pPr>
              <w:spacing w:after="0"/>
              <w:rPr>
                <w:sz w:val="15"/>
                <w:szCs w:val="15"/>
                <w:color w:val="auto"/>
              </w:rPr>
            </w:pPr>
          </w:p>
        </w:tc>
        <w:tc>
          <w:tcPr>
            <w:tcW w:w="1260" w:type="dxa"/>
            <w:vAlign w:val="bottom"/>
            <w:gridSpan w:val="2"/>
          </w:tcPr>
          <w:p>
            <w:pPr>
              <w:jc w:val="center"/>
              <w:ind w:left="1028"/>
              <w:spacing w:after="0"/>
              <w:rPr>
                <w:sz w:val="20"/>
                <w:szCs w:val="20"/>
                <w:color w:val="auto"/>
              </w:rPr>
            </w:pPr>
            <w:r>
              <w:rPr>
                <w:rFonts w:ascii="Arial" w:cs="Arial" w:eastAsia="Arial" w:hAnsi="Arial"/>
                <w:sz w:val="14"/>
                <w:szCs w:val="14"/>
                <w:color w:val="0000FF"/>
              </w:rPr>
              <w:t>11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5"/>
          </w:tcPr>
          <w:p>
            <w:pPr>
              <w:spacing w:after="0"/>
              <w:rPr>
                <w:sz w:val="20"/>
                <w:szCs w:val="20"/>
                <w:color w:val="auto"/>
              </w:rPr>
            </w:pPr>
            <w:r>
              <w:rPr>
                <w:rFonts w:ascii="Arial" w:cs="Arial" w:eastAsia="Arial" w:hAnsi="Arial"/>
                <w:sz w:val="14"/>
                <w:szCs w:val="14"/>
                <w:color w:val="0000FF"/>
                <w:w w:val="92"/>
              </w:rPr>
              <w:t>4. Income Taxes</w:t>
            </w:r>
          </w:p>
        </w:tc>
        <w:tc>
          <w:tcPr>
            <w:tcW w:w="7680" w:type="dxa"/>
            <w:vAlign w:val="bottom"/>
            <w:gridSpan w:val="2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0000FF"/>
                <w:w w:val="95"/>
              </w:rPr>
              <w:t>5. Inventory</w:t>
            </w:r>
          </w:p>
        </w:tc>
        <w:tc>
          <w:tcPr>
            <w:tcW w:w="260" w:type="dxa"/>
            <w:vAlign w:val="bottom"/>
            <w:gridSpan w:val="3"/>
          </w:tcPr>
          <w:p>
            <w:pPr>
              <w:spacing w:after="0"/>
              <w:rPr>
                <w:sz w:val="15"/>
                <w:szCs w:val="15"/>
                <w:color w:val="auto"/>
              </w:rPr>
            </w:pPr>
          </w:p>
        </w:tc>
        <w:tc>
          <w:tcPr>
            <w:tcW w:w="7680" w:type="dxa"/>
            <w:vAlign w:val="bottom"/>
            <w:gridSpan w:val="2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6. Nuclear Decommissioning Trust Funds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13"/>
          </w:tcPr>
          <w:p>
            <w:pPr>
              <w:spacing w:after="0"/>
              <w:rPr>
                <w:sz w:val="20"/>
                <w:szCs w:val="20"/>
                <w:color w:val="auto"/>
              </w:rPr>
            </w:pPr>
            <w:r>
              <w:rPr>
                <w:rFonts w:ascii="Arial" w:cs="Arial" w:eastAsia="Arial" w:hAnsi="Arial"/>
                <w:sz w:val="14"/>
                <w:szCs w:val="14"/>
                <w:color w:val="0000FF"/>
              </w:rPr>
              <w:t>7. Property, Plant and Equipment</w:t>
            </w:r>
          </w:p>
        </w:tc>
        <w:tc>
          <w:tcPr>
            <w:tcW w:w="520" w:type="dxa"/>
            <w:vAlign w:val="bottom"/>
            <w:gridSpan w:val="4"/>
          </w:tcPr>
          <w:p>
            <w:pPr>
              <w:spacing w:after="0"/>
              <w:rPr>
                <w:sz w:val="15"/>
                <w:szCs w:val="15"/>
                <w:color w:val="auto"/>
              </w:rPr>
            </w:pPr>
          </w:p>
        </w:tc>
        <w:tc>
          <w:tcPr>
            <w:tcW w:w="6040" w:type="dxa"/>
            <w:vAlign w:val="bottom"/>
            <w:gridSpan w:val="1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8. Asset Retirement Obligations and Accrued Environmental Costs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gridSpan w:val="24"/>
          </w:tcPr>
          <w:p>
            <w:pPr>
              <w:spacing w:after="0"/>
              <w:rPr>
                <w:sz w:val="20"/>
                <w:szCs w:val="20"/>
                <w:color w:val="auto"/>
              </w:rPr>
            </w:pPr>
            <w:r>
              <w:rPr>
                <w:rFonts w:ascii="Arial" w:cs="Arial" w:eastAsia="Arial" w:hAnsi="Arial"/>
                <w:sz w:val="14"/>
                <w:szCs w:val="14"/>
                <w:color w:val="0000FF"/>
              </w:rPr>
              <w:t>9. Commitments and Contingencies</w:t>
            </w:r>
          </w:p>
        </w:tc>
        <w:tc>
          <w:tcPr>
            <w:tcW w:w="4440" w:type="dxa"/>
            <w:vAlign w:val="bottom"/>
            <w:gridSpan w:val="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10. Long-Term Debt and Other Credit Facilities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19"/>
          </w:tcPr>
          <w:p>
            <w:pPr>
              <w:spacing w:after="0"/>
              <w:rPr>
                <w:sz w:val="20"/>
                <w:szCs w:val="20"/>
                <w:color w:val="auto"/>
              </w:rPr>
            </w:pPr>
            <w:r>
              <w:rPr>
                <w:rFonts w:ascii="Arial" w:cs="Arial" w:eastAsia="Arial" w:hAnsi="Arial"/>
                <w:sz w:val="14"/>
                <w:szCs w:val="14"/>
                <w:color w:val="0000FF"/>
              </w:rPr>
              <w:t>11. Fair Value</w:t>
            </w:r>
          </w:p>
        </w:tc>
        <w:tc>
          <w:tcPr>
            <w:tcW w:w="5700" w:type="dxa"/>
            <w:vAlign w:val="bottom"/>
            <w:gridSpan w:val="10"/>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15"/>
          </w:tcPr>
          <w:p>
            <w:pPr>
              <w:spacing w:after="0"/>
              <w:rPr>
                <w:sz w:val="20"/>
                <w:szCs w:val="20"/>
                <w:color w:val="auto"/>
              </w:rPr>
            </w:pPr>
            <w:r>
              <w:rPr>
                <w:rFonts w:ascii="Arial" w:cs="Arial" w:eastAsia="Arial" w:hAnsi="Arial"/>
                <w:sz w:val="14"/>
                <w:szCs w:val="14"/>
                <w:color w:val="0000FF"/>
                <w:w w:val="99"/>
              </w:rPr>
              <w:t>12. Postretirement Benefit Obligations</w:t>
            </w:r>
          </w:p>
        </w:tc>
        <w:tc>
          <w:tcPr>
            <w:tcW w:w="630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12"/>
          </w:tcPr>
          <w:p>
            <w:pPr>
              <w:spacing w:after="0"/>
              <w:rPr>
                <w:sz w:val="20"/>
                <w:szCs w:val="20"/>
                <w:color w:val="auto"/>
              </w:rPr>
            </w:pPr>
            <w:r>
              <w:rPr>
                <w:rFonts w:ascii="Arial" w:cs="Arial" w:eastAsia="Arial" w:hAnsi="Arial"/>
                <w:sz w:val="14"/>
                <w:szCs w:val="14"/>
                <w:color w:val="0000FF"/>
              </w:rPr>
              <w:t>13. Stock-Based Compensation</w:t>
            </w:r>
          </w:p>
        </w:tc>
        <w:tc>
          <w:tcPr>
            <w:tcW w:w="340" w:type="dxa"/>
            <w:vAlign w:val="bottom"/>
            <w:gridSpan w:val="3"/>
          </w:tcPr>
          <w:p>
            <w:pPr>
              <w:spacing w:after="0"/>
              <w:rPr>
                <w:sz w:val="15"/>
                <w:szCs w:val="15"/>
                <w:color w:val="auto"/>
              </w:rPr>
            </w:pPr>
          </w:p>
        </w:tc>
        <w:tc>
          <w:tcPr>
            <w:tcW w:w="630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8"/>
          </w:tcPr>
          <w:p>
            <w:pPr>
              <w:spacing w:after="0"/>
              <w:rPr>
                <w:sz w:val="20"/>
                <w:szCs w:val="20"/>
                <w:color w:val="auto"/>
              </w:rPr>
            </w:pPr>
            <w:r>
              <w:rPr>
                <w:rFonts w:ascii="Arial" w:cs="Arial" w:eastAsia="Arial" w:hAnsi="Arial"/>
                <w:sz w:val="14"/>
                <w:szCs w:val="14"/>
                <w:color w:val="0000FF"/>
              </w:rPr>
              <w:t>14. Earnings Per Share</w:t>
            </w:r>
          </w:p>
        </w:tc>
        <w:tc>
          <w:tcPr>
            <w:tcW w:w="540" w:type="dxa"/>
            <w:vAlign w:val="bottom"/>
            <w:gridSpan w:val="4"/>
          </w:tcPr>
          <w:p>
            <w:pPr>
              <w:spacing w:after="0"/>
              <w:rPr>
                <w:sz w:val="15"/>
                <w:szCs w:val="15"/>
                <w:color w:val="auto"/>
              </w:rPr>
            </w:pP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26</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15. Stockholders' Equity</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26</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16. Supplemental Cash Flow Information</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16"/>
          </w:tcPr>
          <w:p>
            <w:pPr>
              <w:spacing w:after="0"/>
              <w:rPr>
                <w:sz w:val="20"/>
                <w:szCs w:val="20"/>
                <w:color w:val="auto"/>
              </w:rPr>
            </w:pPr>
            <w:r>
              <w:rPr>
                <w:rFonts w:ascii="Arial" w:cs="Arial" w:eastAsia="Arial" w:hAnsi="Arial"/>
                <w:sz w:val="14"/>
                <w:szCs w:val="14"/>
                <w:color w:val="0000FF"/>
              </w:rPr>
              <w:t>17. Acquisitions and Divestitures</w:t>
            </w:r>
          </w:p>
        </w:tc>
        <w:tc>
          <w:tcPr>
            <w:tcW w:w="6140" w:type="dxa"/>
            <w:vAlign w:val="bottom"/>
            <w:gridSpan w:val="1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28</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0000FF"/>
              </w:rPr>
              <w:t>18. Segments</w:t>
            </w:r>
          </w:p>
        </w:tc>
        <w:tc>
          <w:tcPr>
            <w:tcW w:w="1140" w:type="dxa"/>
            <w:vAlign w:val="bottom"/>
            <w:gridSpan w:val="8"/>
          </w:tcPr>
          <w:p>
            <w:pPr>
              <w:spacing w:after="0"/>
              <w:rPr>
                <w:sz w:val="15"/>
                <w:szCs w:val="15"/>
                <w:color w:val="auto"/>
              </w:rPr>
            </w:pP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28</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0"/>
          </w:tcPr>
          <w:p>
            <w:pPr>
              <w:spacing w:after="0"/>
              <w:rPr>
                <w:sz w:val="20"/>
                <w:szCs w:val="20"/>
                <w:color w:val="auto"/>
              </w:rPr>
            </w:pPr>
            <w:r>
              <w:rPr>
                <w:rFonts w:ascii="Arial" w:cs="Arial" w:eastAsia="Arial" w:hAnsi="Arial"/>
                <w:sz w:val="14"/>
                <w:szCs w:val="14"/>
                <w:color w:val="0000FF"/>
              </w:rPr>
              <w:t>ITEM 2. MANAGEMENT’S DISCUSSION AND ANALYSIS OF FINANCIAL CONDITION AND RESULTS OF OPERATIONS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640" w:type="dxa"/>
            <w:vAlign w:val="bottom"/>
            <w:tcBorders>
              <w:top w:val="single" w:sz="8" w:color="0000FF"/>
            </w:tcBorders>
            <w:gridSpan w:val="28"/>
          </w:tcPr>
          <w:p>
            <w:pPr>
              <w:spacing w:after="0"/>
              <w:rPr>
                <w:sz w:val="20"/>
                <w:szCs w:val="20"/>
                <w:color w:val="auto"/>
              </w:rPr>
            </w:pPr>
            <w:r>
              <w:rPr>
                <w:rFonts w:ascii="Arial" w:cs="Arial" w:eastAsia="Arial" w:hAnsi="Arial"/>
                <w:sz w:val="14"/>
                <w:szCs w:val="14"/>
                <w:color w:val="0000FF"/>
              </w:rPr>
              <w:t>Recent Development</w:t>
            </w:r>
            <w:r>
              <w:rPr>
                <w:rFonts w:ascii="Arial" w:cs="Arial" w:eastAsia="Arial" w:hAnsi="Arial"/>
                <w:sz w:val="14"/>
                <w:szCs w:val="14"/>
                <w:color w:val="0E32E1"/>
              </w:rPr>
              <w:t>s</w:t>
            </w:r>
          </w:p>
        </w:tc>
        <w:tc>
          <w:tcPr>
            <w:tcW w:w="1040" w:type="dxa"/>
            <w:vAlign w:val="bottom"/>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31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25"/>
          </w:tcPr>
          <w:p>
            <w:pPr>
              <w:spacing w:after="0"/>
              <w:rPr>
                <w:sz w:val="20"/>
                <w:szCs w:val="20"/>
                <w:color w:val="auto"/>
              </w:rPr>
            </w:pPr>
            <w:r>
              <w:rPr>
                <w:rFonts w:ascii="Arial" w:cs="Arial" w:eastAsia="Arial" w:hAnsi="Arial"/>
                <w:sz w:val="14"/>
                <w:szCs w:val="14"/>
                <w:color w:val="0000FF"/>
              </w:rPr>
              <w:t>Factors Affecting Our Financial Condition and Results of Operations</w:t>
            </w:r>
          </w:p>
        </w:tc>
        <w:tc>
          <w:tcPr>
            <w:tcW w:w="4340" w:type="dxa"/>
            <w:vAlign w:val="bottom"/>
            <w:gridSpan w:val="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32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7"/>
          </w:tcPr>
          <w:p>
            <w:pPr>
              <w:spacing w:after="0"/>
              <w:rPr>
                <w:sz w:val="20"/>
                <w:szCs w:val="20"/>
                <w:color w:val="auto"/>
              </w:rPr>
            </w:pPr>
            <w:r>
              <w:rPr>
                <w:rFonts w:ascii="Arial" w:cs="Arial" w:eastAsia="Arial" w:hAnsi="Arial"/>
                <w:sz w:val="14"/>
                <w:szCs w:val="14"/>
                <w:color w:val="0000FF"/>
              </w:rPr>
              <w:t>Results of Operations</w:t>
            </w:r>
          </w:p>
        </w:tc>
        <w:tc>
          <w:tcPr>
            <w:tcW w:w="2940" w:type="dxa"/>
            <w:vAlign w:val="bottom"/>
            <w:gridSpan w:val="18"/>
          </w:tcPr>
          <w:p>
            <w:pPr>
              <w:spacing w:after="0"/>
              <w:rPr>
                <w:sz w:val="15"/>
                <w:szCs w:val="15"/>
                <w:color w:val="auto"/>
              </w:rPr>
            </w:pPr>
          </w:p>
        </w:tc>
        <w:tc>
          <w:tcPr>
            <w:tcW w:w="4340" w:type="dxa"/>
            <w:vAlign w:val="bottom"/>
            <w:gridSpan w:val="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12"/>
          </w:tcPr>
          <w:p>
            <w:pPr>
              <w:spacing w:after="0"/>
              <w:rPr>
                <w:sz w:val="20"/>
                <w:szCs w:val="20"/>
                <w:color w:val="auto"/>
              </w:rPr>
            </w:pPr>
            <w:r>
              <w:rPr>
                <w:rFonts w:ascii="Arial" w:cs="Arial" w:eastAsia="Arial" w:hAnsi="Arial"/>
                <w:sz w:val="14"/>
                <w:szCs w:val="14"/>
                <w:color w:val="0000FF"/>
              </w:rPr>
              <w:t>Liquidity and Capital Resources</w:t>
            </w: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36</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6"/>
          </w:tcPr>
          <w:p>
            <w:pPr>
              <w:spacing w:after="0"/>
              <w:rPr>
                <w:sz w:val="20"/>
                <w:szCs w:val="20"/>
                <w:color w:val="auto"/>
              </w:rPr>
            </w:pPr>
            <w:r>
              <w:rPr>
                <w:rFonts w:ascii="Arial" w:cs="Arial" w:eastAsia="Arial" w:hAnsi="Arial"/>
                <w:sz w:val="14"/>
                <w:szCs w:val="14"/>
                <w:color w:val="0000FF"/>
              </w:rPr>
              <w:t>Cash Flow Activities</w:t>
            </w:r>
          </w:p>
        </w:tc>
        <w:tc>
          <w:tcPr>
            <w:tcW w:w="740" w:type="dxa"/>
            <w:vAlign w:val="bottom"/>
            <w:gridSpan w:val="6"/>
          </w:tcPr>
          <w:p>
            <w:pPr>
              <w:spacing w:after="0"/>
              <w:rPr>
                <w:sz w:val="15"/>
                <w:szCs w:val="15"/>
                <w:color w:val="auto"/>
              </w:rPr>
            </w:pP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18"/>
          </w:tcPr>
          <w:p>
            <w:pPr>
              <w:spacing w:after="0"/>
              <w:rPr>
                <w:sz w:val="20"/>
                <w:szCs w:val="20"/>
                <w:color w:val="auto"/>
              </w:rPr>
            </w:pPr>
            <w:r>
              <w:rPr>
                <w:rFonts w:ascii="Arial" w:cs="Arial" w:eastAsia="Arial" w:hAnsi="Arial"/>
                <w:sz w:val="14"/>
                <w:szCs w:val="14"/>
                <w:color w:val="0000FF"/>
                <w:w w:val="99"/>
              </w:rPr>
              <w:t>Contractual Obligations and Commitments</w:t>
            </w:r>
          </w:p>
        </w:tc>
        <w:tc>
          <w:tcPr>
            <w:tcW w:w="602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11"/>
          </w:tcPr>
          <w:p>
            <w:pPr>
              <w:spacing w:after="0"/>
              <w:rPr>
                <w:sz w:val="20"/>
                <w:szCs w:val="20"/>
                <w:color w:val="auto"/>
              </w:rPr>
            </w:pPr>
            <w:r>
              <w:rPr>
                <w:rFonts w:ascii="Arial" w:cs="Arial" w:eastAsia="Arial" w:hAnsi="Arial"/>
                <w:sz w:val="14"/>
                <w:szCs w:val="14"/>
                <w:color w:val="0000FF"/>
                <w:w w:val="98"/>
              </w:rPr>
              <w:t>Non-GAAP Financial Measure</w:t>
            </w:r>
          </w:p>
        </w:tc>
        <w:tc>
          <w:tcPr>
            <w:tcW w:w="780" w:type="dxa"/>
            <w:vAlign w:val="bottom"/>
            <w:gridSpan w:val="7"/>
          </w:tcPr>
          <w:p>
            <w:pPr>
              <w:spacing w:after="0"/>
              <w:rPr>
                <w:sz w:val="15"/>
                <w:szCs w:val="15"/>
                <w:color w:val="auto"/>
              </w:rPr>
            </w:pPr>
          </w:p>
        </w:tc>
        <w:tc>
          <w:tcPr>
            <w:tcW w:w="602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38</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Critical Accounting Policies and Estimates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00" w:type="dxa"/>
            <w:vAlign w:val="bottom"/>
            <w:gridSpan w:val="27"/>
          </w:tcPr>
          <w:p>
            <w:pPr>
              <w:spacing w:after="0"/>
              <w:rPr>
                <w:sz w:val="20"/>
                <w:szCs w:val="20"/>
                <w:color w:val="auto"/>
              </w:rPr>
            </w:pPr>
            <w:r>
              <w:rPr>
                <w:rFonts w:ascii="Arial" w:cs="Arial" w:eastAsia="Arial" w:hAnsi="Arial"/>
                <w:sz w:val="14"/>
                <w:szCs w:val="14"/>
                <w:color w:val="0000FF"/>
              </w:rPr>
              <w:t>ITEM 3. QUANTITATIVE AND QUALITATIVE DISCLOSURES ABOUT MARKET RISK</w:t>
            </w:r>
          </w:p>
        </w:tc>
        <w:tc>
          <w:tcPr>
            <w:tcW w:w="3380" w:type="dxa"/>
            <w:vAlign w:val="bottom"/>
            <w:gridSpan w:val="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00" w:type="dxa"/>
            <w:vAlign w:val="bottom"/>
            <w:gridSpan w:val="27"/>
          </w:tcPr>
          <w:p>
            <w:pPr>
              <w:spacing w:after="0"/>
              <w:rPr>
                <w:sz w:val="20"/>
                <w:szCs w:val="20"/>
                <w:color w:val="auto"/>
              </w:rPr>
            </w:pPr>
            <w:r>
              <w:rPr>
                <w:rFonts w:ascii="Arial" w:cs="Arial" w:eastAsia="Arial" w:hAnsi="Arial"/>
                <w:sz w:val="14"/>
                <w:szCs w:val="14"/>
                <w:color w:val="0000FF"/>
              </w:rPr>
              <w:t>ITEM 4. CONTROLS AND PROCEDURES</w:t>
            </w:r>
          </w:p>
        </w:tc>
        <w:tc>
          <w:tcPr>
            <w:tcW w:w="3380" w:type="dxa"/>
            <w:vAlign w:val="bottom"/>
            <w:gridSpan w:val="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1"/>
          </w:tcPr>
          <w:p>
            <w:pPr>
              <w:spacing w:after="0"/>
              <w:rPr>
                <w:sz w:val="20"/>
                <w:szCs w:val="20"/>
                <w:color w:val="auto"/>
              </w:rPr>
            </w:pPr>
            <w:r>
              <w:rPr>
                <w:rFonts w:ascii="Arial" w:cs="Arial" w:eastAsia="Arial" w:hAnsi="Arial"/>
                <w:sz w:val="14"/>
                <w:szCs w:val="14"/>
                <w:color w:val="0000FF"/>
              </w:rPr>
              <w:t>PART II. OTHER INFORMATION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12"/>
          </w:tcPr>
          <w:p>
            <w:pPr>
              <w:spacing w:after="0"/>
              <w:rPr>
                <w:sz w:val="20"/>
                <w:szCs w:val="20"/>
                <w:color w:val="auto"/>
              </w:rPr>
            </w:pPr>
            <w:r>
              <w:rPr>
                <w:rFonts w:ascii="Arial" w:cs="Arial" w:eastAsia="Arial" w:hAnsi="Arial"/>
                <w:sz w:val="14"/>
                <w:szCs w:val="14"/>
                <w:color w:val="0000FF"/>
                <w:w w:val="99"/>
              </w:rPr>
              <w:t>ITEM 1. LEGAL PROCEEDINGS</w:t>
            </w:r>
          </w:p>
        </w:tc>
        <w:tc>
          <w:tcPr>
            <w:tcW w:w="680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9"/>
          </w:tcPr>
          <w:p>
            <w:pPr>
              <w:spacing w:after="0"/>
              <w:rPr>
                <w:sz w:val="20"/>
                <w:szCs w:val="20"/>
                <w:color w:val="auto"/>
              </w:rPr>
            </w:pPr>
            <w:r>
              <w:rPr>
                <w:rFonts w:ascii="Arial" w:cs="Arial" w:eastAsia="Arial" w:hAnsi="Arial"/>
                <w:sz w:val="14"/>
                <w:szCs w:val="14"/>
                <w:color w:val="0000FF"/>
              </w:rPr>
              <w:t>ITEM 1A. RISK FACTORS</w:t>
            </w:r>
          </w:p>
        </w:tc>
        <w:tc>
          <w:tcPr>
            <w:tcW w:w="380" w:type="dxa"/>
            <w:vAlign w:val="bottom"/>
            <w:gridSpan w:val="3"/>
          </w:tcPr>
          <w:p>
            <w:pPr>
              <w:spacing w:after="0"/>
              <w:rPr>
                <w:sz w:val="15"/>
                <w:szCs w:val="15"/>
                <w:color w:val="auto"/>
              </w:rPr>
            </w:pPr>
          </w:p>
        </w:tc>
        <w:tc>
          <w:tcPr>
            <w:tcW w:w="680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0"/>
          </w:tcPr>
          <w:p>
            <w:pPr>
              <w:spacing w:after="0"/>
              <w:rPr>
                <w:sz w:val="20"/>
                <w:szCs w:val="20"/>
                <w:color w:val="auto"/>
              </w:rPr>
            </w:pPr>
            <w:r>
              <w:rPr>
                <w:rFonts w:ascii="Arial" w:cs="Arial" w:eastAsia="Arial" w:hAnsi="Arial"/>
                <w:sz w:val="14"/>
                <w:szCs w:val="14"/>
                <w:color w:val="0000FF"/>
              </w:rPr>
              <w:t>ITEM 2. UNREGISTERED SALES OF EQUITY SECURITIES AND USE OF PROCEEDS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21"/>
          </w:tcPr>
          <w:p>
            <w:pPr>
              <w:spacing w:after="0"/>
              <w:rPr>
                <w:sz w:val="20"/>
                <w:szCs w:val="20"/>
                <w:color w:val="auto"/>
              </w:rPr>
            </w:pPr>
            <w:r>
              <w:rPr>
                <w:rFonts w:ascii="Arial" w:cs="Arial" w:eastAsia="Arial" w:hAnsi="Arial"/>
                <w:sz w:val="14"/>
                <w:szCs w:val="14"/>
                <w:color w:val="0000FF"/>
              </w:rPr>
              <w:t>ITEM 3. DEFAULTS UPON SENIOR SECURITIES</w:t>
            </w:r>
          </w:p>
        </w:tc>
        <w:tc>
          <w:tcPr>
            <w:tcW w:w="2440" w:type="dxa"/>
            <w:vAlign w:val="bottom"/>
            <w:gridSpan w:val="7"/>
          </w:tcPr>
          <w:p>
            <w:pPr>
              <w:spacing w:after="0"/>
              <w:rPr>
                <w:sz w:val="15"/>
                <w:szCs w:val="15"/>
                <w:color w:val="auto"/>
              </w:rPr>
            </w:pPr>
          </w:p>
        </w:tc>
        <w:tc>
          <w:tcPr>
            <w:tcW w:w="3200" w:type="dxa"/>
            <w:vAlign w:val="bottom"/>
            <w:gridSpan w:val="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16"/>
          </w:tcPr>
          <w:p>
            <w:pPr>
              <w:spacing w:after="0"/>
              <w:rPr>
                <w:sz w:val="20"/>
                <w:szCs w:val="20"/>
                <w:color w:val="auto"/>
              </w:rPr>
            </w:pPr>
            <w:r>
              <w:rPr>
                <w:rFonts w:ascii="Arial" w:cs="Arial" w:eastAsia="Arial" w:hAnsi="Arial"/>
                <w:sz w:val="14"/>
                <w:szCs w:val="14"/>
                <w:color w:val="0000FF"/>
              </w:rPr>
              <w:t>ITEM 4. MINE SAFETY DISCLOSURES</w:t>
            </w:r>
          </w:p>
        </w:tc>
        <w:tc>
          <w:tcPr>
            <w:tcW w:w="660" w:type="dxa"/>
            <w:vAlign w:val="bottom"/>
            <w:gridSpan w:val="5"/>
          </w:tcPr>
          <w:p>
            <w:pPr>
              <w:spacing w:after="0"/>
              <w:rPr>
                <w:sz w:val="15"/>
                <w:szCs w:val="15"/>
                <w:color w:val="auto"/>
              </w:rPr>
            </w:pPr>
          </w:p>
        </w:tc>
        <w:tc>
          <w:tcPr>
            <w:tcW w:w="5640" w:type="dxa"/>
            <w:vAlign w:val="bottom"/>
            <w:gridSpan w:val="9"/>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16"/>
          </w:tcPr>
          <w:p>
            <w:pPr>
              <w:spacing w:after="0"/>
              <w:rPr>
                <w:sz w:val="20"/>
                <w:szCs w:val="20"/>
                <w:color w:val="auto"/>
              </w:rPr>
            </w:pPr>
            <w:r>
              <w:rPr>
                <w:rFonts w:ascii="Arial" w:cs="Arial" w:eastAsia="Arial" w:hAnsi="Arial"/>
                <w:sz w:val="14"/>
                <w:szCs w:val="14"/>
                <w:color w:val="0000FF"/>
              </w:rPr>
              <w:t>ITEM 5. OTHER INFORMATION</w:t>
            </w:r>
          </w:p>
        </w:tc>
        <w:tc>
          <w:tcPr>
            <w:tcW w:w="630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6"/>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12"/>
          </w:tcPr>
          <w:p>
            <w:pPr>
              <w:spacing w:after="0"/>
              <w:rPr>
                <w:sz w:val="20"/>
                <w:szCs w:val="20"/>
                <w:color w:val="auto"/>
              </w:rPr>
            </w:pPr>
            <w:r>
              <w:rPr>
                <w:rFonts w:ascii="Arial" w:cs="Arial" w:eastAsia="Arial" w:hAnsi="Arial"/>
                <w:sz w:val="14"/>
                <w:szCs w:val="14"/>
                <w:color w:val="0000FF"/>
              </w:rPr>
              <w:t>ITEM 6. EXHIBITS</w:t>
            </w:r>
          </w:p>
        </w:tc>
        <w:tc>
          <w:tcPr>
            <w:tcW w:w="680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60" w:type="dxa"/>
            <w:vAlign w:val="bottom"/>
            <w:gridSpan w:val="13"/>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1"/>
          </w:tcPr>
          <w:p>
            <w:pPr>
              <w:spacing w:after="0"/>
              <w:rPr>
                <w:sz w:val="20"/>
                <w:szCs w:val="20"/>
                <w:color w:val="auto"/>
              </w:rPr>
            </w:pPr>
            <w:r>
              <w:rPr>
                <w:rFonts w:ascii="Arial" w:cs="Arial" w:eastAsia="Arial" w:hAnsi="Arial"/>
                <w:sz w:val="14"/>
                <w:szCs w:val="14"/>
                <w:color w:val="0000FF"/>
              </w:rPr>
              <w:t>GLOSSARY OF TERMS AND ABBREVIATIONS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180" w:type="dxa"/>
            <w:vAlign w:val="bottom"/>
            <w:gridSpan w:val="17"/>
            <w:shd w:val="clear" w:color="auto" w:fill="0000FF"/>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120" w:type="dxa"/>
            <w:vAlign w:val="bottom"/>
            <w:gridSpan w:val="20"/>
          </w:tcPr>
          <w:p>
            <w:pPr>
              <w:spacing w:after="0"/>
              <w:rPr>
                <w:sz w:val="20"/>
                <w:szCs w:val="20"/>
                <w:color w:val="auto"/>
              </w:rPr>
            </w:pPr>
            <w:r>
              <w:rPr>
                <w:rFonts w:ascii="Arial" w:cs="Arial" w:eastAsia="Arial" w:hAnsi="Arial"/>
                <w:sz w:val="14"/>
                <w:szCs w:val="14"/>
                <w:color w:val="0000FF"/>
              </w:rPr>
              <w:t>SIGNATURES</w:t>
            </w:r>
          </w:p>
        </w:tc>
        <w:tc>
          <w:tcPr>
            <w:tcW w:w="602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45</w:t>
            </w:r>
          </w:p>
        </w:tc>
        <w:tc>
          <w:tcPr>
            <w:tcW w:w="240" w:type="dxa"/>
            <w:vAlign w:val="bottom"/>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175"/>
        </w:trPr>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INFORMATION</w:t>
      </w:r>
    </w:p>
    <w:p>
      <w:pPr>
        <w:spacing w:after="0" w:line="16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This Quarterly Report on Form 10-Q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w:t>
      </w:r>
    </w:p>
    <w:p>
      <w:pPr>
        <w:spacing w:after="0" w:line="120" w:lineRule="exact"/>
        <w:rPr>
          <w:sz w:val="20"/>
          <w:szCs w:val="20"/>
          <w:color w:val="auto"/>
        </w:rPr>
      </w:pPr>
    </w:p>
    <w:p>
      <w:pPr>
        <w:ind w:right="200" w:firstLine="324"/>
        <w:spacing w:after="0" w:line="261" w:lineRule="auto"/>
        <w:rPr>
          <w:sz w:val="20"/>
          <w:szCs w:val="20"/>
          <w:color w:val="auto"/>
        </w:rPr>
      </w:pPr>
      <w:r>
        <w:rPr>
          <w:rFonts w:ascii="Arial" w:cs="Arial" w:eastAsia="Arial" w:hAnsi="Arial"/>
          <w:sz w:val="16"/>
          <w:szCs w:val="16"/>
          <w:color w:val="auto"/>
        </w:rPr>
        <w:t>The risks, uncertainties, and other factors that could cause actual results to differ materially from the forward-looking statements made by us include those discussed in this Report, as well as the items discussed in the sections entitled “Item 1A. Risk Factors” in this Report and our most recent Annual Report on Form 10-K for the year ended December 31, 2024 (our “2024 Annual Report”), as updated by our Quarterly Reports on Form 10-Q for the three months ended March 31, 2025 and June 30, 2025 (our “2025 Quarterly Reports”).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spacing w:after="0" w:line="12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spacing w:after="0" w:line="120"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INDUSTRY DATA</w:t>
      </w:r>
    </w:p>
    <w:p>
      <w:pPr>
        <w:spacing w:after="0" w:line="181"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319"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as well as the items discussed in the sections entitled “Item 1A. Risk Factors” in this Report and our 2024 Annual Report, as updated by our 2025 Quarterly Reports.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650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1,832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1,648</w:t>
            </w:r>
          </w:p>
        </w:tc>
        <w:tc>
          <w:tcPr>
            <w:tcW w:w="0" w:type="dxa"/>
            <w:vAlign w:val="bottom"/>
          </w:tcPr>
          <w:p>
            <w:pPr>
              <w:spacing w:after="0"/>
              <w:rPr>
                <w:sz w:val="1"/>
                <w:szCs w:val="1"/>
                <w:color w:val="auto"/>
              </w:rPr>
            </w:pPr>
          </w:p>
        </w:tc>
      </w:tr>
      <w:tr>
        <w:trPr>
          <w:trHeight w:val="56"/>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22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(633)</w:t>
            </w:r>
          </w:p>
        </w:tc>
        <w:tc>
          <w:tcPr>
            <w:tcW w:w="0" w:type="dxa"/>
            <w:vAlign w:val="bottom"/>
          </w:tcPr>
          <w:p>
            <w:pPr>
              <w:spacing w:after="0"/>
              <w:rPr>
                <w:sz w:val="1"/>
                <w:szCs w:val="1"/>
                <w:color w:val="auto"/>
              </w:rPr>
            </w:pPr>
          </w:p>
        </w:tc>
      </w:tr>
      <w:tr>
        <w:trPr>
          <w:trHeight w:val="56"/>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shd w:val="clear" w:color="auto" w:fill="E1E1E2"/>
          </w:tcPr>
          <w:p>
            <w:pPr>
              <w:spacing w:after="0"/>
              <w:rPr>
                <w:sz w:val="17"/>
                <w:szCs w:val="17"/>
                <w:color w:val="auto"/>
              </w:rPr>
            </w:pPr>
          </w:p>
        </w:tc>
        <w:tc>
          <w:tcPr>
            <w:tcW w:w="12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22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6"/>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22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0"/>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2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179</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1,137</w:t>
            </w:r>
          </w:p>
        </w:tc>
        <w:tc>
          <w:tcPr>
            <w:tcW w:w="0" w:type="dxa"/>
            <w:vAlign w:val="bottom"/>
          </w:tcPr>
          <w:p>
            <w:pPr>
              <w:spacing w:after="0"/>
              <w:rPr>
                <w:sz w:val="1"/>
                <w:szCs w:val="1"/>
                <w:color w:val="auto"/>
              </w:rPr>
            </w:pP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0"/>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168</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945</w:t>
            </w:r>
          </w:p>
        </w:tc>
        <w:tc>
          <w:tcPr>
            <w:tcW w:w="0" w:type="dxa"/>
            <w:vAlign w:val="bottom"/>
          </w:tcPr>
          <w:p>
            <w:pPr>
              <w:spacing w:after="0"/>
              <w:rPr>
                <w:sz w:val="1"/>
                <w:szCs w:val="1"/>
                <w:color w:val="auto"/>
              </w:rPr>
            </w:pP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9"/>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tcBorders>
              <w:bottom w:val="single" w:sz="8" w:color="E1E1E2"/>
            </w:tcBorders>
            <w:shd w:val="clear" w:color="auto" w:fill="E1E1E2"/>
          </w:tcPr>
          <w:p>
            <w:pPr>
              <w:spacing w:after="0"/>
              <w:rPr>
                <w:sz w:val="19"/>
                <w:szCs w:val="19"/>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tcBorders>
              <w:bottom w:val="single" w:sz="8" w:color="E1E1E2"/>
            </w:tcBorders>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168</w:t>
            </w:r>
          </w:p>
        </w:tc>
        <w:tc>
          <w:tcPr>
            <w:tcW w:w="80" w:type="dxa"/>
            <w:vAlign w:val="bottom"/>
            <w:tcBorders>
              <w:bottom w:val="single" w:sz="8" w:color="E1E1E2"/>
            </w:tcBorders>
            <w:shd w:val="clear" w:color="auto" w:fill="E1E1E2"/>
          </w:tcPr>
          <w:p>
            <w:pPr>
              <w:spacing w:after="0"/>
              <w:rPr>
                <w:sz w:val="19"/>
                <w:szCs w:val="19"/>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tcBorders>
              <w:bottom w:val="single" w:sz="8" w:color="E1E1E2"/>
            </w:tcBorders>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916</w:t>
            </w: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3.30</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99"/>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53"/>
        </w:trPr>
        <w:tc>
          <w:tcPr>
            <w:tcW w:w="496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Weighted-Average Number of Common Shares Outstanding - Basic (in</w:t>
            </w:r>
          </w:p>
        </w:tc>
        <w:tc>
          <w:tcPr>
            <w:tcW w:w="220" w:type="dxa"/>
            <w:vAlign w:val="bottom"/>
            <w:shd w:val="clear" w:color="auto" w:fill="E1E1E2"/>
          </w:tcPr>
          <w:p>
            <w:pPr>
              <w:spacing w:after="0"/>
              <w:rPr>
                <w:sz w:val="13"/>
                <w:szCs w:val="13"/>
                <w:color w:val="auto"/>
              </w:rPr>
            </w:pPr>
          </w:p>
        </w:tc>
        <w:tc>
          <w:tcPr>
            <w:tcW w:w="12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45,684</w:t>
            </w:r>
          </w:p>
        </w:tc>
        <w:tc>
          <w:tcPr>
            <w:tcW w:w="100" w:type="dxa"/>
            <w:vAlign w:val="bottom"/>
            <w:shd w:val="clear" w:color="auto" w:fill="E1E1E2"/>
          </w:tcPr>
          <w:p>
            <w:pPr>
              <w:spacing w:after="0"/>
              <w:rPr>
                <w:sz w:val="13"/>
                <w:szCs w:val="13"/>
                <w:color w:val="auto"/>
              </w:rPr>
            </w:pPr>
          </w:p>
        </w:tc>
        <w:tc>
          <w:tcPr>
            <w:tcW w:w="340" w:type="dxa"/>
            <w:vAlign w:val="bottom"/>
            <w:shd w:val="clear" w:color="auto" w:fill="E1E1E2"/>
          </w:tcPr>
          <w:p>
            <w:pPr>
              <w:spacing w:after="0"/>
              <w:rPr>
                <w:sz w:val="13"/>
                <w:szCs w:val="13"/>
                <w:color w:val="auto"/>
              </w:rPr>
            </w:pPr>
          </w:p>
        </w:tc>
        <w:tc>
          <w:tcPr>
            <w:tcW w:w="116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50,924</w:t>
            </w:r>
          </w:p>
        </w:tc>
        <w:tc>
          <w:tcPr>
            <w:tcW w:w="80" w:type="dxa"/>
            <w:vAlign w:val="bottom"/>
            <w:shd w:val="clear" w:color="auto" w:fill="E1E1E2"/>
          </w:tcPr>
          <w:p>
            <w:pPr>
              <w:spacing w:after="0"/>
              <w:rPr>
                <w:sz w:val="13"/>
                <w:szCs w:val="13"/>
                <w:color w:val="auto"/>
              </w:rPr>
            </w:pPr>
          </w:p>
        </w:tc>
        <w:tc>
          <w:tcPr>
            <w:tcW w:w="240" w:type="dxa"/>
            <w:vAlign w:val="bottom"/>
            <w:shd w:val="clear" w:color="auto" w:fill="E1E1E2"/>
          </w:tcPr>
          <w:p>
            <w:pPr>
              <w:spacing w:after="0"/>
              <w:rPr>
                <w:sz w:val="13"/>
                <w:szCs w:val="13"/>
                <w:color w:val="auto"/>
              </w:rPr>
            </w:pPr>
          </w:p>
        </w:tc>
        <w:tc>
          <w:tcPr>
            <w:tcW w:w="12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45,694</w:t>
            </w:r>
          </w:p>
        </w:tc>
        <w:tc>
          <w:tcPr>
            <w:tcW w:w="100" w:type="dxa"/>
            <w:vAlign w:val="bottom"/>
            <w:shd w:val="clear" w:color="auto" w:fill="E1E1E2"/>
          </w:tcPr>
          <w:p>
            <w:pPr>
              <w:spacing w:after="0"/>
              <w:rPr>
                <w:sz w:val="13"/>
                <w:szCs w:val="13"/>
                <w:color w:val="auto"/>
              </w:rPr>
            </w:pPr>
          </w:p>
        </w:tc>
        <w:tc>
          <w:tcPr>
            <w:tcW w:w="340" w:type="dxa"/>
            <w:vAlign w:val="bottom"/>
            <w:shd w:val="clear" w:color="auto" w:fill="E1E1E2"/>
          </w:tcPr>
          <w:p>
            <w:pPr>
              <w:spacing w:after="0"/>
              <w:rPr>
                <w:sz w:val="13"/>
                <w:szCs w:val="13"/>
                <w:color w:val="auto"/>
              </w:rPr>
            </w:pPr>
          </w:p>
        </w:tc>
        <w:tc>
          <w:tcPr>
            <w:tcW w:w="116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55,703</w:t>
            </w:r>
          </w:p>
        </w:tc>
        <w:tc>
          <w:tcPr>
            <w:tcW w:w="0" w:type="dxa"/>
            <w:vAlign w:val="bottom"/>
          </w:tcPr>
          <w:p>
            <w:pPr>
              <w:spacing w:after="0"/>
              <w:rPr>
                <w:sz w:val="1"/>
                <w:szCs w:val="1"/>
                <w:color w:val="auto"/>
              </w:rPr>
            </w:pPr>
          </w:p>
        </w:tc>
      </w:tr>
      <w:tr>
        <w:trPr>
          <w:trHeight w:val="189"/>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shd w:val="clear" w:color="auto" w:fill="E1E1E2"/>
          </w:tcPr>
          <w:p>
            <w:pPr>
              <w:spacing w:after="0"/>
              <w:rPr>
                <w:sz w:val="16"/>
                <w:szCs w:val="16"/>
                <w:color w:val="auto"/>
              </w:rPr>
            </w:pPr>
          </w:p>
        </w:tc>
        <w:tc>
          <w:tcPr>
            <w:tcW w:w="128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16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240" w:type="dxa"/>
            <w:vAlign w:val="bottom"/>
            <w:shd w:val="clear" w:color="auto" w:fill="E1E1E2"/>
          </w:tcPr>
          <w:p>
            <w:pPr>
              <w:spacing w:after="0"/>
              <w:rPr>
                <w:sz w:val="16"/>
                <w:szCs w:val="16"/>
                <w:color w:val="auto"/>
              </w:rPr>
            </w:pPr>
          </w:p>
        </w:tc>
        <w:tc>
          <w:tcPr>
            <w:tcW w:w="126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40" w:type="dxa"/>
            <w:vAlign w:val="bottom"/>
            <w:shd w:val="clear" w:color="auto" w:fill="E1E1E2"/>
          </w:tcPr>
          <w:p>
            <w:pPr>
              <w:spacing w:after="0"/>
              <w:rPr>
                <w:sz w:val="16"/>
                <w:szCs w:val="16"/>
                <w:color w:val="auto"/>
              </w:rPr>
            </w:pPr>
          </w:p>
        </w:tc>
        <w:tc>
          <w:tcPr>
            <w:tcW w:w="116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Weighted-Average Number of Common Shares Outstanding - Diluted (in</w:t>
            </w:r>
          </w:p>
        </w:tc>
        <w:tc>
          <w:tcPr>
            <w:tcW w:w="22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48,582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53,169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48,588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57,756</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8"/>
                <w:szCs w:val="18"/>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1E1E2"/>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1E1E2"/>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224"/>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207</w:t>
            </w:r>
          </w:p>
        </w:tc>
        <w:tc>
          <w:tcPr>
            <w:tcW w:w="80" w:type="dxa"/>
            <w:vAlign w:val="bottom"/>
            <w:shd w:val="clear" w:color="auto" w:fill="E1E1E2"/>
          </w:tcPr>
          <w:p>
            <w:pPr>
              <w:spacing w:after="0"/>
              <w:rPr>
                <w:sz w:val="19"/>
                <w:szCs w:val="19"/>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168</w:t>
            </w:r>
          </w:p>
        </w:tc>
        <w:tc>
          <w:tcPr>
            <w:tcW w:w="80" w:type="dxa"/>
            <w:vAlign w:val="bottom"/>
            <w:shd w:val="clear" w:color="auto" w:fill="E1E1E2"/>
          </w:tcPr>
          <w:p>
            <w:pPr>
              <w:spacing w:after="0"/>
              <w:rPr>
                <w:sz w:val="19"/>
                <w:szCs w:val="19"/>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945</w:t>
            </w:r>
          </w:p>
        </w:tc>
      </w:tr>
      <w:tr>
        <w:trPr>
          <w:trHeight w:val="201"/>
        </w:trPr>
        <w:tc>
          <w:tcPr>
            <w:tcW w:w="49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4"/>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240" w:type="dxa"/>
            <w:vAlign w:val="bottom"/>
            <w:shd w:val="clear" w:color="auto" w:fill="E1E1E2"/>
          </w:tcPr>
          <w:p>
            <w:pPr>
              <w:spacing w:after="0"/>
              <w:rPr>
                <w:sz w:val="17"/>
                <w:szCs w:val="17"/>
                <w:color w:val="auto"/>
              </w:rPr>
            </w:pPr>
          </w:p>
        </w:tc>
        <w:tc>
          <w:tcPr>
            <w:tcW w:w="12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492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 (losses) arising during the period, net of tax</w:t>
            </w:r>
          </w:p>
        </w:tc>
        <w:tc>
          <w:tcPr>
            <w:tcW w:w="24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203"/>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 (Note 6)</w:t>
            </w:r>
          </w:p>
        </w:tc>
        <w:tc>
          <w:tcPr>
            <w:tcW w:w="24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 (Note 12)</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Reclassifications from AOCI, net of tax</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196"/>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Other Comprehensive Income (Loss)</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24</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18</w:t>
            </w:r>
          </w:p>
        </w:tc>
      </w:tr>
      <w:tr>
        <w:trPr>
          <w:trHeight w:val="19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208</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192</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963</w:t>
            </w:r>
          </w:p>
        </w:tc>
      </w:tr>
      <w:tr>
        <w:trPr>
          <w:trHeight w:val="19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10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spacing w:after="0"/>
              <w:rPr>
                <w:sz w:val="16"/>
                <w:szCs w:val="16"/>
                <w:color w:val="auto"/>
              </w:rPr>
            </w:pPr>
          </w:p>
        </w:tc>
        <w:tc>
          <w:tcPr>
            <w:tcW w:w="12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6"/>
                <w:szCs w:val="16"/>
                <w:color w:val="auto"/>
              </w:rPr>
            </w:pPr>
          </w:p>
        </w:tc>
        <w:tc>
          <w:tcPr>
            <w:tcW w:w="360" w:type="dxa"/>
            <w:vAlign w:val="bottom"/>
            <w:tcBorders>
              <w:bottom w:val="single" w:sz="8" w:color="auto"/>
            </w:tcBorders>
            <w:shd w:val="clear" w:color="auto" w:fill="E1E1E2"/>
          </w:tcPr>
          <w:p>
            <w:pPr>
              <w:spacing w:after="0"/>
              <w:rPr>
                <w:sz w:val="16"/>
                <w:szCs w:val="16"/>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spacing w:after="0"/>
              <w:rPr>
                <w:sz w:val="16"/>
                <w:szCs w:val="16"/>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6"/>
                <w:szCs w:val="16"/>
                <w:color w:val="auto"/>
              </w:rPr>
            </w:pPr>
          </w:p>
        </w:tc>
        <w:tc>
          <w:tcPr>
            <w:tcW w:w="340" w:type="dxa"/>
            <w:vAlign w:val="bottom"/>
            <w:tcBorders>
              <w:bottom w:val="single" w:sz="8" w:color="auto"/>
            </w:tcBorders>
            <w:shd w:val="clear" w:color="auto" w:fill="E1E1E2"/>
          </w:tcPr>
          <w:p>
            <w:pPr>
              <w:spacing w:after="0"/>
              <w:rPr>
                <w:sz w:val="16"/>
                <w:szCs w:val="16"/>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w:t>
            </w:r>
          </w:p>
        </w:tc>
      </w:tr>
      <w:tr>
        <w:trPr>
          <w:trHeight w:val="226"/>
        </w:trPr>
        <w:tc>
          <w:tcPr>
            <w:tcW w:w="4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 (Loss) Attributable to Stockholders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208</w:t>
            </w:r>
          </w:p>
        </w:tc>
        <w:tc>
          <w:tcPr>
            <w:tcW w:w="80" w:type="dxa"/>
            <w:vAlign w:val="bottom"/>
          </w:tcPr>
          <w:p>
            <w:pPr>
              <w:spacing w:after="0"/>
              <w:rPr>
                <w:sz w:val="19"/>
                <w:szCs w:val="19"/>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192</w:t>
            </w:r>
          </w:p>
        </w:tc>
        <w:tc>
          <w:tcPr>
            <w:tcW w:w="8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934</w:t>
            </w:r>
          </w:p>
        </w:tc>
      </w:tr>
      <w:tr>
        <w:trPr>
          <w:trHeight w:val="22"/>
        </w:trPr>
        <w:tc>
          <w:tcPr>
            <w:tcW w:w="4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cash and cash equivalents (Note 16)</w:t>
            </w:r>
          </w:p>
        </w:tc>
        <w:tc>
          <w:tcPr>
            <w:tcW w:w="160" w:type="dxa"/>
            <w:vAlign w:val="bottom"/>
            <w:shd w:val="clear" w:color="auto" w:fill="E1E1E2"/>
          </w:tcPr>
          <w:p>
            <w:pPr>
              <w:spacing w:after="0"/>
              <w:rPr>
                <w:sz w:val="17"/>
                <w:szCs w:val="17"/>
                <w:color w:val="auto"/>
              </w:rPr>
            </w:pPr>
          </w:p>
        </w:tc>
        <w:tc>
          <w:tcPr>
            <w:tcW w:w="13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Accounts receivable (Note 3)</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 (Note 5)</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1,048</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 (Note 7)</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3,075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3,154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(Notes 6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1,724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6,097</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6,106</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due within one year (Notes 10 and 11)</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266</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457</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(Notes 10 and 11)</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2,969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2,987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obligations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305</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 and accrued environmental costs (Note 8)</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4,628</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4,719</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 and Contingencies (Note 9)</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6"/>
        </w:trPr>
        <w:tc>
          <w:tcPr>
            <w:tcW w:w="8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Stockholders' Equity (Note 15)</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Accumulated retained earnings (deficit)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1,387</w:t>
            </w:r>
          </w:p>
        </w:tc>
      </w:tr>
      <w:tr>
        <w:trPr>
          <w:trHeight w:val="21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6,097</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6,106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45,687,828 and 45,961,910 shares issued and outstanding as of September 30, 2025 and December 31, 2024,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226"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Nine Months Ended September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9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945</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reconciliation adjustments:</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16)</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(gains) losses on derivative instruments (Note 2)</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 (Note 7)</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71</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 (excluding interest and fees) (Note 6)</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AWS Data Campus Sale and ERCOT Sale (Note 17)</w:t>
            </w:r>
          </w:p>
        </w:tc>
        <w:tc>
          <w:tcPr>
            <w:tcW w:w="340" w:type="dxa"/>
            <w:vAlign w:val="bottom"/>
            <w:shd w:val="clear" w:color="auto" w:fill="E1E1E2"/>
          </w:tcPr>
          <w:p>
            <w:pPr>
              <w:spacing w:after="0"/>
              <w:rPr>
                <w:sz w:val="17"/>
                <w:szCs w:val="17"/>
                <w:color w:val="auto"/>
              </w:rPr>
            </w:pPr>
          </w:p>
        </w:tc>
        <w:tc>
          <w:tcPr>
            <w:tcW w:w="12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(886)</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(Gain) loss on sales of assets, net (Note 17)</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(Note 16)</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80</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w:t>
            </w:r>
          </w:p>
        </w:tc>
      </w:tr>
      <w:tr>
        <w:trPr>
          <w:trHeight w:val="202"/>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Changes in assets and liabilities: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Inventory, net</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202</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Accrued interest</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Collateral received (posted), net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(161)</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424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246</w:t>
            </w:r>
          </w:p>
        </w:tc>
      </w:tr>
      <w:tr>
        <w:trPr>
          <w:trHeight w:val="35"/>
        </w:trPr>
        <w:tc>
          <w:tcPr>
            <w:tcW w:w="8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r>
      <w:tr>
        <w:trPr>
          <w:trHeight w:val="202"/>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investment purchases (Note 6)</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(1,670)</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investment sale proceeds (Note 6)</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1,827</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1,646</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Property, plant and equipment expenditures (Note 7)</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expenditures (Note 7)</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(89)</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Proceeds from the sale of assets</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Proceeds from AWS Data Campus Sale and ERCOT Sale (Note 17)</w:t>
            </w:r>
          </w:p>
        </w:tc>
        <w:tc>
          <w:tcPr>
            <w:tcW w:w="340" w:type="dxa"/>
            <w:vAlign w:val="bottom"/>
            <w:shd w:val="clear" w:color="auto" w:fill="E1E1E2"/>
          </w:tcPr>
          <w:p>
            <w:pPr>
              <w:spacing w:after="0"/>
              <w:rPr>
                <w:sz w:val="17"/>
                <w:szCs w:val="17"/>
                <w:color w:val="auto"/>
              </w:rPr>
            </w:pPr>
          </w:p>
        </w:tc>
        <w:tc>
          <w:tcPr>
            <w:tcW w:w="12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1,398</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(156)</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1,225</w:t>
            </w:r>
          </w:p>
        </w:tc>
      </w:tr>
      <w:tr>
        <w:trPr>
          <w:trHeight w:val="236"/>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4"/>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 (Note 15)</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(956)</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Revolving credit facility borrowings (Note 10)</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Revolving credit facility repayments (Note 10)</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Debt repayments (Note 10)</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financing costs</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Cumulus Digital TLF repayment</w:t>
            </w: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Repurchase of noncontrolling interest</w:t>
            </w:r>
          </w:p>
        </w:tc>
        <w:tc>
          <w:tcPr>
            <w:tcW w:w="340" w:type="dxa"/>
            <w:vAlign w:val="bottom"/>
            <w:shd w:val="clear" w:color="auto" w:fill="E1E1E2"/>
          </w:tcPr>
          <w:p>
            <w:pPr>
              <w:spacing w:after="0"/>
              <w:rPr>
                <w:sz w:val="17"/>
                <w:szCs w:val="17"/>
                <w:color w:val="auto"/>
              </w:rPr>
            </w:pPr>
          </w:p>
        </w:tc>
        <w:tc>
          <w:tcPr>
            <w:tcW w:w="12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(1,240)</w:t>
            </w:r>
          </w:p>
        </w:tc>
      </w:tr>
      <w:tr>
        <w:trPr>
          <w:trHeight w:val="19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 and cash equivalents</w:t>
            </w: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132</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Beginning of period cash and cash equivalents and restricted cash and cash equivalents</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365</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r>
      <w:tr>
        <w:trPr>
          <w:trHeight w:val="219"/>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End of period cash and cash equivalents and restricted cash and cash equivalents</w:t>
            </w: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497</w:t>
            </w:r>
          </w:p>
        </w:tc>
        <w:tc>
          <w:tcPr>
            <w:tcW w:w="80" w:type="dxa"/>
            <w:vAlign w:val="bottom"/>
            <w:shd w:val="clear" w:color="auto" w:fill="E1E1E2"/>
          </w:tcPr>
          <w:p>
            <w:pPr>
              <w:spacing w:after="0"/>
              <w:rPr>
                <w:sz w:val="19"/>
                <w:szCs w:val="19"/>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1,132</w:t>
            </w:r>
          </w:p>
        </w:tc>
      </w:tr>
      <w:tr>
        <w:trPr>
          <w:trHeight w:val="20"/>
        </w:trPr>
        <w:tc>
          <w:tcPr>
            <w:tcW w:w="8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16 for supplemental cash flow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11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controlling</w:t>
            </w: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rPr>
              <w:t>stock shares</w:t>
            </w: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vMerge w:val="restart"/>
          </w:tcPr>
          <w:p>
            <w:pPr>
              <w:spacing w:after="0"/>
              <w:rPr>
                <w:sz w:val="11"/>
                <w:szCs w:val="11"/>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rPr>
              <w:t>(a)</w:t>
            </w:r>
          </w:p>
        </w:tc>
        <w:tc>
          <w:tcPr>
            <w:tcW w:w="120" w:type="dxa"/>
            <w:vAlign w:val="bottom"/>
          </w:tcPr>
          <w:p>
            <w:pPr>
              <w:spacing w:after="0"/>
              <w:rPr>
                <w:sz w:val="11"/>
                <w:szCs w:val="11"/>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00" w:type="dxa"/>
            <w:vAlign w:val="bottom"/>
            <w:vMerge w:val="restart"/>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 (deficit)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Interest</w:t>
            </w:r>
          </w:p>
        </w:tc>
        <w:tc>
          <w:tcPr>
            <w:tcW w:w="100" w:type="dxa"/>
            <w:vAlign w:val="bottom"/>
            <w:vMerge w:val="restart"/>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2"/>
        </w:trPr>
        <w:tc>
          <w:tcPr>
            <w:tcW w:w="3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E1E1E2"/>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86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2024</w:t>
            </w:r>
          </w:p>
        </w:tc>
        <w:tc>
          <w:tcPr>
            <w:tcW w:w="1080" w:type="dxa"/>
            <w:vAlign w:val="bottom"/>
            <w:shd w:val="clear" w:color="auto" w:fill="E1E1E2"/>
          </w:tcPr>
          <w:p>
            <w:pPr>
              <w:jc w:val="right"/>
              <w:ind w:right="10"/>
              <w:spacing w:after="0"/>
              <w:rPr>
                <w:sz w:val="20"/>
                <w:szCs w:val="20"/>
                <w:color w:val="auto"/>
              </w:rPr>
            </w:pPr>
            <w:r>
              <w:rPr>
                <w:rFonts w:ascii="Arial" w:cs="Arial" w:eastAsia="Arial" w:hAnsi="Arial"/>
                <w:sz w:val="14"/>
                <w:szCs w:val="14"/>
                <w:b w:val="1"/>
                <w:bCs w:val="1"/>
                <w:color w:val="auto"/>
              </w:rPr>
              <w:t>45,962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1,387</w:t>
            </w:r>
          </w:p>
        </w:tc>
        <w:tc>
          <w:tcPr>
            <w:tcW w:w="0" w:type="dxa"/>
            <w:vAlign w:val="bottom"/>
          </w:tcPr>
          <w:p>
            <w:pPr>
              <w:spacing w:after="0"/>
              <w:rPr>
                <w:sz w:val="1"/>
                <w:szCs w:val="1"/>
                <w:color w:val="auto"/>
              </w:rPr>
            </w:pPr>
          </w:p>
        </w:tc>
      </w:tr>
      <w:tr>
        <w:trPr>
          <w:trHeight w:val="198"/>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80" w:type="dxa"/>
            <w:vAlign w:val="bottom"/>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33"/>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1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20"/>
                <w:szCs w:val="20"/>
                <w:color w:val="auto"/>
              </w:rPr>
            </w:pPr>
          </w:p>
        </w:tc>
        <w:tc>
          <w:tcPr>
            <w:tcW w:w="120" w:type="dxa"/>
            <w:vAlign w:val="bottom"/>
            <w:shd w:val="clear" w:color="auto" w:fill="E1E1E2"/>
          </w:tcPr>
          <w:p>
            <w:pPr>
              <w:spacing w:after="0"/>
              <w:rPr>
                <w:sz w:val="20"/>
                <w:szCs w:val="20"/>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20"/>
                <w:szCs w:val="20"/>
                <w:color w:val="auto"/>
              </w:rPr>
            </w:pPr>
          </w:p>
        </w:tc>
        <w:tc>
          <w:tcPr>
            <w:tcW w:w="120" w:type="dxa"/>
            <w:vAlign w:val="bottom"/>
            <w:shd w:val="clear" w:color="auto" w:fill="E1E1E2"/>
          </w:tcPr>
          <w:p>
            <w:pPr>
              <w:spacing w:after="0"/>
              <w:rPr>
                <w:sz w:val="20"/>
                <w:szCs w:val="20"/>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1E1E2"/>
          </w:tcPr>
          <w:p>
            <w:pPr>
              <w:spacing w:after="0"/>
              <w:rPr>
                <w:sz w:val="20"/>
                <w:szCs w:val="20"/>
                <w:color w:val="auto"/>
              </w:rPr>
            </w:pPr>
          </w:p>
        </w:tc>
        <w:tc>
          <w:tcPr>
            <w:tcW w:w="120" w:type="dxa"/>
            <w:vAlign w:val="bottom"/>
            <w:shd w:val="clear" w:color="auto" w:fill="E1E1E2"/>
          </w:tcPr>
          <w:p>
            <w:pPr>
              <w:spacing w:after="0"/>
              <w:rPr>
                <w:sz w:val="20"/>
                <w:szCs w:val="20"/>
                <w:color w:val="auto"/>
              </w:rPr>
            </w:pP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20"/>
                <w:szCs w:val="20"/>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Borders>
              <w:bottom w:val="single" w:sz="8" w:color="E1E1E2"/>
            </w:tcBorders>
            <w:shd w:val="clear" w:color="auto" w:fill="E1E1E2"/>
          </w:tcPr>
          <w:p>
            <w:pPr>
              <w:spacing w:after="0"/>
              <w:rPr>
                <w:sz w:val="19"/>
                <w:szCs w:val="19"/>
                <w:color w:val="auto"/>
              </w:rPr>
            </w:pPr>
          </w:p>
        </w:tc>
        <w:tc>
          <w:tcPr>
            <w:tcW w:w="1080" w:type="dxa"/>
            <w:vAlign w:val="bottom"/>
            <w:tcBorders>
              <w:bottom w:val="single" w:sz="8" w:color="auto"/>
            </w:tcBorders>
            <w:shd w:val="clear" w:color="auto" w:fill="E1E1E2"/>
          </w:tcPr>
          <w:p>
            <w:pPr>
              <w:jc w:val="right"/>
              <w:ind w:right="10"/>
              <w:spacing w:after="0"/>
              <w:rPr>
                <w:sz w:val="20"/>
                <w:szCs w:val="20"/>
                <w:color w:val="auto"/>
              </w:rPr>
            </w:pPr>
            <w:r>
              <w:rPr>
                <w:rFonts w:ascii="Arial" w:cs="Arial" w:eastAsia="Arial" w:hAnsi="Arial"/>
                <w:sz w:val="14"/>
                <w:szCs w:val="14"/>
                <w:b w:val="1"/>
                <w:bCs w:val="1"/>
                <w:color w:val="auto"/>
              </w:rPr>
              <w:t>45,510</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1,718</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(528)</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1E1E2"/>
          </w:tcPr>
          <w:p>
            <w:pPr>
              <w:ind w:left="7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1,180</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8"/>
                <w:szCs w:val="18"/>
                <w:color w:val="auto"/>
                <w:vertAlign w:val="superscript"/>
              </w:rPr>
              <w:t>(b)</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149</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5"/>
        </w:trPr>
        <w:tc>
          <w:tcPr>
            <w:tcW w:w="39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Borders>
              <w:bottom w:val="single" w:sz="8" w:color="E1E1E2"/>
            </w:tcBorders>
            <w:shd w:val="clear" w:color="auto" w:fill="E1E1E2"/>
          </w:tcPr>
          <w:p>
            <w:pPr>
              <w:spacing w:after="0"/>
              <w:rPr>
                <w:sz w:val="18"/>
                <w:szCs w:val="18"/>
                <w:color w:val="auto"/>
              </w:rPr>
            </w:pPr>
          </w:p>
        </w:tc>
        <w:tc>
          <w:tcPr>
            <w:tcW w:w="1080" w:type="dxa"/>
            <w:vAlign w:val="bottom"/>
            <w:tcBorders>
              <w:bottom w:val="single" w:sz="8" w:color="auto"/>
            </w:tcBorders>
            <w:shd w:val="clear" w:color="auto" w:fill="E1E1E2"/>
          </w:tcPr>
          <w:p>
            <w:pPr>
              <w:jc w:val="right"/>
              <w:ind w:right="10"/>
              <w:spacing w:after="0"/>
              <w:rPr>
                <w:sz w:val="20"/>
                <w:szCs w:val="20"/>
                <w:color w:val="auto"/>
              </w:rPr>
            </w:pPr>
            <w:r>
              <w:rPr>
                <w:rFonts w:ascii="Arial" w:cs="Arial" w:eastAsia="Arial" w:hAnsi="Arial"/>
                <w:sz w:val="14"/>
                <w:szCs w:val="14"/>
                <w:b w:val="1"/>
                <w:bCs w:val="1"/>
                <w:color w:val="auto"/>
              </w:rPr>
              <w:t>45,659</w:t>
            </w:r>
          </w:p>
        </w:tc>
        <w:tc>
          <w:tcPr>
            <w:tcW w:w="8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1,711</w:t>
            </w:r>
          </w:p>
        </w:tc>
        <w:tc>
          <w:tcPr>
            <w:tcW w:w="10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auto"/>
            </w:tcBorders>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(456)</w:t>
            </w:r>
          </w:p>
        </w:tc>
        <w:tc>
          <w:tcPr>
            <w:tcW w:w="10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8"/>
                <w:szCs w:val="18"/>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1E1E2"/>
          </w:tcPr>
          <w:p>
            <w:pPr>
              <w:ind w:left="7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8"/>
                <w:szCs w:val="18"/>
                <w:color w:val="auto"/>
              </w:rPr>
            </w:pPr>
          </w:p>
        </w:tc>
        <w:tc>
          <w:tcPr>
            <w:tcW w:w="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1,246</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Employee incentive plans</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9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ind w:right="10"/>
              <w:spacing w:after="0"/>
              <w:rPr>
                <w:sz w:val="20"/>
                <w:szCs w:val="20"/>
                <w:color w:val="auto"/>
              </w:rPr>
            </w:pPr>
            <w:r>
              <w:rPr>
                <w:rFonts w:ascii="Arial" w:cs="Arial" w:eastAsia="Arial" w:hAnsi="Arial"/>
                <w:sz w:val="14"/>
                <w:szCs w:val="14"/>
                <w:color w:val="auto"/>
              </w:rPr>
              <w:t>15</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5"/>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2025</w:t>
            </w:r>
          </w:p>
        </w:tc>
        <w:tc>
          <w:tcPr>
            <w:tcW w:w="1080" w:type="dxa"/>
            <w:vAlign w:val="bottom"/>
          </w:tcPr>
          <w:p>
            <w:pPr>
              <w:jc w:val="right"/>
              <w:ind w:right="10"/>
              <w:spacing w:after="0"/>
              <w:rPr>
                <w:sz w:val="20"/>
                <w:szCs w:val="20"/>
                <w:color w:val="auto"/>
              </w:rPr>
            </w:pPr>
            <w:r>
              <w:rPr>
                <w:rFonts w:ascii="Arial" w:cs="Arial" w:eastAsia="Arial" w:hAnsi="Arial"/>
                <w:sz w:val="14"/>
                <w:szCs w:val="14"/>
                <w:b w:val="1"/>
                <w:bCs w:val="1"/>
                <w:color w:val="auto"/>
              </w:rPr>
              <w:t>45,688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1,726</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ind w:left="7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1,469</w:t>
            </w:r>
          </w:p>
        </w:tc>
        <w:tc>
          <w:tcPr>
            <w:tcW w:w="0" w:type="dxa"/>
            <w:vAlign w:val="bottom"/>
          </w:tcPr>
          <w:p>
            <w:pPr>
              <w:spacing w:after="0"/>
              <w:rPr>
                <w:sz w:val="1"/>
                <w:szCs w:val="1"/>
                <w:color w:val="auto"/>
              </w:rPr>
            </w:pPr>
          </w:p>
        </w:tc>
      </w:tr>
      <w:tr>
        <w:trPr>
          <w:trHeight w:val="22"/>
        </w:trPr>
        <w:tc>
          <w:tcPr>
            <w:tcW w:w="3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3" w:lineRule="exact"/>
        <w:rPr>
          <w:rFonts w:ascii="Arial" w:cs="Arial" w:eastAsia="Arial" w:hAnsi="Arial"/>
          <w:sz w:val="13"/>
          <w:szCs w:val="13"/>
          <w:color w:val="auto"/>
        </w:rPr>
      </w:pPr>
    </w:p>
    <w:p>
      <w:pPr>
        <w:ind w:left="340" w:right="360" w:hanging="332"/>
        <w:spacing w:after="0" w:line="267" w:lineRule="auto"/>
        <w:tabs>
          <w:tab w:leader="none" w:pos="332"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cash payments for tax withholding obligations related to vesting of stock-based awards during the three months ended June 30, 2025 and September 30, 2025 of $23 million and $3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4"/>
                <w:szCs w:val="4"/>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stock shares</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80" w:type="dxa"/>
            <w:vAlign w:val="bottom"/>
            <w:vMerge w:val="restart"/>
          </w:tcPr>
          <w:p>
            <w:pPr>
              <w:spacing w:after="0"/>
              <w:rPr>
                <w:sz w:val="8"/>
                <w:szCs w:val="8"/>
                <w:color w:val="auto"/>
              </w:rPr>
            </w:pPr>
          </w:p>
        </w:tc>
        <w:tc>
          <w:tcPr>
            <w:tcW w:w="118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rPr>
              <w:t>(a)</w:t>
            </w:r>
          </w:p>
        </w:tc>
        <w:tc>
          <w:tcPr>
            <w:tcW w:w="120" w:type="dxa"/>
            <w:vAlign w:val="bottom"/>
          </w:tcPr>
          <w:p>
            <w:pPr>
              <w:spacing w:after="0"/>
              <w:rPr>
                <w:sz w:val="8"/>
                <w:szCs w:val="8"/>
                <w:color w:val="auto"/>
              </w:rPr>
            </w:pPr>
          </w:p>
        </w:tc>
        <w:tc>
          <w:tcPr>
            <w:tcW w:w="840" w:type="dxa"/>
            <w:vAlign w:val="bottom"/>
            <w:vMerge w:val="restart"/>
          </w:tcPr>
          <w:p>
            <w:pPr>
              <w:jc w:val="right"/>
              <w:ind w:right="16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vMerge w:val="restart"/>
          </w:tcPr>
          <w:p>
            <w:pPr>
              <w:spacing w:after="0"/>
              <w:rPr>
                <w:sz w:val="8"/>
                <w:szCs w:val="8"/>
                <w:color w:val="auto"/>
              </w:rPr>
            </w:pPr>
          </w:p>
        </w:tc>
        <w:tc>
          <w:tcPr>
            <w:tcW w:w="12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earnings (deficit)</w:t>
            </w:r>
          </w:p>
        </w:tc>
        <w:tc>
          <w:tcPr>
            <w:tcW w:w="14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48"/>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4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ind w:right="128"/>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54"/>
        </w:trPr>
        <w:tc>
          <w:tcPr>
            <w:tcW w:w="374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E1E1E2"/>
            </w:tcBorders>
            <w:vMerge w:val="continue"/>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E1E1E2"/>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220" w:type="dxa"/>
            <w:vAlign w:val="bottom"/>
            <w:tcBorders>
              <w:bottom w:val="single" w:sz="8" w:color="auto"/>
            </w:tcBorders>
            <w:gridSpan w:val="2"/>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2023</w:t>
            </w:r>
          </w:p>
        </w:tc>
        <w:tc>
          <w:tcPr>
            <w:tcW w:w="1040" w:type="dxa"/>
            <w:vAlign w:val="bottom"/>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59,029</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2,346</w:t>
            </w:r>
          </w:p>
        </w:tc>
        <w:tc>
          <w:tcPr>
            <w:tcW w:w="14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134</w:t>
            </w:r>
          </w:p>
        </w:tc>
        <w:tc>
          <w:tcPr>
            <w:tcW w:w="14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77</w:t>
            </w:r>
          </w:p>
        </w:tc>
        <w:tc>
          <w:tcPr>
            <w:tcW w:w="14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2,534</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8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40" w:type="dxa"/>
            <w:vAlign w:val="bottom"/>
          </w:tcPr>
          <w:p>
            <w:pPr>
              <w:jc w:val="center"/>
              <w:ind w:left="569"/>
              <w:spacing w:after="0"/>
              <w:rPr>
                <w:sz w:val="20"/>
                <w:szCs w:val="20"/>
                <w:color w:val="auto"/>
              </w:rPr>
            </w:pPr>
            <w:r>
              <w:rPr>
                <w:rFonts w:ascii="Arial" w:cs="Arial" w:eastAsia="Arial" w:hAnsi="Arial"/>
                <w:sz w:val="14"/>
                <w:szCs w:val="14"/>
                <w:color w:val="auto"/>
                <w:w w:val="97"/>
              </w:rPr>
              <w:t>(493)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Purchase of noncontrolling interest </w:t>
            </w:r>
            <w:r>
              <w:rPr>
                <w:rFonts w:ascii="Arial" w:cs="Arial" w:eastAsia="Arial" w:hAnsi="Arial"/>
                <w:sz w:val="18"/>
                <w:szCs w:val="18"/>
                <w:color w:val="auto"/>
                <w:vertAlign w:val="superscript"/>
              </w:rPr>
              <w:t>(b)</w:t>
            </w:r>
          </w:p>
        </w:tc>
        <w:tc>
          <w:tcPr>
            <w:tcW w:w="118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E1E1E2"/>
          </w:tcPr>
          <w:p>
            <w:pPr>
              <w:spacing w:after="0"/>
              <w:rPr>
                <w:sz w:val="19"/>
                <w:szCs w:val="19"/>
                <w:color w:val="auto"/>
              </w:rPr>
            </w:pPr>
          </w:p>
        </w:tc>
        <w:tc>
          <w:tcPr>
            <w:tcW w:w="140" w:type="dxa"/>
            <w:vAlign w:val="bottom"/>
            <w:shd w:val="clear" w:color="auto" w:fill="E1E1E2"/>
          </w:tcPr>
          <w:p>
            <w:pPr>
              <w:spacing w:after="0"/>
              <w:rPr>
                <w:sz w:val="19"/>
                <w:szCs w:val="19"/>
                <w:color w:val="auto"/>
              </w:rPr>
            </w:pPr>
          </w:p>
        </w:tc>
        <w:tc>
          <w:tcPr>
            <w:tcW w:w="12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9"/>
                <w:szCs w:val="19"/>
                <w:color w:val="auto"/>
              </w:rPr>
            </w:pPr>
          </w:p>
        </w:tc>
        <w:tc>
          <w:tcPr>
            <w:tcW w:w="6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E1E1E2"/>
          </w:tcPr>
          <w:p>
            <w:pPr>
              <w:spacing w:after="0"/>
              <w:rPr>
                <w:sz w:val="19"/>
                <w:szCs w:val="19"/>
                <w:color w:val="auto"/>
              </w:rPr>
            </w:pPr>
          </w:p>
        </w:tc>
        <w:tc>
          <w:tcPr>
            <w:tcW w:w="160" w:type="dxa"/>
            <w:vAlign w:val="bottom"/>
            <w:shd w:val="clear" w:color="auto" w:fill="E1E1E2"/>
          </w:tcPr>
          <w:p>
            <w:pPr>
              <w:spacing w:after="0"/>
              <w:rPr>
                <w:sz w:val="19"/>
                <w:szCs w:val="19"/>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Cash distributions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(c)</w:t>
            </w:r>
          </w:p>
        </w:tc>
        <w:tc>
          <w:tcPr>
            <w:tcW w:w="118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8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9"/>
        </w:trPr>
        <w:tc>
          <w:tcPr>
            <w:tcW w:w="3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March 31, 2024</w:t>
            </w:r>
          </w:p>
        </w:tc>
        <w:tc>
          <w:tcPr>
            <w:tcW w:w="80" w:type="dxa"/>
            <w:vAlign w:val="bottom"/>
            <w:tcBorders>
              <w:bottom w:val="single" w:sz="8" w:color="E1E1E2"/>
            </w:tcBorders>
            <w:shd w:val="clear" w:color="auto" w:fill="E1E1E2"/>
          </w:tcPr>
          <w:p>
            <w:pPr>
              <w:spacing w:after="0"/>
              <w:rPr>
                <w:sz w:val="19"/>
                <w:szCs w:val="19"/>
                <w:color w:val="auto"/>
              </w:rPr>
            </w:pPr>
          </w:p>
        </w:tc>
        <w:tc>
          <w:tcPr>
            <w:tcW w:w="1040" w:type="dxa"/>
            <w:vAlign w:val="bottom"/>
            <w:tcBorders>
              <w:bottom w:val="single" w:sz="8" w:color="auto"/>
            </w:tcBorders>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58,536</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2,339</w:t>
            </w:r>
          </w:p>
        </w:tc>
        <w:tc>
          <w:tcPr>
            <w:tcW w:w="14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428</w:t>
            </w:r>
          </w:p>
        </w:tc>
        <w:tc>
          <w:tcPr>
            <w:tcW w:w="14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(27)</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(39)</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65</w:t>
            </w:r>
          </w:p>
        </w:tc>
        <w:tc>
          <w:tcPr>
            <w:tcW w:w="14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2,766</w:t>
            </w:r>
          </w:p>
        </w:tc>
        <w:tc>
          <w:tcPr>
            <w:tcW w:w="0" w:type="dxa"/>
            <w:vAlign w:val="bottom"/>
          </w:tcPr>
          <w:p>
            <w:pPr>
              <w:spacing w:after="0"/>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80" w:type="dxa"/>
            <w:vAlign w:val="bottom"/>
            <w:gridSpan w:val="2"/>
          </w:tcPr>
          <w:p>
            <w:pPr>
              <w:jc w:val="center"/>
              <w:ind w:left="409"/>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center"/>
              <w:ind w:left="14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80" w:type="dxa"/>
            <w:vAlign w:val="bottom"/>
            <w:gridSpan w:val="2"/>
            <w:shd w:val="clear" w:color="auto" w:fill="E1E1E2"/>
          </w:tcPr>
          <w:p>
            <w:pPr>
              <w:jc w:val="center"/>
              <w:ind w:left="40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center"/>
              <w:ind w:left="44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center"/>
              <w:ind w:left="14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40" w:type="dxa"/>
            <w:vAlign w:val="bottom"/>
          </w:tcPr>
          <w:p>
            <w:pPr>
              <w:jc w:val="right"/>
              <w:spacing w:after="0"/>
              <w:rPr>
                <w:sz w:val="20"/>
                <w:szCs w:val="20"/>
                <w:color w:val="auto"/>
              </w:rPr>
            </w:pPr>
            <w:r>
              <w:rPr>
                <w:rFonts w:ascii="Arial" w:cs="Arial" w:eastAsia="Arial" w:hAnsi="Arial"/>
                <w:sz w:val="14"/>
                <w:szCs w:val="14"/>
                <w:color w:val="auto"/>
              </w:rPr>
              <w:t>(5,281)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center"/>
              <w:ind w:left="44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center"/>
              <w:ind w:left="308"/>
              <w:spacing w:after="0"/>
              <w:rPr>
                <w:sz w:val="20"/>
                <w:szCs w:val="20"/>
                <w:color w:val="auto"/>
              </w:rPr>
            </w:pPr>
            <w:r>
              <w:rPr>
                <w:rFonts w:ascii="Arial" w:cs="Arial" w:eastAsia="Arial" w:hAnsi="Arial"/>
                <w:sz w:val="14"/>
                <w:szCs w:val="14"/>
                <w:color w:val="auto"/>
                <w:w w:val="97"/>
              </w:rPr>
              <w:t>(622)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180" w:type="dxa"/>
            <w:vAlign w:val="bottom"/>
            <w:gridSpan w:val="2"/>
            <w:shd w:val="clear" w:color="auto" w:fill="E1E1E2"/>
          </w:tcPr>
          <w:p>
            <w:pPr>
              <w:jc w:val="center"/>
              <w:ind w:left="40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4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080" w:type="dxa"/>
            <w:vAlign w:val="bottom"/>
            <w:shd w:val="clear" w:color="auto" w:fill="E1E1E2"/>
          </w:tcPr>
          <w:p>
            <w:pPr>
              <w:jc w:val="center"/>
              <w:ind w:left="588"/>
              <w:spacing w:after="0"/>
              <w:rPr>
                <w:sz w:val="20"/>
                <w:szCs w:val="20"/>
                <w:color w:val="auto"/>
              </w:rPr>
            </w:pPr>
            <w:r>
              <w:rPr>
                <w:rFonts w:ascii="Arial" w:cs="Arial" w:eastAsia="Arial" w:hAnsi="Arial"/>
                <w:sz w:val="14"/>
                <w:szCs w:val="14"/>
                <w:color w:val="auto"/>
              </w:rPr>
              <w:t>(434)</w:t>
            </w:r>
          </w:p>
        </w:tc>
        <w:tc>
          <w:tcPr>
            <w:tcW w:w="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gridSpan w:val="2"/>
            <w:shd w:val="clear" w:color="auto" w:fill="E1E1E2"/>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661</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1180" w:type="dxa"/>
            <w:vAlign w:val="bottom"/>
            <w:gridSpan w:val="2"/>
          </w:tcPr>
          <w:p>
            <w:pPr>
              <w:jc w:val="center"/>
              <w:ind w:left="409"/>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left="44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center"/>
              <w:ind w:left="14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(c)</w:t>
            </w:r>
          </w:p>
        </w:tc>
        <w:tc>
          <w:tcPr>
            <w:tcW w:w="1180" w:type="dxa"/>
            <w:vAlign w:val="bottom"/>
            <w:gridSpan w:val="2"/>
            <w:shd w:val="clear" w:color="auto" w:fill="E1E1E2"/>
          </w:tcPr>
          <w:p>
            <w:pPr>
              <w:jc w:val="center"/>
              <w:ind w:left="40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center"/>
              <w:ind w:left="44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1E1E2"/>
          </w:tcPr>
          <w:p>
            <w:pPr>
              <w:spacing w:after="0"/>
              <w:rPr>
                <w:sz w:val="17"/>
                <w:szCs w:val="17"/>
                <w:color w:val="auto"/>
              </w:rPr>
            </w:pPr>
          </w:p>
        </w:tc>
        <w:tc>
          <w:tcPr>
            <w:tcW w:w="640" w:type="dxa"/>
            <w:vAlign w:val="bottom"/>
            <w:gridSpan w:val="2"/>
            <w:shd w:val="clear" w:color="auto" w:fill="E1E1E2"/>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center"/>
              <w:ind w:left="14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8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center"/>
              <w:ind w:left="549"/>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June 30, 2024</w:t>
            </w:r>
          </w:p>
        </w:tc>
        <w:tc>
          <w:tcPr>
            <w:tcW w:w="1040" w:type="dxa"/>
            <w:vAlign w:val="bottom"/>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53,255</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2,092</w:t>
            </w:r>
          </w:p>
        </w:tc>
        <w:tc>
          <w:tcPr>
            <w:tcW w:w="14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448</w:t>
            </w:r>
          </w:p>
        </w:tc>
        <w:tc>
          <w:tcPr>
            <w:tcW w:w="14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61</w:t>
            </w:r>
          </w:p>
        </w:tc>
        <w:tc>
          <w:tcPr>
            <w:tcW w:w="14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2,572</w:t>
            </w:r>
          </w:p>
        </w:tc>
        <w:tc>
          <w:tcPr>
            <w:tcW w:w="0" w:type="dxa"/>
            <w:vAlign w:val="bottom"/>
          </w:tcPr>
          <w:p>
            <w:pPr>
              <w:spacing w:after="0"/>
              <w:rPr>
                <w:sz w:val="1"/>
                <w:szCs w:val="1"/>
                <w:color w:val="auto"/>
              </w:rPr>
            </w:pPr>
          </w:p>
        </w:tc>
      </w:tr>
      <w:tr>
        <w:trPr>
          <w:trHeight w:val="21"/>
        </w:trPr>
        <w:tc>
          <w:tcPr>
            <w:tcW w:w="3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18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168</w:t>
            </w:r>
          </w:p>
        </w:tc>
        <w:tc>
          <w:tcPr>
            <w:tcW w:w="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9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(loss)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10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(2,560)</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jc w:val="center"/>
              <w:ind w:left="308"/>
              <w:spacing w:after="0"/>
              <w:rPr>
                <w:sz w:val="20"/>
                <w:szCs w:val="20"/>
                <w:color w:val="auto"/>
              </w:rPr>
            </w:pPr>
            <w:r>
              <w:rPr>
                <w:rFonts w:ascii="Arial" w:cs="Arial" w:eastAsia="Arial" w:hAnsi="Arial"/>
                <w:sz w:val="14"/>
                <w:szCs w:val="14"/>
                <w:color w:val="auto"/>
                <w:w w:val="97"/>
              </w:rPr>
              <w:t>(304)</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Retirement of treasury stock</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left="588"/>
              <w:spacing w:after="0"/>
              <w:rPr>
                <w:sz w:val="20"/>
                <w:szCs w:val="20"/>
                <w:color w:val="auto"/>
              </w:rPr>
            </w:pPr>
            <w:r>
              <w:rPr>
                <w:rFonts w:ascii="Arial" w:cs="Arial" w:eastAsia="Arial" w:hAnsi="Arial"/>
                <w:sz w:val="14"/>
                <w:szCs w:val="14"/>
                <w:color w:val="auto"/>
              </w:rPr>
              <w:t>(204)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118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Exercise of warrants</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(c)</w:t>
            </w:r>
          </w:p>
        </w:tc>
        <w:tc>
          <w:tcPr>
            <w:tcW w:w="118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8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40" w:type="dxa"/>
            <w:vAlign w:val="bottom"/>
            <w:shd w:val="clear" w:color="auto" w:fill="E1E1E2"/>
          </w:tcPr>
          <w:p>
            <w:pPr>
              <w:jc w:val="right"/>
              <w:ind w:right="9"/>
              <w:spacing w:after="0"/>
              <w:rPr>
                <w:sz w:val="20"/>
                <w:szCs w:val="20"/>
                <w:color w:val="auto"/>
              </w:rPr>
            </w:pPr>
            <w:r>
              <w:rPr>
                <w:rFonts w:ascii="Arial" w:cs="Arial" w:eastAsia="Arial" w:hAnsi="Arial"/>
                <w:sz w:val="14"/>
                <w:szCs w:val="14"/>
                <w:b w:val="1"/>
                <w:bCs w:val="1"/>
                <w:color w:val="auto"/>
              </w:rPr>
              <w:t>50,855</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1,980</w:t>
            </w:r>
          </w:p>
        </w:tc>
        <w:tc>
          <w:tcPr>
            <w:tcW w:w="14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412</w:t>
            </w:r>
          </w:p>
        </w:tc>
        <w:tc>
          <w:tcPr>
            <w:tcW w:w="14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58</w:t>
            </w:r>
          </w:p>
        </w:tc>
        <w:tc>
          <w:tcPr>
            <w:tcW w:w="14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2,445</w:t>
            </w:r>
          </w:p>
        </w:tc>
        <w:tc>
          <w:tcPr>
            <w:tcW w:w="0" w:type="dxa"/>
            <w:vAlign w:val="bottom"/>
          </w:tcPr>
          <w:p>
            <w:pPr>
              <w:spacing w:after="0"/>
              <w:rPr>
                <w:sz w:val="1"/>
                <w:szCs w:val="1"/>
                <w:color w:val="auto"/>
              </w:rPr>
            </w:pPr>
          </w:p>
        </w:tc>
      </w:tr>
      <w:tr>
        <w:trPr>
          <w:trHeight w:val="20"/>
        </w:trPr>
        <w:tc>
          <w:tcPr>
            <w:tcW w:w="3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3" w:lineRule="exact"/>
        <w:rPr>
          <w:rFonts w:ascii="Arial" w:cs="Arial" w:eastAsia="Arial" w:hAnsi="Arial"/>
          <w:sz w:val="13"/>
          <w:szCs w:val="13"/>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Relates to the purchase of remaining equity in Cumulus Digital held by Orion Energy Partners and two former member of Talen senior management.</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Relates to distributions of Bitcoin to TeraWulf.</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INTERIM FINANCIAL STATEMENTS</w:t>
      </w:r>
    </w:p>
    <w:p>
      <w:pPr>
        <w:spacing w:after="0" w:line="181"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color w:val="auto"/>
        </w:rPr>
        <w:t>Capitalized terms and abbreviations appearing in these notes to the Interim Financial Statements are defined in the glossary. Dollars are in millions, unless otherwise noted.</w:t>
      </w:r>
    </w:p>
    <w:p>
      <w:pPr>
        <w:spacing w:after="0" w:line="115"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“TEC” refers to Talen Energy Corporation. “TES” refers to Talen Energy Supply, LLC. The terms “Talen,” the “Company,” “we,” “us,” and “our” refer to TEC and its consolidated subsidiaries (including TES), unless the context clearly indicates otherwise.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Business, Basis of Presentation, and Summary of Significant Accounting Policies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Organization and Operations</w:t>
      </w:r>
    </w:p>
    <w:p>
      <w:pPr>
        <w:spacing w:after="0" w:line="165"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Talen is a leading independent power producer and energy infrastructure company dedicated to powering the future. We own and operate approximately 10.3 gigawatts of power infrastructure in the United States, including 2.2 gigawatts of nuclear power and a significant dispatchable generation fleet. We produce and sell electricity, capacity, and ancillary services into wholesale U.S. power markets, with our generation fleet principally located in the Mid-Atlantic and Montana. Talen is headquartered in Houston, Texas.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These Interim Financial Statements, which are prepared in accordance with GAAP and pursuant to the rules and regulations of the U.S. Securities and Exchange Commission (the “SEC”) for Quarterly Reports on Form 10-Q, include: (i) the accounts of all controlled subsidiaries; (ii) elimination adjustments for intercompany transactions between controlled subsidiaries; (iii) any undivided interests in jointly owned facilities consolidated on a proportionate basis; and</w:t>
      </w:r>
    </w:p>
    <w:p>
      <w:pPr>
        <w:spacing w:after="0" w:line="1" w:lineRule="exact"/>
        <w:rPr>
          <w:sz w:val="20"/>
          <w:szCs w:val="20"/>
          <w:color w:val="auto"/>
        </w:rPr>
      </w:pPr>
    </w:p>
    <w:p>
      <w:pPr>
        <w:ind w:right="260" w:firstLine="8"/>
        <w:spacing w:after="0" w:line="260" w:lineRule="auto"/>
        <w:tabs>
          <w:tab w:leader="none" w:pos="27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adjustments considered necessary for a fair statement of the information set forth. All adjustments are of a normal recurring nature except as otherwise disclosed. Certain information and note disclosures have been condensed or omitted from the Interim Financial Statements in accordance with GAAP. These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various other factors.</w:t>
      </w:r>
    </w:p>
    <w:p>
      <w:pPr>
        <w:spacing w:after="0" w:line="121" w:lineRule="exact"/>
        <w:rPr>
          <w:sz w:val="20"/>
          <w:szCs w:val="20"/>
          <w:color w:val="auto"/>
        </w:rPr>
      </w:pPr>
    </w:p>
    <w:p>
      <w:pPr>
        <w:ind w:right="660" w:firstLine="324"/>
        <w:spacing w:after="0" w:line="304"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amounts in the prior period financial statements were reclassified to conform to the current period’s presentation.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reclassifications did not affect operating income, net income, total assets, total liabilities, net equity, or cash flows.</w:t>
      </w:r>
    </w:p>
    <w:p>
      <w:pPr>
        <w:spacing w:after="0" w:line="87"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2 to the Annual Financial Statements for additional information on significant accounting policies.</w:t>
      </w:r>
    </w:p>
    <w:p>
      <w:pPr>
        <w:spacing w:after="0" w:line="167" w:lineRule="exact"/>
        <w:rPr>
          <w:sz w:val="20"/>
          <w:szCs w:val="20"/>
          <w:color w:val="auto"/>
        </w:rPr>
      </w:pPr>
    </w:p>
    <w:p>
      <w:pPr>
        <w:ind w:left="340" w:right="6040" w:hanging="332"/>
        <w:spacing w:after="0" w:line="466" w:lineRule="auto"/>
        <w:tabs>
          <w:tab w:leader="none" w:pos="19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Risk Management, Derivative Instruments and Hedging Activities </w:t>
      </w:r>
      <w:r>
        <w:rPr>
          <w:rFonts w:ascii="Arial" w:cs="Arial" w:eastAsia="Arial" w:hAnsi="Arial"/>
          <w:sz w:val="16"/>
          <w:szCs w:val="16"/>
          <w:b w:val="1"/>
          <w:bCs w:val="1"/>
          <w:i w:val="1"/>
          <w:iCs w:val="1"/>
          <w:color w:val="auto"/>
        </w:rPr>
        <w:t>Risk Management Objectives</w:t>
      </w:r>
    </w:p>
    <w:p>
      <w:pPr>
        <w:spacing w:after="0" w:line="1"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We are exposed to risks arising from our business, including but not limited to market and commodity price risk, credit and liquidity risk, and interest rate risk. The hedging strategies deployed by our commercial and treasury organizations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37" w:lineRule="exact"/>
        <w:rPr>
          <w:sz w:val="20"/>
          <w:szCs w:val="20"/>
          <w:color w:val="auto"/>
        </w:rPr>
      </w:pPr>
    </w:p>
    <w:p>
      <w:pPr>
        <w:ind w:right="640" w:firstLine="324"/>
        <w:spacing w:after="0" w:line="286" w:lineRule="auto"/>
        <w:rPr>
          <w:sz w:val="20"/>
          <w:szCs w:val="20"/>
          <w:color w:val="auto"/>
        </w:rPr>
      </w:pPr>
      <w:r>
        <w:rPr>
          <w:rFonts w:ascii="Arial" w:cs="Arial" w:eastAsia="Arial" w:hAnsi="Arial"/>
          <w:sz w:val="16"/>
          <w:szCs w:val="16"/>
          <w:color w:val="auto"/>
        </w:rPr>
        <w:t>The Board of Directors, including the risk committee, and management have established procedures to monitor, measure, and manage hedging activities and credit risk in accordance with the risk policy.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i w:val="1"/>
          <w:iCs w:val="1"/>
          <w:color w:val="auto"/>
        </w:rPr>
        <w:t xml:space="preserve">Market and Commodity Price Risk. </w:t>
      </w:r>
      <w:r>
        <w:rPr>
          <w:rFonts w:ascii="Arial" w:cs="Arial" w:eastAsia="Arial" w:hAnsi="Arial"/>
          <w:sz w:val="16"/>
          <w:szCs w:val="16"/>
          <w:color w:val="auto"/>
        </w:rPr>
        <w:t>Volatility in the wholesale power markets provides uncertainty in the future earnings and cash flows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(v) market liquidity; and (vi) federal, regional, and state regulations.</w:t>
      </w:r>
    </w:p>
    <w:p>
      <w:pPr>
        <w:spacing w:after="0" w:line="155"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Open commodity purchase (sales) derivatives range in maturity through 2027. The net notional volumes of commodity derivatives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99"/>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9"/>
                <w:szCs w:val="9"/>
                <w:b w:val="1"/>
                <w:bCs w:val="1"/>
                <w:color w:val="auto"/>
              </w:rPr>
              <w:t>(a)</w:t>
            </w:r>
          </w:p>
        </w:tc>
      </w:tr>
      <w:tr>
        <w:trPr>
          <w:trHeight w:val="19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Power (MWh)</w:t>
            </w: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(48,334,123)</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(38,615,192)</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Natural gas (MMBtu)</w:t>
            </w:r>
          </w:p>
        </w:tc>
        <w:tc>
          <w:tcPr>
            <w:tcW w:w="1400" w:type="dxa"/>
            <w:vAlign w:val="bottom"/>
          </w:tcPr>
          <w:p>
            <w:pPr>
              <w:jc w:val="right"/>
              <w:spacing w:after="0"/>
              <w:rPr>
                <w:sz w:val="20"/>
                <w:szCs w:val="20"/>
                <w:color w:val="auto"/>
              </w:rPr>
            </w:pPr>
            <w:r>
              <w:rPr>
                <w:rFonts w:ascii="Arial" w:cs="Arial" w:eastAsia="Arial" w:hAnsi="Arial"/>
                <w:sz w:val="14"/>
                <w:szCs w:val="14"/>
                <w:color w:val="auto"/>
              </w:rPr>
              <w:t>121,803,853</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32,405,460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Emission allowances (tons)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100,000</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volumes may be different than the contractual volumes, as the probability that option contracts will be exercised is considered in the volumes displayed.</w:t>
      </w:r>
    </w:p>
    <w:p>
      <w:pPr>
        <w:spacing w:after="0" w:line="161"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Talen is exposed to interest rate risk from the possibility that changes in interest rates will affect future cash flows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Open interest rate derivatives mature in 2026 and 2029. The net notional volumes of open interest rate derivatives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(in millions)</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290</w:t>
            </w:r>
          </w:p>
        </w:tc>
      </w:tr>
    </w:tbl>
    <w:p>
      <w:pPr>
        <w:spacing w:after="0" w:line="229"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Credit risk, which is the risk of financial loss if a customer, counterparty, or financial institution is unable to perform or pay amounts due, is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cash and cash equivalents, restricted cash and cash equivalents, accounts receivable, and derivative instruments.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spacing w:after="0" w:line="136"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321" w:lineRule="exact"/>
        <w:rPr>
          <w:sz w:val="20"/>
          <w:szCs w:val="20"/>
          <w:color w:val="auto"/>
        </w:rPr>
      </w:pPr>
    </w:p>
    <w:p>
      <w:pPr>
        <w:ind w:right="200" w:firstLine="324"/>
        <w:spacing w:after="0" w:line="265" w:lineRule="auto"/>
        <w:rPr>
          <w:sz w:val="20"/>
          <w:szCs w:val="20"/>
          <w:color w:val="auto"/>
        </w:rPr>
      </w:pPr>
      <w:r>
        <w:rPr>
          <w:rFonts w:ascii="Arial" w:cs="Arial" w:eastAsia="Arial" w:hAnsi="Arial"/>
          <w:sz w:val="16"/>
          <w:szCs w:val="16"/>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September 30, 2025 and December 31, 2024.</w:t>
      </w:r>
    </w:p>
    <w:p>
      <w:pPr>
        <w:spacing w:after="0" w:line="118" w:lineRule="exact"/>
        <w:rPr>
          <w:sz w:val="20"/>
          <w:szCs w:val="20"/>
          <w:color w:val="auto"/>
        </w:rPr>
      </w:pPr>
    </w:p>
    <w:p>
      <w:pPr>
        <w:ind w:right="240" w:firstLine="324"/>
        <w:spacing w:after="0" w:line="271" w:lineRule="auto"/>
        <w:rPr>
          <w:sz w:val="20"/>
          <w:szCs w:val="20"/>
          <w:color w:val="auto"/>
        </w:rPr>
      </w:pPr>
      <w:r>
        <w:rPr>
          <w:rFonts w:ascii="Arial" w:cs="Arial" w:eastAsia="Arial" w:hAnsi="Arial"/>
          <w:sz w:val="16"/>
          <w:szCs w:val="16"/>
          <w:color w:val="auto"/>
        </w:rPr>
        <w:t>As of September 30, 2025, Talen’s aggregate credit exposure, which excludes the effects of netting arrangements, cash collateral, LCs, and any allowances for doubtful collections, was $445 million and its credit exposure including such netting effects was $48 million. Excluding ISO and RTO counterparties, whose accounts receivable settlements and congestion products are subject to applicable market controls, the ten largest single net credit exposures account for 83% of Talen’s total net credit exposure, which are primarily with entities assigned investment grade credit ratings.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6"/>
          <w:szCs w:val="16"/>
          <w:color w:val="auto"/>
        </w:rPr>
        <w:t>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September 30, 2025 and December 31, 2024.</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Derivative Instrument Presentation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Balance Sheets Presentation. </w:t>
      </w:r>
      <w:r>
        <w:rPr>
          <w:rFonts w:ascii="Arial" w:cs="Arial" w:eastAsia="Arial" w:hAnsi="Arial"/>
          <w:sz w:val="16"/>
          <w:szCs w:val="16"/>
          <w:color w:val="auto"/>
        </w:rPr>
        <w:t>The fair value of derivative instruments presented within assets and liabilities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September 30, 2025</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Assets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Liabilities</w:t>
            </w:r>
          </w:p>
        </w:tc>
      </w:tr>
      <w:tr>
        <w:trPr>
          <w:trHeight w:val="197"/>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derivative instruments</w:t>
            </w: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non-current derivative instruments</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2"/>
        </w:trPr>
        <w:tc>
          <w:tcPr>
            <w:tcW w:w="5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See Note 11 for additional information on fair value. Changes in the fair value and realized settlements on interest rate derivative instruments are presented as “Interest expense and other finance charges” on the Consolidated Statements of Operations.</w:t>
      </w:r>
    </w:p>
    <w:p>
      <w:pPr>
        <w:spacing w:after="0" w:line="137" w:lineRule="exact"/>
        <w:rPr>
          <w:sz w:val="20"/>
          <w:szCs w:val="20"/>
          <w:color w:val="auto"/>
        </w:rPr>
      </w:pPr>
    </w:p>
    <w:p>
      <w:pPr>
        <w:ind w:right="220" w:firstLine="324"/>
        <w:spacing w:after="0" w:line="266" w:lineRule="auto"/>
        <w:rPr>
          <w:sz w:val="20"/>
          <w:szCs w:val="20"/>
          <w:color w:val="auto"/>
        </w:rPr>
      </w:pPr>
      <w:r>
        <w:rPr>
          <w:rFonts w:ascii="Arial" w:cs="Arial" w:eastAsia="Arial" w:hAnsi="Arial"/>
          <w:sz w:val="16"/>
          <w:szCs w:val="16"/>
          <w:i w:val="1"/>
          <w:iCs w:val="1"/>
          <w:color w:val="auto"/>
        </w:rPr>
        <w:t xml:space="preserve">Effect of Netting. </w:t>
      </w:r>
      <w:r>
        <w:rPr>
          <w:rFonts w:ascii="Arial" w:cs="Arial" w:eastAsia="Arial" w:hAnsi="Arial"/>
          <w:sz w:val="16"/>
          <w:szCs w:val="16"/>
          <w:color w:val="auto"/>
        </w:rPr>
        <w:t>Generally, the right of setoff within master netting arrangements permits the fair value of derivative assets to be offset with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 an election, derivative assets and derivative liabilities are presented on the Consolidated Balance Sheets with the effect of such permitted netting as of September 30, 2025 and December 31, 2024.</w:t>
      </w:r>
    </w:p>
    <w:p>
      <w:pPr>
        <w:spacing w:after="0" w:line="13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Derivative</w:t>
            </w: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Eligible for Offset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Derivative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Collateral (Posted)</w:t>
            </w:r>
          </w:p>
        </w:tc>
        <w:tc>
          <w:tcPr>
            <w:tcW w:w="180" w:type="dxa"/>
            <w:vAlign w:val="bottom"/>
          </w:tcPr>
          <w:p>
            <w:pPr>
              <w:spacing w:after="0"/>
              <w:rPr>
                <w:sz w:val="14"/>
                <w:szCs w:val="14"/>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Received</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1"/>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Statements of Operations Presentation. </w:t>
      </w:r>
      <w:r>
        <w:rPr>
          <w:rFonts w:ascii="Arial" w:cs="Arial" w:eastAsia="Arial" w:hAnsi="Arial"/>
          <w:sz w:val="16"/>
          <w:szCs w:val="16"/>
          <w:color w:val="auto"/>
        </w:rPr>
        <w:t>The location and pre-tax effect of “Derivative instruments” presented on the Consolidated Statements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the periods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97"/>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gain (loss) on commodity contracts</w:t>
            </w:r>
          </w:p>
        </w:tc>
        <w:tc>
          <w:tcPr>
            <w:tcW w:w="104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3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revenues </w:t>
            </w:r>
            <w:r>
              <w:rPr>
                <w:rFonts w:ascii="Arial" w:cs="Arial" w:eastAsia="Arial" w:hAnsi="Arial"/>
                <w:sz w:val="18"/>
                <w:szCs w:val="18"/>
                <w:color w:val="auto"/>
                <w:vertAlign w:val="superscript"/>
              </w:rPr>
              <w:t>(a)</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left="98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256</w:t>
            </w:r>
          </w:p>
        </w:tc>
      </w:tr>
      <w:tr>
        <w:trPr>
          <w:trHeight w:val="203"/>
        </w:trPr>
        <w:tc>
          <w:tcPr>
            <w:tcW w:w="498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Fuel and energy purchases </w:t>
            </w:r>
            <w:r>
              <w:rPr>
                <w:rFonts w:ascii="Arial" w:cs="Arial" w:eastAsia="Arial" w:hAnsi="Arial"/>
                <w:sz w:val="18"/>
                <w:szCs w:val="18"/>
                <w:color w:val="auto"/>
                <w:vertAlign w:val="superscript"/>
              </w:rPr>
              <w:t>(a)</w:t>
            </w:r>
          </w:p>
        </w:tc>
        <w:tc>
          <w:tcPr>
            <w:tcW w:w="10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96"/>
              </w:rPr>
              <w:t>(24)</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340" w:type="dxa"/>
            <w:vAlign w:val="bottom"/>
            <w:shd w:val="clear" w:color="auto" w:fill="E1E1E2"/>
          </w:tcPr>
          <w:p>
            <w:pPr>
              <w:jc w:val="center"/>
              <w:ind w:left="96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w:t>
            </w:r>
          </w:p>
        </w:tc>
      </w:tr>
      <w:tr>
        <w:trPr>
          <w:trHeight w:val="201"/>
        </w:trPr>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commodity contracts</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4"/>
        </w:trPr>
        <w:tc>
          <w:tcPr>
            <w:tcW w:w="4980" w:type="dxa"/>
            <w:vAlign w:val="bottom"/>
            <w:gridSpan w:val="2"/>
            <w:shd w:val="clear" w:color="auto" w:fill="E1E1E2"/>
          </w:tcPr>
          <w:p>
            <w:pPr>
              <w:ind w:left="20"/>
              <w:spacing w:after="0" w:line="203"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(b)</w:t>
            </w:r>
          </w:p>
        </w:tc>
        <w:tc>
          <w:tcPr>
            <w:tcW w:w="10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340" w:type="dxa"/>
            <w:vAlign w:val="bottom"/>
            <w:shd w:val="clear" w:color="auto" w:fill="E1E1E2"/>
          </w:tcPr>
          <w:p>
            <w:pPr>
              <w:jc w:val="center"/>
              <w:ind w:left="96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expenses </w:t>
            </w:r>
            <w:r>
              <w:rPr>
                <w:rFonts w:ascii="Arial" w:cs="Arial" w:eastAsia="Arial" w:hAnsi="Arial"/>
                <w:sz w:val="18"/>
                <w:szCs w:val="18"/>
                <w:color w:val="auto"/>
                <w:vertAlign w:val="superscript"/>
              </w:rPr>
              <w:t>(b)</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left="96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and unrealized gain (loss) on interest rate contracts</w:t>
            </w:r>
          </w:p>
        </w:tc>
        <w:tc>
          <w:tcPr>
            <w:tcW w:w="104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3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Does not include those derivative instruments that settle through physical delivery.</w:t>
      </w: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Presented as “Unrealized gain (loss) on derivative instruments”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operating revenues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97"/>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141</w:t>
            </w: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Electricity sales and ancillary services, ISO/RTO</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865</w:t>
            </w:r>
          </w:p>
        </w:tc>
      </w:tr>
      <w:tr>
        <w:trPr>
          <w:trHeight w:val="207"/>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Physical electricity sales, bilateral contracts, other</w:t>
            </w:r>
          </w:p>
        </w:tc>
        <w:tc>
          <w:tcPr>
            <w:tcW w:w="10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124</w:t>
            </w:r>
          </w:p>
        </w:tc>
      </w:tr>
      <w:tr>
        <w:trPr>
          <w:trHeight w:val="19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 from customers</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r>
      <w:tr>
        <w:trPr>
          <w:trHeight w:val="200"/>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revenue from contracts with customers</w:t>
            </w:r>
          </w:p>
        </w:tc>
        <w:tc>
          <w:tcPr>
            <w:tcW w:w="10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697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459</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1,760</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1,221</w:t>
            </w: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Realized and unrealized gain (loss) on derivative instruments</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07"/>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PTC</w:t>
            </w:r>
          </w:p>
        </w:tc>
        <w:tc>
          <w:tcPr>
            <w:tcW w:w="1040" w:type="dxa"/>
            <w:vAlign w:val="bottom"/>
            <w:shd w:val="clear" w:color="auto" w:fill="E1E1E2"/>
          </w:tcPr>
          <w:p>
            <w:pPr>
              <w:spacing w:after="0"/>
              <w:rPr>
                <w:sz w:val="17"/>
                <w:szCs w:val="17"/>
                <w:color w:val="auto"/>
              </w:rPr>
            </w:pPr>
          </w:p>
        </w:tc>
        <w:tc>
          <w:tcPr>
            <w:tcW w:w="5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3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141</w:t>
            </w:r>
          </w:p>
        </w:tc>
      </w:tr>
      <w:tr>
        <w:trPr>
          <w:trHeight w:val="19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19"/>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812</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650</w:t>
            </w:r>
          </w:p>
        </w:tc>
        <w:tc>
          <w:tcPr>
            <w:tcW w:w="80" w:type="dxa"/>
            <w:vAlign w:val="bottom"/>
            <w:shd w:val="clear" w:color="auto" w:fill="E1E1E2"/>
          </w:tcPr>
          <w:p>
            <w:pPr>
              <w:spacing w:after="0"/>
              <w:rPr>
                <w:sz w:val="19"/>
                <w:szCs w:val="19"/>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1,832</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1,648</w:t>
            </w:r>
          </w:p>
        </w:tc>
      </w:tr>
      <w:tr>
        <w:trPr>
          <w:trHeight w:val="20"/>
        </w:trPr>
        <w:tc>
          <w:tcPr>
            <w:tcW w:w="4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receivable” presented on the Consolidated Balance Sheets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Customer accounts receivable</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accounts receivable</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Accounts receivable</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123</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During the nine months ended September 30, 2025 and 2024, there were no significant changes in accounts receivable other than normal receivable recognition and collection transactions. See Note 2 for additional information on Talen’s credit risk on the carrying value of its receivables.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Future Performance Obligations</w:t>
      </w:r>
    </w:p>
    <w:p>
      <w:pPr>
        <w:spacing w:after="0" w:line="16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In the normal course of business, Talen has future performance obligations for capacity sales awarded through market-based capacity auctions and (or) for capacity sales under bilateral contractual arrangements.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expected future period capacity revenues subject to unsatisfied or partially unsatisfied performance obligations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9"/>
                <w:szCs w:val="9"/>
                <w:b w:val="1"/>
                <w:bCs w:val="1"/>
                <w:color w:val="auto"/>
              </w:rPr>
              <w:t>(a)</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E1E1E2"/>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2029</w:t>
            </w:r>
          </w:p>
        </w:tc>
      </w:tr>
      <w:tr>
        <w:trPr>
          <w:trHeight w:val="193"/>
        </w:trPr>
        <w:tc>
          <w:tcPr>
            <w:tcW w:w="4360" w:type="dxa"/>
            <w:vAlign w:val="bottom"/>
            <w:shd w:val="clear" w:color="auto" w:fill="E1E1E2"/>
          </w:tcPr>
          <w:p>
            <w:pPr>
              <w:ind w:left="20"/>
              <w:spacing w:after="0"/>
              <w:rPr>
                <w:sz w:val="20"/>
                <w:szCs w:val="20"/>
                <w:color w:val="auto"/>
              </w:rPr>
            </w:pPr>
            <w:r>
              <w:rPr>
                <w:rFonts w:ascii="Arial" w:cs="Arial" w:eastAsia="Arial" w:hAnsi="Arial"/>
                <w:sz w:val="14"/>
                <w:szCs w:val="14"/>
                <w:color w:val="auto"/>
              </w:rPr>
              <w:t xml:space="preserve">Expected capacity revenues </w:t>
            </w:r>
            <w:r>
              <w:rPr>
                <w:rFonts w:ascii="Arial" w:cs="Arial" w:eastAsia="Arial" w:hAnsi="Arial"/>
                <w:sz w:val="9"/>
                <w:szCs w:val="9"/>
                <w:color w:val="auto"/>
              </w:rPr>
              <w:t>(b)</w:t>
            </w:r>
          </w:p>
        </w:tc>
        <w:tc>
          <w:tcPr>
            <w:tcW w:w="80" w:type="dxa"/>
            <w:vAlign w:val="bottom"/>
            <w:shd w:val="clear" w:color="auto" w:fill="E1E1E2"/>
          </w:tcPr>
          <w:p>
            <w:pPr>
              <w:spacing w:after="0"/>
              <w:rPr>
                <w:sz w:val="16"/>
                <w:szCs w:val="16"/>
                <w:color w:val="auto"/>
              </w:rPr>
            </w:pPr>
          </w:p>
        </w:tc>
        <w:tc>
          <w:tcPr>
            <w:tcW w:w="940" w:type="dxa"/>
            <w:vAlign w:val="bottom"/>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shd w:val="clear" w:color="auto" w:fill="E1E1E2"/>
          </w:tcPr>
          <w:p>
            <w:pPr>
              <w:spacing w:after="0"/>
              <w:rPr>
                <w:sz w:val="16"/>
                <w:szCs w:val="16"/>
                <w:color w:val="auto"/>
              </w:rPr>
            </w:pP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E1E1E2"/>
          </w:tcPr>
          <w:p>
            <w:pPr>
              <w:spacing w:after="0"/>
              <w:rPr>
                <w:sz w:val="16"/>
                <w:szCs w:val="16"/>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E1E1E2"/>
          </w:tcPr>
          <w:p>
            <w:pPr>
              <w:spacing w:after="0"/>
              <w:rPr>
                <w:sz w:val="16"/>
                <w:szCs w:val="16"/>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E1E1E2"/>
          </w:tcPr>
          <w:p>
            <w:pPr>
              <w:ind w:left="78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Estimated for the period from October 1, 2025 through December 31, 2025.</w:t>
      </w: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Expected capacity revenues represents MWs cleared in PJM BRAs through May 2027.</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9 for additional information on the PJM BRAs.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Income Taxes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Effective Tax Rate Reconciliations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reconciliations of the effective tax rate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1E1E2"/>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46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(loss) before income taxes</w:t>
            </w:r>
          </w:p>
        </w:tc>
        <w:tc>
          <w:tcPr>
            <w:tcW w:w="1020" w:type="dxa"/>
            <w:vAlign w:val="bottom"/>
            <w:shd w:val="clear" w:color="auto" w:fill="E1E1E2"/>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179</w:t>
            </w:r>
          </w:p>
        </w:tc>
        <w:tc>
          <w:tcPr>
            <w:tcW w:w="8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102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34"/>
        </w:trPr>
        <w:tc>
          <w:tcPr>
            <w:tcW w:w="46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Effective tax rate</w:t>
            </w:r>
          </w:p>
        </w:tc>
        <w:tc>
          <w:tcPr>
            <w:tcW w:w="1020" w:type="dxa"/>
            <w:vAlign w:val="bottom"/>
            <w:shd w:val="clear" w:color="auto" w:fill="E1E1E2"/>
          </w:tcPr>
          <w:p>
            <w:pPr>
              <w:spacing w:after="0"/>
              <w:rPr>
                <w:sz w:val="20"/>
                <w:szCs w:val="20"/>
                <w:color w:val="auto"/>
              </w:rPr>
            </w:pPr>
          </w:p>
        </w:tc>
        <w:tc>
          <w:tcPr>
            <w:tcW w:w="5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31.9 %</w:t>
            </w:r>
          </w:p>
        </w:tc>
        <w:tc>
          <w:tcPr>
            <w:tcW w:w="100" w:type="dxa"/>
            <w:vAlign w:val="bottom"/>
            <w:shd w:val="clear" w:color="auto" w:fill="E1E1E2"/>
          </w:tcPr>
          <w:p>
            <w:pPr>
              <w:spacing w:after="0"/>
              <w:rPr>
                <w:sz w:val="20"/>
                <w:szCs w:val="20"/>
                <w:color w:val="auto"/>
              </w:rPr>
            </w:pPr>
          </w:p>
        </w:tc>
        <w:tc>
          <w:tcPr>
            <w:tcW w:w="360" w:type="dxa"/>
            <w:vAlign w:val="bottom"/>
            <w:shd w:val="clear" w:color="auto" w:fill="E1E1E2"/>
          </w:tcPr>
          <w:p>
            <w:pPr>
              <w:spacing w:after="0"/>
              <w:rPr>
                <w:sz w:val="20"/>
                <w:szCs w:val="20"/>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6.1 %</w:t>
            </w:r>
          </w:p>
        </w:tc>
        <w:tc>
          <w:tcPr>
            <w:tcW w:w="80" w:type="dxa"/>
            <w:vAlign w:val="bottom"/>
            <w:shd w:val="clear" w:color="auto" w:fill="E1E1E2"/>
          </w:tcPr>
          <w:p>
            <w:pPr>
              <w:spacing w:after="0"/>
              <w:rPr>
                <w:sz w:val="20"/>
                <w:szCs w:val="20"/>
                <w:color w:val="auto"/>
              </w:rPr>
            </w:pPr>
          </w:p>
        </w:tc>
        <w:tc>
          <w:tcPr>
            <w:tcW w:w="260" w:type="dxa"/>
            <w:vAlign w:val="bottom"/>
            <w:shd w:val="clear" w:color="auto" w:fill="E1E1E2"/>
          </w:tcPr>
          <w:p>
            <w:pPr>
              <w:spacing w:after="0"/>
              <w:rPr>
                <w:sz w:val="20"/>
                <w:szCs w:val="20"/>
                <w:color w:val="auto"/>
              </w:rPr>
            </w:pPr>
          </w:p>
        </w:tc>
        <w:tc>
          <w:tcPr>
            <w:tcW w:w="13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32.7 %</w:t>
            </w:r>
          </w:p>
        </w:tc>
        <w:tc>
          <w:tcPr>
            <w:tcW w:w="100" w:type="dxa"/>
            <w:vAlign w:val="bottom"/>
            <w:shd w:val="clear" w:color="auto" w:fill="E1E1E2"/>
          </w:tcPr>
          <w:p>
            <w:pPr>
              <w:spacing w:after="0"/>
              <w:rPr>
                <w:sz w:val="20"/>
                <w:szCs w:val="20"/>
                <w:color w:val="auto"/>
              </w:rPr>
            </w:pPr>
          </w:p>
        </w:tc>
        <w:tc>
          <w:tcPr>
            <w:tcW w:w="360" w:type="dxa"/>
            <w:vAlign w:val="bottom"/>
            <w:shd w:val="clear" w:color="auto" w:fill="E1E1E2"/>
          </w:tcPr>
          <w:p>
            <w:pPr>
              <w:spacing w:after="0"/>
              <w:rPr>
                <w:sz w:val="20"/>
                <w:szCs w:val="20"/>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225"/>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Federal income tax statutory tax rate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57"/>
        </w:trPr>
        <w:tc>
          <w:tcPr>
            <w:tcW w:w="4680" w:type="dxa"/>
            <w:vAlign w:val="bottom"/>
            <w:gridSpan w:val="2"/>
            <w:shd w:val="clear" w:color="auto" w:fill="E1E1E2"/>
          </w:tcPr>
          <w:p>
            <w:pPr>
              <w:ind w:left="20"/>
              <w:spacing w:after="0" w:line="157" w:lineRule="exact"/>
              <w:rPr>
                <w:sz w:val="20"/>
                <w:szCs w:val="20"/>
                <w:color w:val="auto"/>
              </w:rPr>
            </w:pPr>
            <w:r>
              <w:rPr>
                <w:rFonts w:ascii="Arial" w:cs="Arial" w:eastAsia="Arial" w:hAnsi="Arial"/>
                <w:sz w:val="14"/>
                <w:szCs w:val="14"/>
                <w:color w:val="auto"/>
              </w:rPr>
              <w:t>Income tax benefit (expense) computed at the federal income tax</w:t>
            </w:r>
          </w:p>
        </w:tc>
        <w:tc>
          <w:tcPr>
            <w:tcW w:w="1020" w:type="dxa"/>
            <w:vAlign w:val="bottom"/>
            <w:vMerge w:val="restart"/>
            <w:shd w:val="clear" w:color="auto" w:fill="E1E1E2"/>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E1E1E2"/>
          </w:tcPr>
          <w:p>
            <w:pPr>
              <w:jc w:val="right"/>
              <w:ind w:right="6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E1E1E2"/>
          </w:tcPr>
          <w:p>
            <w:pPr>
              <w:spacing w:after="0"/>
              <w:rPr>
                <w:sz w:val="13"/>
                <w:szCs w:val="13"/>
                <w:color w:val="auto"/>
              </w:rPr>
            </w:pPr>
          </w:p>
        </w:tc>
        <w:tc>
          <w:tcPr>
            <w:tcW w:w="360" w:type="dxa"/>
            <w:vAlign w:val="bottom"/>
            <w:vMerge w:val="restart"/>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E1E1E2"/>
          </w:tcPr>
          <w:p>
            <w:pPr>
              <w:jc w:val="right"/>
              <w:ind w:right="88"/>
              <w:spacing w:after="0"/>
              <w:rPr>
                <w:sz w:val="20"/>
                <w:szCs w:val="20"/>
                <w:color w:val="auto"/>
              </w:rPr>
            </w:pPr>
            <w:r>
              <w:rPr>
                <w:rFonts w:ascii="Arial" w:cs="Arial" w:eastAsia="Arial" w:hAnsi="Arial"/>
                <w:sz w:val="14"/>
                <w:szCs w:val="14"/>
                <w:color w:val="auto"/>
              </w:rPr>
              <w:t>(38)</w:t>
            </w:r>
          </w:p>
        </w:tc>
        <w:tc>
          <w:tcPr>
            <w:tcW w:w="80" w:type="dxa"/>
            <w:vAlign w:val="bottom"/>
            <w:shd w:val="clear" w:color="auto" w:fill="E1E1E2"/>
          </w:tcPr>
          <w:p>
            <w:pPr>
              <w:spacing w:after="0"/>
              <w:rPr>
                <w:sz w:val="13"/>
                <w:szCs w:val="13"/>
                <w:color w:val="auto"/>
              </w:rPr>
            </w:pPr>
          </w:p>
        </w:tc>
        <w:tc>
          <w:tcPr>
            <w:tcW w:w="260" w:type="dxa"/>
            <w:vAlign w:val="bottom"/>
            <w:vMerge w:val="restart"/>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E1E1E2"/>
          </w:tcPr>
          <w:p>
            <w:pPr>
              <w:jc w:val="right"/>
              <w:ind w:right="6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3"/>
                <w:szCs w:val="13"/>
                <w:color w:val="auto"/>
              </w:rPr>
            </w:pPr>
          </w:p>
        </w:tc>
        <w:tc>
          <w:tcPr>
            <w:tcW w:w="360" w:type="dxa"/>
            <w:vAlign w:val="bottom"/>
            <w:vMerge w:val="restart"/>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E1E1E2"/>
          </w:tcPr>
          <w:p>
            <w:pPr>
              <w:jc w:val="right"/>
              <w:ind w:right="6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5"/>
        </w:trPr>
        <w:tc>
          <w:tcPr>
            <w:tcW w:w="468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statutory tax rate</w:t>
            </w:r>
          </w:p>
        </w:tc>
        <w:tc>
          <w:tcPr>
            <w:tcW w:w="1020" w:type="dxa"/>
            <w:vAlign w:val="bottom"/>
            <w:vMerge w:val="continue"/>
            <w:shd w:val="clear" w:color="auto" w:fill="E1E1E2"/>
          </w:tcPr>
          <w:p>
            <w:pPr>
              <w:spacing w:after="0"/>
              <w:rPr>
                <w:sz w:val="16"/>
                <w:szCs w:val="16"/>
                <w:color w:val="auto"/>
              </w:rPr>
            </w:pPr>
          </w:p>
        </w:tc>
        <w:tc>
          <w:tcPr>
            <w:tcW w:w="56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60" w:type="dxa"/>
            <w:vAlign w:val="bottom"/>
            <w:vMerge w:val="continue"/>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260" w:type="dxa"/>
            <w:vAlign w:val="bottom"/>
            <w:vMerge w:val="continue"/>
            <w:shd w:val="clear" w:color="auto" w:fill="E1E1E2"/>
          </w:tcPr>
          <w:p>
            <w:pPr>
              <w:spacing w:after="0"/>
              <w:rPr>
                <w:sz w:val="16"/>
                <w:szCs w:val="16"/>
                <w:color w:val="auto"/>
              </w:rPr>
            </w:pPr>
          </w:p>
        </w:tc>
        <w:tc>
          <w:tcPr>
            <w:tcW w:w="130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60" w:type="dxa"/>
            <w:vAlign w:val="bottom"/>
            <w:vMerge w:val="continue"/>
            <w:shd w:val="clear" w:color="auto" w:fill="E1E1E2"/>
          </w:tcPr>
          <w:p>
            <w:pPr>
              <w:spacing w:after="0"/>
              <w:rPr>
                <w:sz w:val="16"/>
                <w:szCs w:val="16"/>
                <w:color w:val="auto"/>
              </w:rPr>
            </w:pPr>
          </w:p>
        </w:tc>
        <w:tc>
          <w:tcPr>
            <w:tcW w:w="120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increase (decrease) due to:</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6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NDT taxes</w:t>
            </w:r>
          </w:p>
        </w:tc>
        <w:tc>
          <w:tcPr>
            <w:tcW w:w="1020" w:type="dxa"/>
            <w:vAlign w:val="bottom"/>
            <w:shd w:val="clear" w:color="auto" w:fill="E1E1E2"/>
          </w:tcPr>
          <w:p>
            <w:pPr>
              <w:spacing w:after="0"/>
              <w:rPr>
                <w:sz w:val="20"/>
                <w:szCs w:val="20"/>
                <w:color w:val="auto"/>
              </w:rPr>
            </w:pPr>
          </w:p>
        </w:tc>
        <w:tc>
          <w:tcPr>
            <w:tcW w:w="5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20"/>
                <w:szCs w:val="20"/>
                <w:color w:val="auto"/>
              </w:rPr>
            </w:pPr>
          </w:p>
        </w:tc>
        <w:tc>
          <w:tcPr>
            <w:tcW w:w="360" w:type="dxa"/>
            <w:vAlign w:val="bottom"/>
            <w:shd w:val="clear" w:color="auto" w:fill="E1E1E2"/>
          </w:tcPr>
          <w:p>
            <w:pPr>
              <w:spacing w:after="0"/>
              <w:rPr>
                <w:sz w:val="20"/>
                <w:szCs w:val="20"/>
                <w:color w:val="auto"/>
              </w:rPr>
            </w:pPr>
          </w:p>
        </w:tc>
        <w:tc>
          <w:tcPr>
            <w:tcW w:w="122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(10)</w:t>
            </w:r>
          </w:p>
        </w:tc>
        <w:tc>
          <w:tcPr>
            <w:tcW w:w="80" w:type="dxa"/>
            <w:vAlign w:val="bottom"/>
            <w:shd w:val="clear" w:color="auto" w:fill="E1E1E2"/>
          </w:tcPr>
          <w:p>
            <w:pPr>
              <w:spacing w:after="0"/>
              <w:rPr>
                <w:sz w:val="20"/>
                <w:szCs w:val="20"/>
                <w:color w:val="auto"/>
              </w:rPr>
            </w:pPr>
          </w:p>
        </w:tc>
        <w:tc>
          <w:tcPr>
            <w:tcW w:w="260" w:type="dxa"/>
            <w:vAlign w:val="bottom"/>
            <w:shd w:val="clear" w:color="auto" w:fill="E1E1E2"/>
          </w:tcPr>
          <w:p>
            <w:pPr>
              <w:spacing w:after="0"/>
              <w:rPr>
                <w:sz w:val="20"/>
                <w:szCs w:val="20"/>
                <w:color w:val="auto"/>
              </w:rPr>
            </w:pPr>
          </w:p>
        </w:tc>
        <w:tc>
          <w:tcPr>
            <w:tcW w:w="13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20"/>
                <w:szCs w:val="20"/>
                <w:color w:val="auto"/>
              </w:rPr>
            </w:pPr>
          </w:p>
        </w:tc>
        <w:tc>
          <w:tcPr>
            <w:tcW w:w="360" w:type="dxa"/>
            <w:vAlign w:val="bottom"/>
            <w:shd w:val="clear" w:color="auto" w:fill="E1E1E2"/>
          </w:tcPr>
          <w:p>
            <w:pPr>
              <w:spacing w:after="0"/>
              <w:rPr>
                <w:sz w:val="20"/>
                <w:szCs w:val="20"/>
                <w:color w:val="auto"/>
              </w:rPr>
            </w:pPr>
          </w:p>
        </w:tc>
        <w:tc>
          <w:tcPr>
            <w:tcW w:w="12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26"/>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1020" w:type="dxa"/>
            <w:vAlign w:val="bottom"/>
          </w:tcPr>
          <w:p>
            <w:pPr>
              <w:spacing w:after="0"/>
              <w:rPr>
                <w:sz w:val="19"/>
                <w:szCs w:val="19"/>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33"/>
        </w:trPr>
        <w:tc>
          <w:tcPr>
            <w:tcW w:w="46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permanent differences</w:t>
            </w:r>
          </w:p>
        </w:tc>
        <w:tc>
          <w:tcPr>
            <w:tcW w:w="1020" w:type="dxa"/>
            <w:vAlign w:val="bottom"/>
            <w:shd w:val="clear" w:color="auto" w:fill="E1E1E2"/>
          </w:tcPr>
          <w:p>
            <w:pPr>
              <w:spacing w:after="0"/>
              <w:rPr>
                <w:sz w:val="20"/>
                <w:szCs w:val="20"/>
                <w:color w:val="auto"/>
              </w:rPr>
            </w:pPr>
          </w:p>
        </w:tc>
        <w:tc>
          <w:tcPr>
            <w:tcW w:w="56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20"/>
                <w:szCs w:val="20"/>
                <w:color w:val="auto"/>
              </w:rPr>
            </w:pPr>
          </w:p>
        </w:tc>
        <w:tc>
          <w:tcPr>
            <w:tcW w:w="360" w:type="dxa"/>
            <w:vAlign w:val="bottom"/>
            <w:shd w:val="clear" w:color="auto" w:fill="E1E1E2"/>
          </w:tcPr>
          <w:p>
            <w:pPr>
              <w:spacing w:after="0"/>
              <w:rPr>
                <w:sz w:val="20"/>
                <w:szCs w:val="20"/>
                <w:color w:val="auto"/>
              </w:rPr>
            </w:pPr>
          </w:p>
        </w:tc>
        <w:tc>
          <w:tcPr>
            <w:tcW w:w="122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20"/>
                <w:szCs w:val="20"/>
                <w:color w:val="auto"/>
              </w:rPr>
            </w:pPr>
          </w:p>
        </w:tc>
        <w:tc>
          <w:tcPr>
            <w:tcW w:w="260" w:type="dxa"/>
            <w:vAlign w:val="bottom"/>
            <w:shd w:val="clear" w:color="auto" w:fill="E1E1E2"/>
          </w:tcPr>
          <w:p>
            <w:pPr>
              <w:spacing w:after="0"/>
              <w:rPr>
                <w:sz w:val="20"/>
                <w:szCs w:val="20"/>
                <w:color w:val="auto"/>
              </w:rPr>
            </w:pPr>
          </w:p>
        </w:tc>
        <w:tc>
          <w:tcPr>
            <w:tcW w:w="13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20"/>
                <w:szCs w:val="20"/>
                <w:color w:val="auto"/>
              </w:rPr>
            </w:pPr>
          </w:p>
        </w:tc>
        <w:tc>
          <w:tcPr>
            <w:tcW w:w="360" w:type="dxa"/>
            <w:vAlign w:val="bottom"/>
            <w:shd w:val="clear" w:color="auto" w:fill="E1E1E2"/>
          </w:tcPr>
          <w:p>
            <w:pPr>
              <w:spacing w:after="0"/>
              <w:rPr>
                <w:sz w:val="20"/>
                <w:szCs w:val="20"/>
                <w:color w:val="auto"/>
              </w:rPr>
            </w:pPr>
          </w:p>
        </w:tc>
        <w:tc>
          <w:tcPr>
            <w:tcW w:w="12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5"/>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102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Nuclear PTC</w:t>
            </w:r>
          </w:p>
        </w:tc>
        <w:tc>
          <w:tcPr>
            <w:tcW w:w="100" w:type="dxa"/>
            <w:vAlign w:val="bottom"/>
            <w:shd w:val="clear" w:color="auto" w:fill="E1E1E2"/>
          </w:tcPr>
          <w:p>
            <w:pPr>
              <w:spacing w:after="0"/>
              <w:rPr>
                <w:sz w:val="19"/>
                <w:szCs w:val="19"/>
                <w:color w:val="auto"/>
              </w:rPr>
            </w:pPr>
          </w:p>
        </w:tc>
        <w:tc>
          <w:tcPr>
            <w:tcW w:w="1020" w:type="dxa"/>
            <w:vAlign w:val="bottom"/>
            <w:tcBorders>
              <w:bottom w:val="single" w:sz="8" w:color="auto"/>
            </w:tcBorders>
            <w:shd w:val="clear" w:color="auto" w:fill="E1E1E2"/>
          </w:tcPr>
          <w:p>
            <w:pPr>
              <w:spacing w:after="0"/>
              <w:rPr>
                <w:sz w:val="19"/>
                <w:szCs w:val="19"/>
                <w:color w:val="auto"/>
              </w:rPr>
            </w:pPr>
          </w:p>
        </w:tc>
        <w:tc>
          <w:tcPr>
            <w:tcW w:w="56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9"/>
                <w:szCs w:val="19"/>
                <w:color w:val="auto"/>
              </w:rPr>
            </w:pPr>
          </w:p>
        </w:tc>
        <w:tc>
          <w:tcPr>
            <w:tcW w:w="360" w:type="dxa"/>
            <w:vAlign w:val="bottom"/>
            <w:tcBorders>
              <w:bottom w:val="single" w:sz="8" w:color="auto"/>
            </w:tcBorders>
            <w:shd w:val="clear" w:color="auto" w:fill="E1E1E2"/>
          </w:tcPr>
          <w:p>
            <w:pPr>
              <w:spacing w:after="0"/>
              <w:rPr>
                <w:sz w:val="19"/>
                <w:szCs w:val="19"/>
                <w:color w:val="auto"/>
              </w:rPr>
            </w:pPr>
          </w:p>
        </w:tc>
        <w:tc>
          <w:tcPr>
            <w:tcW w:w="122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9"/>
                <w:szCs w:val="19"/>
                <w:color w:val="auto"/>
              </w:rPr>
            </w:pPr>
          </w:p>
        </w:tc>
        <w:tc>
          <w:tcPr>
            <w:tcW w:w="260" w:type="dxa"/>
            <w:vAlign w:val="bottom"/>
            <w:tcBorders>
              <w:bottom w:val="single" w:sz="8" w:color="auto"/>
            </w:tcBorders>
            <w:shd w:val="clear" w:color="auto" w:fill="E1E1E2"/>
          </w:tcPr>
          <w:p>
            <w:pPr>
              <w:spacing w:after="0"/>
              <w:rPr>
                <w:sz w:val="19"/>
                <w:szCs w:val="19"/>
                <w:color w:val="auto"/>
              </w:rPr>
            </w:pPr>
          </w:p>
        </w:tc>
        <w:tc>
          <w:tcPr>
            <w:tcW w:w="130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9"/>
                <w:szCs w:val="19"/>
                <w:color w:val="auto"/>
              </w:rPr>
            </w:pPr>
          </w:p>
        </w:tc>
        <w:tc>
          <w:tcPr>
            <w:tcW w:w="360" w:type="dxa"/>
            <w:vAlign w:val="bottom"/>
            <w:tcBorders>
              <w:bottom w:val="single" w:sz="8" w:color="auto"/>
            </w:tcBorders>
            <w:shd w:val="clear" w:color="auto" w:fill="E1E1E2"/>
          </w:tcPr>
          <w:p>
            <w:pPr>
              <w:spacing w:after="0"/>
              <w:rPr>
                <w:sz w:val="19"/>
                <w:szCs w:val="19"/>
                <w:color w:val="auto"/>
              </w:rPr>
            </w:pPr>
          </w:p>
        </w:tc>
        <w:tc>
          <w:tcPr>
            <w:tcW w:w="120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6"/>
        </w:trPr>
        <w:tc>
          <w:tcPr>
            <w:tcW w:w="4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9"/>
                <w:szCs w:val="19"/>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9"/>
                <w:szCs w:val="19"/>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22"/>
        </w:trPr>
        <w:tc>
          <w:tcPr>
            <w:tcW w:w="4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Sale of Nuclear Production Tax Credits</w:t>
      </w:r>
    </w:p>
    <w:p>
      <w:pPr>
        <w:spacing w:after="0" w:line="165"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In September 2025, Nuclear PTCs with an aggregate carrying value of $202 million were sold to an unaffiliated third party for cash consideration of $191 million. The $11 million difference between the carrying value and the sales price resulted in loss presented in “Other operating income (expense), net” on the Consolidated Statements of Operations. The Company’s Nuclear PTCs remaining after the sale are expected to be utilized in reducing federal income taxes payable.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One Big Beautiful Bill Act</w:t>
      </w:r>
    </w:p>
    <w:p>
      <w:pPr>
        <w:spacing w:after="0" w:line="165"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On July 4, 2025, the One Big Beautiful Bill Act (the “OBBB”) was signed into law. The OBBB, among other things, makes key elements of the Tax Cuts and Jobs Act permanent, including 100% bonus depreciation, domestic research cost expensing, and the business interest expense limitation. While the Company has included known anticipated effects of the OBBB in its income tax provision, it is in the process of evaluating the full financial effects of the OBBB.</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Inventory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Oil products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inventory for electric generation</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Materials and supplies,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Environmental products</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Inventory, net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302</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Nuclear Decommissioning Trust Funds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06"/>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securities</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619</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615</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9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Receivables (payables), net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1,165</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726</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1,870</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1,132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654</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1,724</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See Note 11 for additional information on the NDT fair value. There were no available-for-sale debt securities with credit losses as of September 30, 2025 and December 31, 2024.</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As of September 30, 2025, there was no intent to sell available-for-sale debt securities with unrealized losses, and it is not more likely than not that each of these investments will be required to be sold before the recovery of its amortized cost. The aggregate fair value of available-for-sale debt securities with unrealized losses as of September 30, 2025 was: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Unrealized Losses</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Corporate debt securities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Municipal debt securities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U.S. Government debt securities</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in unrealized loss position</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7"/>
                <w:szCs w:val="17"/>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color w:val="auto"/>
        </w:rPr>
        <w:t>As of September 30, 2025, the aggregate fair value of debt securities in a loss position for a duration of one year or longer were $24 million and the unrealized losses were non-material.</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contractual maturities for available-for-sale debt securities presented on the Consolidated Balance Sheets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Maturities within one year</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Maturities within two to five years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Maturities thereafter</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309</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fair value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611</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sales proceeds, gains, and losses for available-for-sale debt securities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97"/>
        </w:trPr>
        <w:tc>
          <w:tcPr>
            <w:tcW w:w="498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Sales proceeds of NDT funds investments </w:t>
            </w:r>
            <w:r>
              <w:rPr>
                <w:rFonts w:ascii="Arial" w:cs="Arial" w:eastAsia="Arial" w:hAnsi="Arial"/>
                <w:sz w:val="18"/>
                <w:szCs w:val="18"/>
                <w:color w:val="auto"/>
                <w:vertAlign w:val="superscript"/>
              </w:rPr>
              <w:t>(a)</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545</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1,601</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1,578</w:t>
            </w: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Gross realized gains</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48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Gross realized losses</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Sales proceeds are used to pay income taxes and trust management fees. Remaining proceeds are reinvested in the NDT.</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unrealized gains and losses recognized associated with equity securities still held at the end of the reporting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7"/>
                <w:szCs w:val="17"/>
                <w:color w:val="auto"/>
              </w:rPr>
            </w:pPr>
          </w:p>
        </w:tc>
      </w:tr>
      <w:tr>
        <w:trPr>
          <w:trHeight w:val="196"/>
        </w:trPr>
        <w:tc>
          <w:tcPr>
            <w:tcW w:w="474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r>
      <w:tr>
        <w:trPr>
          <w:trHeight w:val="193"/>
        </w:trPr>
        <w:tc>
          <w:tcPr>
            <w:tcW w:w="4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Equity securities, unrealized gains (losses)</w:t>
            </w:r>
          </w:p>
        </w:tc>
        <w:tc>
          <w:tcPr>
            <w:tcW w:w="80" w:type="dxa"/>
            <w:vAlign w:val="bottom"/>
            <w:shd w:val="clear" w:color="auto" w:fill="E1E1E2"/>
          </w:tcPr>
          <w:p>
            <w:pPr>
              <w:spacing w:after="0"/>
              <w:rPr>
                <w:sz w:val="16"/>
                <w:szCs w:val="16"/>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E1E1E2"/>
          </w:tcPr>
          <w:p>
            <w:pPr>
              <w:spacing w:after="0"/>
              <w:rPr>
                <w:sz w:val="16"/>
                <w:szCs w:val="16"/>
                <w:color w:val="auto"/>
              </w:rPr>
            </w:pPr>
          </w:p>
        </w:tc>
        <w:tc>
          <w:tcPr>
            <w:tcW w:w="1220" w:type="dxa"/>
            <w:vAlign w:val="bottom"/>
            <w:tcBorders>
              <w:bottom w:val="single" w:sz="8" w:color="auto"/>
            </w:tcBorders>
            <w:shd w:val="clear" w:color="auto" w:fill="E1E1E2"/>
          </w:tcPr>
          <w:p>
            <w:pPr>
              <w:jc w:val="right"/>
              <w:ind w:right="10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w w:val="89"/>
              </w:rPr>
              <w:t>48</w:t>
            </w:r>
          </w:p>
        </w:tc>
        <w:tc>
          <w:tcPr>
            <w:tcW w:w="80" w:type="dxa"/>
            <w:vAlign w:val="bottom"/>
            <w:shd w:val="clear" w:color="auto" w:fill="E1E1E2"/>
          </w:tcPr>
          <w:p>
            <w:pPr>
              <w:spacing w:after="0"/>
              <w:rPr>
                <w:sz w:val="16"/>
                <w:szCs w:val="16"/>
                <w:color w:val="auto"/>
              </w:rPr>
            </w:pPr>
          </w:p>
        </w:tc>
        <w:tc>
          <w:tcPr>
            <w:tcW w:w="1020" w:type="dxa"/>
            <w:vAlign w:val="bottom"/>
            <w:tcBorders>
              <w:bottom w:val="single" w:sz="8" w:color="auto"/>
            </w:tcBorders>
            <w:shd w:val="clear" w:color="auto" w:fill="E1E1E2"/>
          </w:tcPr>
          <w:p>
            <w:pPr>
              <w:jc w:val="right"/>
              <w:ind w:right="8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E1E1E2"/>
          </w:tcPr>
          <w:p>
            <w:pPr>
              <w:spacing w:after="0"/>
              <w:rPr>
                <w:sz w:val="16"/>
                <w:szCs w:val="16"/>
                <w:color w:val="auto"/>
              </w:rPr>
            </w:pPr>
          </w:p>
        </w:tc>
        <w:tc>
          <w:tcPr>
            <w:tcW w:w="1140" w:type="dxa"/>
            <w:vAlign w:val="bottom"/>
            <w:tcBorders>
              <w:bottom w:val="single" w:sz="8" w:color="auto"/>
            </w:tcBorders>
            <w:shd w:val="clear" w:color="auto" w:fill="E1E1E2"/>
          </w:tcPr>
          <w:p>
            <w:pPr>
              <w:jc w:val="right"/>
              <w:ind w:right="9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w w:val="94"/>
              </w:rPr>
              <w:t>105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Property, Plant and Equipment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2025</w:t>
            </w: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Gross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Gross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Borders>
              <w:bottom w:val="single" w:sz="8" w:color="E1E1E2"/>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3-27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3,094</w:t>
            </w:r>
          </w:p>
        </w:tc>
        <w:tc>
          <w:tcPr>
            <w:tcW w:w="240" w:type="dxa"/>
            <w:vAlign w:val="bottom"/>
            <w:gridSpan w:val="2"/>
            <w:shd w:val="clear" w:color="auto" w:fill="E1E1E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(427)</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2,667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3,030</w:t>
            </w:r>
          </w:p>
        </w:tc>
        <w:tc>
          <w:tcPr>
            <w:tcW w:w="240" w:type="dxa"/>
            <w:vAlign w:val="bottom"/>
            <w:gridSpan w:val="2"/>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Nuclear fuel</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7"/>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property and equipment</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1-26</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Capitalized software</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Construction work in progress</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138</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169</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3,705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(630)</w:t>
            </w:r>
          </w:p>
        </w:tc>
        <w:tc>
          <w:tcPr>
            <w:tcW w:w="8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3,075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3,619</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3,154</w:t>
            </w:r>
          </w:p>
        </w:tc>
        <w:tc>
          <w:tcPr>
            <w:tcW w:w="0" w:type="dxa"/>
            <w:vAlign w:val="bottom"/>
          </w:tcPr>
          <w:p>
            <w:pPr>
              <w:spacing w:after="0"/>
              <w:rPr>
                <w:sz w:val="1"/>
                <w:szCs w:val="1"/>
                <w:color w:val="auto"/>
              </w:rPr>
            </w:pPr>
          </w:p>
        </w:tc>
      </w:tr>
      <w:tr>
        <w:trPr>
          <w:trHeight w:val="21"/>
        </w:trPr>
        <w:tc>
          <w:tcPr>
            <w:tcW w:w="2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“Depreciation, amortization and accretion</w:t>
      </w:r>
      <w:r>
        <w:rPr>
          <w:rFonts w:ascii="Arial" w:cs="Arial" w:eastAsia="Arial" w:hAnsi="Arial"/>
          <w:sz w:val="16"/>
          <w:szCs w:val="16"/>
          <w:i w:val="1"/>
          <w:iCs w:val="1"/>
          <w:color w:val="auto"/>
        </w:rPr>
        <w:t>”</w:t>
      </w:r>
      <w:r>
        <w:rPr>
          <w:rFonts w:ascii="Arial" w:cs="Arial" w:eastAsia="Arial" w:hAnsi="Arial"/>
          <w:sz w:val="16"/>
          <w:szCs w:val="16"/>
          <w:color w:val="auto"/>
        </w:rPr>
        <w:t xml:space="preserve"> presented on the Consolidated Statements of Operations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Borders>
              <w:bottom w:val="single" w:sz="8" w:color="auto"/>
            </w:tcBorders>
          </w:tcPr>
          <w:p>
            <w:pPr>
              <w:spacing w:after="0"/>
              <w:rPr>
                <w:sz w:val="17"/>
                <w:szCs w:val="17"/>
                <w:color w:val="auto"/>
              </w:rPr>
            </w:pPr>
          </w:p>
        </w:tc>
      </w:tr>
      <w:tr>
        <w:trPr>
          <w:trHeight w:val="196"/>
        </w:trPr>
        <w:tc>
          <w:tcPr>
            <w:tcW w:w="48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r>
      <w:tr>
        <w:trPr>
          <w:trHeight w:val="197"/>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Depreciation expense </w:t>
            </w:r>
            <w:r>
              <w:rPr>
                <w:rFonts w:ascii="Arial" w:cs="Arial" w:eastAsia="Arial" w:hAnsi="Arial"/>
                <w:sz w:val="9"/>
                <w:szCs w:val="9"/>
                <w:color w:val="auto"/>
              </w:rPr>
              <w:t>(a)</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1068"/>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E1E1E2"/>
          </w:tcPr>
          <w:p>
            <w:pPr>
              <w:spacing w:after="0"/>
              <w:rPr>
                <w:sz w:val="17"/>
                <w:szCs w:val="17"/>
                <w:color w:val="auto"/>
              </w:rPr>
            </w:pPr>
          </w:p>
        </w:tc>
        <w:tc>
          <w:tcPr>
            <w:tcW w:w="1160" w:type="dxa"/>
            <w:vAlign w:val="bottom"/>
            <w:shd w:val="clear" w:color="auto" w:fill="E1E1E2"/>
          </w:tcPr>
          <w:p>
            <w:pPr>
              <w:jc w:val="right"/>
              <w:ind w:right="9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w:t>
            </w:r>
          </w:p>
        </w:tc>
      </w:tr>
      <w:tr>
        <w:trPr>
          <w:trHeight w:val="19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 xml:space="preserve">Amortization expense </w:t>
            </w:r>
            <w:r>
              <w:rPr>
                <w:rFonts w:ascii="Arial" w:cs="Arial" w:eastAsia="Arial" w:hAnsi="Arial"/>
                <w:sz w:val="9"/>
                <w:szCs w:val="9"/>
                <w:color w:val="auto"/>
              </w:rPr>
              <w:t>(b)</w:t>
            </w:r>
          </w:p>
        </w:tc>
        <w:tc>
          <w:tcPr>
            <w:tcW w:w="10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48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Accretion expense </w:t>
            </w:r>
            <w:r>
              <w:rPr>
                <w:rFonts w:ascii="Arial" w:cs="Arial" w:eastAsia="Arial" w:hAnsi="Arial"/>
                <w:sz w:val="9"/>
                <w:szCs w:val="9"/>
                <w:color w:val="auto"/>
              </w:rPr>
              <w:t>(c)</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w:t>
            </w:r>
          </w:p>
        </w:tc>
      </w:tr>
      <w:tr>
        <w:trPr>
          <w:trHeight w:val="199"/>
        </w:trPr>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75</w:t>
            </w:r>
          </w:p>
        </w:tc>
        <w:tc>
          <w:tcPr>
            <w:tcW w:w="8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7"/>
                <w:szCs w:val="17"/>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225</w:t>
            </w:r>
          </w:p>
        </w:tc>
      </w:tr>
      <w:tr>
        <w:trPr>
          <w:trHeight w:val="21"/>
        </w:trPr>
        <w:tc>
          <w:tcPr>
            <w:tcW w:w="4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Electric generation and other property and equipment.</w:t>
      </w: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Intangible assets and capitalized software.</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ARO and accrued environmental cost accretion. See Note 8 for additional information.</w:t>
      </w:r>
    </w:p>
    <w:p>
      <w:pPr>
        <w:spacing w:after="0" w:line="161" w:lineRule="exact"/>
        <w:rPr>
          <w:sz w:val="20"/>
          <w:szCs w:val="20"/>
          <w:color w:val="auto"/>
        </w:rPr>
      </w:pPr>
    </w:p>
    <w:p>
      <w:pPr>
        <w:ind w:right="700" w:firstLine="324"/>
        <w:spacing w:after="0" w:line="286" w:lineRule="auto"/>
        <w:rPr>
          <w:sz w:val="20"/>
          <w:szCs w:val="20"/>
          <w:color w:val="auto"/>
        </w:rPr>
      </w:pPr>
      <w:r>
        <w:rPr>
          <w:rFonts w:ascii="Arial" w:cs="Arial" w:eastAsia="Arial" w:hAnsi="Arial"/>
          <w:sz w:val="16"/>
          <w:szCs w:val="16"/>
          <w:color w:val="auto"/>
        </w:rPr>
        <w:t>The cost of nuclear fuel and the amortization of nuclear fuel intangible assets are presented as “Nuclear fuel amortization” on the Consolidated Statements of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Brandon Shores and H.A. Wagner RMR Agreements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In May 2025, the FERC approved each of the Brandon Shores and H.A. Wagner RMR agreements, under which: (i) Talen will operate the generation facilities in accordance with such arrangements from June 1, 2025 through May 31, 2029, or until such time as the necessary transmission upgrades are placed into service; (ii) Brandon Shores will earn annual fixed-cost payments of $145 million ($312/MWd), inclusive of a $5 million per year unit performance “hold back;” (iii) H.A. Wagner will earn annual fixed-cost payments of $35 million ($137/MWd), inclusive of a $2 million per year unit performance “hold back;” and (iv) each facility will receive separate reimbursement for variable costs and approved project investments. In August 2025, the Maryland Office of People’s Counsel filed an appeal of the FERC’s order approving the Brandon Shores and H.A. Wagner RMR agreements. Talen has intervened in that proceeding and plans to participate.</w:t>
      </w:r>
    </w:p>
    <w:p>
      <w:pPr>
        <w:spacing w:after="0" w:line="136" w:lineRule="exact"/>
        <w:rPr>
          <w:sz w:val="20"/>
          <w:szCs w:val="20"/>
          <w:color w:val="auto"/>
        </w:rPr>
      </w:pPr>
    </w:p>
    <w:p>
      <w:pPr>
        <w:ind w:right="180" w:firstLine="324"/>
        <w:spacing w:after="0" w:line="266" w:lineRule="auto"/>
        <w:rPr>
          <w:sz w:val="20"/>
          <w:szCs w:val="20"/>
          <w:color w:val="auto"/>
        </w:rPr>
      </w:pPr>
      <w:r>
        <w:rPr>
          <w:rFonts w:ascii="Arial" w:cs="Arial" w:eastAsia="Arial" w:hAnsi="Arial"/>
          <w:sz w:val="16"/>
          <w:szCs w:val="16"/>
          <w:color w:val="auto"/>
        </w:rPr>
        <w:t>Additionally, H.A. Wagner Unit 4 is subject to certain emission restrictions associated with its air permits that limit the Unit’s annual runtime. In October 2025, the DOE granted PJM’s request, pursuant to Section 202(c) of the Federal Power Act, to allow Unit 4 to exceed its air permit emission limits for the remainder of the calendar year when the unit is needed to maintain grid reliability.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Nautilus Derecognition</w:t>
      </w:r>
    </w:p>
    <w:p>
      <w:pPr>
        <w:spacing w:after="0" w:line="165" w:lineRule="exact"/>
        <w:rPr>
          <w:sz w:val="20"/>
          <w:szCs w:val="20"/>
          <w:color w:val="auto"/>
        </w:rPr>
      </w:pPr>
    </w:p>
    <w:p>
      <w:pPr>
        <w:ind w:right="60" w:firstLine="324"/>
        <w:spacing w:after="0" w:line="262" w:lineRule="auto"/>
        <w:rPr>
          <w:sz w:val="20"/>
          <w:szCs w:val="20"/>
          <w:color w:val="auto"/>
        </w:rPr>
      </w:pPr>
      <w:r>
        <w:rPr>
          <w:rFonts w:ascii="Arial" w:cs="Arial" w:eastAsia="Arial" w:hAnsi="Arial"/>
          <w:sz w:val="16"/>
          <w:szCs w:val="16"/>
          <w:color w:val="auto"/>
        </w:rPr>
        <w:t>Under the transition terms associated with the AWS PPA as revised in June 2025, the Company ceased use of the Nautilus facility. In September 2025, the Company terminated the facility lease between the Company and AWS, and the related submetering and supply agreements. AWS is permitted to retain the existing facility structures. Accordingly, during the nine months ended September 30, 2025, the Company derecognized approximately: (i) $15 million of structures and buildings presented as “Property, plant and equipment, net;” (ii) an aggregate $44 million of contract intangible assets and lease right-of-use assets presented as “Other noncurrent assets;” (iii) $10 million of lease liabilities presented as “Other current liabilities;” and (iv) an aggregate $57 million contractual obligations and lease obligations presented as “Other noncurrent liabilities.” The resulting net gain of $8 million is presented as “Other operating income (expense), net” on the Consolidated Statements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Asset Retirement Obligations and Accrued Environmental Costs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environmental costs</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 retirement obligations and accrued environmental costs</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536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519</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Less: asset retirement obligations and accrued environmental costs due within one year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 retirement obligations and accrued environmental costs due after one year</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477</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Presented as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Asset Retirement Obligations</w:t>
      </w:r>
    </w:p>
    <w:p>
      <w:pPr>
        <w:spacing w:after="0" w:line="165"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Certain subsidiaries of the Company have legal retirement obligations for the decommissioning and environmental remediation costs associated with our current and former generation, which include activities such as structure removal and remediation of coal piles, wastewater basins, and ash impoundments. Most of these obligations, except remediation of some ash impoundments, are not expected to be paid until several years, or decades, in the future. The Company’s most significant obligations are associated with the: (i) decommissioning of Susquehanna, which the NDT is expected to fund; and (ii) coal ash disposal units of legacy coal-fired generation facilities which, for certain obligations, the Company has posted surety bonds (some of which have been collateralized with LCs). The carrying value of these AROs include assumptions of estimated future retirement and remediation cash expenditures, cost escalation rates, probabilistic cash flow models, and discount rates.</w:t>
      </w:r>
    </w:p>
    <w:p>
      <w:pPr>
        <w:spacing w:after="0" w:line="120"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As environmental regulations issued by the EPA or other rulemaking entities may require the Company to revise and (or) recognize new AROs, the carrying value of AROs, in particular those associated with legacy coal-fired generation facilities, may be impacted by current or future regulatory rulemaking. As of September 30, 2025, the fair values of certain AROs as a result of the EPA CCR Rule cannot be determined. See Note 9 for additional information on the EPA CCR Rule and the regulatory timeline that is expected to determine the associated scope of work.</w:t>
      </w:r>
    </w:p>
    <w:p>
      <w:pPr>
        <w:spacing w:after="0" w:line="132"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color w:val="auto"/>
        </w:rPr>
        <w:t>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of the ARO carrying value during the period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top w:val="single" w:sz="8" w:color="E1E1E2"/>
            </w:tcBorders>
            <w:shd w:val="clear" w:color="auto" w:fill="E1E1E2"/>
          </w:tcPr>
          <w:p>
            <w:pPr>
              <w:spacing w:after="0"/>
              <w:rPr>
                <w:sz w:val="18"/>
                <w:szCs w:val="18"/>
                <w:color w:val="auto"/>
              </w:rPr>
            </w:pPr>
          </w:p>
        </w:tc>
        <w:tc>
          <w:tcPr>
            <w:tcW w:w="600" w:type="dxa"/>
            <w:vAlign w:val="bottom"/>
            <w:tcBorders>
              <w:top w:val="single" w:sz="8" w:color="auto"/>
            </w:tcBorders>
            <w:shd w:val="clear" w:color="auto" w:fill="E1E1E2"/>
          </w:tcPr>
          <w:p>
            <w:pPr>
              <w:jc w:val="right"/>
              <w:ind w:right="4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498</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Obligations settled</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Changes in estimates and (or) settlement dates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Accretion expense</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September 30, 2025</w:t>
            </w:r>
          </w:p>
        </w:tc>
        <w:tc>
          <w:tcPr>
            <w:tcW w:w="600" w:type="dxa"/>
            <w:vAlign w:val="bottom"/>
            <w:shd w:val="clear" w:color="auto" w:fill="E1E1E2"/>
          </w:tcPr>
          <w:p>
            <w:pPr>
              <w:jc w:val="right"/>
              <w:ind w:right="4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516</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disaggregation of ARO carrying values on the Consolidated Balance Sheets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Nuclear </w:t>
            </w:r>
            <w:r>
              <w:rPr>
                <w:rFonts w:ascii="Arial" w:cs="Arial" w:eastAsia="Arial" w:hAnsi="Arial"/>
                <w:sz w:val="18"/>
                <w:szCs w:val="18"/>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03"/>
        </w:trPr>
        <w:tc>
          <w:tcPr>
            <w:tcW w:w="8240" w:type="dxa"/>
            <w:vAlign w:val="bottom"/>
            <w:tcBorders>
              <w:bottom w:val="single" w:sz="8" w:color="auto"/>
            </w:tcBorders>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Non-nuclear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256</w:t>
            </w:r>
          </w:p>
        </w:tc>
      </w:tr>
      <w:tr>
        <w:trPr>
          <w:trHeight w:val="19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516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498</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Obligations are expected to be settled with available funds in the NDT at the time of decommissioning. See Note 11 for additional information on the NDT.</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Certain obligations are: (i) partially supported by surety bonds, some of which have been collateralized with LCs; or (ii) partially prefunded under phased installment agreements.</w:t>
      </w:r>
    </w:p>
    <w:p>
      <w:pPr>
        <w:spacing w:after="0" w:line="153" w:lineRule="exact"/>
        <w:rPr>
          <w:sz w:val="20"/>
          <w:szCs w:val="20"/>
          <w:color w:val="auto"/>
        </w:rPr>
      </w:pPr>
    </w:p>
    <w:p>
      <w:pPr>
        <w:ind w:right="820" w:firstLine="324"/>
        <w:spacing w:after="0" w:line="286" w:lineRule="auto"/>
        <w:rPr>
          <w:sz w:val="20"/>
          <w:szCs w:val="20"/>
          <w:color w:val="auto"/>
        </w:rPr>
      </w:pPr>
      <w:r>
        <w:rPr>
          <w:rFonts w:ascii="Arial" w:cs="Arial" w:eastAsia="Arial" w:hAnsi="Arial"/>
          <w:sz w:val="16"/>
          <w:szCs w:val="16"/>
          <w:color w:val="auto"/>
        </w:rPr>
        <w:t>See “Talen Montana Financial Assurance” in Note 9 for information on Talen Montana’s requirement to provide financial assurance for certain environmental decommissioning and remediation liabilities related to Colstrip.</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Legal, Regulatory, and Environmental Matters</w:t>
      </w:r>
    </w:p>
    <w:p>
      <w:pPr>
        <w:spacing w:after="0" w:line="167"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Legal Matters</w:t>
      </w:r>
    </w:p>
    <w:p>
      <w:pPr>
        <w:spacing w:after="0" w:line="165"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Labor Market Antitrust Class Action Lawsuit Against Nuclear Power Generators</w:t>
      </w:r>
      <w:r>
        <w:rPr>
          <w:rFonts w:ascii="Arial" w:cs="Arial" w:eastAsia="Arial" w:hAnsi="Arial"/>
          <w:sz w:val="16"/>
          <w:szCs w:val="16"/>
          <w:color w:val="auto"/>
        </w:rPr>
        <w:t>. On July 11, 2025, two individuals filed a class action in the U.S. District</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Court for the District of Maryland against Human Resources Consultants, LLC, Accelerant Technologies, and 26 nuclear power companies, including Talen, alleging that since at least May 2003 the defendants conspired to fix and suppress employee wages and benefits in violation of federal antitrust law. The proposed class includes a wide range of nuclear power generation workers, such as nuclear operators, engineers, and technicians, who were compensated with hourly wages or annual salaries, as well as benefits and other forms of compensation. The complaint alleges that the nuclear power operators used Accelerant and HR Consultants to facilitate a conspiracy to exchange employee compensation data and held in-person meetings where the power companies aligned on wage schedules, suppressed wages, and fixed compensation. The plaintiffs are seeking treble damages, injunctive relief, a declaratory judgment that the defendants’ conduct violated Section 1 of the Sherman Antitrust Act, attorneys’ fees, and costs of suit. Talen was dismissed from the case without prejudice by the plaintiffs on October 13, 2025.</w:t>
      </w:r>
    </w:p>
    <w:p>
      <w:pPr>
        <w:spacing w:after="0" w:line="139"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i w:val="1"/>
          <w:iCs w:val="1"/>
          <w:color w:val="auto"/>
        </w:rPr>
        <w:t xml:space="preserve">Brunner Island CCR Litigation. </w:t>
      </w:r>
      <w:r>
        <w:rPr>
          <w:rFonts w:ascii="Arial" w:cs="Arial" w:eastAsia="Arial" w:hAnsi="Arial"/>
          <w:sz w:val="16"/>
          <w:szCs w:val="16"/>
          <w:color w:val="auto"/>
        </w:rPr>
        <w:t>On April 2, 2025, the Center for Biological Diversity (the “CBD”) filed a citizen suit in the U.S. District Court for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Pennsylvania alleging that the Company and its subsidiary, Brunner Island, LLC, have failed to comply with groundwater monitoring and corrective action requirements at Brunner Island’s Ash Basin 5 and have therefore violated the Resource Conservation and Recovery Act (“RCRA”) and the EPA CCR Rule. The complaint seeks declaratory and injunctive relief. Talen believes the alleged claims are without merit and that the CBD’s factual and legal conclusions are incorrect. Talen filed a motion to dismiss the lawsuit on June 2, 2025, which was followed by an amicus brief from the Utility Solid Waste Activities Group in support of Talen’s motion; briefing on the motion to dismiss was completed on June 30, 2025. No assurance can be provided as to the outcome of the litigation or its impacts on Talen’s operations.</w:t>
      </w:r>
    </w:p>
    <w:p>
      <w:pPr>
        <w:spacing w:after="0" w:line="136" w:lineRule="exact"/>
        <w:rPr>
          <w:sz w:val="20"/>
          <w:szCs w:val="20"/>
          <w:color w:val="auto"/>
        </w:rPr>
      </w:pPr>
    </w:p>
    <w:p>
      <w:pPr>
        <w:ind w:right="60" w:firstLine="324"/>
        <w:spacing w:after="0" w:line="256" w:lineRule="auto"/>
        <w:rPr>
          <w:sz w:val="20"/>
          <w:szCs w:val="20"/>
          <w:color w:val="auto"/>
        </w:rPr>
      </w:pPr>
      <w:r>
        <w:rPr>
          <w:rFonts w:ascii="Arial" w:cs="Arial" w:eastAsia="Arial" w:hAnsi="Arial"/>
          <w:sz w:val="16"/>
          <w:szCs w:val="16"/>
          <w:i w:val="1"/>
          <w:iCs w:val="1"/>
          <w:color w:val="auto"/>
        </w:rPr>
        <w:t xml:space="preserve">ERCOT Weather Event (Winter Storm Uri) Lawsuits. </w:t>
      </w:r>
      <w:r>
        <w:rPr>
          <w:rFonts w:ascii="Arial" w:cs="Arial" w:eastAsia="Arial" w:hAnsi="Arial"/>
          <w:sz w:val="16"/>
          <w:szCs w:val="16"/>
          <w:color w:val="auto"/>
        </w:rPr>
        <w:t>In connection with the ERCOT Sale, the Company retained certain potential liabilities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claims filed from 2021 onward against its former Texas subsidiaries seeking unspecified damages for alleged losses caused by the defendants’ failure to provide sufficient power to the grid during Winter Storm Uri. The claims also allege similar liability against numerous other ERCOT power market participants. In December 2023, five multi-district litigation (“MDL”) bellwether lawsuits, which were selected by the MDL court as representative of all 58 cases filed in the Uri litigation, were dismissed by the MDL court, a ruling subsequently upheld by the Texas First Court of Appeals. In January and February 2025, the plaintiffs (in two groups) filed for relief in the Texas Supreme Court, seeking to overturn the lower courts. In July 2025, the Texas Supreme Court ordered merits briefing by the parties. If the Court of Appeals decision is affirmed by the Texas Supreme Court, Talen expects the dismissal ruling to apply broadly to all Uri cases against Talen’s former subsidiaries. Pursuant to the Plan of Reorganization, Talen’s maximum potential damages on prepetition Uri claims are expressly limited to payments from Talen’s insurers. However, claims filed after Talen’s restructuring by plaintiffs who did not receive effective notice of the restructuring, if any, may not be subject to the limitations in the Plan of Reorganization.</w:t>
      </w:r>
    </w:p>
    <w:p>
      <w:pPr>
        <w:spacing w:after="0" w:line="143"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i w:val="1"/>
          <w:iCs w:val="1"/>
          <w:color w:val="auto"/>
        </w:rPr>
        <w:t xml:space="preserve">Spent Nuclear Fuel Litigation. </w:t>
      </w:r>
      <w:r>
        <w:rPr>
          <w:rFonts w:ascii="Arial" w:cs="Arial" w:eastAsia="Arial" w:hAnsi="Arial"/>
          <w:sz w:val="16"/>
          <w:szCs w:val="16"/>
          <w:color w:val="auto"/>
        </w:rPr>
        <w:t>Federal law requires the U.S. government to provide for the permanent disposal of commercial spent nuclear fuel (“SNF”),</w:t>
      </w:r>
      <w:r>
        <w:rPr>
          <w:rFonts w:ascii="Arial" w:cs="Arial" w:eastAsia="Arial" w:hAnsi="Arial"/>
          <w:sz w:val="16"/>
          <w:szCs w:val="16"/>
          <w:i w:val="1"/>
          <w:iCs w:val="1"/>
          <w:color w:val="auto"/>
        </w:rPr>
        <w:t xml:space="preserve"> </w:t>
      </w:r>
      <w:r>
        <w:rPr>
          <w:rFonts w:ascii="Arial" w:cs="Arial" w:eastAsia="Arial" w:hAnsi="Arial"/>
          <w:sz w:val="16"/>
          <w:szCs w:val="16"/>
          <w:color w:val="auto"/>
        </w:rPr>
        <w:t>but the government has not yet done so. Until May 2014, the DOE required nuclear generation facility operators to contribute to a fund intended to pay for the transportation and disposal of SNF, and Talen cannot predict if or when the government will reinstate any such fee in the future. In May 2023, an existing settlement agreement between Susquehanna and the U.S. government was extended through the end of 2025. The settlement agreement requires the government to reimburse Susquehanna for certain SNF storage costs through 2025 and requires Susquehanna to waive certain claims against the government relating to temporary SNF storage. In July 2025, the Company reached an agreement with the DOE for a reimbursement of $14 million (reflecting Talen’s 90% share) related to the 2023-2024 period and received the reimbursement in August 2025.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Regulatory Matters</w:t>
      </w:r>
    </w:p>
    <w:p>
      <w:pPr>
        <w:spacing w:after="0" w:line="179"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the FERC; the DOE; the NRC;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i w:val="1"/>
          <w:iCs w:val="1"/>
          <w:color w:val="auto"/>
        </w:rPr>
        <w:t xml:space="preserve">PJM Capacity Market Reform. </w:t>
      </w:r>
      <w:r>
        <w:rPr>
          <w:rFonts w:ascii="Arial" w:cs="Arial" w:eastAsia="Arial" w:hAnsi="Arial"/>
          <w:sz w:val="16"/>
          <w:szCs w:val="16"/>
          <w:color w:val="auto"/>
        </w:rPr>
        <w:t>In June 2023, the FERC accepted a request by PJM to delay certain PJM Base Residual Auctions in order for PJM to</w:t>
      </w:r>
      <w:r>
        <w:rPr>
          <w:rFonts w:ascii="Arial" w:cs="Arial" w:eastAsia="Arial" w:hAnsi="Arial"/>
          <w:sz w:val="16"/>
          <w:szCs w:val="16"/>
          <w:i w:val="1"/>
          <w:iCs w:val="1"/>
          <w:color w:val="auto"/>
        </w:rPr>
        <w:t xml:space="preserve"> </w:t>
      </w:r>
      <w:r>
        <w:rPr>
          <w:rFonts w:ascii="Arial" w:cs="Arial" w:eastAsia="Arial" w:hAnsi="Arial"/>
          <w:sz w:val="16"/>
          <w:szCs w:val="16"/>
          <w:color w:val="auto"/>
        </w:rPr>
        <w:t>propose market reforms. PJM filed its market reform proposals with the FERC in October 2023. In early 2024, the FERC accepted portions of PJM’s proposed market changes and PJM scheduled certain PJM BRAs on a delayed basis. In September 2024, the Sierra Club and other organizations filed a complaint at the FERC challenging PJM’s rules establishing must-offer exceptions for PJM BRA participation by RMR resources. In October 2024, PJM announced it had concerns about the FERC considering the Sierra Club’s complaints about RMR resources in isolation and therefore intended to file a Section 205 proceeding under the Federal Power Act seeking the FERC’s approval of to-be-determined market reforms, including but not limited to potential revisions to the treatment of RMR resources. As a result, in October 2024, PJM formally requested, which the FERC approved, six-month delays to the scheduled PJM BRAs for the 2027/2028, 2028/2029, and 2029/2030 PJM Capacity Years to December 2025, June 2026, and December 2026, respectively. Currently, the auction for the 2030/2031 PJM Capacity Year in May 2027 is scheduled on a non-delayed basis. Talen can provide no assurance that these or any scheduled PJM BRAs will be held on such dates or at all.</w:t>
      </w:r>
    </w:p>
    <w:p>
      <w:pPr>
        <w:spacing w:after="0" w:line="128"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A series of filings aimed at reforming the PJM capacity market were filed at the FERC. In November 2024, the Joint Consumer Advocates, comprised of consumer advocacy groups and government entities from Illinois, Maryland, New Jersey, Ohio, and the District of Columbia filed a complaint against PJM asking the FERC to find that PJM’s existing capacity market rules are unjust and unreasonable and to issue an order requiring certain short-term and longer-term changes to PJM’s capacity market rules.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response, PJM made two FERC filings in December 2024 to address what they perceive as capacity market design issues (the “PJM Capacity Market</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205 Proceeding”). PJM proposed to retain the dual fuel combustion turbine as the reference resource and to implement a uniform non-performance charge throughout the RTO for the 2026/2027 and 2027/2028 PJM Capacity Years, and to administratively include RMR units that meet certain criteria as price takers in the capacity auctions for the next two delivery years and will not assess penalties or pay bonuses to these RMR units. PJM’s filing also clarifies that being excused from being required to offer into the capacity market is no defense to exercising market power by electing not to offer. Further, PJM proposed to make changes to the capacity market mitigation rules. This proposal will eliminate the must-offer exception for intermittent and limited duration resources that are eligible to participate in the capacity market and will allow market sellers to incorporate a risk component in their capacity market offers. In February 2025, the FERC accepted PJM’s proposals in the PJM Capacity Market 205 Proceeding and as a result, the changes to the PJM BRA parameters described above as part of that proceeding were adopted for the 2026/2027 and 2027/2028 PJM Capacity Years.</w:t>
      </w:r>
    </w:p>
    <w:p>
      <w:pPr>
        <w:spacing w:after="0" w:line="126"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In December 2024, the Pennsylvania Governor filed a complaint against PJM at the FERC to address alleged elevated costs to consumers from the PJM capacity market in the 2026/2027 and 2027/2028 PJM Capacity Years and proposed, among other things, a lower capacity price cap. As a result of a subsequent agreement between the State of Pennsylvania and PJM that resolved the Governor’s complaint, the Governor withdrew the complaint in February 2025. In April 2025, the FERC accepted PJM’s proposals reflecting its agreement with the State of Pennsylvania. As a result, the PJM BRA imposed a price collar with an approximate minimum and maximum price of $175/MWd and $325/MWd, respectively, which was effective for the 2026/2027 PJM BRA in July 2025 (see Note 3 for additional information on the results) and will also be effective for the 2027/2028 PJM BRA.</w:t>
      </w:r>
    </w:p>
    <w:p>
      <w:pPr>
        <w:spacing w:after="0" w:line="122" w:lineRule="exact"/>
        <w:rPr>
          <w:sz w:val="20"/>
          <w:szCs w:val="20"/>
          <w:color w:val="auto"/>
        </w:rPr>
      </w:pPr>
    </w:p>
    <w:p>
      <w:pPr>
        <w:ind w:right="180" w:firstLine="324"/>
        <w:spacing w:after="0" w:line="304" w:lineRule="auto"/>
        <w:rPr>
          <w:sz w:val="20"/>
          <w:szCs w:val="20"/>
          <w:color w:val="auto"/>
        </w:rPr>
      </w:pPr>
      <w:r>
        <w:rPr>
          <w:rFonts w:ascii="Arial" w:cs="Arial" w:eastAsia="Arial" w:hAnsi="Arial"/>
          <w:sz w:val="16"/>
          <w:szCs w:val="16"/>
          <w:color w:val="auto"/>
        </w:rPr>
        <w:t>In February 2025, the FERC initiated a technical conference docket to consider broad resource adequacy issues across all RTOs, with the initial proceedings taking place in June 2025. The Company has intervened in the new technical conference docket and is closely monitoring those proceedings.</w:t>
      </w:r>
    </w:p>
    <w:p>
      <w:pPr>
        <w:spacing w:after="0" w:line="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In August 2025, PJM began an accelerated process known as a Critical Issue Fast Path (“CIFP”) process with stakeholders to address how to integrate large load customers quickly and reliably. The CIFP stakeholders represent a wide range of views about resource allocations, costs, and how the addition of large loads like data centers to PJM should be managed in the context of the capacity market. The Company is an active participant in the CIFP process and has submitted a joint proposal amongst itself, Constellation, Calpine, Amazon, Microsoft, and Google representing the group’s collective views on the best approach to large load additions. PJM has expressed its desire to make a filing at the FERC in December 2025, containing PJM’s ultimate proposal to be in place for the 2028/2029 PJM BRA. The FERC will need to approve PJM’s proposal before PJM could implement some or all of its parts. It is uncertain at this time what PJM will propose or what, if any, changes to the capacity market will be approved by the FERC at the end of the CIFP process.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65"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color w:val="auto"/>
        </w:rPr>
        <w:t>Extensive federal, state, and local environmental laws and regulations are applicable to our business, including those related to air emissions, water discharges,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in March 2025, the EPA announced that it will reconsider and potentially roll back 31 regulations and policies, many of which directly impact Talen, and various executive actions were taken in April 2025 to further encourage deregulation. The EPA’s reconsiderations remain ongoing, and certain executive orders have subsequently been challenged by states and individual plaintiffs. Future provisions, implementation, and enforcement of these executive actions and the environmental rules continue to be uncertain. Further, costs may increase significantly if the requirements or scope of environmental laws or regulations, or similar rules, are expanded or changed in other ways.</w:t>
      </w:r>
    </w:p>
    <w:p>
      <w:pPr>
        <w:spacing w:after="0" w:line="141" w:lineRule="exact"/>
        <w:rPr>
          <w:sz w:val="20"/>
          <w:szCs w:val="20"/>
          <w:color w:val="auto"/>
        </w:rPr>
      </w:pPr>
    </w:p>
    <w:p>
      <w:pPr>
        <w:ind w:right="80" w:firstLine="324"/>
        <w:spacing w:after="0" w:line="256" w:lineRule="auto"/>
        <w:rPr>
          <w:sz w:val="20"/>
          <w:szCs w:val="20"/>
          <w:color w:val="auto"/>
        </w:rPr>
      </w:pPr>
      <w:r>
        <w:rPr>
          <w:rFonts w:ascii="Arial" w:cs="Arial" w:eastAsia="Arial" w:hAnsi="Arial"/>
          <w:sz w:val="16"/>
          <w:szCs w:val="16"/>
          <w:i w:val="1"/>
          <w:iCs w:val="1"/>
          <w:color w:val="auto"/>
        </w:rPr>
        <w:t xml:space="preserve">EPA CSAPR and Nitrogen Oxides (“NOx”) Requirements. </w:t>
      </w:r>
      <w:r>
        <w:rPr>
          <w:rFonts w:ascii="Arial" w:cs="Arial" w:eastAsia="Arial" w:hAnsi="Arial"/>
          <w:sz w:val="16"/>
          <w:szCs w:val="16"/>
          <w:color w:val="auto"/>
        </w:rPr>
        <w:t>Coal-fired generation facilities, including those in which Talen has ownership, have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of EPA regulations and efforts by certain states and other parties to strengthen applicable NOx emission limits under the Clean Air Act. In 2015, the EPA revised the 8-hour ozone National Ambient Air Quality Standards for ground-level ozone to 70 parts per billion (the “EPA 2015 Ozone Standard”). This action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(the “Good Neighbor Plan”). Talen’s facilities in Maryland, Pennsylvania, and New Jersey were subject to the new rule; however, the entire rule was challenged by multiple parties, and subsequently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 After initially denying the EPA’s request in February 2025, the D.C. Circuit Court of Appeals in April 2025, granted the EPA’s motion requesting the Good Neighbor Plan litigation be held in abeyance pending the EPA’s review of the stayed rule and further orders by the court. As a result, future implementation and enforcement of the Good Neighbor Plan has continued to be uncertain.</w:t>
      </w:r>
    </w:p>
    <w:p>
      <w:pPr>
        <w:spacing w:after="0" w:line="142"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i w:val="1"/>
          <w:iCs w:val="1"/>
          <w:color w:val="auto"/>
        </w:rPr>
        <w:t xml:space="preserve">EPA MATS Rule. </w:t>
      </w:r>
      <w:r>
        <w:rPr>
          <w:rFonts w:ascii="Arial" w:cs="Arial" w:eastAsia="Arial" w:hAnsi="Arial"/>
          <w:sz w:val="16"/>
          <w:szCs w:val="16"/>
          <w:color w:val="auto"/>
        </w:rPr>
        <w:t>In May 2024, the EPA published a rule that requires coal-fired generation facilities to reduce particulate matter emissions by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of 2027 (or 2028, if an extension is approved). If the rule remains in effect, Colstrip is not expected to meet the new particulate matter standard without substantial upgrades to its control equipment. As a result, Talen Montana and the other Colstrip co-owners face the decision either to invest in new cost-prohibitive control equipment or retire the Colstrip facility. Such a decision must be evaluated in conjunction with compliance requirements under the May 2024 EPA GHG Rule due to timing and costs. Challenges to the EPA MATS Rule have been filed in the D.C. Circuit Court of Appeals, including by Talen and 23 states. After motions to stay the EPA MATS Rule during the pendency of the litigation were denied by the D.C. Circuit Court of Appeals, Talen and other parties filed emergency stay request applications with the U.S. Supreme Court in September 2024, which were denied in October 2024. The appeal on the merits of the 2024 rule remains pending in the D.C. Circuit Court of Appeals. The litigation has been held in abeyance since February 2025, while the EPA reconsiders the rule. No assurance can be provided as to when the challenges to the EPA MATS Rule will be resolved or whether such challenges will be resolved in the Company’s favor.</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6"/>
          <w:szCs w:val="16"/>
          <w:color w:val="auto"/>
        </w:rPr>
        <w:t>In March 2025, the EPA formally announced that it was reconsidering the 2024 EPA MATS Rule as part of its deregulation agenda. Concurrently, the Trump administration announced it was considering a two-year exemption from compliance obligations via Section 112(i)(4) of the Clean Air Act for affected power plants while the EPA reconsiders the rule. Talen applied for the exemption, which was granted in April 2025. This authorization affords more time for the Colstrip owners to consider the operational future of Colstrip. In June 2025, the EPA proposed a rule to repeal certain 2024 amendments to the EPA MATS Rule and revert to particulate matter standards promulgated in the 2012 EPA MATS Rule. The public comment period on the proposal expired on August 11, 2025. No assurance can be provided as to whether the rule will be finalized and whether a final rule will survive judicial challenge. The day after the EPA announced its reconsideration rule, environmental groups filed separate lawsuits in the D.C. Circuit Court of Appeals and the U.S. District Court for D.C., challenging the presidential exemptions issued to Colstrip and other fossil fuel-fired power plants. On August 5, 2025, the EPA filed a motion in each case requesting the courts hold the litigation in abeyance for six months pending the EPA’s efforts to repeal the 2024 EPA MATS Rule. Talen filed motions to intervene in both cases on August 8, 2025. On September 3, 2025, the U.S. District Court for D.C. granted the EPA’s motion to hold the case in abeyance for six months and also granted Talen’s motion to intervene. The D.C. Circuit Court of Appeals granted the EPA’s motion for an abeyance and Talen’s motion to intervene in October 2025. No assurance can be provided as to the outcome of this litigation. The Company could be forced to make operating decisions about the future of Colstrip before clarity is obtained on the reconsideration rule and (or) litigation.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i w:val="1"/>
          <w:iCs w:val="1"/>
          <w:color w:val="auto"/>
        </w:rPr>
        <w:t xml:space="preserve">EPA GHG Rule. </w:t>
      </w:r>
      <w:r>
        <w:rPr>
          <w:rFonts w:ascii="Arial" w:cs="Arial" w:eastAsia="Arial" w:hAnsi="Arial"/>
          <w:sz w:val="16"/>
          <w:szCs w:val="16"/>
          <w:color w:val="auto"/>
        </w:rPr>
        <w:t>In May 2024, the EPA published a rule that establishes carbon dioxide limits for new electric generating units (“EGUs”) and greenhouse</w:t>
      </w:r>
      <w:r>
        <w:rPr>
          <w:rFonts w:ascii="Arial" w:cs="Arial" w:eastAsia="Arial" w:hAnsi="Arial"/>
          <w:sz w:val="16"/>
          <w:szCs w:val="16"/>
          <w:i w:val="1"/>
          <w:iCs w:val="1"/>
          <w:color w:val="auto"/>
        </w:rPr>
        <w:t xml:space="preserve"> </w:t>
      </w:r>
      <w:r>
        <w:rPr>
          <w:rFonts w:ascii="Arial" w:cs="Arial" w:eastAsia="Arial" w:hAnsi="Arial"/>
          <w:sz w:val="16"/>
          <w:szCs w:val="16"/>
          <w:color w:val="auto"/>
        </w:rPr>
        <w:t>gas (“GHG”) guidelines 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a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w:t>
      </w:r>
    </w:p>
    <w:p>
      <w:pPr>
        <w:spacing w:after="0" w:line="137"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The D.C. Circuit Court of Appeals has held the litigation in abeyance since February 2025 to allow the EPA to reconsider the rule. No assurance can be provided as to when the challenges to the EPA GHG Rule will be resolved or whether such challenges will be resolved in the Company’s favor. In June 2025, the EPA released a proposed rule to repeal all GHG emission standards for fossil fuel-fired power plants. As an alternative, the EPA is proposing a narrow repeal of GHG standards, which would eliminate all emissions guidelines and standards for existing power plants and the Phase 2 GHG emissions standards that would apply to new combustion turbines beginning in 2032. Under the alternative proposal, Phase 1 GHG emissions standards applicable to new and reconstructed baseload fossil fuel-fired stationary combustion turbines would be retained. The public comment period on the proposal expired on August 7, 2025. No assurance can be provided as to whether the rule will be finalized and whether a final rule will survive judicial challenge. The EPA has also in the past stated its intent to develop GHG regulations for existing natural gas combustion turbines; however, no rule has been proposed, and no recent statements have been made. Operating decisions about the future of Colstrip are highly dependent on the fate of the EPA GHG Rule as well as the EPA MATS Rule. Given the legal and regulatory uncertainties with both rules, it is possible the Company will be required to make decisions about Colstrip’s future before it has clarity about the outcome of litigation and (or) the EPA’s regulations.</w:t>
      </w:r>
    </w:p>
    <w:p>
      <w:pPr>
        <w:spacing w:after="0" w:line="145"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i w:val="1"/>
          <w:iCs w:val="1"/>
          <w:color w:val="auto"/>
        </w:rPr>
        <w:t xml:space="preserve">GHG Endangerment Finding. </w:t>
      </w:r>
      <w:r>
        <w:rPr>
          <w:rFonts w:ascii="Arial" w:cs="Arial" w:eastAsia="Arial" w:hAnsi="Arial"/>
          <w:sz w:val="16"/>
          <w:szCs w:val="16"/>
          <w:color w:val="auto"/>
        </w:rPr>
        <w:t>In July 2025, the EPA issued a proposal to repeal its 2009 finding that GHG emissions endanger public health and</w:t>
      </w:r>
      <w:r>
        <w:rPr>
          <w:rFonts w:ascii="Arial" w:cs="Arial" w:eastAsia="Arial" w:hAnsi="Arial"/>
          <w:sz w:val="16"/>
          <w:szCs w:val="16"/>
          <w:i w:val="1"/>
          <w:iCs w:val="1"/>
          <w:color w:val="auto"/>
        </w:rPr>
        <w:t xml:space="preserve"> </w:t>
      </w:r>
      <w:r>
        <w:rPr>
          <w:rFonts w:ascii="Arial" w:cs="Arial" w:eastAsia="Arial" w:hAnsi="Arial"/>
          <w:sz w:val="16"/>
          <w:szCs w:val="16"/>
          <w:color w:val="auto"/>
        </w:rPr>
        <w:t>welfare. The EPA made the 2009 endangerment finding in order to promulgate GHG emission standards for new motor vehicles under Section 202(a) of the Clean Air Act. The EPA has subsequently relied on its 2009 endangerment finding as a basis to regulate other sources of GHGs, including power plants. If finalized, the EPA’s proposal would repeal all GHG emission standards for light-, medium-, and heavy-duty vehicles and engines. The proposed rule does not explicitly state how a repeal of the 2009 endangerment finding would impact its authority to regulate GHG emissions from stationary sources. However, the EPA states that the endangerment finding has been broadly used to justify regulation of stationary sources in a manner inconsistent with the Clean Air Act. The EPA also notes that it is currently reconsidering its authority to regulate GHGs from other sources, including stationary sources, in separate rulemakings. The public comment period on the proposal expired on September 22, 2025. No assurance can be provided as to whether the rule will be finalized and whether a final rule will survive judicial challenge.</w:t>
      </w:r>
    </w:p>
    <w:p>
      <w:pPr>
        <w:spacing w:after="0" w:line="123" w:lineRule="exact"/>
        <w:rPr>
          <w:sz w:val="20"/>
          <w:szCs w:val="20"/>
          <w:color w:val="auto"/>
        </w:rPr>
      </w:pPr>
    </w:p>
    <w:p>
      <w:pPr>
        <w:ind w:right="80" w:firstLine="324"/>
        <w:spacing w:after="0" w:line="262" w:lineRule="auto"/>
        <w:rPr>
          <w:sz w:val="20"/>
          <w:szCs w:val="20"/>
          <w:color w:val="auto"/>
        </w:rPr>
      </w:pPr>
      <w:r>
        <w:rPr>
          <w:rFonts w:ascii="Arial" w:cs="Arial" w:eastAsia="Arial" w:hAnsi="Arial"/>
          <w:sz w:val="16"/>
          <w:szCs w:val="16"/>
          <w:i w:val="1"/>
          <w:iCs w:val="1"/>
          <w:color w:val="auto"/>
        </w:rPr>
        <w:t xml:space="preserve">Pennsylvania RGGI. </w:t>
      </w:r>
      <w:r>
        <w:rPr>
          <w:rFonts w:ascii="Arial" w:cs="Arial" w:eastAsia="Arial" w:hAnsi="Arial"/>
          <w:sz w:val="16"/>
          <w:szCs w:val="16"/>
          <w:color w:val="auto"/>
        </w:rPr>
        <w:t>In October 2019, the then-Governor of Pennsylvania signed an executive order directing the Pennsylvania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Protection (the “PADEP”)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PADEP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case. Oral argument in the case took place in May 2025. The litigation is ongoing.</w:t>
      </w:r>
    </w:p>
    <w:p>
      <w:pPr>
        <w:spacing w:after="0" w:line="120"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i w:val="1"/>
          <w:iCs w:val="1"/>
          <w:color w:val="auto"/>
        </w:rPr>
        <w:t xml:space="preserve">EPA ELG Rule. </w:t>
      </w:r>
      <w:r>
        <w:rPr>
          <w:rFonts w:ascii="Arial" w:cs="Arial" w:eastAsia="Arial" w:hAnsi="Arial"/>
          <w:sz w:val="16"/>
          <w:szCs w:val="16"/>
          <w:color w:val="auto"/>
        </w:rPr>
        <w:t>In November 2015, the EPA revised the effluent limitation guidelines (“ELGs”) for certain power generation facilities, which imposed</w:t>
      </w:r>
      <w:r>
        <w:rPr>
          <w:rFonts w:ascii="Arial" w:cs="Arial" w:eastAsia="Arial" w:hAnsi="Arial"/>
          <w:sz w:val="16"/>
          <w:szCs w:val="16"/>
          <w:i w:val="1"/>
          <w:iCs w:val="1"/>
          <w:color w:val="auto"/>
        </w:rPr>
        <w:t xml:space="preserve"> </w:t>
      </w:r>
      <w:r>
        <w:rPr>
          <w:rFonts w:ascii="Arial" w:cs="Arial" w:eastAsia="Arial" w:hAnsi="Arial"/>
          <w:sz w:val="16"/>
          <w:szCs w:val="16"/>
          <w:color w:val="auto"/>
        </w:rPr>
        <w:t>more stringent 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These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its own determination with respect to NPDES permit renewals with new limits and associated timing. As a result of the future permit conditions, additional capital expenditures and (or) AROs may be required, which may have a material impact on Talen’s operations and (or) financial condition.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color w:val="auto"/>
        </w:rPr>
        <w:t>Multiple challenges, including stay requests, to the EPA ELG Rule have been filed in various U.S. Courts of Appeal by parties that include 15 states, environmental groups, and industry groups, including the Utility Water Act Group, of which Talen is a member. The appeals have been consolidated in the U.S. Court of Appeals for the Eighth Circuit, which denied requests to stay the rule in October 2024. At the EPA’s request, the Eighth Circuit has held the consolidated challenges in abeyance since February 2025 to allow the EPA to reconsider the rule. In March 2025, the EPA announced that it will revise the EPA ELG Rule as part of its deregulation agenda while considering immediate relief from some of the existing leachate requirements. In June 2025, the EPA announced that it will issue a proposal in 2025 to extend compliance deadlines under the 2024 EPA ELG Rule and seek information to potentially inform further rulemaking. In September 2025, the EPA issued a direct final rule extending a short-term deadline and a companion proposal extending many compliance deadlines for the 2024 EPA ELG Rule and providing some flexibility relating to some deadlines in the 2020 ELG Rule. The EPA is accepting comments on the direct final rule and proposed rule until November 3, 2025. The EPA has stated that information obtained during this rulemaking will inform whether it will proceed with a second rulemaking to revise the regulatory standards in the 2024 EPA ELG Rule. No assurance can be provided as to what changes will come from the EPA’s regulatory reconsideration of the rule, when the challenges to the EPA ELG Rule merits will be resolved, or whether such changes and challenges will be resolved in the Company’s favor.</w:t>
      </w:r>
    </w:p>
    <w:p>
      <w:pPr>
        <w:spacing w:after="0" w:line="142"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i w:val="1"/>
          <w:iCs w:val="1"/>
          <w:color w:val="auto"/>
        </w:rPr>
        <w:t xml:space="preserve">EPA CCR Rule. </w:t>
      </w:r>
      <w:r>
        <w:rPr>
          <w:rFonts w:ascii="Arial" w:cs="Arial" w:eastAsia="Arial" w:hAnsi="Arial"/>
          <w:sz w:val="16"/>
          <w:szCs w:val="16"/>
          <w:color w:val="auto"/>
        </w:rPr>
        <w:t>In April 2015, the EPA established regulations under the RCRA to identify CCRs as nonhazardous solid waste and provided CCR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(the “Legacy CCR Rule”), which provided new requirements for legacy CCR surface impoundments and new requirements for other CCR disposal and management areas at active power plants (“CCR Management Units” or “CCRMUs”). This rule has been challenged in the D.C. Circuit Court of Appeals by multiple parties, including two industry groups of which Talen is a member. In December 2024, the U.S. Supreme Court denied a requested stay of the Legacy CCR Rule. At the EPA’s request, the D.C. Circuit Court of Appeals has held the case in abeyance since February 2025 to allow the EPA to reconsider the rule. Additionally, the EPA is being challenged by other industry parties on new regulatory interpretations that could be consequential to CCR unit closure practices and costs. In March 2025, the EPA announced that it will prioritize the coal ash program by expediting state permit reviews and complete a rule change within a year. In July 2025, the EPA issued a direct final rule and companion proposal extending compliance deadlines for elements of the Legacy CCR Rule. In September 2025, the EPA issued a notice withdrawing the direct final rule because the agency received adverse comments. The EPA continued to accept public comments on the parallel proposed rule through September 15, 2025. No assurance can be provided as to when and how the regulations will change, when the legal challenges to the Legacy CCR Rule and the EPA’s interpretations will be resolved, or whether such challenges will be decided in the Company’s favor.</w:t>
      </w:r>
    </w:p>
    <w:p>
      <w:pPr>
        <w:spacing w:after="0" w:line="133"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Talen continues to review the new Legacy CCR Rule provisions that went into effect in 2024, perform the required applicability assessments, and await additional information and guidance from the EPA concerning the rule’s requirements. Pursuant to the current regulations, initial facility evaluation reports to identify CCR areas which may become regulated and subject to the rule’s requirements are due in February 2026. Following that, site investigation may be required to further investigate applicability, and a subsequent facility report is due in February 2027. The Company has initiated reviews under the facility evaluation report requirements at locations with ash impoundments that have long since ceased coal operations as well as at locations with current coal operations. No assurance can be provided as to whether any specific ash impoundments owned by the Company may or may not be within scope of the updated Legacy CCR Rule until the Company completes its assessments within the regulatory timeframe.</w:t>
      </w:r>
    </w:p>
    <w:p>
      <w:pPr>
        <w:spacing w:after="0" w:line="120"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As of September 30, 2025, the Company has recognized cost estimates in complying with the Legacy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Talen’s operations and (or) financial condition.</w:t>
      </w:r>
    </w:p>
    <w:p>
      <w:pPr>
        <w:spacing w:after="0" w:line="334" w:lineRule="exact"/>
        <w:rPr>
          <w:sz w:val="20"/>
          <w:szCs w:val="20"/>
          <w:color w:val="auto"/>
        </w:rPr>
      </w:pPr>
    </w:p>
    <w:p>
      <w:pPr>
        <w:ind w:right="540" w:firstLine="324"/>
        <w:spacing w:after="0" w:line="286" w:lineRule="auto"/>
        <w:rPr>
          <w:sz w:val="20"/>
          <w:szCs w:val="20"/>
          <w:color w:val="auto"/>
        </w:rPr>
      </w:pPr>
      <w:r>
        <w:rPr>
          <w:rFonts w:ascii="Arial" w:cs="Arial" w:eastAsia="Arial" w:hAnsi="Arial"/>
          <w:sz w:val="16"/>
          <w:szCs w:val="16"/>
          <w:color w:val="auto"/>
        </w:rPr>
        <w:t>In April 2025, a citizen suit was filed in the U.S. District Court for the Middle District of Pennsylvania alleging that the Company and its subsidiary, Brunner Island, LLC, are in violation of RCRA and the EPA CCR Rule. See the “Legal Matters” section above for additional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Certain Resolved Matters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12 to the Annual Financial Statements for certain legal matters previously resolved.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Guarantees and Other Assurances</w:t>
      </w:r>
    </w:p>
    <w:p>
      <w:pPr>
        <w:spacing w:after="0" w:line="16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w:t>
      </w:r>
    </w:p>
    <w:p>
      <w:pPr>
        <w:spacing w:after="0" w:line="118"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i w:val="1"/>
          <w:iCs w:val="1"/>
          <w:color w:val="auto"/>
        </w:rPr>
        <w:t xml:space="preserve">Surety Bonds. </w:t>
      </w:r>
      <w:r>
        <w:rPr>
          <w:rFonts w:ascii="Arial" w:cs="Arial" w:eastAsia="Arial" w:hAnsi="Arial"/>
          <w:sz w:val="16"/>
          <w:szCs w:val="16"/>
          <w:color w:val="auto"/>
        </w:rPr>
        <w:t>Surety bonds provide financial performance assurance to third parties on behalf of certain Company subsidiaries for obligations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September 30, 2025 and December 31, 2024, the aggregate amount of surety bonds outstanding was $232 million and $234 million, respectively, including surety bonds posted on behalf of Talen Montana as discussed below.</w:t>
      </w:r>
    </w:p>
    <w:p>
      <w:pPr>
        <w:spacing w:after="0" w:line="13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i w:val="1"/>
          <w:iCs w:val="1"/>
          <w:color w:val="auto"/>
        </w:rPr>
        <w:t xml:space="preserve">Talen Montana Financial Assurance. </w:t>
      </w:r>
      <w:r>
        <w:rPr>
          <w:rFonts w:ascii="Arial" w:cs="Arial" w:eastAsia="Arial" w:hAnsi="Arial"/>
          <w:sz w:val="16"/>
          <w:szCs w:val="16"/>
          <w:color w:val="auto"/>
        </w:rPr>
        <w:t>Pursuant to the Colstrip Administrative Order on Consent (the “Colstrip AOC”), Talen Montana, in its capacity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w:t>
      </w:r>
    </w:p>
    <w:p>
      <w:pPr>
        <w:spacing w:after="0" w:line="122" w:lineRule="exact"/>
        <w:rPr>
          <w:sz w:val="20"/>
          <w:szCs w:val="20"/>
          <w:color w:val="auto"/>
        </w:rPr>
      </w:pPr>
    </w:p>
    <w:p>
      <w:pPr>
        <w:ind w:right="200" w:firstLine="324"/>
        <w:spacing w:after="0" w:line="265" w:lineRule="auto"/>
        <w:rPr>
          <w:sz w:val="20"/>
          <w:szCs w:val="20"/>
          <w:color w:val="auto"/>
        </w:rPr>
      </w:pPr>
      <w:r>
        <w:rPr>
          <w:rFonts w:ascii="Arial" w:cs="Arial" w:eastAsia="Arial" w:hAnsi="Arial"/>
          <w:sz w:val="16"/>
          <w:szCs w:val="16"/>
          <w:color w:val="auto"/>
        </w:rPr>
        <w:t>The aggregate amount of surety bonds posted to the MDEQ on behalf of Talen Montana’s proportionate share of such activities was $114 million and $125 million as of September 30, 2025 and December 31, 2024,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8 for additional information on Colstrip AROs.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Long-Term Debt and Other Credit Facilities</w:t>
      </w:r>
    </w:p>
    <w:p>
      <w:pPr>
        <w:spacing w:after="0" w:line="167" w:lineRule="exact"/>
        <w:rPr>
          <w:sz w:val="20"/>
          <w:szCs w:val="20"/>
          <w:color w:val="auto"/>
        </w:rPr>
      </w:pPr>
    </w:p>
    <w:p>
      <w:pPr>
        <w:ind w:right="80" w:firstLine="324"/>
        <w:spacing w:after="0" w:line="304" w:lineRule="auto"/>
        <w:rPr>
          <w:sz w:val="20"/>
          <w:szCs w:val="20"/>
          <w:color w:val="auto"/>
        </w:rPr>
      </w:pPr>
      <w:r>
        <w:rPr>
          <w:rFonts w:ascii="Arial" w:cs="Arial" w:eastAsia="Arial" w:hAnsi="Arial"/>
          <w:sz w:val="16"/>
          <w:szCs w:val="16"/>
          <w:color w:val="auto"/>
        </w:rPr>
        <w:t>TES is the borrower/issuer under all the Company’s debt and credit facilities. As of September 30, 2025, TES was not in default under any of its debt or credit agreements.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Long-Term Debt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18"/>
                <w:szCs w:val="18"/>
                <w:b w:val="1"/>
                <w:bCs w:val="1"/>
                <w:color w:val="auto"/>
                <w:vertAlign w:val="superscript"/>
              </w:rPr>
              <w:t>(a)</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8"/>
                <w:szCs w:val="18"/>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22"/>
        </w:trPr>
        <w:tc>
          <w:tcPr>
            <w:tcW w:w="67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468"/>
              <w:spacing w:after="0" w:line="122"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468"/>
              <w:spacing w:after="0" w:line="122" w:lineRule="exact"/>
              <w:rPr>
                <w:sz w:val="20"/>
                <w:szCs w:val="20"/>
                <w:color w:val="auto"/>
              </w:rPr>
            </w:pPr>
            <w:r>
              <w:rPr>
                <w:rFonts w:ascii="Arial" w:cs="Arial" w:eastAsia="Arial" w:hAnsi="Arial"/>
                <w:sz w:val="14"/>
                <w:szCs w:val="14"/>
                <w:b w:val="1"/>
                <w:bCs w:val="1"/>
                <w:color w:val="auto"/>
              </w:rPr>
              <w:t>2024</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TLB-1</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6.73 %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857</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TLB-2</w:t>
            </w:r>
          </w:p>
        </w:tc>
        <w:tc>
          <w:tcPr>
            <w:tcW w:w="1400" w:type="dxa"/>
            <w:vAlign w:val="bottom"/>
          </w:tcPr>
          <w:p>
            <w:pPr>
              <w:jc w:val="center"/>
              <w:spacing w:after="0"/>
              <w:rPr>
                <w:sz w:val="20"/>
                <w:szCs w:val="20"/>
                <w:color w:val="auto"/>
              </w:rPr>
            </w:pPr>
            <w:r>
              <w:rPr>
                <w:rFonts w:ascii="Arial" w:cs="Arial" w:eastAsia="Arial" w:hAnsi="Arial"/>
                <w:sz w:val="14"/>
                <w:szCs w:val="14"/>
                <w:color w:val="auto"/>
              </w:rPr>
              <w:t>6.73 %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Secured Notes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8.63 %</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PEDFA 2009B Bonds</w:t>
            </w:r>
          </w:p>
        </w:tc>
        <w:tc>
          <w:tcPr>
            <w:tcW w:w="1400" w:type="dxa"/>
            <w:vAlign w:val="bottom"/>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PEDFA 2009C Bonds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81</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principal</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3,038</w:t>
            </w:r>
          </w:p>
        </w:tc>
      </w:tr>
      <w:tr>
        <w:trPr>
          <w:trHeight w:val="199"/>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Unamortized deferred financing costs and original issuance discounts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(34)</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carrying value</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2,986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3,004</w:t>
            </w:r>
          </w:p>
        </w:tc>
      </w:tr>
      <w:tr>
        <w:trPr>
          <w:trHeight w:val="200"/>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Less: long-term debt, due within one year</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Long-term debt</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2,969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2,987</w:t>
            </w:r>
          </w:p>
        </w:tc>
      </w:tr>
      <w:tr>
        <w:trPr>
          <w:trHeight w:val="22"/>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Computed interest rate as of September 30,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Revolving Credit and Other Facilities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Committed</w:t>
            </w:r>
          </w:p>
        </w:tc>
        <w:tc>
          <w:tcPr>
            <w:tcW w:w="120" w:type="dxa"/>
            <w:vAlign w:val="bottom"/>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Direct Cash</w:t>
            </w:r>
          </w:p>
        </w:tc>
        <w:tc>
          <w:tcPr>
            <w:tcW w:w="1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LCs Issued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Unused</w:t>
            </w:r>
          </w:p>
        </w:tc>
        <w:tc>
          <w:tcPr>
            <w:tcW w:w="120" w:type="dxa"/>
            <w:vAlign w:val="bottom"/>
          </w:tcPr>
          <w:p>
            <w:pPr>
              <w:spacing w:after="0"/>
              <w:rPr>
                <w:sz w:val="12"/>
                <w:szCs w:val="12"/>
                <w:color w:val="auto"/>
              </w:rPr>
            </w:pPr>
          </w:p>
        </w:tc>
        <w:tc>
          <w:tcPr>
            <w:tcW w:w="92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Direct Cash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LCs Issued</w:t>
            </w: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88"/>
              <w:spacing w:after="0" w:line="145" w:lineRule="exact"/>
              <w:rPr>
                <w:sz w:val="20"/>
                <w:szCs w:val="20"/>
                <w:color w:val="auto"/>
              </w:rPr>
            </w:pPr>
            <w:r>
              <w:rPr>
                <w:rFonts w:ascii="Arial" w:cs="Arial" w:eastAsia="Arial" w:hAnsi="Arial"/>
                <w:sz w:val="14"/>
                <w:szCs w:val="14"/>
                <w:b w:val="1"/>
                <w:bCs w:val="1"/>
                <w:color w:val="auto"/>
              </w:rPr>
              <w:t>Unused</w:t>
            </w:r>
          </w:p>
        </w:tc>
        <w:tc>
          <w:tcPr>
            <w:tcW w:w="0" w:type="dxa"/>
            <w:vAlign w:val="bottom"/>
          </w:tcPr>
          <w:p>
            <w:pPr>
              <w:spacing w:after="0"/>
              <w:rPr>
                <w:sz w:val="1"/>
                <w:szCs w:val="1"/>
                <w:color w:val="auto"/>
              </w:rPr>
            </w:pPr>
          </w:p>
        </w:tc>
      </w:tr>
      <w:tr>
        <w:trPr>
          <w:trHeight w:val="201"/>
        </w:trPr>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1E1E2"/>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b w:val="1"/>
                <w:bCs w:val="1"/>
                <w:color w:val="auto"/>
              </w:rPr>
              <w:t xml:space="preserve">Capacity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Capacity</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1E1E2"/>
            </w:tcBorders>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196"/>
        </w:trPr>
        <w:tc>
          <w:tcPr>
            <w:tcW w:w="1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RCF</w:t>
            </w:r>
          </w:p>
        </w:tc>
        <w:tc>
          <w:tcPr>
            <w:tcW w:w="1540" w:type="dxa"/>
            <w:vAlign w:val="bottom"/>
            <w:gridSpan w:val="2"/>
            <w:shd w:val="clear" w:color="auto" w:fill="E1E1E2"/>
          </w:tcPr>
          <w:p>
            <w:pPr>
              <w:jc w:val="center"/>
              <w:ind w:right="80"/>
              <w:spacing w:after="0"/>
              <w:rPr>
                <w:sz w:val="20"/>
                <w:szCs w:val="20"/>
                <w:color w:val="auto"/>
              </w:rPr>
            </w:pPr>
            <w:r>
              <w:rPr>
                <w:rFonts w:ascii="Arial" w:cs="Arial" w:eastAsia="Arial" w:hAnsi="Arial"/>
                <w:sz w:val="14"/>
                <w:szCs w:val="14"/>
                <w:color w:val="auto"/>
              </w:rPr>
              <w:t>December 2029</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1E1E2"/>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E1E1E2"/>
          </w:tcPr>
          <w:p>
            <w:pPr>
              <w:ind w:left="760"/>
              <w:spacing w:after="0"/>
              <w:rPr>
                <w:sz w:val="20"/>
                <w:szCs w:val="20"/>
                <w:color w:val="auto"/>
              </w:rPr>
            </w:pPr>
            <w:r>
              <w:rPr>
                <w:rFonts w:ascii="Arial" w:cs="Arial" w:eastAsia="Arial" w:hAnsi="Arial"/>
                <w:sz w:val="14"/>
                <w:szCs w:val="14"/>
                <w:color w:val="auto"/>
                <w:w w:val="99"/>
              </w:rPr>
              <w:t>—</w:t>
            </w:r>
          </w:p>
        </w:tc>
        <w:tc>
          <w:tcPr>
            <w:tcW w:w="280" w:type="dxa"/>
            <w:vAlign w:val="bottom"/>
            <w:gridSpan w:val="3"/>
            <w:shd w:val="clear" w:color="auto" w:fill="E1E1E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LCF</w:t>
            </w:r>
          </w:p>
        </w:tc>
        <w:tc>
          <w:tcPr>
            <w:tcW w:w="100" w:type="dxa"/>
            <w:vAlign w:val="bottom"/>
            <w:tcBorders>
              <w:bottom w:val="single" w:sz="8" w:color="E1E1E2"/>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2026</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w:t>
            </w:r>
          </w:p>
        </w:tc>
        <w:tc>
          <w:tcPr>
            <w:tcW w:w="80" w:type="dxa"/>
            <w:vAlign w:val="bottom"/>
            <w:tcBorders>
              <w:bottom w:val="single" w:sz="8" w:color="E1E1E2"/>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460" w:type="dxa"/>
            <w:vAlign w:val="bottom"/>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1,600</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E1E1E2"/>
          </w:tcPr>
          <w:p>
            <w:pPr>
              <w:ind w:left="7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435</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1,165</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E1E1E2"/>
          </w:tcPr>
          <w:p>
            <w:pPr>
              <w:ind w:left="760"/>
              <w:spacing w:after="0"/>
              <w:rPr>
                <w:sz w:val="20"/>
                <w:szCs w:val="20"/>
                <w:color w:val="auto"/>
              </w:rPr>
            </w:pPr>
            <w:r>
              <w:rPr>
                <w:rFonts w:ascii="Arial" w:cs="Arial" w:eastAsia="Arial" w:hAnsi="Arial"/>
                <w:sz w:val="14"/>
                <w:szCs w:val="14"/>
                <w:b w:val="1"/>
                <w:bCs w:val="1"/>
                <w:color w:val="auto"/>
                <w:w w:val="99"/>
              </w:rPr>
              <w:t>—</w:t>
            </w:r>
          </w:p>
        </w:tc>
        <w:tc>
          <w:tcPr>
            <w:tcW w:w="280" w:type="dxa"/>
            <w:vAlign w:val="bottom"/>
            <w:gridSpan w:val="3"/>
            <w:shd w:val="clear" w:color="auto" w:fill="E1E1E2"/>
          </w:tcPr>
          <w:p>
            <w:pPr>
              <w:jc w:val="right"/>
              <w:ind w:right="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374</w:t>
            </w:r>
          </w:p>
        </w:tc>
        <w:tc>
          <w:tcPr>
            <w:tcW w:w="80" w:type="dxa"/>
            <w:vAlign w:val="bottom"/>
            <w:shd w:val="clear" w:color="auto" w:fill="E1E1E2"/>
          </w:tcPr>
          <w:p>
            <w:pPr>
              <w:spacing w:after="0"/>
              <w:rPr>
                <w:sz w:val="19"/>
                <w:szCs w:val="19"/>
                <w:color w:val="auto"/>
              </w:rPr>
            </w:pPr>
          </w:p>
        </w:tc>
        <w:tc>
          <w:tcPr>
            <w:tcW w:w="2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1,226</w:t>
            </w:r>
          </w:p>
        </w:tc>
        <w:tc>
          <w:tcPr>
            <w:tcW w:w="0" w:type="dxa"/>
            <w:vAlign w:val="bottom"/>
          </w:tcPr>
          <w:p>
            <w:pPr>
              <w:spacing w:after="0"/>
              <w:rPr>
                <w:sz w:val="1"/>
                <w:szCs w:val="1"/>
                <w:color w:val="auto"/>
              </w:rPr>
            </w:pPr>
          </w:p>
        </w:tc>
      </w:tr>
      <w:tr>
        <w:trPr>
          <w:trHeight w:val="20"/>
        </w:trPr>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 Direct cash borrowings are not permitted under the LCF, which can only be used for LCs.</w:t>
      </w:r>
    </w:p>
    <w:p>
      <w:pPr>
        <w:spacing w:after="0" w:line="234"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In December 2024, the TLC LCF and Bilateral LCF were terminated. However, as certain LCs remained outstanding under these facilities pending their transition to the LCF, corresponding backstop LCs were issued under the LCF. As of September 30, 2025 and December 31, 2024, the amounts of such backstop LCs issued under the LCF were $4 million and $297 million, respectively (which are included in the totals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Financing Transactions</w:t>
      </w:r>
    </w:p>
    <w:p>
      <w:pPr>
        <w:spacing w:after="0" w:line="165"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i w:val="1"/>
          <w:iCs w:val="1"/>
          <w:color w:val="auto"/>
        </w:rPr>
        <w:t xml:space="preserve">Unsecured Notes. </w:t>
      </w:r>
      <w:r>
        <w:rPr>
          <w:rFonts w:ascii="Arial" w:cs="Arial" w:eastAsia="Arial" w:hAnsi="Arial"/>
          <w:sz w:val="16"/>
          <w:szCs w:val="16"/>
          <w:color w:val="auto"/>
        </w:rPr>
        <w:t>In October 2025, TES issued in private offerings and each at par: (i) $1.4 billion in aggregate principal amount of 6.25% Senior</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Notes due 2034, which bear interest, payable on February 1 and August 1 of each year, at an annual rate of 6.250% and mature on February 1, 2034; and (ii) $1.29 billion in aggregate principal amount of 6.50% Senior Unsecured Notes due 2036, which bear interest, payable on February 1 and August 1 of each year, at an annual rate of 6.500% and mature on February 1, 2036. We expect to use the net proceeds from the Unsecured Notes, together with the proceeds of the new TLB-3 discussed below, to fund the Freedom and Guernsey Acquisitions.</w:t>
      </w:r>
    </w:p>
    <w:p>
      <w:pPr>
        <w:spacing w:after="0" w:line="118"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The Unsecured Notes are subject to customary negative covenants, including but not limited to, certain limitations on incurrence of liens and transactions involving the Susquehanna assets, but do not contain any financial covenants. The Unsecured Notes also contain customary affirmative covenants, events of default, and remedies (including acceleration) and are subject to mandatory redemption provisions in the event that one or both of the Freedom and Guernsey Acquisitions are not completed pursuant to the applicable purchase agreements.</w:t>
      </w:r>
    </w:p>
    <w:p>
      <w:pPr>
        <w:spacing w:after="0" w:line="13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 xml:space="preserve">Credit Facility Transactions. </w:t>
      </w:r>
      <w:r>
        <w:rPr>
          <w:rFonts w:ascii="Arial" w:cs="Arial" w:eastAsia="Arial" w:hAnsi="Arial"/>
          <w:sz w:val="16"/>
          <w:szCs w:val="16"/>
          <w:color w:val="auto"/>
        </w:rPr>
        <w:t>Also in October 2025, TES undertook several financing transactions that are expected to become effective concurrently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of either the Freedom Acquisition or the Guernsey Acquisition (whichever closes first):</w:t>
      </w:r>
    </w:p>
    <w:p>
      <w:pPr>
        <w:spacing w:after="0" w:line="88" w:lineRule="exact"/>
        <w:rPr>
          <w:sz w:val="20"/>
          <w:szCs w:val="20"/>
          <w:color w:val="auto"/>
        </w:rPr>
      </w:pPr>
    </w:p>
    <w:p>
      <w:pPr>
        <w:ind w:left="660" w:right="60" w:hanging="328"/>
        <w:spacing w:after="0" w:line="24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TLB-3</w:t>
      </w:r>
      <w:r>
        <w:rPr>
          <w:rFonts w:ascii="Arial" w:cs="Arial" w:eastAsia="Arial" w:hAnsi="Arial"/>
          <w:sz w:val="16"/>
          <w:szCs w:val="16"/>
          <w:color w:val="auto"/>
        </w:rPr>
        <w:t>. Allocated and priced a $1.2 billion senior secured term loan B credit facility (the TLB-3), which constitutes a new tranche of term loans separate from TLB-1 and TLB-2 and the proceeds of which, together with the proceeds from the Unsecured Notes, are intended to be used to fund the Freedom and Guernsey Acquisitions. A portion of the TLB-3 may be incurred on a delayed draw basis to the extent the Freedom and Guernsey Acquisitions do not close concurrently. The applicable interest rate for the TLB-3 will be the Secured Overnight Financing Rate plus 200 basis points.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RCF</w:t>
      </w:r>
      <w:r>
        <w:rPr>
          <w:rFonts w:ascii="Arial" w:cs="Arial" w:eastAsia="Arial" w:hAnsi="Arial"/>
          <w:sz w:val="16"/>
          <w:szCs w:val="16"/>
          <w:color w:val="auto"/>
        </w:rPr>
        <w:t>. Received commitments to increase its existing RCF (including its revolving LC capacity) from $700 million to $900 million.</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LCF</w:t>
      </w:r>
      <w:r>
        <w:rPr>
          <w:rFonts w:ascii="Arial" w:cs="Arial" w:eastAsia="Arial" w:hAnsi="Arial"/>
          <w:sz w:val="16"/>
          <w:szCs w:val="16"/>
          <w:color w:val="auto"/>
        </w:rPr>
        <w:t>. Received commitments to upsize its existing $900 million LCF to $1.1 billion and extend the maturity from December 2026 to December 2027.</w:t>
      </w:r>
    </w:p>
    <w:p>
      <w:pPr>
        <w:spacing w:after="0" w:line="167"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i w:val="1"/>
          <w:iCs w:val="1"/>
          <w:color w:val="auto"/>
        </w:rPr>
        <w:t xml:space="preserve">Bridge Commitment Termination. </w:t>
      </w:r>
      <w:r>
        <w:rPr>
          <w:rFonts w:ascii="Arial" w:cs="Arial" w:eastAsia="Arial" w:hAnsi="Arial"/>
          <w:sz w:val="16"/>
          <w:szCs w:val="16"/>
          <w:color w:val="auto"/>
        </w:rPr>
        <w:t>Also in October 2025, in connection with the financing transactions described above, TES terminated the debt</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letters, dated July 17, 2025 (as amended and restated on August 13, 2025), pursuant to which the commitment parties thereto had agreed to provide TES with (i) senior secured bridge facilities in an aggregate principal amount of up to $1.2 billion; and (ii) senior unsecured bridge facilities in an aggregate principal amount of up to $2.6 billion in order to fund the Freedom and Guernsey Acquisitions.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for additional information on the Freedom and Guernsey Acquisitions.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Material Terms; Security Interests</w:t>
      </w:r>
    </w:p>
    <w:p>
      <w:pPr>
        <w:spacing w:after="0" w:line="179" w:lineRule="exact"/>
        <w:rPr>
          <w:sz w:val="20"/>
          <w:szCs w:val="20"/>
          <w:color w:val="auto"/>
        </w:rPr>
      </w:pPr>
    </w:p>
    <w:p>
      <w:pPr>
        <w:ind w:right="440" w:firstLine="324"/>
        <w:spacing w:after="0" w:line="266" w:lineRule="auto"/>
        <w:rPr>
          <w:sz w:val="20"/>
          <w:szCs w:val="20"/>
          <w:color w:val="auto"/>
        </w:rPr>
      </w:pPr>
      <w:r>
        <w:rPr>
          <w:rFonts w:ascii="Arial" w:cs="Arial" w:eastAsia="Arial" w:hAnsi="Arial"/>
          <w:sz w:val="16"/>
          <w:szCs w:val="16"/>
          <w:color w:val="auto"/>
        </w:rPr>
        <w:t>See Note 13 to the Annual Financial Statements for a description of the other material terms of the obligations outlined above and for additional information on the security interests and guarantees supporting these obligations. In addition to the obligations outlined under “Long-Term Debt” and “Revolving Credit and Other Facilities” above, secured obligations included approximately $62 million under Secured ISDAs as of September 30,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Recurring Fair Value Measurements</w:t>
      </w:r>
    </w:p>
    <w:p>
      <w:pPr>
        <w:spacing w:after="0" w:line="17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color w:val="auto"/>
        </w:rPr>
        <w:t>Financial assets and liabilities reported at fair value on a recurring basis primarily include energy commodity derivatives, interest rate derivatives, and investments held within the NDT.</w:t>
      </w:r>
    </w:p>
    <w:p>
      <w:pPr>
        <w:spacing w:after="0" w:line="115" w:lineRule="exact"/>
        <w:rPr>
          <w:sz w:val="20"/>
          <w:szCs w:val="20"/>
          <w:color w:val="auto"/>
        </w:rPr>
      </w:pPr>
    </w:p>
    <w:p>
      <w:pPr>
        <w:jc w:val="both"/>
        <w:ind w:left="660" w:right="240" w:hanging="328"/>
        <w:spacing w:after="0" w:line="26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Level 1 derivative assets and liabilities primarily represent exchange-traded futures and options that are valued using unadjusted prices available from the underlying exchange. Level 1 financial assets also include investments in equity securities and available-for-sale U.S. government debt securities, which are valued using exchange prices.</w:t>
      </w:r>
    </w:p>
    <w:p>
      <w:pPr>
        <w:spacing w:after="0" w:line="130" w:lineRule="exact"/>
        <w:rPr>
          <w:rFonts w:ascii="Arial" w:cs="Arial" w:eastAsia="Arial" w:hAnsi="Arial"/>
          <w:sz w:val="16"/>
          <w:szCs w:val="16"/>
          <w:color w:val="auto"/>
        </w:rPr>
      </w:pPr>
    </w:p>
    <w:p>
      <w:pPr>
        <w:ind w:left="660" w:right="160" w:hanging="328"/>
        <w:spacing w:after="0" w:line="26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Level 2 derivative assets and liabilities primarily represent over-the-counter swaps, options, and forward purchase and sale contracts that are valued using adjusted exchange prices, prices provided by brokers, or pricing service companies that are all corroborated by market data. Level 2 financial assets also include investments in available-for-sale debt securities, including investments in corporate and municipal bonds, that are valued using pricing provided by brokers or pricing service companies and corroborated with market data.</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classifications of recurring fair value measurements within the fair value hierarchy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7"/>
        </w:trPr>
        <w:tc>
          <w:tcPr>
            <w:tcW w:w="25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NAV</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NAV</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Equity securities </w:t>
            </w:r>
            <w:r>
              <w:rPr>
                <w:rFonts w:ascii="Arial" w:cs="Arial" w:eastAsia="Arial" w:hAnsi="Arial"/>
                <w:sz w:val="18"/>
                <w:szCs w:val="18"/>
                <w:color w:val="auto"/>
                <w:vertAlign w:val="superscript"/>
              </w:rPr>
              <w:t>(b)</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1,105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U.S. government debt securities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Municipal debt securities</w:t>
            </w: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07"/>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Receivables (payables), net </w:t>
            </w:r>
            <w:r>
              <w:rPr>
                <w:rFonts w:ascii="Arial" w:cs="Arial" w:eastAsia="Arial" w:hAnsi="Arial"/>
                <w:sz w:val="18"/>
                <w:szCs w:val="18"/>
                <w:color w:val="auto"/>
                <w:vertAlign w:val="superscript"/>
              </w:rPr>
              <w:t>(c)</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1,870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1,724</w:t>
            </w:r>
          </w:p>
        </w:tc>
      </w:tr>
      <w:tr>
        <w:trPr>
          <w:trHeight w:val="97"/>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72</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(220)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9"/>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1,361</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372</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397</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(220)</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1,916</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1,245</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351</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(156)</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1,795</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(239)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227</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93</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(239)</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29</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Amounts represent netting pursuant to master netting arrangements and cash collateral held or placed with the same counterparty.</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fixed income funds and real estate investment trusts.</w:t>
      </w:r>
    </w:p>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(i) interest and dividends earned but not received; and (ii) net sold or purchased investments, but not settled.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recurring fair value measurements classified as Level 3 as of September 30, 2025 and December 31, 2024.</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Nonrecurring Fair Value Measurements</w:t>
      </w:r>
    </w:p>
    <w:p>
      <w:pPr>
        <w:spacing w:after="0" w:line="179" w:lineRule="exact"/>
        <w:rPr>
          <w:sz w:val="20"/>
          <w:szCs w:val="20"/>
          <w:color w:val="auto"/>
        </w:rPr>
      </w:pPr>
    </w:p>
    <w:p>
      <w:pPr>
        <w:jc w:val="both"/>
        <w:ind w:right="180" w:firstLine="324"/>
        <w:spacing w:after="0" w:line="275" w:lineRule="auto"/>
        <w:rPr>
          <w:sz w:val="20"/>
          <w:szCs w:val="20"/>
          <w:color w:val="auto"/>
        </w:rPr>
      </w:pPr>
      <w:r>
        <w:rPr>
          <w:rFonts w:ascii="Arial" w:cs="Arial" w:eastAsia="Arial" w:hAnsi="Arial"/>
          <w:sz w:val="16"/>
          <w:szCs w:val="16"/>
          <w:color w:val="auto"/>
        </w:rPr>
        <w:t>See Note 7 for nonrecurring fair value measurements during the nine months ended September 30, 2025 that are associated with the derecognition of certain Nautilus assets and liabilities. There were no material fair value measurements related to impairments of long-lived assets during the three months ended September 30, 2025 and the nine months ended September 30, 2024.</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Reported Fair Value</w:t>
      </w:r>
    </w:p>
    <w:p>
      <w:pPr>
        <w:spacing w:after="0" w:line="165" w:lineRule="exact"/>
        <w:rPr>
          <w:sz w:val="20"/>
          <w:szCs w:val="20"/>
          <w:color w:val="auto"/>
        </w:rPr>
      </w:pPr>
    </w:p>
    <w:p>
      <w:pPr>
        <w:ind w:right="380" w:firstLine="324"/>
        <w:spacing w:after="0" w:line="304" w:lineRule="auto"/>
        <w:rPr>
          <w:sz w:val="20"/>
          <w:szCs w:val="20"/>
          <w:color w:val="auto"/>
        </w:rPr>
      </w:pPr>
      <w:r>
        <w:rPr>
          <w:rFonts w:ascii="Arial" w:cs="Arial" w:eastAsia="Arial" w:hAnsi="Arial"/>
          <w:sz w:val="16"/>
          <w:szCs w:val="16"/>
          <w:color w:val="auto"/>
        </w:rPr>
        <w:t>The carrying value of certain financial assets and liabilities on the Consolidated Balance Sheets, including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“Restricted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“Accounts receivable</w:t>
      </w:r>
      <w:r>
        <w:rPr>
          <w:rFonts w:ascii="Arial" w:cs="Arial" w:eastAsia="Arial" w:hAnsi="Arial"/>
          <w:sz w:val="16"/>
          <w:szCs w:val="16"/>
          <w:i w:val="1"/>
          <w:iCs w:val="1"/>
          <w:color w:val="auto"/>
        </w:rPr>
        <w:t>,</w:t>
      </w:r>
      <w:r>
        <w:rPr>
          <w:rFonts w:ascii="Arial" w:cs="Arial" w:eastAsia="Arial" w:hAnsi="Arial"/>
          <w:sz w:val="16"/>
          <w:szCs w:val="16"/>
          <w:color w:val="auto"/>
        </w:rPr>
        <w:t>” and “Accounts payable and other accrued liabilities” approximate fair value.</w:t>
      </w:r>
    </w:p>
    <w:p>
      <w:pPr>
        <w:spacing w:after="0" w:line="8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and certain other short-term indebtedness approximates fair value.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value and fair value of indebtedness presented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5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9"/>
                <w:szCs w:val="9"/>
                <w:color w:val="auto"/>
              </w:rPr>
              <w:t>(a)</w:t>
            </w:r>
          </w:p>
        </w:tc>
        <w:tc>
          <w:tcPr>
            <w:tcW w:w="100" w:type="dxa"/>
            <w:vAlign w:val="bottom"/>
            <w:shd w:val="clear" w:color="auto" w:fill="E1E1E2"/>
          </w:tcPr>
          <w:p>
            <w:pPr>
              <w:spacing w:after="0"/>
              <w:rPr>
                <w:sz w:val="16"/>
                <w:szCs w:val="16"/>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2,986</w:t>
            </w:r>
          </w:p>
        </w:tc>
        <w:tc>
          <w:tcPr>
            <w:tcW w:w="100" w:type="dxa"/>
            <w:vAlign w:val="bottom"/>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3,101</w:t>
            </w:r>
          </w:p>
        </w:tc>
        <w:tc>
          <w:tcPr>
            <w:tcW w:w="100" w:type="dxa"/>
            <w:vAlign w:val="bottom"/>
            <w:shd w:val="clear" w:color="auto" w:fill="E1E1E2"/>
          </w:tcPr>
          <w:p>
            <w:pPr>
              <w:spacing w:after="0"/>
              <w:rPr>
                <w:sz w:val="16"/>
                <w:szCs w:val="16"/>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3,120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Aggregate value of “Long-term debt” and “Long-term debt, due within one year” presented on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Postretirement Benefit Obligations</w:t>
      </w:r>
    </w:p>
    <w:p>
      <w:pPr>
        <w:spacing w:after="0" w:line="181" w:lineRule="exact"/>
        <w:rPr>
          <w:sz w:val="20"/>
          <w:szCs w:val="20"/>
          <w:color w:val="auto"/>
        </w:rPr>
      </w:pPr>
    </w:p>
    <w:p>
      <w:pPr>
        <w:ind w:right="280" w:firstLine="324"/>
        <w:spacing w:after="0" w:line="286" w:lineRule="auto"/>
        <w:rPr>
          <w:sz w:val="20"/>
          <w:szCs w:val="20"/>
          <w:color w:val="auto"/>
        </w:rPr>
      </w:pPr>
      <w:r>
        <w:rPr>
          <w:rFonts w:ascii="Arial" w:cs="Arial" w:eastAsia="Arial" w:hAnsi="Arial"/>
          <w:sz w:val="16"/>
          <w:szCs w:val="16"/>
          <w:color w:val="auto"/>
        </w:rPr>
        <w:t>TES and certain subsidiaries sponsor postemployment benefits which include defined benefit pension plans, health and welfare postretirement plans (other postretirement benefit plans), and a defined contribution plan.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net periodic benefit costs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97"/>
        </w:trPr>
        <w:tc>
          <w:tcPr>
            <w:tcW w:w="490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Postretirement benefits service cost </w:t>
            </w:r>
            <w:r>
              <w:rPr>
                <w:rFonts w:ascii="Arial" w:cs="Arial" w:eastAsia="Arial" w:hAnsi="Arial"/>
                <w:sz w:val="18"/>
                <w:szCs w:val="18"/>
                <w:b w:val="1"/>
                <w:bCs w:val="1"/>
                <w:color w:val="auto"/>
                <w:vertAlign w:val="superscript"/>
              </w:rPr>
              <w:t>(a)</w:t>
            </w: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E1E1E2"/>
          </w:tcPr>
          <w:p>
            <w:pPr>
              <w:spacing w:after="0"/>
              <w:rPr>
                <w:sz w:val="17"/>
                <w:szCs w:val="17"/>
                <w:color w:val="auto"/>
              </w:rPr>
            </w:pPr>
          </w:p>
        </w:tc>
        <w:tc>
          <w:tcPr>
            <w:tcW w:w="1220" w:type="dxa"/>
            <w:vAlign w:val="bottom"/>
            <w:shd w:val="clear" w:color="auto" w:fill="E1E1E2"/>
          </w:tcPr>
          <w:p>
            <w:pPr>
              <w:jc w:val="right"/>
              <w:ind w:right="104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r>
      <w:tr>
        <w:trPr>
          <w:trHeight w:val="256"/>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Postretirement benefit (gain) loss</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03"/>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cost</w:t>
            </w: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E1E1E2"/>
          </w:tcPr>
          <w:p>
            <w:pPr>
              <w:spacing w:after="0"/>
              <w:rPr>
                <w:sz w:val="17"/>
                <w:szCs w:val="17"/>
                <w:color w:val="auto"/>
              </w:rPr>
            </w:pPr>
          </w:p>
        </w:tc>
        <w:tc>
          <w:tcPr>
            <w:tcW w:w="1220" w:type="dxa"/>
            <w:vAlign w:val="bottom"/>
            <w:shd w:val="clear" w:color="auto" w:fill="E1E1E2"/>
          </w:tcPr>
          <w:p>
            <w:pPr>
              <w:jc w:val="right"/>
              <w:ind w:right="1048"/>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r>
      <w:tr>
        <w:trPr>
          <w:trHeight w:val="198"/>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1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7"/>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Resolved litigation settlement</w:t>
            </w:r>
          </w:p>
        </w:tc>
        <w:tc>
          <w:tcPr>
            <w:tcW w:w="1100" w:type="dxa"/>
            <w:vAlign w:val="bottom"/>
            <w:shd w:val="clear" w:color="auto" w:fill="E1E1E2"/>
          </w:tcPr>
          <w:p>
            <w:pPr>
              <w:spacing w:after="0"/>
              <w:rPr>
                <w:sz w:val="17"/>
                <w:szCs w:val="17"/>
                <w:color w:val="auto"/>
              </w:rPr>
            </w:pPr>
          </w:p>
        </w:tc>
        <w:tc>
          <w:tcPr>
            <w:tcW w:w="5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3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r>
      <w:tr>
        <w:trPr>
          <w:trHeight w:val="202"/>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of:</w:t>
            </w: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9"/>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Postretirement prior service cost (credit)</w:t>
            </w:r>
          </w:p>
        </w:tc>
        <w:tc>
          <w:tcPr>
            <w:tcW w:w="80" w:type="dxa"/>
            <w:vAlign w:val="bottom"/>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900" w:type="dxa"/>
            <w:vAlign w:val="bottom"/>
            <w:gridSpan w:val="2"/>
          </w:tcPr>
          <w:p>
            <w:pPr>
              <w:ind w:left="20"/>
              <w:spacing w:after="0" w:line="200" w:lineRule="exact"/>
              <w:rPr>
                <w:sz w:val="20"/>
                <w:szCs w:val="20"/>
                <w:color w:val="auto"/>
              </w:rPr>
            </w:pPr>
            <w:r>
              <w:rPr>
                <w:rFonts w:ascii="Arial" w:cs="Arial" w:eastAsia="Arial" w:hAnsi="Arial"/>
                <w:sz w:val="14"/>
                <w:szCs w:val="14"/>
                <w:b w:val="1"/>
                <w:bCs w:val="1"/>
                <w:color w:val="auto"/>
              </w:rPr>
              <w:t xml:space="preserve">Postretirement benefit (gain) loss, net </w:t>
            </w:r>
            <w:r>
              <w:rPr>
                <w:rFonts w:ascii="Arial" w:cs="Arial" w:eastAsia="Arial" w:hAnsi="Arial"/>
                <w:sz w:val="18"/>
                <w:szCs w:val="18"/>
                <w:b w:val="1"/>
                <w:bCs w:val="1"/>
                <w:color w:val="auto"/>
                <w:vertAlign w:val="superscript"/>
              </w:rPr>
              <w:t>(b)</w:t>
            </w:r>
          </w:p>
        </w:tc>
        <w:tc>
          <w:tcPr>
            <w:tcW w:w="11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220" w:type="dxa"/>
            <w:vAlign w:val="bottom"/>
          </w:tcPr>
          <w:p>
            <w:pPr>
              <w:jc w:val="right"/>
              <w:ind w:right="10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4"/>
        </w:trPr>
        <w:tc>
          <w:tcPr>
            <w:tcW w:w="4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r>
      <w:tr>
        <w:trPr>
          <w:trHeight w:val="221"/>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periodic defined benefit cost (credit)</w:t>
            </w: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shd w:val="clear" w:color="auto" w:fill="E1E1E2"/>
          </w:tcPr>
          <w:p>
            <w:pPr>
              <w:spacing w:after="0"/>
              <w:rPr>
                <w:sz w:val="19"/>
                <w:szCs w:val="19"/>
                <w:color w:val="auto"/>
              </w:rPr>
            </w:pPr>
          </w:p>
        </w:tc>
        <w:tc>
          <w:tcPr>
            <w:tcW w:w="1220" w:type="dxa"/>
            <w:vAlign w:val="bottom"/>
            <w:shd w:val="clear" w:color="auto" w:fill="E1E1E2"/>
          </w:tcPr>
          <w:p>
            <w:pPr>
              <w:jc w:val="right"/>
              <w:ind w:right="104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15</w:t>
            </w:r>
          </w:p>
        </w:tc>
        <w:tc>
          <w:tcPr>
            <w:tcW w:w="80" w:type="dxa"/>
            <w:vAlign w:val="bottom"/>
            <w:shd w:val="clear" w:color="auto" w:fill="E1E1E2"/>
          </w:tcPr>
          <w:p>
            <w:pPr>
              <w:spacing w:after="0"/>
              <w:rPr>
                <w:sz w:val="19"/>
                <w:szCs w:val="19"/>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w:t>
            </w: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Activity presented as “Operation, maintenance and development” on the Consolidated Statements of Operations.</w:t>
      </w: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Activity presented as “Other non-operating income (expense), net” on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Stock-Based Compensation</w:t>
      </w:r>
    </w:p>
    <w:p>
      <w:pPr>
        <w:spacing w:after="0" w:line="181" w:lineRule="exact"/>
        <w:rPr>
          <w:sz w:val="20"/>
          <w:szCs w:val="20"/>
          <w:color w:val="auto"/>
        </w:rPr>
      </w:pPr>
    </w:p>
    <w:p>
      <w:pPr>
        <w:ind w:right="320" w:firstLine="324"/>
        <w:spacing w:after="0" w:line="266" w:lineRule="auto"/>
        <w:rPr>
          <w:sz w:val="20"/>
          <w:szCs w:val="20"/>
          <w:color w:val="auto"/>
        </w:rPr>
      </w:pPr>
      <w:r>
        <w:rPr>
          <w:rFonts w:ascii="Arial" w:cs="Arial" w:eastAsia="Arial" w:hAnsi="Arial"/>
          <w:sz w:val="16"/>
          <w:szCs w:val="16"/>
          <w:color w:val="auto"/>
        </w:rPr>
        <w:t>In June 2023, TEC began granting performance stock units (“PSUs”) and restricted stock units (“RSUs”) to certain employees and non-employee directors under the Company’s 2023 Equity Incentive Plan (the “Equity Plan”). The aggregate number of shares authorized for issuance under the Equity Plan is 7,083,461 shares of common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expense presented as “General and administrative” on the Consolidated Statement of Operations for the periods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97"/>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1240" w:type="dxa"/>
            <w:vAlign w:val="bottom"/>
            <w:shd w:val="clear" w:color="auto" w:fill="E1E1E2"/>
          </w:tcPr>
          <w:p>
            <w:pPr>
              <w:jc w:val="right"/>
              <w:ind w:right="1068"/>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center"/>
              <w:ind w:left="90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908"/>
              <w:spacing w:after="0"/>
              <w:rPr>
                <w:sz w:val="20"/>
                <w:szCs w:val="20"/>
                <w:color w:val="auto"/>
              </w:rPr>
            </w:pPr>
            <w:r>
              <w:rPr>
                <w:rFonts w:ascii="Arial" w:cs="Arial" w:eastAsia="Arial" w:hAnsi="Arial"/>
                <w:sz w:val="14"/>
                <w:szCs w:val="14"/>
                <w:color w:val="auto"/>
                <w:w w:val="96"/>
              </w:rPr>
              <w:t>(11)</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19"/>
        </w:trPr>
        <w:tc>
          <w:tcPr>
            <w:tcW w:w="49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After-tax stock-based compensation expense</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E1E1E2"/>
          </w:tcPr>
          <w:p>
            <w:pPr>
              <w:spacing w:after="0"/>
              <w:rPr>
                <w:sz w:val="19"/>
                <w:szCs w:val="19"/>
                <w:color w:val="auto"/>
              </w:rPr>
            </w:pPr>
          </w:p>
        </w:tc>
        <w:tc>
          <w:tcPr>
            <w:tcW w:w="1240" w:type="dxa"/>
            <w:vAlign w:val="bottom"/>
            <w:shd w:val="clear" w:color="auto" w:fill="E1E1E2"/>
          </w:tcPr>
          <w:p>
            <w:pPr>
              <w:jc w:val="right"/>
              <w:ind w:right="10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1E1E2"/>
          </w:tcPr>
          <w:p>
            <w:pPr>
              <w:jc w:val="center"/>
              <w:spacing w:after="0"/>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E1E1E2"/>
          </w:tcPr>
          <w:p>
            <w:pPr>
              <w:spacing w:after="0"/>
              <w:rPr>
                <w:sz w:val="19"/>
                <w:szCs w:val="19"/>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center"/>
              <w:ind w:left="90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w:t>
            </w:r>
          </w:p>
        </w:tc>
      </w:tr>
      <w:tr>
        <w:trPr>
          <w:trHeight w:val="20"/>
        </w:trPr>
        <w:tc>
          <w:tcPr>
            <w:tcW w:w="4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871"/>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24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2"/>
        </w:trPr>
        <w:tc>
          <w:tcPr>
            <w:tcW w:w="48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65" w:lineRule="exact"/>
        <w:rPr>
          <w:sz w:val="20"/>
          <w:szCs w:val="20"/>
          <w:color w:val="auto"/>
        </w:rPr>
      </w:pPr>
    </w:p>
    <w:p>
      <w:pPr>
        <w:ind w:right="80" w:firstLine="324"/>
        <w:spacing w:after="0" w:line="265" w:lineRule="auto"/>
        <w:rPr>
          <w:sz w:val="20"/>
          <w:szCs w:val="20"/>
          <w:color w:val="auto"/>
        </w:rPr>
      </w:pPr>
      <w:r>
        <w:rPr>
          <w:rFonts w:ascii="Arial" w:cs="Arial" w:eastAsia="Arial" w:hAnsi="Arial"/>
          <w:sz w:val="16"/>
          <w:szCs w:val="16"/>
          <w:color w:val="auto"/>
        </w:rPr>
        <w:t>PSUs have three-year ratable or two-year cliff vesting schedules or vest upon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 The following table summarizes the Company’s non-vested PSUs and changes during the nine months ended September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9"/>
                <w:szCs w:val="9"/>
                <w:b w:val="1"/>
                <w:bCs w:val="1"/>
                <w:color w:val="auto"/>
              </w:rPr>
              <w:t>(a)</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76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76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w:t>
            </w:r>
          </w:p>
        </w:tc>
        <w:tc>
          <w:tcPr>
            <w:tcW w:w="17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956,347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54.23</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Granted</w:t>
            </w:r>
          </w:p>
        </w:tc>
        <w:tc>
          <w:tcPr>
            <w:tcW w:w="80" w:type="dxa"/>
            <w:vAlign w:val="bottom"/>
            <w:tcBorders>
              <w:bottom w:val="single" w:sz="8" w:color="E1E1E2"/>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102,275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463.90</w:t>
            </w:r>
          </w:p>
        </w:tc>
        <w:tc>
          <w:tcPr>
            <w:tcW w:w="0" w:type="dxa"/>
            <w:vAlign w:val="bottom"/>
          </w:tcPr>
          <w:p>
            <w:pPr>
              <w:spacing w:after="0"/>
              <w:rPr>
                <w:sz w:val="1"/>
                <w:szCs w:val="1"/>
                <w:color w:val="auto"/>
              </w:rPr>
            </w:pPr>
          </w:p>
        </w:tc>
      </w:tr>
      <w:tr>
        <w:trPr>
          <w:trHeight w:val="219"/>
        </w:trPr>
        <w:tc>
          <w:tcPr>
            <w:tcW w:w="76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 xml:space="preserve">Non-vested as of September 30, 2025 </w:t>
            </w:r>
            <w:r>
              <w:rPr>
                <w:rFonts w:ascii="Arial" w:cs="Arial" w:eastAsia="Arial" w:hAnsi="Arial"/>
                <w:sz w:val="9"/>
                <w:szCs w:val="9"/>
                <w:b w:val="1"/>
                <w:bCs w:val="1"/>
                <w:color w:val="auto"/>
              </w:rPr>
              <w:t>(b)</w:t>
            </w:r>
          </w:p>
        </w:tc>
        <w:tc>
          <w:tcPr>
            <w:tcW w:w="17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1,058,622</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93.81</w:t>
            </w:r>
          </w:p>
        </w:tc>
        <w:tc>
          <w:tcPr>
            <w:tcW w:w="0" w:type="dxa"/>
            <w:vAlign w:val="bottom"/>
          </w:tcPr>
          <w:p>
            <w:pPr>
              <w:spacing w:after="0"/>
              <w:rPr>
                <w:sz w:val="1"/>
                <w:szCs w:val="1"/>
                <w:color w:val="auto"/>
              </w:rPr>
            </w:pPr>
          </w:p>
        </w:tc>
      </w:tr>
      <w:tr>
        <w:trPr>
          <w:trHeight w:val="20"/>
        </w:trPr>
        <w:tc>
          <w:tcPr>
            <w:tcW w:w="7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target number of PSUs.</w:t>
      </w:r>
    </w:p>
    <w:p>
      <w:pPr>
        <w:ind w:left="340" w:right="40" w:hanging="332"/>
        <w:spacing w:after="0" w:line="252"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Subject to the PSU award agreements, the actual amount of PSUs earned by participants at vesting can range from 0% to 200% of the target number of PSUs based on the Company’s stock price performance. In addition, certain of the PSUs are eligible to earn an additional amount of Talen shares based on the incremental Company stock price performance in excess of the PSU targets. Based on the share price of the Company’s common stock as of September 30, 2025, the aggregate non-vested PSUs were 2,750,101.</w:t>
      </w:r>
    </w:p>
    <w:p>
      <w:pPr>
        <w:spacing w:after="0" w:line="142"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color w:val="auto"/>
        </w:rPr>
        <w:t>As of September 30, 2025, $44 million of unrecognized compensation cost related to unvested PSUs granted are expected to be recognized over a weighted average period of approximately 0.7 years.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PSUs is determined using a Monte Carlo valuation methodology based on the fair value of the underlying stock price at the grant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summarizes the significant inputs and assumptions for PSUs granted during the nine months ended September 30,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2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Volatility </w:t>
            </w:r>
            <w:r>
              <w:rPr>
                <w:rFonts w:ascii="Arial" w:cs="Arial" w:eastAsia="Arial" w:hAnsi="Arial"/>
                <w:sz w:val="18"/>
                <w:szCs w:val="18"/>
                <w:color w:val="auto"/>
                <w:vertAlign w:val="superscript"/>
              </w:rPr>
              <w:t>(a)</w:t>
            </w:r>
          </w:p>
        </w:tc>
        <w:tc>
          <w:tcPr>
            <w:tcW w:w="100" w:type="dxa"/>
            <w:vAlign w:val="bottom"/>
            <w:tcBorders>
              <w:top w:val="single" w:sz="8" w:color="E1E1E2"/>
            </w:tcBorders>
            <w:shd w:val="clear" w:color="auto" w:fill="E1E1E2"/>
          </w:tcPr>
          <w:p>
            <w:pPr>
              <w:spacing w:after="0"/>
              <w:rPr>
                <w:sz w:val="18"/>
                <w:szCs w:val="18"/>
                <w:color w:val="auto"/>
              </w:rPr>
            </w:pPr>
          </w:p>
        </w:tc>
        <w:tc>
          <w:tcPr>
            <w:tcW w:w="172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40% - 50%</w:t>
            </w:r>
          </w:p>
        </w:tc>
      </w:tr>
      <w:tr>
        <w:trPr>
          <w:trHeight w:val="198"/>
        </w:trPr>
        <w:tc>
          <w:tcPr>
            <w:tcW w:w="9520" w:type="dxa"/>
            <w:vAlign w:val="bottom"/>
            <w:gridSpan w:val="2"/>
          </w:tcPr>
          <w:p>
            <w:pPr>
              <w:ind w:left="20"/>
              <w:spacing w:after="0"/>
              <w:rPr>
                <w:sz w:val="20"/>
                <w:szCs w:val="20"/>
                <w:color w:val="auto"/>
              </w:rPr>
            </w:pPr>
            <w:r>
              <w:rPr>
                <w:rFonts w:ascii="Arial" w:cs="Arial" w:eastAsia="Arial" w:hAnsi="Arial"/>
                <w:sz w:val="14"/>
                <w:szCs w:val="14"/>
                <w:color w:val="auto"/>
              </w:rPr>
              <w:t>Expected term (in years)</w:t>
            </w:r>
          </w:p>
        </w:tc>
        <w:tc>
          <w:tcPr>
            <w:tcW w:w="1720" w:type="dxa"/>
            <w:vAlign w:val="bottom"/>
          </w:tcPr>
          <w:p>
            <w:pPr>
              <w:jc w:val="right"/>
              <w:spacing w:after="0"/>
              <w:rPr>
                <w:sz w:val="20"/>
                <w:szCs w:val="20"/>
                <w:color w:val="auto"/>
              </w:rPr>
            </w:pPr>
            <w:r>
              <w:rPr>
                <w:rFonts w:ascii="Arial" w:cs="Arial" w:eastAsia="Arial" w:hAnsi="Arial"/>
                <w:sz w:val="14"/>
                <w:szCs w:val="14"/>
                <w:color w:val="auto"/>
              </w:rPr>
              <w:t>1.5 - 2</w:t>
            </w:r>
          </w:p>
        </w:tc>
      </w:tr>
      <w:tr>
        <w:trPr>
          <w:trHeight w:val="207"/>
        </w:trPr>
        <w:tc>
          <w:tcPr>
            <w:tcW w:w="94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Risk-free rate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17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3.78% - 3.99%</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Derived from an option pricing method based on the average asset volatility of peer companies and the Company’s leverage ratio.</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the U.S. constant maturity treasury rate with a term matching the expected time to the end of the performance measurement period.</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6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RSUs have three-year ratable or two-year cliff vesting schedules beginning on the grant date, with restrictions on transferring settled shares prior to the final scheduled vesting date for each award. The fair value of RSUs granted is derived from the closing price of TEC common stock on the grant date. The following table summarizes the Company’s non-vested RSUs and changes during the nine months ended September 30,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Units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76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w:t>
            </w:r>
          </w:p>
        </w:tc>
        <w:tc>
          <w:tcPr>
            <w:tcW w:w="6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549,405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55.07</w:t>
            </w:r>
          </w:p>
        </w:tc>
        <w:tc>
          <w:tcPr>
            <w:tcW w:w="0" w:type="dxa"/>
            <w:vAlign w:val="bottom"/>
          </w:tcPr>
          <w:p>
            <w:pPr>
              <w:spacing w:after="0"/>
              <w:rPr>
                <w:sz w:val="1"/>
                <w:szCs w:val="1"/>
                <w:color w:val="auto"/>
              </w:rPr>
            </w:pPr>
          </w:p>
        </w:tc>
      </w:tr>
      <w:tr>
        <w:trPr>
          <w:trHeight w:val="198"/>
        </w:trPr>
        <w:tc>
          <w:tcPr>
            <w:tcW w:w="8760" w:type="dxa"/>
            <w:vAlign w:val="bottom"/>
            <w:gridSpan w:val="3"/>
          </w:tcPr>
          <w:p>
            <w:pPr>
              <w:ind w:left="20"/>
              <w:spacing w:after="0"/>
              <w:rPr>
                <w:sz w:val="20"/>
                <w:szCs w:val="20"/>
                <w:color w:val="auto"/>
              </w:rPr>
            </w:pPr>
            <w:r>
              <w:rPr>
                <w:rFonts w:ascii="Arial" w:cs="Arial" w:eastAsia="Arial" w:hAnsi="Arial"/>
                <w:sz w:val="14"/>
                <w:szCs w:val="14"/>
                <w:color w:val="auto"/>
              </w:rPr>
              <w:t>Granted</w:t>
            </w:r>
          </w:p>
        </w:tc>
        <w:tc>
          <w:tcPr>
            <w:tcW w:w="660" w:type="dxa"/>
            <w:vAlign w:val="bottom"/>
          </w:tcPr>
          <w:p>
            <w:pPr>
              <w:jc w:val="right"/>
              <w:spacing w:after="0"/>
              <w:rPr>
                <w:sz w:val="20"/>
                <w:szCs w:val="20"/>
                <w:color w:val="auto"/>
              </w:rPr>
            </w:pPr>
            <w:r>
              <w:rPr>
                <w:rFonts w:ascii="Arial" w:cs="Arial" w:eastAsia="Arial" w:hAnsi="Arial"/>
                <w:sz w:val="14"/>
                <w:szCs w:val="14"/>
                <w:color w:val="auto"/>
              </w:rPr>
              <w:t>53,096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209.82</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Vested</w:t>
            </w:r>
          </w:p>
        </w:tc>
        <w:tc>
          <w:tcPr>
            <w:tcW w:w="8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6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(261,476)</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(48.71)</w:t>
            </w:r>
          </w:p>
        </w:tc>
        <w:tc>
          <w:tcPr>
            <w:tcW w:w="0" w:type="dxa"/>
            <w:vAlign w:val="bottom"/>
          </w:tcPr>
          <w:p>
            <w:pPr>
              <w:spacing w:after="0"/>
              <w:rPr>
                <w:sz w:val="1"/>
                <w:szCs w:val="1"/>
                <w:color w:val="auto"/>
              </w:rPr>
            </w:pPr>
          </w:p>
        </w:tc>
      </w:tr>
      <w:tr>
        <w:trPr>
          <w:trHeight w:val="199"/>
        </w:trPr>
        <w:tc>
          <w:tcPr>
            <w:tcW w:w="87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as of September 30, 2025</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341,025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84.04</w:t>
            </w:r>
          </w:p>
        </w:tc>
        <w:tc>
          <w:tcPr>
            <w:tcW w:w="0" w:type="dxa"/>
            <w:vAlign w:val="bottom"/>
          </w:tcPr>
          <w:p>
            <w:pPr>
              <w:spacing w:after="0"/>
              <w:rPr>
                <w:sz w:val="1"/>
                <w:szCs w:val="1"/>
                <w:color w:val="auto"/>
              </w:rPr>
            </w:pPr>
          </w:p>
        </w:tc>
      </w:tr>
      <w:tr>
        <w:trPr>
          <w:trHeight w:val="21"/>
        </w:trPr>
        <w:tc>
          <w:tcPr>
            <w:tcW w:w="7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color w:val="auto"/>
        </w:rPr>
        <w:t>As of September 30, 2025, $18 million of unrecognized compensation cost related to unvested RSUs granted are expected to be recognized over a weighted average period of approximately 0.8 years.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Share</w:t>
      </w:r>
    </w:p>
    <w:p>
      <w:pPr>
        <w:spacing w:after="0" w:line="167" w:lineRule="exact"/>
        <w:rPr>
          <w:sz w:val="20"/>
          <w:szCs w:val="20"/>
          <w:color w:val="auto"/>
        </w:rPr>
      </w:pPr>
    </w:p>
    <w:p>
      <w:pPr>
        <w:ind w:right="260" w:firstLine="324"/>
        <w:spacing w:after="0" w:line="271" w:lineRule="auto"/>
        <w:rPr>
          <w:sz w:val="20"/>
          <w:szCs w:val="20"/>
          <w:color w:val="auto"/>
        </w:rPr>
      </w:pPr>
      <w:r>
        <w:rPr>
          <w:rFonts w:ascii="Arial" w:cs="Arial" w:eastAsia="Arial" w:hAnsi="Arial"/>
          <w:sz w:val="16"/>
          <w:szCs w:val="16"/>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97"/>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Numerator: (Millions of Dollars)</w:t>
            </w:r>
          </w:p>
        </w:tc>
        <w:tc>
          <w:tcPr>
            <w:tcW w:w="98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945</w:t>
            </w:r>
          </w:p>
        </w:tc>
      </w:tr>
      <w:tr>
        <w:trPr>
          <w:trHeight w:val="207"/>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Less:</w:t>
            </w:r>
          </w:p>
        </w:tc>
        <w:tc>
          <w:tcPr>
            <w:tcW w:w="98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r>
      <w:tr>
        <w:trPr>
          <w:trHeight w:val="19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8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19"/>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80" w:type="dxa"/>
            <w:vAlign w:val="bottom"/>
            <w:tcBorders>
              <w:bottom w:val="single" w:sz="8" w:color="E1E1E2"/>
            </w:tcBorders>
            <w:shd w:val="clear" w:color="auto" w:fill="E1E1E2"/>
          </w:tcPr>
          <w:p>
            <w:pPr>
              <w:spacing w:after="0"/>
              <w:rPr>
                <w:sz w:val="19"/>
                <w:szCs w:val="19"/>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207</w:t>
            </w:r>
          </w:p>
        </w:tc>
        <w:tc>
          <w:tcPr>
            <w:tcW w:w="80" w:type="dxa"/>
            <w:vAlign w:val="bottom"/>
            <w:tcBorders>
              <w:bottom w:val="single" w:sz="8" w:color="E1E1E2"/>
            </w:tcBorders>
            <w:shd w:val="clear" w:color="auto" w:fill="E1E1E2"/>
          </w:tcPr>
          <w:p>
            <w:pPr>
              <w:spacing w:after="0"/>
              <w:rPr>
                <w:sz w:val="19"/>
                <w:szCs w:val="19"/>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168</w:t>
            </w:r>
          </w:p>
        </w:tc>
        <w:tc>
          <w:tcPr>
            <w:tcW w:w="80" w:type="dxa"/>
            <w:vAlign w:val="bottom"/>
            <w:tcBorders>
              <w:bottom w:val="single" w:sz="8" w:color="E1E1E2"/>
            </w:tcBorders>
            <w:shd w:val="clear" w:color="auto" w:fill="E1E1E2"/>
          </w:tcPr>
          <w:p>
            <w:pPr>
              <w:spacing w:after="0"/>
              <w:rPr>
                <w:sz w:val="19"/>
                <w:szCs w:val="19"/>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tcBorders>
              <w:bottom w:val="single" w:sz="8" w:color="E1E1E2"/>
            </w:tcBorders>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916</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Denominator: (Thousands)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4"/>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Basic</w:t>
            </w:r>
          </w:p>
        </w:tc>
        <w:tc>
          <w:tcPr>
            <w:tcW w:w="980" w:type="dxa"/>
            <w:vAlign w:val="bottom"/>
            <w:shd w:val="clear" w:color="auto" w:fill="E1E1E2"/>
          </w:tcPr>
          <w:p>
            <w:pPr>
              <w:spacing w:after="0"/>
              <w:rPr>
                <w:sz w:val="17"/>
                <w:szCs w:val="17"/>
                <w:color w:val="auto"/>
              </w:rPr>
            </w:pPr>
          </w:p>
        </w:tc>
        <w:tc>
          <w:tcPr>
            <w:tcW w:w="5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45,684</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50,924</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45,694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55,703</w:t>
            </w:r>
          </w:p>
        </w:tc>
      </w:tr>
      <w:tr>
        <w:trPr>
          <w:trHeight w:val="198"/>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Restricted stock units</w:t>
            </w:r>
          </w:p>
        </w:tc>
        <w:tc>
          <w:tcPr>
            <w:tcW w:w="98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0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Performance stock units</w:t>
            </w:r>
          </w:p>
        </w:tc>
        <w:tc>
          <w:tcPr>
            <w:tcW w:w="8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5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2,613</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1,869</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2,626</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1,761</w:t>
            </w:r>
          </w:p>
        </w:tc>
      </w:tr>
      <w:tr>
        <w:trPr>
          <w:trHeight w:val="199"/>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Diluted</w:t>
            </w:r>
          </w:p>
        </w:tc>
        <w:tc>
          <w:tcPr>
            <w:tcW w:w="98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48,582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53,169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48,588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57,756</w:t>
            </w:r>
          </w:p>
        </w:tc>
      </w:tr>
      <w:tr>
        <w:trPr>
          <w:trHeight w:val="22"/>
        </w:trPr>
        <w:tc>
          <w:tcPr>
            <w:tcW w:w="4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1"/>
        </w:trPr>
        <w:tc>
          <w:tcPr>
            <w:tcW w:w="48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03"/>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Earnings per Share - Basic</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4.52</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3.30</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3.15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16.44</w:t>
            </w:r>
          </w:p>
        </w:tc>
      </w:tr>
      <w:tr>
        <w:trPr>
          <w:trHeight w:val="201"/>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 per Share - Diluted</w:t>
            </w: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4.25</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3.16</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Stockholders’ Equity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65" w:lineRule="exact"/>
        <w:rPr>
          <w:sz w:val="20"/>
          <w:szCs w:val="20"/>
          <w:color w:val="auto"/>
        </w:rPr>
      </w:pPr>
    </w:p>
    <w:p>
      <w:pPr>
        <w:ind w:right="40" w:firstLine="324"/>
        <w:spacing w:after="0" w:line="304" w:lineRule="auto"/>
        <w:rPr>
          <w:sz w:val="20"/>
          <w:szCs w:val="20"/>
          <w:color w:val="auto"/>
        </w:rPr>
      </w:pPr>
      <w:r>
        <w:rPr>
          <w:rFonts w:ascii="Arial" w:cs="Arial" w:eastAsia="Arial" w:hAnsi="Arial"/>
          <w:sz w:val="16"/>
          <w:szCs w:val="16"/>
          <w:color w:val="auto"/>
        </w:rPr>
        <w:t>As of September 30, 2025, the Company had repurchased approximately 23% of its outstanding shares of common stock for a total of approximately $2 billion, exclusive of transaction costs and excise taxes.</w:t>
      </w:r>
    </w:p>
    <w:p>
      <w:pPr>
        <w:spacing w:after="0" w:line="8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September 2025, the Board of Directors approved an increase in the existing capacity of the Company’s SRP from $995 million to $2 billion and</w:t>
      </w:r>
    </w:p>
    <w:p>
      <w:pPr>
        <w:spacing w:after="0" w:line="31"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extended the expiration date from December 31, 2026 to December 31, 2028. The execution of this additional authorization is contingent on the completion of the Freedom and Guernsey Acquisitions.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18 to the Annual Financial Statements for additional information relating to the SRP.</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of activity under the SRP: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Three Months Ended September 30, 2025</w:t>
            </w:r>
          </w:p>
        </w:tc>
        <w:tc>
          <w:tcPr>
            <w:tcW w:w="100" w:type="dxa"/>
            <w:vAlign w:val="bottom"/>
          </w:tcPr>
          <w:p>
            <w:pPr>
              <w:spacing w:after="0"/>
              <w:rPr>
                <w:sz w:val="17"/>
                <w:szCs w:val="17"/>
                <w:color w:val="auto"/>
              </w:rPr>
            </w:pPr>
          </w:p>
        </w:tc>
        <w:tc>
          <w:tcPr>
            <w:tcW w:w="4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Nine Months Ended September 30, 2025</w:t>
            </w: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188"/>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(a)</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Amount</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(a)</w:t>
            </w:r>
          </w:p>
        </w:tc>
        <w:tc>
          <w:tcPr>
            <w:tcW w:w="14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 Amount</w:t>
            </w:r>
          </w:p>
        </w:tc>
      </w:tr>
      <w:tr>
        <w:trPr>
          <w:trHeight w:val="122"/>
        </w:trPr>
        <w:tc>
          <w:tcPr>
            <w:tcW w:w="300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020" w:type="dxa"/>
            <w:vAlign w:val="bottom"/>
            <w:tcBorders>
              <w:bottom w:val="single" w:sz="8" w:color="auto"/>
            </w:tcBorders>
          </w:tcPr>
          <w:p>
            <w:pPr>
              <w:jc w:val="center"/>
              <w:ind w:left="188"/>
              <w:spacing w:after="0" w:line="12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E1E1E2"/>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196"/>
        </w:trPr>
        <w:tc>
          <w:tcPr>
            <w:tcW w:w="412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340" w:type="dxa"/>
            <w:vAlign w:val="bottom"/>
            <w:gridSpan w:val="2"/>
            <w:shd w:val="clear" w:color="auto" w:fill="E1E1E2"/>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E1E1E2"/>
          </w:tcPr>
          <w:p>
            <w:pPr>
              <w:ind w:left="920"/>
              <w:spacing w:after="0"/>
              <w:rPr>
                <w:sz w:val="20"/>
                <w:szCs w:val="20"/>
                <w:color w:val="auto"/>
              </w:rPr>
            </w:pPr>
            <w:r>
              <w:rPr>
                <w:rFonts w:ascii="Arial" w:cs="Arial" w:eastAsia="Arial" w:hAnsi="Arial"/>
                <w:sz w:val="14"/>
                <w:szCs w:val="14"/>
                <w:color w:val="auto"/>
              </w:rPr>
              <w:t>—   $</w:t>
            </w:r>
          </w:p>
        </w:tc>
        <w:tc>
          <w:tcPr>
            <w:tcW w:w="1240" w:type="dxa"/>
            <w:vAlign w:val="bottom"/>
            <w:gridSpan w:val="2"/>
            <w:shd w:val="clear" w:color="auto" w:fill="E1E1E2"/>
          </w:tcPr>
          <w:p>
            <w:pPr>
              <w:ind w:left="9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186.24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r>
      <w:tr>
        <w:trPr>
          <w:trHeight w:val="198"/>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 retirements</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Weighted average price per share, including transaction costs and excise taxes.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 of Noncontrolling Interests</w:t>
      </w:r>
    </w:p>
    <w:p>
      <w:pPr>
        <w:spacing w:after="0" w:line="179" w:lineRule="exact"/>
        <w:rPr>
          <w:sz w:val="20"/>
          <w:szCs w:val="20"/>
          <w:color w:val="auto"/>
        </w:rPr>
      </w:pPr>
    </w:p>
    <w:p>
      <w:pPr>
        <w:jc w:val="both"/>
        <w:ind w:right="160" w:firstLine="324"/>
        <w:spacing w:after="0" w:line="266" w:lineRule="auto"/>
        <w:rPr>
          <w:sz w:val="20"/>
          <w:szCs w:val="20"/>
          <w:color w:val="auto"/>
        </w:rPr>
      </w:pPr>
      <w:r>
        <w:rPr>
          <w:rFonts w:ascii="Arial" w:cs="Arial" w:eastAsia="Arial" w:hAnsi="Arial"/>
          <w:sz w:val="16"/>
          <w:szCs w:val="16"/>
          <w:i w:val="1"/>
          <w:iCs w:val="1"/>
          <w:color w:val="auto"/>
        </w:rPr>
        <w:t xml:space="preserve">Purchase of Equity in Cumulus Digital. </w:t>
      </w:r>
      <w:r>
        <w:rPr>
          <w:rFonts w:ascii="Arial" w:cs="Arial" w:eastAsia="Arial" w:hAnsi="Arial"/>
          <w:sz w:val="16"/>
          <w:szCs w:val="16"/>
          <w:color w:val="auto"/>
        </w:rPr>
        <w:t>In March 2024, TES acquired all of the equity of Cumulus Digital held by affiliates of Orion Energy Partners and</w:t>
      </w:r>
      <w:r>
        <w:rPr>
          <w:rFonts w:ascii="Arial" w:cs="Arial" w:eastAsia="Arial" w:hAnsi="Arial"/>
          <w:sz w:val="16"/>
          <w:szCs w:val="16"/>
          <w:i w:val="1"/>
          <w:iCs w:val="1"/>
          <w:color w:val="auto"/>
        </w:rPr>
        <w:t xml:space="preserve"> </w:t>
      </w:r>
      <w:r>
        <w:rPr>
          <w:rFonts w:ascii="Arial" w:cs="Arial" w:eastAsia="Arial" w:hAnsi="Arial"/>
          <w:sz w:val="16"/>
          <w:szCs w:val="16"/>
          <w:color w:val="auto"/>
        </w:rPr>
        <w:t>two former members of Talen senior management in exchange for an aggregate of $39 million. Following these transactions, TES owns 100% of the equity of Cumulus Digital.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Income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AOCI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7"/>
                <w:szCs w:val="17"/>
                <w:color w:val="auto"/>
              </w:rPr>
            </w:pPr>
          </w:p>
        </w:tc>
      </w:tr>
      <w:tr>
        <w:trPr>
          <w:trHeight w:val="196"/>
        </w:trPr>
        <w:tc>
          <w:tcPr>
            <w:tcW w:w="80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r>
      <w:tr>
        <w:trPr>
          <w:trHeight w:val="19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shd w:val="clear" w:color="auto" w:fill="E1E1E2"/>
          </w:tcPr>
          <w:p>
            <w:pPr>
              <w:spacing w:after="0"/>
              <w:rPr>
                <w:sz w:val="17"/>
                <w:szCs w:val="17"/>
                <w:color w:val="auto"/>
              </w:rPr>
            </w:pPr>
          </w:p>
        </w:tc>
        <w:tc>
          <w:tcPr>
            <w:tcW w:w="1200" w:type="dxa"/>
            <w:vAlign w:val="bottom"/>
            <w:shd w:val="clear" w:color="auto" w:fill="E1E1E2"/>
          </w:tcPr>
          <w:p>
            <w:pPr>
              <w:jc w:val="right"/>
              <w:ind w:right="102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Gains (losses) arising during the period</w:t>
            </w:r>
          </w:p>
        </w:tc>
        <w:tc>
          <w:tcPr>
            <w:tcW w:w="10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Reclassifications to Consolidated Statements of Operations</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w:t>
            </w:r>
          </w:p>
        </w:tc>
        <w:tc>
          <w:tcPr>
            <w:tcW w:w="80" w:type="dxa"/>
            <w:vAlign w:val="bottom"/>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18</w:t>
            </w:r>
          </w:p>
        </w:tc>
      </w:tr>
      <w:tr>
        <w:trPr>
          <w:trHeight w:val="196"/>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2"/>
        </w:trPr>
        <w:tc>
          <w:tcPr>
            <w:tcW w:w="8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AOCI, net of tax, as of September 30,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0" w:firstLine="324"/>
        <w:spacing w:after="0" w:line="304" w:lineRule="auto"/>
        <w:rPr>
          <w:sz w:val="20"/>
          <w:szCs w:val="20"/>
          <w:color w:val="auto"/>
        </w:rPr>
      </w:pPr>
      <w:r>
        <w:rPr>
          <w:rFonts w:ascii="Arial" w:cs="Arial" w:eastAsia="Arial" w:hAnsi="Arial"/>
          <w:sz w:val="16"/>
          <w:szCs w:val="16"/>
          <w:color w:val="auto"/>
        </w:rPr>
        <w:t>Reclassification adjustments from AOCI to the Consolidated Statements of Operations were non-material amounts for the nine months ended September 30, 2025 and 2024.</w:t>
      </w:r>
    </w:p>
    <w:p>
      <w:pPr>
        <w:spacing w:after="0" w:line="8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postretirement obligations components of AOCI are not presented in their entirety on the Consolidated Statements of Operations during the periods; rather, they are included in the computation of net periodic defined benefit costs (credits). See Note 12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Supplemental Cash Flow Information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information for the Consolidated Statements of Cash Flows for the periods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Borders>
              <w:bottom w:val="single" w:sz="8" w:color="auto"/>
            </w:tcBorders>
          </w:tcPr>
          <w:p>
            <w:pPr>
              <w:spacing w:after="0"/>
              <w:rPr>
                <w:sz w:val="17"/>
                <w:szCs w:val="17"/>
                <w:color w:val="auto"/>
              </w:rPr>
            </w:pPr>
          </w:p>
        </w:tc>
      </w:tr>
      <w:tr>
        <w:trPr>
          <w:trHeight w:val="196"/>
        </w:trPr>
        <w:tc>
          <w:tcPr>
            <w:tcW w:w="80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r>
      <w:tr>
        <w:trPr>
          <w:trHeight w:val="197"/>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Cash paid during the period</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r>
      <w:tr>
        <w:trPr>
          <w:trHeight w:val="203"/>
        </w:trPr>
        <w:tc>
          <w:tcPr>
            <w:tcW w:w="81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Interest and other finance charges, net of capitalized interest </w:t>
            </w:r>
            <w:r>
              <w:rPr>
                <w:rFonts w:ascii="Arial" w:cs="Arial" w:eastAsia="Arial" w:hAnsi="Arial"/>
                <w:sz w:val="18"/>
                <w:szCs w:val="18"/>
                <w:color w:val="auto"/>
                <w:vertAlign w:val="superscript"/>
              </w:rPr>
              <w:t>(a)</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taxes</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73</w:t>
            </w: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r>
      <w:tr>
        <w:trPr>
          <w:trHeight w:val="364"/>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derivative instruments included on the Statements of Cash Flows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w:t>
            </w: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swap contracts (interest expense)</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E1E1E2"/>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Unrealized (gain) loss on derivative instruments</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68</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100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(59)</w:t>
            </w:r>
          </w:p>
        </w:tc>
      </w:tr>
      <w:tr>
        <w:trPr>
          <w:trHeight w:val="344"/>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 included on the Statements of Cash Flows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4"/>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205</w:t>
            </w: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225</w:t>
            </w:r>
          </w:p>
        </w:tc>
      </w:tr>
      <w:tr>
        <w:trPr>
          <w:trHeight w:val="19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E1E1E2"/>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jc w:val="right"/>
              <w:ind w:right="88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208</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100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216</w:t>
            </w:r>
          </w:p>
        </w:tc>
      </w:tr>
      <w:tr>
        <w:trPr>
          <w:trHeight w:val="345"/>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other non-cash operating activities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option premium amortization</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r>
      <w:tr>
        <w:trPr>
          <w:trHeight w:val="198"/>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Bitcoin revenue</w:t>
            </w:r>
          </w:p>
        </w:tc>
        <w:tc>
          <w:tcPr>
            <w:tcW w:w="1060" w:type="dxa"/>
            <w:vAlign w:val="bottom"/>
            <w:shd w:val="clear" w:color="auto" w:fill="E1E1E2"/>
          </w:tcPr>
          <w:p>
            <w:pPr>
              <w:spacing w:after="0"/>
              <w:rPr>
                <w:sz w:val="17"/>
                <w:szCs w:val="17"/>
                <w:color w:val="auto"/>
              </w:rPr>
            </w:pPr>
          </w:p>
        </w:tc>
        <w:tc>
          <w:tcPr>
            <w:tcW w:w="5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(91)</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Debt restructuring (gain) loss, net</w:t>
            </w:r>
          </w:p>
        </w:tc>
        <w:tc>
          <w:tcPr>
            <w:tcW w:w="10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8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4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8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80</w:t>
            </w:r>
          </w:p>
        </w:tc>
        <w:tc>
          <w:tcPr>
            <w:tcW w:w="8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143"/>
        </w:trPr>
        <w:tc>
          <w:tcPr>
            <w:tcW w:w="8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r>
      <w:tr>
        <w:trPr>
          <w:trHeight w:val="203"/>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1060" w:type="dxa"/>
            <w:vAlign w:val="bottom"/>
            <w:shd w:val="clear" w:color="auto" w:fill="E1E1E2"/>
          </w:tcPr>
          <w:p>
            <w:pPr>
              <w:spacing w:after="0"/>
              <w:rPr>
                <w:sz w:val="17"/>
                <w:szCs w:val="17"/>
                <w:color w:val="auto"/>
              </w:rPr>
            </w:pPr>
          </w:p>
        </w:tc>
        <w:tc>
          <w:tcPr>
            <w:tcW w:w="4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r>
      <w:tr>
        <w:trPr>
          <w:trHeight w:val="19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 accrual increase (decrease)</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bl>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Capitalized interest was $2 million and $3 million for the nine months ended September 30, 2025 and 2024,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Cash and Restricted Cash</w:t>
      </w:r>
    </w:p>
    <w:p>
      <w:pPr>
        <w:spacing w:after="0" w:line="165" w:lineRule="exact"/>
        <w:rPr>
          <w:sz w:val="20"/>
          <w:szCs w:val="20"/>
          <w:color w:val="auto"/>
        </w:rPr>
      </w:pPr>
    </w:p>
    <w:p>
      <w:pPr>
        <w:ind w:right="100" w:firstLine="324"/>
        <w:spacing w:after="0" w:line="304" w:lineRule="auto"/>
        <w:rPr>
          <w:sz w:val="20"/>
          <w:szCs w:val="20"/>
          <w:color w:val="auto"/>
        </w:rPr>
      </w:pPr>
      <w:r>
        <w:rPr>
          <w:rFonts w:ascii="Arial" w:cs="Arial" w:eastAsia="Arial" w:hAnsi="Arial"/>
          <w:sz w:val="16"/>
          <w:szCs w:val="16"/>
          <w:color w:val="auto"/>
        </w:rPr>
        <w:t>The following table provides a reconciliation of “Cash and cash equivalents” and “Restricted cash and cash equivalents” presented on the Consolidated Balance Sheets to such amounts shown on the Consolidated Statements of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96"/>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497</w:t>
            </w:r>
          </w:p>
        </w:tc>
        <w:tc>
          <w:tcPr>
            <w:tcW w:w="80" w:type="dxa"/>
            <w:vAlign w:val="bottom"/>
            <w:shd w:val="clear" w:color="auto" w:fill="E1E1E2"/>
          </w:tcPr>
          <w:p>
            <w:pPr>
              <w:spacing w:after="0"/>
              <w:rPr>
                <w:sz w:val="17"/>
                <w:szCs w:val="17"/>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328</w:t>
            </w:r>
          </w:p>
        </w:tc>
      </w:tr>
      <w:tr>
        <w:trPr>
          <w:trHeight w:val="203"/>
        </w:trPr>
        <w:tc>
          <w:tcPr>
            <w:tcW w:w="80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Restricted cash and cash equivalents </w:t>
            </w:r>
            <w:r>
              <w:rPr>
                <w:rFonts w:ascii="Arial" w:cs="Arial" w:eastAsia="Arial" w:hAnsi="Arial"/>
                <w:sz w:val="18"/>
                <w:szCs w:val="18"/>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15"/>
        </w:trPr>
        <w:tc>
          <w:tcPr>
            <w:tcW w:w="8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497</w:t>
            </w:r>
          </w:p>
        </w:tc>
        <w:tc>
          <w:tcPr>
            <w:tcW w:w="80" w:type="dxa"/>
            <w:vAlign w:val="bottom"/>
            <w:shd w:val="clear" w:color="auto" w:fill="E1E1E2"/>
          </w:tcPr>
          <w:p>
            <w:pPr>
              <w:spacing w:after="0"/>
              <w:rPr>
                <w:sz w:val="18"/>
                <w:szCs w:val="18"/>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365</w:t>
            </w:r>
          </w:p>
        </w:tc>
      </w:tr>
      <w:tr>
        <w:trPr>
          <w:trHeight w:val="20"/>
        </w:trPr>
        <w:tc>
          <w:tcPr>
            <w:tcW w:w="8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Comprised of commodity exchange margin deposits.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Acquisitions and Divestitures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Pending Acquisitions</w:t>
      </w:r>
    </w:p>
    <w:p>
      <w:pPr>
        <w:spacing w:after="0" w:line="165"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i w:val="1"/>
          <w:iCs w:val="1"/>
          <w:color w:val="auto"/>
        </w:rPr>
        <w:t xml:space="preserve">Freedom and Guernsey Acquisitions. </w:t>
      </w:r>
      <w:r>
        <w:rPr>
          <w:rFonts w:ascii="Arial" w:cs="Arial" w:eastAsia="Arial" w:hAnsi="Arial"/>
          <w:sz w:val="16"/>
          <w:szCs w:val="16"/>
          <w:color w:val="auto"/>
        </w:rPr>
        <w:t>On July 17, 2025, the Company entered into two purchase and sale agreements (the “Purchase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affiliates of Caithness Energy pursuant to which it agreed to purchase (i) the Freedom Generating Station, a 1,045 MW (summer rating) natural gas fired combined cycle generation plant located in Luzerne County, Pennsylvania, for approximately $1.5 billion in cash; and (ii) the Guernsey Power Station, a 1,836 MW (summer rating) natural gas fired combined cycle generation plant located in Guernsey County, Ohio, for approximately $2.3 billion in cash, in each case as adjusted in accordance with the applicable Purchase Agreement. At closing, the Company is required under each Purchase Agreement to deposit 1% of the purchase price in cash with an escrow agent to secure the payment of certain customary post-closing purchase price adjustments.</w:t>
      </w:r>
    </w:p>
    <w:p>
      <w:pPr>
        <w:spacing w:after="0" w:line="122" w:lineRule="exact"/>
        <w:rPr>
          <w:sz w:val="20"/>
          <w:szCs w:val="20"/>
          <w:color w:val="auto"/>
        </w:rPr>
      </w:pPr>
    </w:p>
    <w:p>
      <w:pPr>
        <w:ind w:right="140" w:firstLine="324"/>
        <w:spacing w:after="0" w:line="258" w:lineRule="auto"/>
        <w:rPr>
          <w:sz w:val="20"/>
          <w:szCs w:val="20"/>
          <w:color w:val="auto"/>
        </w:rPr>
      </w:pPr>
      <w:r>
        <w:rPr>
          <w:rFonts w:ascii="Arial" w:cs="Arial" w:eastAsia="Arial" w:hAnsi="Arial"/>
          <w:sz w:val="16"/>
          <w:szCs w:val="16"/>
          <w:color w:val="auto"/>
        </w:rPr>
        <w:t>Each transaction is subject to the satisfaction of customary closing conditions, including the expiration or termination of the waiting period pursuant to the Hart-Scott-Rodino Antitrust Improvements Act of 1976 (the “HSR”), and regulatory approvals from the FERC and other regulatory agencies. These regulatory filings have all been made and are now pending at the agencies. After discussions with the U.S. Department of Justice (the “DOJ”) regarding the Company’s pending HSR application in connection with the Freedom and Guernsey Acquisitions, the Company determined it prudent to withdraw the application and promptly refiled the application on October 17, 2025 to restart the 30-day review period, and provide additional information to the DOJ voluntarily. The Purchase Agreements provide that either we or the sellers can terminate the applicable agreement if the respective acquisition is not completed by July 17, 2026 (which may be automatically extended to January 17, 2027 in the case of pending antitrust or regulatory approvals). Under certain circumstances, we may be required to pay the sellers a termination fee of approximately $63 million in the case of Freedom and $100 million in the case of Guernsey if the applicable acquisition is not consummated. The Freedom and Guernsey Acquisitions are both expected to close in the first quarter 2026.</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10 for information on recent financing transactions related to the Freedom and Guernsey Acquisitions.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2025 Divestitures</w:t>
      </w:r>
    </w:p>
    <w:p>
      <w:pPr>
        <w:spacing w:after="0" w:line="165" w:lineRule="exact"/>
        <w:rPr>
          <w:sz w:val="20"/>
          <w:szCs w:val="20"/>
          <w:color w:val="auto"/>
        </w:rPr>
      </w:pPr>
    </w:p>
    <w:p>
      <w:pPr>
        <w:jc w:val="both"/>
        <w:ind w:right="120" w:firstLine="324"/>
        <w:spacing w:after="0" w:line="275" w:lineRule="auto"/>
        <w:rPr>
          <w:sz w:val="20"/>
          <w:szCs w:val="20"/>
          <w:color w:val="auto"/>
        </w:rPr>
      </w:pPr>
      <w:r>
        <w:rPr>
          <w:rFonts w:ascii="Arial" w:cs="Arial" w:eastAsia="Arial" w:hAnsi="Arial"/>
          <w:sz w:val="16"/>
          <w:szCs w:val="16"/>
          <w:i w:val="1"/>
          <w:iCs w:val="1"/>
          <w:color w:val="auto"/>
        </w:rPr>
        <w:t xml:space="preserve">Camden and Dartmouth Sales. </w:t>
      </w:r>
      <w:r>
        <w:rPr>
          <w:rFonts w:ascii="Arial" w:cs="Arial" w:eastAsia="Arial" w:hAnsi="Arial"/>
          <w:sz w:val="16"/>
          <w:szCs w:val="16"/>
          <w:color w:val="auto"/>
        </w:rPr>
        <w:t>In September 2025, we sold the Camden and Dartmouth generation facilities to an unaffiliated party for a combined as-adjusted purchase price of $25 million in cash, subject to further post-closing adjustments. A gain on sale of $22 million is presented as “Gain (loss) on sale of assets, net” on the Consolidated Statements of Operations for the nine months ended September 30, 2025.</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2024 Divestitures</w:t>
      </w:r>
    </w:p>
    <w:p>
      <w:pPr>
        <w:spacing w:after="0" w:line="179" w:lineRule="exact"/>
        <w:rPr>
          <w:sz w:val="20"/>
          <w:szCs w:val="20"/>
          <w:color w:val="auto"/>
        </w:rPr>
      </w:pPr>
    </w:p>
    <w:p>
      <w:pPr>
        <w:ind w:right="160" w:firstLine="324"/>
        <w:spacing w:after="0" w:line="266" w:lineRule="auto"/>
        <w:rPr>
          <w:sz w:val="20"/>
          <w:szCs w:val="20"/>
          <w:color w:val="auto"/>
        </w:rPr>
      </w:pPr>
      <w:r>
        <w:rPr>
          <w:rFonts w:ascii="Arial" w:cs="Arial" w:eastAsia="Arial" w:hAnsi="Arial"/>
          <w:sz w:val="16"/>
          <w:szCs w:val="16"/>
          <w:i w:val="1"/>
          <w:iCs w:val="1"/>
          <w:color w:val="auto"/>
        </w:rPr>
        <w:t xml:space="preserve">ERCOT Sale. </w:t>
      </w:r>
      <w:r>
        <w:rPr>
          <w:rFonts w:ascii="Arial" w:cs="Arial" w:eastAsia="Arial" w:hAnsi="Arial"/>
          <w:sz w:val="16"/>
          <w:szCs w:val="16"/>
          <w:color w:val="auto"/>
        </w:rPr>
        <w:t>In May 2024, we sold our 1,710 MW Texas generation portfolio to CPS Energy for $785 million, subject to customary net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 gain on sale of $564 million is presented as “Gain (loss) on sale of assets, net” on the Consolidated Statements of Operations for the nine months ended September 30, 2024.</w:t>
      </w:r>
    </w:p>
    <w:p>
      <w:pPr>
        <w:spacing w:after="0" w:line="131"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 xml:space="preserve">AWS Data Campus Sale. </w:t>
      </w:r>
      <w:r>
        <w:rPr>
          <w:rFonts w:ascii="Arial" w:cs="Arial" w:eastAsia="Arial" w:hAnsi="Arial"/>
          <w:sz w:val="16"/>
          <w:szCs w:val="16"/>
          <w:color w:val="auto"/>
        </w:rPr>
        <w:t>In March 2024, AWS purchased substantially all the assets related to the AWS Data Campus and certain other assets for</w:t>
      </w:r>
    </w:p>
    <w:p>
      <w:pPr>
        <w:spacing w:after="0" w:line="2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gross proceeds of $650 million, of which $350 million were received at closing with the remaining $300 million held in escrow until August 2024. For the nine months ended September 30, 2024, a $324 million gain on sale is presented as “Gain (loss) on sale of assets, net” on the Consolidated Statements of Operations. In connection with the AWS Data Campus Sale, the Company entered into the initial AWS PPA. In June 2025, the Company and AWS entered into a revised AWS PPA, under which the Company is expected to provide AWS with up to 1,920 MW of “front-of-the-meter” power through 2042. The transition to the revised AWS PPA is expected to occur in Spring 2026.</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Segments</w:t>
      </w:r>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Talen’s operating segments are based on the market areas in which our generation facilities operate and reflect the manner in which our Chief Executive Officer, who is the chief operating decision maker, reviews results and allocate resources. Adjusted EBITDA is the key profit metric used to measure financial performance of each segment. Total assets or other asset metrics are not considered a key metric or reviewed by the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“PJM” is engaged in electricity generation, marketing activities, and commodity risk and fuel management within the PJM RTO market and is comprised of Susquehanna and Talen’s natural gas and coal generation facilities in PJM.</w:t>
      </w:r>
    </w:p>
    <w:p>
      <w:pPr>
        <w:spacing w:after="0" w:line="115" w:lineRule="exact"/>
        <w:rPr>
          <w:sz w:val="20"/>
          <w:szCs w:val="20"/>
          <w:color w:val="auto"/>
        </w:rPr>
      </w:pPr>
    </w:p>
    <w:p>
      <w:pPr>
        <w:ind w:right="220" w:firstLine="324"/>
        <w:spacing w:after="0" w:line="260" w:lineRule="auto"/>
        <w:rPr>
          <w:sz w:val="20"/>
          <w:szCs w:val="20"/>
          <w:color w:val="auto"/>
        </w:rPr>
      </w:pPr>
      <w:r>
        <w:rPr>
          <w:rFonts w:ascii="Arial" w:cs="Arial" w:eastAsia="Arial" w:hAnsi="Arial"/>
          <w:sz w:val="16"/>
          <w:szCs w:val="16"/>
          <w:color w:val="auto"/>
        </w:rPr>
        <w:t>“Other” represents an operating segment that includes the operating and marketing activities of Talen Montana’s proportionate share of Colstrip in the WECC market and other non-material operating and development activities. “Other” also includes the operating activities of Nautilus until Bitcoin mining operations were suspended in October 2024 and the operating activities of our Texas power generation facilities in the ERCOT market prior to their disposition in May 2024. We have determined it appropriate to aggregate results of Talen’s remaining non-reportable segments and other operating activities.</w:t>
      </w:r>
    </w:p>
    <w:p>
      <w:pPr>
        <w:spacing w:after="0" w:line="137" w:lineRule="exact"/>
        <w:rPr>
          <w:sz w:val="20"/>
          <w:szCs w:val="20"/>
          <w:color w:val="auto"/>
        </w:rPr>
      </w:pPr>
    </w:p>
    <w:p>
      <w:pPr>
        <w:jc w:val="both"/>
        <w:ind w:right="380" w:firstLine="324"/>
        <w:spacing w:after="0" w:line="275" w:lineRule="auto"/>
        <w:rPr>
          <w:sz w:val="20"/>
          <w:szCs w:val="20"/>
          <w:color w:val="auto"/>
        </w:rPr>
      </w:pPr>
      <w:r>
        <w:rPr>
          <w:rFonts w:ascii="Arial" w:cs="Arial" w:eastAsia="Arial" w:hAnsi="Arial"/>
          <w:sz w:val="16"/>
          <w:szCs w:val="16"/>
          <w:color w:val="auto"/>
        </w:rPr>
        <w:t>“Corporate and Eliminations” represents a non-reportable segment that includes: (i) general and administrative expenses incurred by our corporate function; (ii) interest expense and other corporate activities not allocated to our operating segments; and (iii) intercompany eliminations. This grouping is presented to reconcile the reportable segments to our consolidated results.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PJM</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Three Months Ended September 30, 2025</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755</w:t>
            </w:r>
          </w:p>
        </w:tc>
        <w:tc>
          <w:tcPr>
            <w:tcW w:w="8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124</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266</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55"/>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2024</w:t>
            </w: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575</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60" w:type="dxa"/>
            <w:vAlign w:val="bottom"/>
            <w:shd w:val="clear" w:color="auto" w:fill="E1E1E2"/>
          </w:tcPr>
          <w:p>
            <w:pPr>
              <w:spacing w:after="0"/>
              <w:rPr>
                <w:sz w:val="17"/>
                <w:szCs w:val="17"/>
                <w:color w:val="auto"/>
              </w:rPr>
            </w:pPr>
          </w:p>
        </w:tc>
        <w:tc>
          <w:tcPr>
            <w:tcW w:w="5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1E1E2"/>
          </w:tcPr>
          <w:p>
            <w:pPr>
              <w:spacing w:after="0"/>
              <w:rPr>
                <w:sz w:val="17"/>
                <w:szCs w:val="17"/>
                <w:color w:val="auto"/>
              </w:rPr>
            </w:pPr>
          </w:p>
        </w:tc>
        <w:tc>
          <w:tcPr>
            <w:tcW w:w="46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243</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217</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PJM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Nine Months Ended September 30, 2025</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1,760</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442</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629</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689</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156</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55"/>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2024</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1,446</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592</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significant segment expense category aligns with the segment-level information that is regularly provided to the CODM.</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 segment items are primarily comprised of fuel and energy purchases.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Reconciliation of segment Adjusted EBITDA to Income (Loss) Before Income Taxes: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90"/>
        </w:trPr>
        <w:tc>
          <w:tcPr>
            <w:tcW w:w="4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PJM Segment Adjusted EBITDA</w:t>
            </w:r>
          </w:p>
        </w:tc>
        <w:tc>
          <w:tcPr>
            <w:tcW w:w="100" w:type="dxa"/>
            <w:vAlign w:val="bottom"/>
            <w:tcBorders>
              <w:bottom w:val="single" w:sz="8" w:color="E1E1E2"/>
            </w:tcBorders>
            <w:shd w:val="clear" w:color="auto" w:fill="E1E1E2"/>
          </w:tcPr>
          <w:p>
            <w:pPr>
              <w:spacing w:after="0"/>
              <w:rPr>
                <w:sz w:val="16"/>
                <w:szCs w:val="16"/>
                <w:color w:val="auto"/>
              </w:rPr>
            </w:pPr>
          </w:p>
        </w:tc>
        <w:tc>
          <w:tcPr>
            <w:tcW w:w="1080" w:type="dxa"/>
            <w:vAlign w:val="bottom"/>
            <w:tcBorders>
              <w:bottom w:val="single" w:sz="8" w:color="auto"/>
            </w:tcBorders>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365</w:t>
            </w:r>
          </w:p>
        </w:tc>
        <w:tc>
          <w:tcPr>
            <w:tcW w:w="100" w:type="dxa"/>
            <w:vAlign w:val="bottom"/>
            <w:tcBorders>
              <w:bottom w:val="single" w:sz="8" w:color="E1E1E2"/>
            </w:tcBorders>
            <w:shd w:val="clear" w:color="auto" w:fill="E1E1E2"/>
          </w:tcPr>
          <w:p>
            <w:pPr>
              <w:spacing w:after="0"/>
              <w:rPr>
                <w:sz w:val="16"/>
                <w:szCs w:val="16"/>
                <w:color w:val="auto"/>
              </w:rPr>
            </w:pPr>
          </w:p>
        </w:tc>
        <w:tc>
          <w:tcPr>
            <w:tcW w:w="1200" w:type="dxa"/>
            <w:vAlign w:val="bottom"/>
            <w:tcBorders>
              <w:bottom w:val="single" w:sz="8" w:color="auto"/>
            </w:tcBorders>
            <w:shd w:val="clear" w:color="auto" w:fill="E1E1E2"/>
          </w:tcPr>
          <w:p>
            <w:pPr>
              <w:jc w:val="right"/>
              <w:ind w:right="10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217</w:t>
            </w:r>
          </w:p>
        </w:tc>
        <w:tc>
          <w:tcPr>
            <w:tcW w:w="100" w:type="dxa"/>
            <w:vAlign w:val="bottom"/>
            <w:tcBorders>
              <w:bottom w:val="single" w:sz="8" w:color="E1E1E2"/>
            </w:tcBorders>
            <w:shd w:val="clear" w:color="auto" w:fill="E1E1E2"/>
          </w:tcPr>
          <w:p>
            <w:pPr>
              <w:spacing w:after="0"/>
              <w:rPr>
                <w:sz w:val="16"/>
                <w:szCs w:val="16"/>
                <w:color w:val="auto"/>
              </w:rPr>
            </w:pPr>
          </w:p>
        </w:tc>
        <w:tc>
          <w:tcPr>
            <w:tcW w:w="1000" w:type="dxa"/>
            <w:vAlign w:val="bottom"/>
            <w:tcBorders>
              <w:bottom w:val="single" w:sz="8" w:color="auto"/>
            </w:tcBorders>
            <w:shd w:val="clear" w:color="auto" w:fill="E1E1E2"/>
          </w:tcPr>
          <w:p>
            <w:pPr>
              <w:jc w:val="right"/>
              <w:ind w:right="8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689</w:t>
            </w:r>
          </w:p>
        </w:tc>
        <w:tc>
          <w:tcPr>
            <w:tcW w:w="80" w:type="dxa"/>
            <w:vAlign w:val="bottom"/>
            <w:tcBorders>
              <w:bottom w:val="single" w:sz="8" w:color="E1E1E2"/>
            </w:tcBorders>
            <w:shd w:val="clear" w:color="auto" w:fill="E1E1E2"/>
          </w:tcPr>
          <w:p>
            <w:pPr>
              <w:spacing w:after="0"/>
              <w:rPr>
                <w:sz w:val="16"/>
                <w:szCs w:val="16"/>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592</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Reconciling Items:</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jc w:val="right"/>
              <w:ind w:right="1028"/>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(203)</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(187)</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149</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169</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Stock-based and other long-term incentive compensation expense</w:t>
            </w: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Gain (loss) on asset sales, net </w:t>
            </w:r>
            <w:r>
              <w:rPr>
                <w:rFonts w:ascii="Arial" w:cs="Arial" w:eastAsia="Arial" w:hAnsi="Arial"/>
                <w:sz w:val="9"/>
                <w:szCs w:val="9"/>
                <w:color w:val="auto"/>
              </w:rPr>
              <w:t>(a)</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4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885</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operating segment</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r>
      <w:tr>
        <w:trPr>
          <w:trHeight w:val="198"/>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108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Corporate and Eliminations</w:t>
            </w:r>
          </w:p>
        </w:tc>
        <w:tc>
          <w:tcPr>
            <w:tcW w:w="108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r>
      <w:tr>
        <w:trPr>
          <w:trHeight w:val="19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items</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1E1E2"/>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19"/>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shd w:val="clear" w:color="auto" w:fill="E1E1E2"/>
          </w:tcPr>
          <w:p>
            <w:pPr>
              <w:spacing w:after="0"/>
              <w:rPr>
                <w:sz w:val="19"/>
                <w:szCs w:val="19"/>
                <w:color w:val="auto"/>
              </w:rPr>
            </w:pPr>
          </w:p>
        </w:tc>
        <w:tc>
          <w:tcPr>
            <w:tcW w:w="1200" w:type="dxa"/>
            <w:vAlign w:val="bottom"/>
            <w:shd w:val="clear" w:color="auto" w:fill="E1E1E2"/>
          </w:tcPr>
          <w:p>
            <w:pPr>
              <w:jc w:val="right"/>
              <w:ind w:right="102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shd w:val="clear" w:color="auto" w:fill="E1E1E2"/>
          </w:tcPr>
          <w:p>
            <w:pPr>
              <w:spacing w:after="0"/>
              <w:rPr>
                <w:sz w:val="19"/>
                <w:szCs w:val="19"/>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214</w:t>
            </w:r>
          </w:p>
        </w:tc>
        <w:tc>
          <w:tcPr>
            <w:tcW w:w="80" w:type="dxa"/>
            <w:vAlign w:val="bottom"/>
            <w:shd w:val="clear" w:color="auto" w:fill="E1E1E2"/>
          </w:tcPr>
          <w:p>
            <w:pPr>
              <w:spacing w:after="0"/>
              <w:rPr>
                <w:sz w:val="19"/>
                <w:szCs w:val="19"/>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1,137</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See Note 17 for additional information.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67"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should be read in conjunction with the Interim Financial Statements, the Annual Financial Statements, and the Notes thereto. 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Financing Transactions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Issuance of Senior Notes. </w:t>
      </w:r>
      <w:r>
        <w:rPr>
          <w:rFonts w:ascii="Arial" w:cs="Arial" w:eastAsia="Arial" w:hAnsi="Arial"/>
          <w:sz w:val="16"/>
          <w:szCs w:val="16"/>
          <w:color w:val="auto"/>
        </w:rPr>
        <w:t>In October 2025, TES issued: (i) $1.4 billion in aggregate principal amount of 6.25% Senior Unsecured Notes due 2034; and</w:t>
      </w:r>
    </w:p>
    <w:p>
      <w:pPr>
        <w:spacing w:after="0" w:line="21" w:lineRule="exact"/>
        <w:rPr>
          <w:sz w:val="20"/>
          <w:szCs w:val="20"/>
          <w:color w:val="auto"/>
        </w:rPr>
      </w:pPr>
    </w:p>
    <w:p>
      <w:pPr>
        <w:ind w:right="160" w:firstLine="8"/>
        <w:spacing w:after="0" w:line="283" w:lineRule="auto"/>
        <w:tabs>
          <w:tab w:leader="none" w:pos="225" w:val="left"/>
        </w:tabs>
        <w:numPr>
          <w:ilvl w:val="0"/>
          <w:numId w:val="29"/>
        </w:numPr>
        <w:rPr>
          <w:rFonts w:ascii="Arial" w:cs="Arial" w:eastAsia="Arial" w:hAnsi="Arial"/>
          <w:sz w:val="16"/>
          <w:szCs w:val="16"/>
          <w:color w:val="auto"/>
        </w:rPr>
      </w:pPr>
      <w:r>
        <w:rPr>
          <w:rFonts w:ascii="Arial" w:cs="Arial" w:eastAsia="Arial" w:hAnsi="Arial"/>
          <w:sz w:val="16"/>
          <w:szCs w:val="16"/>
          <w:color w:val="auto"/>
        </w:rPr>
        <w:t>$1.29 billion in aggregate principal amount of 6.50% Senior Unsecured Notes due 2036. We expect to use the net proceeds from the Unsecured Notes, together with the proceeds of the new TLB-3 discussed below, to fund the Freedom and Guernsey Acquisitions.</w:t>
      </w:r>
    </w:p>
    <w:p>
      <w:pPr>
        <w:spacing w:after="0" w:line="10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i w:val="1"/>
          <w:iCs w:val="1"/>
          <w:color w:val="auto"/>
        </w:rPr>
        <w:t xml:space="preserve">Credit Facility Transactions. </w:t>
      </w:r>
      <w:r>
        <w:rPr>
          <w:rFonts w:ascii="Arial" w:cs="Arial" w:eastAsia="Arial" w:hAnsi="Arial"/>
          <w:sz w:val="16"/>
          <w:szCs w:val="16"/>
          <w:color w:val="auto"/>
        </w:rPr>
        <w:t>Also in October 2025, TES undertook the following financing transactions that are expected to become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concurrently with the closing of either the Freedom Acquisition or the Guernsey Acquisition (whichever closes first): (i) allocated and priced a $1.2 billion senior secured term loan B credit facility (the TLB-3), a portion of which may be incurred on a delayed-draw basis, the proceeds of which, together with the proceeds from the Unsecured Notes, are intended to be used to fund the Freedom and Guernsey Acquisitions; (ii) received commitments to increase its existing RCF (including its revolving LC capacity) from $700 million to $900 million; and (iii) received commitments to upsize its existing $900 million LCF to $1.1 billion and extend the maturity from December 2026 to December 2027.</w:t>
      </w:r>
    </w:p>
    <w:p>
      <w:pPr>
        <w:spacing w:after="0" w:line="122" w:lineRule="exact"/>
        <w:rPr>
          <w:sz w:val="20"/>
          <w:szCs w:val="20"/>
          <w:color w:val="auto"/>
        </w:rPr>
      </w:pPr>
    </w:p>
    <w:p>
      <w:pPr>
        <w:ind w:right="400" w:firstLine="324"/>
        <w:spacing w:after="0" w:line="304" w:lineRule="auto"/>
        <w:rPr>
          <w:sz w:val="20"/>
          <w:szCs w:val="20"/>
          <w:color w:val="auto"/>
        </w:rPr>
      </w:pPr>
      <w:r>
        <w:rPr>
          <w:rFonts w:ascii="Arial" w:cs="Arial" w:eastAsia="Arial" w:hAnsi="Arial"/>
          <w:sz w:val="16"/>
          <w:szCs w:val="16"/>
          <w:i w:val="1"/>
          <w:iCs w:val="1"/>
          <w:color w:val="auto"/>
        </w:rPr>
        <w:t xml:space="preserve">Bridge Commitment Termination. </w:t>
      </w:r>
      <w:r>
        <w:rPr>
          <w:rFonts w:ascii="Arial" w:cs="Arial" w:eastAsia="Arial" w:hAnsi="Arial"/>
          <w:sz w:val="16"/>
          <w:szCs w:val="16"/>
          <w:color w:val="auto"/>
        </w:rPr>
        <w:t>Also in October 2025, in connection with the financing transactions described above, TES terminated its previous</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letters for $3.8 billion in secured and unsecured indebtedness to fund the Freedom and Guernsey Acquisitions.</w:t>
      </w:r>
    </w:p>
    <w:p>
      <w:pPr>
        <w:spacing w:after="0" w:line="87" w:lineRule="exact"/>
        <w:rPr>
          <w:sz w:val="20"/>
          <w:szCs w:val="20"/>
          <w:color w:val="auto"/>
        </w:rPr>
      </w:pPr>
    </w:p>
    <w:p>
      <w:pPr>
        <w:ind w:right="560" w:firstLine="324"/>
        <w:spacing w:after="0" w:line="286" w:lineRule="auto"/>
        <w:rPr>
          <w:sz w:val="20"/>
          <w:szCs w:val="20"/>
          <w:color w:val="auto"/>
        </w:rPr>
      </w:pPr>
      <w:r>
        <w:rPr>
          <w:rFonts w:ascii="Arial" w:cs="Arial" w:eastAsia="Arial" w:hAnsi="Arial"/>
          <w:sz w:val="16"/>
          <w:szCs w:val="16"/>
          <w:color w:val="auto"/>
        </w:rPr>
        <w:t>See Notes 10 and 17 to the Interim Financial Statements for additional information on the financing transactions and the Freedom and Guernsey Acquisitions.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Upsize of Share Repurchase Program</w:t>
      </w:r>
    </w:p>
    <w:p>
      <w:pPr>
        <w:spacing w:after="0" w:line="16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In September 2025, the Board of Directors approved the upsizing of the Company’s existing SRP from $995 million to a aggregate remaining capacity of $2 billion and extended the expiration of the SRP from December 31, 2026 to December 31, 2028. The execution of this additional authorization is contingent on the completion of the Freedom and Guernsey Acquisitions.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15 to the Interim Financial Statements for additional information.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Sale of Nuclear Production Tax Credits</w:t>
      </w:r>
    </w:p>
    <w:p>
      <w:pPr>
        <w:spacing w:after="0" w:line="165" w:lineRule="exact"/>
        <w:rPr>
          <w:sz w:val="20"/>
          <w:szCs w:val="20"/>
          <w:color w:val="auto"/>
        </w:rPr>
      </w:pPr>
    </w:p>
    <w:p>
      <w:pPr>
        <w:ind w:right="460" w:firstLine="324"/>
        <w:spacing w:after="0" w:line="275" w:lineRule="auto"/>
        <w:rPr>
          <w:sz w:val="20"/>
          <w:szCs w:val="20"/>
          <w:color w:val="auto"/>
        </w:rPr>
      </w:pPr>
      <w:r>
        <w:rPr>
          <w:rFonts w:ascii="Arial" w:cs="Arial" w:eastAsia="Arial" w:hAnsi="Arial"/>
          <w:sz w:val="16"/>
          <w:szCs w:val="16"/>
          <w:color w:val="auto"/>
        </w:rPr>
        <w:t>The Nuclear PTC, created under the Inflation Reduction Act, provides qualified nuclear power generation facilities with a transferable tax credit for electricity produced and sold to an unrelated party during each tax year. Subject to the qualification requirements, electricity produced and sold by Susquehanna to third parties from December 31, 2023 through December 31, 2032 is eligible for the credit.</w:t>
      </w:r>
    </w:p>
    <w:p>
      <w:pPr>
        <w:spacing w:after="0" w:line="110" w:lineRule="exact"/>
        <w:rPr>
          <w:sz w:val="20"/>
          <w:szCs w:val="20"/>
          <w:color w:val="auto"/>
        </w:rPr>
      </w:pPr>
    </w:p>
    <w:p>
      <w:pPr>
        <w:ind w:right="60" w:firstLine="324"/>
        <w:spacing w:after="0" w:line="304" w:lineRule="auto"/>
        <w:rPr>
          <w:sz w:val="20"/>
          <w:szCs w:val="20"/>
          <w:color w:val="auto"/>
        </w:rPr>
      </w:pPr>
      <w:r>
        <w:rPr>
          <w:rFonts w:ascii="Arial" w:cs="Arial" w:eastAsia="Arial" w:hAnsi="Arial"/>
          <w:sz w:val="16"/>
          <w:szCs w:val="16"/>
          <w:color w:val="auto"/>
        </w:rPr>
        <w:t>In September 2025, we sold certain 2024 Nuclear PTCs to an unaffiliated third party for $191 million. See Note 4 to the Interim Financial Statements for additional information on the sale of the Nuclear PTCs.</w:t>
      </w:r>
    </w:p>
    <w:p>
      <w:pPr>
        <w:spacing w:after="0" w:line="87" w:lineRule="exact"/>
        <w:rPr>
          <w:sz w:val="20"/>
          <w:szCs w:val="20"/>
          <w:color w:val="auto"/>
        </w:rPr>
      </w:pPr>
    </w:p>
    <w:p>
      <w:pPr>
        <w:ind w:left="340" w:right="840"/>
        <w:spacing w:after="0" w:line="466" w:lineRule="auto"/>
        <w:rPr>
          <w:sz w:val="20"/>
          <w:szCs w:val="20"/>
          <w:color w:val="auto"/>
        </w:rPr>
      </w:pPr>
      <w:r>
        <w:rPr>
          <w:rFonts w:ascii="Arial" w:cs="Arial" w:eastAsia="Arial" w:hAnsi="Arial"/>
          <w:sz w:val="16"/>
          <w:szCs w:val="16"/>
          <w:color w:val="auto"/>
        </w:rPr>
        <w:t xml:space="preserve">See Note 3 to the Interim Financial Statements for additional information on the recognized revenue that is associated with the Nuclear PTC. </w:t>
      </w:r>
      <w:r>
        <w:rPr>
          <w:rFonts w:ascii="Arial" w:cs="Arial" w:eastAsia="Arial" w:hAnsi="Arial"/>
          <w:sz w:val="16"/>
          <w:szCs w:val="16"/>
          <w:b w:val="1"/>
          <w:bCs w:val="1"/>
          <w:i w:val="1"/>
          <w:iCs w:val="1"/>
          <w:color w:val="auto"/>
        </w:rPr>
        <w:t>Camden and Dartmouth Sales</w:t>
      </w:r>
    </w:p>
    <w:p>
      <w:pPr>
        <w:spacing w:after="0" w:line="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In September 2025, we sold the Camden and Dartmouth generation facilities for a combined as-adjusted purchase price of $25 million in cash, subject to further post-closing adjustments.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17 to the Interim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Freedom and Guernsey Acquisitions</w:t>
      </w:r>
    </w:p>
    <w:p>
      <w:pPr>
        <w:spacing w:after="0" w:line="165" w:lineRule="exact"/>
        <w:rPr>
          <w:sz w:val="20"/>
          <w:szCs w:val="20"/>
          <w:color w:val="auto"/>
        </w:rPr>
      </w:pPr>
    </w:p>
    <w:p>
      <w:pPr>
        <w:ind w:right="180" w:firstLine="324"/>
        <w:spacing w:after="0" w:line="265" w:lineRule="auto"/>
        <w:rPr>
          <w:sz w:val="20"/>
          <w:szCs w:val="20"/>
          <w:color w:val="auto"/>
        </w:rPr>
      </w:pPr>
      <w:r>
        <w:rPr>
          <w:rFonts w:ascii="Arial" w:cs="Arial" w:eastAsia="Arial" w:hAnsi="Arial"/>
          <w:sz w:val="16"/>
          <w:szCs w:val="16"/>
          <w:color w:val="auto"/>
        </w:rPr>
        <w:t>In July 2025, we entered into definitive agreements to acquire Caithness Energy’s 1,045 MW (summer rating) Freedom Generating Station in Pennsylvania and 1,836 MW (summer rating) Guernsey Power Station in Ohio, both gas fired combined cycle plants located within the PJM power market, for an aggregate gross purchase price of approximately $3.8 billion (subject to working capital and other customary adjustments), or $3.5 billion after adjusting for estimated tax benefits. See Note 10 to the Interim Financial Statements for additional information on the financing transactions related to the Freedom and Guernsey Acquisitions.</w:t>
      </w:r>
    </w:p>
    <w:p>
      <w:pPr>
        <w:spacing w:after="0" w:line="118"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The addition of these assets to Talen’s portfolio will increase our generating capacity by approximately 3 gigawatts and is expected to enhance our ability to offer reliable, scalable, grid-supported, and regionally diverse low-carbon capacity to hyperscale data centers and other large commercial off-takers. Additionally, as these facilities have an average heat rate of 6,550 Btu/kWh, the Freedom and Guernsey Acquisitions will provide the Company with incremental baseload generation and cash flow diversification. The presence of these facilities in the PJM market complements our existing commercial and marketing capabilities, and their strategic location adjacent to the Marcellus and Utica shale formations provides ample natural gas supplies and reliable access to natural gas pipeline infrastructure and interconnects.</w:t>
      </w:r>
    </w:p>
    <w:p>
      <w:pPr>
        <w:spacing w:after="0" w:line="136" w:lineRule="exact"/>
        <w:rPr>
          <w:sz w:val="20"/>
          <w:szCs w:val="20"/>
          <w:color w:val="auto"/>
        </w:rPr>
      </w:pPr>
    </w:p>
    <w:p>
      <w:pPr>
        <w:ind w:right="280" w:firstLine="324"/>
        <w:spacing w:after="0" w:line="286" w:lineRule="auto"/>
        <w:rPr>
          <w:sz w:val="20"/>
          <w:szCs w:val="20"/>
          <w:color w:val="auto"/>
        </w:rPr>
      </w:pPr>
      <w:r>
        <w:rPr>
          <w:rFonts w:ascii="Arial" w:cs="Arial" w:eastAsia="Arial" w:hAnsi="Arial"/>
          <w:sz w:val="16"/>
          <w:szCs w:val="16"/>
          <w:color w:val="auto"/>
        </w:rPr>
        <w:t>The transactions are subject to regulatory approvals and the satisfaction of other customary closing conditions, and are both expected to close in the first quarter of 2026. The relevant regulatory filings have all been made and are now pending at the agencies.</w:t>
      </w:r>
    </w:p>
    <w:p>
      <w:pPr>
        <w:spacing w:after="0" w:line="102" w:lineRule="exact"/>
        <w:rPr>
          <w:sz w:val="20"/>
          <w:szCs w:val="20"/>
          <w:color w:val="auto"/>
        </w:rPr>
      </w:pPr>
    </w:p>
    <w:p>
      <w:pPr>
        <w:ind w:right="580" w:firstLine="324"/>
        <w:spacing w:after="0" w:line="304" w:lineRule="auto"/>
        <w:rPr>
          <w:sz w:val="20"/>
          <w:szCs w:val="20"/>
          <w:color w:val="auto"/>
        </w:rPr>
      </w:pPr>
      <w:r>
        <w:rPr>
          <w:rFonts w:ascii="Arial" w:cs="Arial" w:eastAsia="Arial" w:hAnsi="Arial"/>
          <w:sz w:val="16"/>
          <w:szCs w:val="16"/>
          <w:color w:val="auto"/>
        </w:rPr>
        <w:t>See Note 17 to the Interim Financial Statements for additional information on the Freedom and Guernsey Acquisitions and “Part II, Item 1A. Risk Factors” of our Quarterly Report on Form 10-Q for the three months ended June 30, 2025 for a discussion of the associated risks.</w:t>
      </w:r>
    </w:p>
    <w:p>
      <w:pPr>
        <w:spacing w:after="0" w:line="87"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The foregoing description of the Purchase Agreements and the transactions contemplated thereby is only a summary, does not purport to be complete, and is qualified in its entirety by reference to the full text of the Purchase Agreements, copies of which are attached as Exhibits 2.1 and 2.2 to this Report. The Purchase Agreements are being filed only to provide investors with information regarding their terms and are not intended to provide any other factual information about the parties thereto. Investors should not rely on the representations, warranties, or covenants in the Purchase Agreements, which may be subject to important limitations and qualifications, and which may change after the date of the Purchase Agreements, as characterizations of the actual state of facts or condition of the Company, the sellers, or any of their respective subsidiaries or affiliates.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Financial Condition and Results of Operations</w:t>
      </w:r>
    </w:p>
    <w:p>
      <w:pPr>
        <w:spacing w:after="0" w:line="167"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color w:val="auto"/>
        </w:rPr>
        <w:t>Earnings in future periods are subject to various uncertainties and risks. See “Cautionary Note Regarding Forward-Looking Information,” the sections entitled “Item 1A. Risk Factors” in this Report and our 2024 Annual Report, as updated by our 2025 Quarterly Reports, and Notes 2 and 9 to the Interim Financial Statements for additional information on our risks.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Commodity Markets</w:t>
      </w:r>
    </w:p>
    <w:p>
      <w:pPr>
        <w:spacing w:after="0" w:line="179" w:lineRule="exact"/>
        <w:rPr>
          <w:sz w:val="20"/>
          <w:szCs w:val="20"/>
          <w:color w:val="auto"/>
        </w:rPr>
      </w:pPr>
    </w:p>
    <w:p>
      <w:pPr>
        <w:jc w:val="both"/>
        <w:ind w:right="100" w:firstLine="324"/>
        <w:spacing w:after="0" w:line="266" w:lineRule="auto"/>
        <w:rPr>
          <w:sz w:val="20"/>
          <w:szCs w:val="20"/>
          <w:color w:val="auto"/>
        </w:rPr>
      </w:pPr>
      <w:r>
        <w:rPr>
          <w:rFonts w:ascii="Arial" w:cs="Arial" w:eastAsia="Arial" w:hAnsi="Arial"/>
          <w:sz w:val="16"/>
          <w:szCs w:val="16"/>
          <w:color w:val="auto"/>
        </w:rPr>
        <w:t>During the third quarter 2025, PJM weather-related volatility resulted in certain days that experienced above-average temperatures. This contributed to an increase in load demand and higher settled on-peak power prices for the period. Texas Eastern M-3 natural gas prices settled higher in the period due to the effect of increased electric demand despite elevated storage levels that continue to exceed the five-year average.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settled on-peak power prices and natural gas prices for the PJM market for the three months ended September 30,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Day Ahead Peak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61.89</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50.03</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PJM PPL Zone Day Ahead Peak - $/MWh</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37.54</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Texas Eastern M-3 - $/MMBtu</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1.50</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forward market prices for the periods from October 1 through December 31 as of September 30,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ATC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47.50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42.67</w:t>
            </w:r>
          </w:p>
        </w:tc>
      </w:tr>
      <w:tr>
        <w:trPr>
          <w:trHeight w:val="198"/>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Texas Eastern M-3 - $/MMBtu</w:t>
            </w:r>
          </w:p>
        </w:tc>
        <w:tc>
          <w:tcPr>
            <w:tcW w:w="9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207"/>
        </w:trPr>
        <w:tc>
          <w:tcPr>
            <w:tcW w:w="8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PJM West Hub ATC Spark Spreads - $/MWh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25.34</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Spark spreads are computed based on day-ahead PJM West Hub ATC prices, Texas Eastern M-3 natural gas prices, and a heat rate of 7 MMBtu/MWh.</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0"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Capacity Markets</w:t>
      </w:r>
    </w:p>
    <w:p>
      <w:pPr>
        <w:spacing w:after="0" w:line="165"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Our generation facilities are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power demand forecasts, reserve margin targets and, in PJM, adjustments to the PJM Market Seller Offer Cap as determined by the PJM Independent Market Monitor.</w:t>
      </w:r>
    </w:p>
    <w:p>
      <w:pPr>
        <w:spacing w:after="0" w:line="118"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6"/>
          <w:szCs w:val="16"/>
          <w:i w:val="1"/>
          <w:iCs w:val="1"/>
          <w:color w:val="auto"/>
        </w:rPr>
        <w:t xml:space="preserve">PJM Capacity Auctions. </w:t>
      </w:r>
      <w:r>
        <w:rPr>
          <w:rFonts w:ascii="Arial" w:cs="Arial" w:eastAsia="Arial" w:hAnsi="Arial"/>
          <w:sz w:val="16"/>
          <w:szCs w:val="16"/>
          <w:color w:val="auto"/>
        </w:rPr>
        <w:t>Under the PJM Reliability Pricing Model, when held on schedule, the PJM BRA is required to be conducted in the month of May</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years prior to the start of the applicable PJM Capacity Year in order for PJM to secure commitments from capacity resources. The results of each PJM BRA impact our capacity revenues expected to be earned for the specific PJM Capacity Year.</w:t>
      </w:r>
    </w:p>
    <w:p>
      <w:pPr>
        <w:spacing w:after="0" w:line="124" w:lineRule="exact"/>
        <w:rPr>
          <w:sz w:val="20"/>
          <w:szCs w:val="20"/>
          <w:color w:val="auto"/>
        </w:rPr>
      </w:pPr>
    </w:p>
    <w:p>
      <w:pPr>
        <w:jc w:val="both"/>
        <w:ind w:right="40" w:firstLine="324"/>
        <w:spacing w:after="0" w:line="265" w:lineRule="auto"/>
        <w:rPr>
          <w:sz w:val="20"/>
          <w:szCs w:val="20"/>
          <w:color w:val="auto"/>
        </w:rPr>
      </w:pPr>
      <w:r>
        <w:rPr>
          <w:rFonts w:ascii="Arial" w:cs="Arial" w:eastAsia="Arial" w:hAnsi="Arial"/>
          <w:sz w:val="16"/>
          <w:szCs w:val="16"/>
          <w:color w:val="auto"/>
        </w:rPr>
        <w:t>Recently, PJM has delayed its auctions, which has resulted in less than 3 years between each auction and the start of the relevant PJM Capacity Year. The PJM BRA for the 2026/2027 PJM Capacity Year was held in July 2025. The capacity market construct provides generation owners some opportunity for revenue visibility on a multiyear basis and is intended to provide a price signal for new generation to be built in the future. See Note 9 to the Interim Financial Statements for additional information on the PJM capacity market, systemic risks, auction delays, and related legal actions.</w:t>
      </w:r>
    </w:p>
    <w:p>
      <w:pPr>
        <w:spacing w:after="0" w:line="132" w:lineRule="exact"/>
        <w:rPr>
          <w:sz w:val="20"/>
          <w:szCs w:val="20"/>
          <w:color w:val="auto"/>
        </w:rPr>
      </w:pPr>
    </w:p>
    <w:p>
      <w:pPr>
        <w:ind w:right="440" w:firstLine="324"/>
        <w:spacing w:after="0" w:line="304" w:lineRule="auto"/>
        <w:rPr>
          <w:sz w:val="20"/>
          <w:szCs w:val="20"/>
          <w:color w:val="auto"/>
        </w:rPr>
      </w:pPr>
      <w:r>
        <w:rPr>
          <w:rFonts w:ascii="Arial" w:cs="Arial" w:eastAsia="Arial" w:hAnsi="Arial"/>
          <w:sz w:val="16"/>
          <w:szCs w:val="16"/>
          <w:i w:val="1"/>
          <w:iCs w:val="1"/>
          <w:color w:val="auto"/>
        </w:rPr>
        <w:t xml:space="preserve">Capacity Prices. </w:t>
      </w:r>
      <w:r>
        <w:rPr>
          <w:rFonts w:ascii="Arial" w:cs="Arial" w:eastAsia="Arial" w:hAnsi="Arial"/>
          <w:sz w:val="16"/>
          <w:szCs w:val="16"/>
          <w:color w:val="auto"/>
        </w:rPr>
        <w:t>The following table displays the cleared capacity prices for completed PJM BRAs for the markets and zones in which we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operate: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2026/2027</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2025/2026</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2024/2025</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2023/2024</w:t>
            </w:r>
          </w:p>
        </w:tc>
      </w:tr>
      <w:tr>
        <w:trPr>
          <w:trHeight w:val="197"/>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 xml:space="preserve">PJM Capacity Performance ($/MWd) </w:t>
            </w:r>
            <w:r>
              <w:rPr>
                <w:rFonts w:ascii="Arial" w:cs="Arial" w:eastAsia="Arial" w:hAnsi="Arial"/>
                <w:sz w:val="9"/>
                <w:szCs w:val="9"/>
                <w:b w:val="1"/>
                <w:bCs w:val="1"/>
                <w:color w:val="auto"/>
              </w:rPr>
              <w:t>(a)</w:t>
            </w: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r>
      <w:tr>
        <w:trPr>
          <w:trHeight w:val="198"/>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MAAC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49.49</w:t>
            </w:r>
          </w:p>
        </w:tc>
      </w:tr>
      <w:tr>
        <w:trPr>
          <w:trHeight w:val="203"/>
        </w:trPr>
        <w:tc>
          <w:tcPr>
            <w:tcW w:w="5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PPL</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Displayed prices are from the applicable market publications.</w:t>
      </w:r>
    </w:p>
    <w:p>
      <w:pPr>
        <w:spacing w:after="0" w:line="166" w:lineRule="exact"/>
        <w:rPr>
          <w:sz w:val="20"/>
          <w:szCs w:val="20"/>
          <w:color w:val="auto"/>
        </w:rPr>
      </w:pPr>
    </w:p>
    <w:p>
      <w:pPr>
        <w:ind w:right="740" w:firstLine="324"/>
        <w:spacing w:after="0" w:line="286" w:lineRule="auto"/>
        <w:rPr>
          <w:sz w:val="20"/>
          <w:szCs w:val="20"/>
          <w:color w:val="auto"/>
        </w:rPr>
      </w:pPr>
      <w:r>
        <w:rPr>
          <w:rFonts w:ascii="Arial" w:cs="Arial" w:eastAsia="Arial" w:hAnsi="Arial"/>
          <w:sz w:val="16"/>
          <w:szCs w:val="16"/>
          <w:color w:val="auto"/>
        </w:rPr>
        <w:t>For the 2026/2027 PJM Capacity Year, the Company cleared 6,702 MWs at a price of $329.17/MWd for the MAAC, PPL, and PSEG locational deliverability areas.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Seasonality/Scheduled Maintenance</w:t>
      </w:r>
    </w:p>
    <w:p>
      <w:pPr>
        <w:spacing w:after="0" w:line="179" w:lineRule="exact"/>
        <w:rPr>
          <w:sz w:val="20"/>
          <w:szCs w:val="20"/>
          <w:color w:val="auto"/>
        </w:rPr>
      </w:pPr>
    </w:p>
    <w:p>
      <w:pPr>
        <w:ind w:right="240" w:firstLine="324"/>
        <w:spacing w:after="0" w:line="258" w:lineRule="auto"/>
        <w:rPr>
          <w:sz w:val="20"/>
          <w:szCs w:val="20"/>
          <w:color w:val="auto"/>
        </w:rPr>
      </w:pPr>
      <w:r>
        <w:rPr>
          <w:rFonts w:ascii="Arial" w:cs="Arial" w:eastAsia="Arial" w:hAnsi="Arial"/>
          <w:sz w:val="16"/>
          <w:szCs w:val="16"/>
          <w:color w:val="auto"/>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serve our fossil generation fleet through a combination of self-service and contracted maintenance activity (including long-term service agreements at certain facilities). Our largest recurring maintenance project is the annual spring refueling outage at Susquehanna.</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1" w:lineRule="exact"/>
        <w:rPr>
          <w:sz w:val="20"/>
          <w:szCs w:val="20"/>
          <w:color w:val="auto"/>
        </w:rPr>
      </w:pPr>
    </w:p>
    <w:p>
      <w:pPr>
        <w:ind w:right="140" w:firstLine="324"/>
        <w:spacing w:after="0" w:line="266" w:lineRule="auto"/>
        <w:rPr>
          <w:sz w:val="20"/>
          <w:szCs w:val="20"/>
          <w:color w:val="auto"/>
        </w:rPr>
      </w:pPr>
      <w:r>
        <w:rPr>
          <w:rFonts w:ascii="Arial" w:cs="Arial" w:eastAsia="Arial" w:hAnsi="Arial"/>
          <w:sz w:val="16"/>
          <w:szCs w:val="16"/>
          <w:color w:val="auto"/>
        </w:rPr>
        <w:t>The results of operations presented below for the three and nine months ended September 30, 2025 and 2024, should be reviewed in conjunction with the Interim Financial Statements and Notes thereto. Our results of operations as reported in the Interim Financial Statements are prepared in accordance with GAAP.</w:t>
      </w:r>
    </w:p>
    <w:p>
      <w:pPr>
        <w:spacing w:after="0" w:line="131" w:lineRule="exact"/>
        <w:rPr>
          <w:sz w:val="20"/>
          <w:szCs w:val="20"/>
          <w:color w:val="auto"/>
        </w:rPr>
      </w:pPr>
    </w:p>
    <w:p>
      <w:pPr>
        <w:ind w:right="100" w:firstLine="324"/>
        <w:spacing w:after="0" w:line="265" w:lineRule="auto"/>
        <w:rPr>
          <w:sz w:val="20"/>
          <w:szCs w:val="20"/>
          <w:color w:val="auto"/>
        </w:rPr>
      </w:pPr>
      <w:r>
        <w:rPr>
          <w:rFonts w:ascii="Arial" w:cs="Arial" w:eastAsia="Arial" w:hAnsi="Arial"/>
          <w:sz w:val="16"/>
          <w:szCs w:val="16"/>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sales under wholesale bilateral contracts, realized hedges, Bitcoin revenue, and Nuclear PTC revenue. “Fuel and energy purchases” includes costs for fuel to generate electricity and settlements of financial and physical transactions related to fuel and energy purchases.</w:t>
      </w:r>
    </w:p>
    <w:p>
      <w:pPr>
        <w:spacing w:after="0" w:line="119" w:lineRule="exact"/>
        <w:rPr>
          <w:sz w:val="20"/>
          <w:szCs w:val="20"/>
          <w:color w:val="auto"/>
        </w:rPr>
      </w:pPr>
    </w:p>
    <w:p>
      <w:pPr>
        <w:ind w:right="120" w:firstLine="324"/>
        <w:spacing w:after="0" w:line="275" w:lineRule="auto"/>
        <w:rPr>
          <w:sz w:val="20"/>
          <w:szCs w:val="20"/>
          <w:color w:val="auto"/>
        </w:rPr>
      </w:pPr>
      <w:r>
        <w:rPr>
          <w:rFonts w:ascii="Arial" w:cs="Arial" w:eastAsia="Arial" w:hAnsi="Arial"/>
          <w:sz w:val="16"/>
          <w:szCs w:val="16"/>
          <w:color w:val="auto"/>
        </w:rPr>
        <w:t>Unrealized gains (losses) on derivative instruments resulting from changes in fair value during the periods are presented separately as revenues within “Operating Revenues” and expenses within “Energy Expenses.” We evaluate them collectively because they represent the changes in fair value of our economic hedging activities.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Results for the Three Months Ended September 30, 2025 and 2024</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subsequent section display the results of operations: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21"/>
        </w:trPr>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88"/>
              <w:spacing w:after="0" w:line="115"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812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56"/>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56"/>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9"/>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204"/>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2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8"/>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0"/>
        </w:trPr>
        <w:tc>
          <w:tcPr>
            <w:tcW w:w="6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4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98"/>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E1E1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9"/>
        </w:trPr>
        <w:tc>
          <w:tcPr>
            <w:tcW w:w="6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Three Months Ended September 30, 2025 compared to Three Months Ended September 30, 2024</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 (Loss) Attributable to Stockholders increased by $39 million, primarily driven by the factors discussed below.</w:t>
      </w:r>
    </w:p>
    <w:p>
      <w:pPr>
        <w:spacing w:after="0" w:line="167"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$115 million favorable increase, primarily due to the following:</w:t>
      </w:r>
    </w:p>
    <w:p>
      <w:pPr>
        <w:spacing w:after="0" w:line="180" w:lineRule="exact"/>
        <w:rPr>
          <w:rFonts w:ascii="Arial" w:cs="Arial" w:eastAsia="Arial" w:hAnsi="Arial"/>
          <w:sz w:val="16"/>
          <w:szCs w:val="16"/>
          <w:i w:val="1"/>
          <w:iCs w:val="1"/>
          <w:color w:val="auto"/>
        </w:rPr>
      </w:pPr>
    </w:p>
    <w:p>
      <w:pPr>
        <w:ind w:left="980" w:right="80" w:hanging="324"/>
        <w:spacing w:after="0" w:line="265" w:lineRule="auto"/>
        <w:tabs>
          <w:tab w:leader="none" w:pos="970" w:val="left"/>
        </w:tabs>
        <w:numPr>
          <w:ilvl w:val="1"/>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$116 million favorable increase. This is primarily related to a $172 million increase due to higher cleared capacity prices</w:t>
      </w:r>
      <w:r>
        <w:rPr>
          <w:rFonts w:ascii="Arial" w:cs="Arial" w:eastAsia="Arial" w:hAnsi="Arial"/>
          <w:sz w:val="16"/>
          <w:szCs w:val="16"/>
          <w:i w:val="1"/>
          <w:iCs w:val="1"/>
          <w:color w:val="auto"/>
        </w:rPr>
        <w:t xml:space="preserve"> </w:t>
      </w:r>
      <w:r>
        <w:rPr>
          <w:rFonts w:ascii="Arial" w:cs="Arial" w:eastAsia="Arial" w:hAnsi="Arial"/>
          <w:sz w:val="16"/>
          <w:szCs w:val="16"/>
          <w:color w:val="auto"/>
        </w:rPr>
        <w:t>though the PJM BRA for the 2025/2026 PJM Capacity Year compared to the 2024/2025 PJM Capacity Year, partially offset by a $(56) million decrease due to lower volumes cleared though the PJM BRA for the 2025/2026 PJM Capacity Year compared to the 2024/2025 PJM Capacity Year.</w:t>
      </w:r>
    </w:p>
    <w:p>
      <w:pPr>
        <w:spacing w:after="0" w:line="118" w:lineRule="exact"/>
        <w:rPr>
          <w:rFonts w:ascii="Arial" w:cs="Arial" w:eastAsia="Arial" w:hAnsi="Arial"/>
          <w:sz w:val="16"/>
          <w:szCs w:val="16"/>
          <w:i w:val="1"/>
          <w:iCs w:val="1"/>
          <w:color w:val="auto"/>
        </w:rPr>
      </w:pPr>
    </w:p>
    <w:p>
      <w:pPr>
        <w:ind w:left="980" w:right="100" w:hanging="324"/>
        <w:spacing w:after="0" w:line="265" w:lineRule="auto"/>
        <w:tabs>
          <w:tab w:leader="none" w:pos="970" w:val="left"/>
        </w:tabs>
        <w:numPr>
          <w:ilvl w:val="1"/>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$62 million favorable increase. This is primarily related to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(i) $118 million increase in margin associated with electric generation and ancillary revenue, primarily due to higher realized prices received at Susquehanna and our PJM fossil fleet, and higher generation volumes at our PJM fossil fleet, coupled with (ii) $36 million increase in realized hedge results. Such amounts are partially offset by a $(92) million decrease in digital revenue and Nuclear PTC revenue.</w:t>
      </w:r>
    </w:p>
    <w:p>
      <w:pPr>
        <w:spacing w:after="0" w:line="132" w:lineRule="exact"/>
        <w:rPr>
          <w:rFonts w:ascii="Arial" w:cs="Arial" w:eastAsia="Arial" w:hAnsi="Arial"/>
          <w:sz w:val="16"/>
          <w:szCs w:val="16"/>
          <w:i w:val="1"/>
          <w:iCs w:val="1"/>
          <w:color w:val="auto"/>
        </w:rPr>
      </w:pPr>
    </w:p>
    <w:p>
      <w:pPr>
        <w:ind w:left="980" w:right="240" w:hanging="324"/>
        <w:spacing w:after="0" w:line="286" w:lineRule="auto"/>
        <w:tabs>
          <w:tab w:leader="none" w:pos="970" w:val="left"/>
        </w:tabs>
        <w:numPr>
          <w:ilvl w:val="1"/>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net. </w:t>
      </w:r>
      <w:r>
        <w:rPr>
          <w:rFonts w:ascii="Arial" w:cs="Arial" w:eastAsia="Arial" w:hAnsi="Arial"/>
          <w:sz w:val="16"/>
          <w:szCs w:val="16"/>
          <w:color w:val="auto"/>
        </w:rPr>
        <w:t>$(66) million unfavorable decrease. This is primarily related to unrealized losses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reversal of positions previously recognized as mark-to-market assets which settled during the period.</w:t>
      </w:r>
    </w:p>
    <w:p>
      <w:pPr>
        <w:spacing w:after="0" w:line="115" w:lineRule="exact"/>
        <w:rPr>
          <w:rFonts w:ascii="Arial" w:cs="Arial" w:eastAsia="Arial" w:hAnsi="Arial"/>
          <w:sz w:val="16"/>
          <w:szCs w:val="16"/>
          <w:i w:val="1"/>
          <w:iCs w:val="1"/>
          <w:color w:val="auto"/>
        </w:rPr>
      </w:pPr>
    </w:p>
    <w:p>
      <w:pPr>
        <w:ind w:left="660" w:right="680" w:hanging="328"/>
        <w:spacing w:after="0" w:line="286"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$25 million favorable increase. This is primarily related to a $22 million gain on sale of the Camden and</w:t>
      </w:r>
      <w:r>
        <w:rPr>
          <w:rFonts w:ascii="Arial" w:cs="Arial" w:eastAsia="Arial" w:hAnsi="Arial"/>
          <w:sz w:val="16"/>
          <w:szCs w:val="16"/>
          <w:i w:val="1"/>
          <w:iCs w:val="1"/>
          <w:color w:val="auto"/>
        </w:rPr>
        <w:t xml:space="preserve"> </w:t>
      </w:r>
      <w:r>
        <w:rPr>
          <w:rFonts w:ascii="Arial" w:cs="Arial" w:eastAsia="Arial" w:hAnsi="Arial"/>
          <w:sz w:val="16"/>
          <w:szCs w:val="16"/>
          <w:color w:val="auto"/>
        </w:rPr>
        <w:t>Dartmouth facilities in September 2025.</w:t>
      </w:r>
    </w:p>
    <w:p>
      <w:pPr>
        <w:spacing w:after="0" w:line="101" w:lineRule="exact"/>
        <w:rPr>
          <w:rFonts w:ascii="Arial" w:cs="Arial" w:eastAsia="Arial" w:hAnsi="Arial"/>
          <w:sz w:val="16"/>
          <w:szCs w:val="16"/>
          <w:color w:val="auto"/>
        </w:rPr>
      </w:pPr>
    </w:p>
    <w:p>
      <w:pPr>
        <w:ind w:left="660" w:right="300" w:hanging="328"/>
        <w:spacing w:after="0" w:line="304" w:lineRule="auto"/>
        <w:tabs>
          <w:tab w:leader="none" w:pos="649"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$(86) million unfavorable increase. This is primarily related to an increase in pre-tax income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2025, and the absence of a change in the Company’s valuation allowance that occurred in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Results for the Nine Months Ended September 30, 2025 and 2024</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subsequent sections display the results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2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88"/>
              <w:spacing w:after="0" w:line="115"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66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303</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100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1,552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100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1,832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184</w:t>
            </w:r>
          </w:p>
        </w:tc>
        <w:tc>
          <w:tcPr>
            <w:tcW w:w="0" w:type="dxa"/>
            <w:vAlign w:val="bottom"/>
          </w:tcPr>
          <w:p>
            <w:pPr>
              <w:spacing w:after="0"/>
              <w:rPr>
                <w:sz w:val="1"/>
                <w:szCs w:val="1"/>
                <w:color w:val="auto"/>
              </w:rPr>
            </w:pPr>
          </w:p>
        </w:tc>
      </w:tr>
      <w:tr>
        <w:trPr>
          <w:trHeight w:val="56"/>
        </w:trPr>
        <w:tc>
          <w:tcPr>
            <w:tcW w:w="6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(677)</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(779)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56"/>
        </w:trPr>
        <w:tc>
          <w:tcPr>
            <w:tcW w:w="6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7"/>
        </w:trPr>
        <w:tc>
          <w:tcPr>
            <w:tcW w:w="66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(113)</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9"/>
        </w:trPr>
        <w:tc>
          <w:tcPr>
            <w:tcW w:w="66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00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223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149</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66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98"/>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0"/>
        </w:trPr>
        <w:tc>
          <w:tcPr>
            <w:tcW w:w="66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214</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1,137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(923)</w:t>
            </w:r>
          </w:p>
        </w:tc>
        <w:tc>
          <w:tcPr>
            <w:tcW w:w="0" w:type="dxa"/>
            <w:vAlign w:val="bottom"/>
          </w:tcPr>
          <w:p>
            <w:pPr>
              <w:spacing w:after="0"/>
              <w:rPr>
                <w:sz w:val="1"/>
                <w:szCs w:val="1"/>
                <w:color w:val="auto"/>
              </w:rPr>
            </w:pPr>
          </w:p>
        </w:tc>
      </w:tr>
      <w:tr>
        <w:trPr>
          <w:trHeight w:val="198"/>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0"/>
        </w:trPr>
        <w:tc>
          <w:tcPr>
            <w:tcW w:w="66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1000" w:type="dxa"/>
            <w:vAlign w:val="bottom"/>
            <w:shd w:val="clear" w:color="auto" w:fill="E1E1E2"/>
          </w:tcPr>
          <w:p>
            <w:pPr>
              <w:spacing w:after="0"/>
              <w:rPr>
                <w:sz w:val="17"/>
                <w:szCs w:val="17"/>
                <w:color w:val="auto"/>
              </w:rPr>
            </w:pPr>
          </w:p>
        </w:tc>
        <w:tc>
          <w:tcPr>
            <w:tcW w:w="5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144</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945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(801)</w:t>
            </w:r>
          </w:p>
        </w:tc>
        <w:tc>
          <w:tcPr>
            <w:tcW w:w="0" w:type="dxa"/>
            <w:vAlign w:val="bottom"/>
          </w:tcPr>
          <w:p>
            <w:pPr>
              <w:spacing w:after="0"/>
              <w:rPr>
                <w:sz w:val="1"/>
                <w:szCs w:val="1"/>
                <w:color w:val="auto"/>
              </w:rPr>
            </w:pPr>
          </w:p>
        </w:tc>
      </w:tr>
      <w:tr>
        <w:trPr>
          <w:trHeight w:val="198"/>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9"/>
        </w:trPr>
        <w:tc>
          <w:tcPr>
            <w:tcW w:w="65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144</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916</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(772)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Nine Months Ended September 30, 2025 compared to Nine Months Ended September 30, 2024</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 (Loss) Attributable to Stockholders decreased by $(772) million, primarily driven by the factors discussed below.</w:t>
      </w:r>
    </w:p>
    <w:p>
      <w:pPr>
        <w:spacing w:after="0" w:line="167"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$38 million favorable increase, primarily due to the following:</w:t>
      </w:r>
    </w:p>
    <w:p>
      <w:pPr>
        <w:spacing w:after="0" w:line="180" w:lineRule="exact"/>
        <w:rPr>
          <w:rFonts w:ascii="Arial" w:cs="Arial" w:eastAsia="Arial" w:hAnsi="Arial"/>
          <w:sz w:val="16"/>
          <w:szCs w:val="16"/>
          <w:i w:val="1"/>
          <w:iCs w:val="1"/>
          <w:color w:val="auto"/>
        </w:rPr>
      </w:pPr>
    </w:p>
    <w:p>
      <w:pPr>
        <w:ind w:left="980" w:right="20" w:hanging="324"/>
        <w:spacing w:after="0" w:line="265" w:lineRule="auto"/>
        <w:tabs>
          <w:tab w:leader="none" w:pos="970" w:val="left"/>
        </w:tabs>
        <w:numPr>
          <w:ilvl w:val="1"/>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$162 million favorable increase. This is primarily related to a $246 million increase due to higher cleared capacity prices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PJM BRA for the 2025/2026 PJM Capacity Year compared to the 2024/2025 PJM Capacity Year, partially offset by $(84) million decrease due to lower volumes cleared through the PJM BRA for the 2025/2026 PJM Capacity Year compared to the 2024/2025 PJM Capacity Year.</w:t>
      </w:r>
    </w:p>
    <w:p>
      <w:pPr>
        <w:spacing w:after="0" w:line="118" w:lineRule="exact"/>
        <w:rPr>
          <w:rFonts w:ascii="Arial" w:cs="Arial" w:eastAsia="Arial" w:hAnsi="Arial"/>
          <w:sz w:val="16"/>
          <w:szCs w:val="16"/>
          <w:i w:val="1"/>
          <w:iCs w:val="1"/>
          <w:color w:val="auto"/>
        </w:rPr>
      </w:pPr>
    </w:p>
    <w:p>
      <w:pPr>
        <w:ind w:left="980" w:right="40" w:hanging="324"/>
        <w:spacing w:after="0" w:line="265" w:lineRule="auto"/>
        <w:tabs>
          <w:tab w:leader="none" w:pos="970" w:val="left"/>
        </w:tabs>
        <w:numPr>
          <w:ilvl w:val="1"/>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$(34) million unfavorable decrease. This is primarily related to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(i) $(235) million decrease in digital revenue and Nuclear PTC revenue, coupled with (ii) $(112) million decrease in realized hedge results. Such amounts are partially offset by $313 million increase in margin associated with electric generation and ancillary revenue, primarily due to higher realized prices received at Susquehanna and our PJM fossil fleet.</w:t>
      </w:r>
    </w:p>
    <w:p>
      <w:pPr>
        <w:spacing w:after="0" w:line="132" w:lineRule="exact"/>
        <w:rPr>
          <w:rFonts w:ascii="Arial" w:cs="Arial" w:eastAsia="Arial" w:hAnsi="Arial"/>
          <w:sz w:val="16"/>
          <w:szCs w:val="16"/>
          <w:i w:val="1"/>
          <w:iCs w:val="1"/>
          <w:color w:val="auto"/>
        </w:rPr>
      </w:pPr>
    </w:p>
    <w:p>
      <w:pPr>
        <w:ind w:left="980" w:right="420" w:hanging="324"/>
        <w:spacing w:after="0" w:line="275" w:lineRule="auto"/>
        <w:tabs>
          <w:tab w:leader="none" w:pos="970" w:val="left"/>
        </w:tabs>
        <w:numPr>
          <w:ilvl w:val="1"/>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net. </w:t>
      </w:r>
      <w:r>
        <w:rPr>
          <w:rFonts w:ascii="Arial" w:cs="Arial" w:eastAsia="Arial" w:hAnsi="Arial"/>
          <w:sz w:val="16"/>
          <w:szCs w:val="16"/>
          <w:color w:val="auto"/>
        </w:rPr>
        <w:t>$(112) million unfavorable decrease. This is primarily driven by $(84) million lower</w:t>
      </w:r>
      <w:r>
        <w:rPr>
          <w:rFonts w:ascii="Arial" w:cs="Arial" w:eastAsia="Arial" w:hAnsi="Arial"/>
          <w:sz w:val="16"/>
          <w:szCs w:val="16"/>
          <w:i w:val="1"/>
          <w:iCs w:val="1"/>
          <w:color w:val="auto"/>
        </w:rPr>
        <w:t xml:space="preserve"> </w:t>
      </w:r>
      <w:r>
        <w:rPr>
          <w:rFonts w:ascii="Arial" w:cs="Arial" w:eastAsia="Arial" w:hAnsi="Arial"/>
          <w:sz w:val="16"/>
          <w:szCs w:val="16"/>
          <w:color w:val="auto"/>
        </w:rPr>
        <w:t>volume of hedge positions executed in the current period and $(27) million unrealized losses from the settlement of previously recognized mark-to-market liabilities.</w:t>
      </w:r>
    </w:p>
    <w:p>
      <w:pPr>
        <w:spacing w:after="0" w:line="110" w:lineRule="exact"/>
        <w:rPr>
          <w:rFonts w:ascii="Arial" w:cs="Arial" w:eastAsia="Arial" w:hAnsi="Arial"/>
          <w:sz w:val="16"/>
          <w:szCs w:val="16"/>
          <w:i w:val="1"/>
          <w:iCs w:val="1"/>
          <w:color w:val="auto"/>
        </w:rPr>
      </w:pPr>
    </w:p>
    <w:p>
      <w:pPr>
        <w:ind w:left="660" w:right="40" w:hanging="328"/>
        <w:spacing w:after="0" w:line="28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Nuclear Fuel Amortization. </w:t>
      </w:r>
      <w:r>
        <w:rPr>
          <w:rFonts w:ascii="Arial" w:cs="Arial" w:eastAsia="Arial" w:hAnsi="Arial"/>
          <w:sz w:val="16"/>
          <w:szCs w:val="16"/>
          <w:color w:val="auto"/>
        </w:rPr>
        <w:t>$22 million favorable decrease. This is primarily related to a $16 million decrease in the amortization of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certain nuclear fuel supply contracts which have expired.</w:t>
      </w:r>
    </w:p>
    <w:p>
      <w:pPr>
        <w:spacing w:after="0" w:line="115" w:lineRule="exact"/>
        <w:rPr>
          <w:rFonts w:ascii="Arial" w:cs="Arial" w:eastAsia="Arial" w:hAnsi="Arial"/>
          <w:sz w:val="16"/>
          <w:szCs w:val="16"/>
          <w:i w:val="1"/>
          <w:iCs w:val="1"/>
          <w:color w:val="auto"/>
        </w:rPr>
      </w:pPr>
    </w:p>
    <w:p>
      <w:pPr>
        <w:ind w:left="660" w:right="240" w:hanging="328"/>
        <w:spacing w:after="0" w:line="28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$(24) million unfavorable increase. This is primarily due to incremental maintenance at Susquehanna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during its planned refueling outage on Unit 2 in Spring 2025.</w:t>
      </w:r>
    </w:p>
    <w:p>
      <w:pPr>
        <w:spacing w:after="0" w:line="101" w:lineRule="exact"/>
        <w:rPr>
          <w:rFonts w:ascii="Arial" w:cs="Arial" w:eastAsia="Arial" w:hAnsi="Arial"/>
          <w:sz w:val="16"/>
          <w:szCs w:val="16"/>
          <w:i w:val="1"/>
          <w:iCs w:val="1"/>
          <w:color w:val="auto"/>
        </w:rPr>
      </w:pPr>
    </w:p>
    <w:p>
      <w:pPr>
        <w:ind w:left="660" w:right="220" w:hanging="328"/>
        <w:spacing w:after="0" w:line="304"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net. </w:t>
      </w:r>
      <w:r>
        <w:rPr>
          <w:rFonts w:ascii="Arial" w:cs="Arial" w:eastAsia="Arial" w:hAnsi="Arial"/>
          <w:sz w:val="16"/>
          <w:szCs w:val="16"/>
          <w:color w:val="auto"/>
        </w:rPr>
        <w:t>$(29) million unfavorable decrease. This is primarily related to the loss resulting from the sale of Nuclear</w:t>
      </w:r>
      <w:r>
        <w:rPr>
          <w:rFonts w:ascii="Arial" w:cs="Arial" w:eastAsia="Arial" w:hAnsi="Arial"/>
          <w:sz w:val="16"/>
          <w:szCs w:val="16"/>
          <w:i w:val="1"/>
          <w:iCs w:val="1"/>
          <w:color w:val="auto"/>
        </w:rPr>
        <w:t xml:space="preserve"> </w:t>
      </w:r>
      <w:r>
        <w:rPr>
          <w:rFonts w:ascii="Arial" w:cs="Arial" w:eastAsia="Arial" w:hAnsi="Arial"/>
          <w:sz w:val="16"/>
          <w:szCs w:val="16"/>
          <w:color w:val="auto"/>
        </w:rPr>
        <w:t>PTCs and noncash charges associated with miscellaneous assets.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right="200" w:hanging="328"/>
        <w:spacing w:after="0" w:line="27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$(849) million unfavorable decrease. This primarily consisted of a: (i) $564 million gain from the ERCOT Sale</w:t>
      </w:r>
      <w:r>
        <w:rPr>
          <w:rFonts w:ascii="Arial" w:cs="Arial" w:eastAsia="Arial" w:hAnsi="Arial"/>
          <w:sz w:val="16"/>
          <w:szCs w:val="16"/>
          <w:i w:val="1"/>
          <w:iCs w:val="1"/>
          <w:color w:val="auto"/>
        </w:rPr>
        <w:t xml:space="preserve"> </w:t>
      </w:r>
      <w:r>
        <w:rPr>
          <w:rFonts w:ascii="Arial" w:cs="Arial" w:eastAsia="Arial" w:hAnsi="Arial"/>
          <w:sz w:val="16"/>
          <w:szCs w:val="16"/>
          <w:color w:val="auto"/>
        </w:rPr>
        <w:t>that closed in the second quarter 2024; (ii) $324 million gain from the AWS Data Campus Sale in the first quarter 2024; and (iii) a $22 million gain from the sale of the Camden and Dartmouth in September 2025. See Note 17 to the Interim Financial Statements for additional information.</w:t>
      </w:r>
    </w:p>
    <w:p>
      <w:pPr>
        <w:spacing w:after="0" w:line="110" w:lineRule="exact"/>
        <w:rPr>
          <w:rFonts w:ascii="Arial" w:cs="Arial" w:eastAsia="Arial" w:hAnsi="Arial"/>
          <w:sz w:val="16"/>
          <w:szCs w:val="16"/>
          <w:color w:val="auto"/>
        </w:rPr>
      </w:pPr>
    </w:p>
    <w:p>
      <w:pPr>
        <w:ind w:left="660" w:right="460" w:hanging="328"/>
        <w:spacing w:after="0" w:line="304"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Other Non-Operating Income (Expense), net. </w:t>
      </w:r>
      <w:r>
        <w:rPr>
          <w:rFonts w:ascii="Arial" w:cs="Arial" w:eastAsia="Arial" w:hAnsi="Arial"/>
          <w:sz w:val="16"/>
          <w:szCs w:val="16"/>
          <w:color w:val="auto"/>
        </w:rPr>
        <w:t>$(51) million unfavorable decrease. This primarily consisted of interest income on cash deposits</w:t>
      </w:r>
      <w:r>
        <w:rPr>
          <w:rFonts w:ascii="Arial" w:cs="Arial" w:eastAsia="Arial" w:hAnsi="Arial"/>
          <w:sz w:val="16"/>
          <w:szCs w:val="16"/>
          <w:i w:val="1"/>
          <w:iCs w:val="1"/>
          <w:color w:val="auto"/>
        </w:rPr>
        <w:t xml:space="preserve"> </w:t>
      </w:r>
      <w:r>
        <w:rPr>
          <w:rFonts w:ascii="Arial" w:cs="Arial" w:eastAsia="Arial" w:hAnsi="Arial"/>
          <w:sz w:val="16"/>
          <w:szCs w:val="16"/>
          <w:color w:val="auto"/>
        </w:rPr>
        <w:t>earned in 2024.</w:t>
      </w:r>
    </w:p>
    <w:p>
      <w:pPr>
        <w:spacing w:after="0" w:line="87" w:lineRule="exact"/>
        <w:rPr>
          <w:rFonts w:ascii="Arial" w:cs="Arial" w:eastAsia="Arial" w:hAnsi="Arial"/>
          <w:sz w:val="16"/>
          <w:szCs w:val="16"/>
          <w:color w:val="auto"/>
        </w:rPr>
      </w:pPr>
    </w:p>
    <w:p>
      <w:pPr>
        <w:ind w:left="660" w:right="280" w:hanging="328"/>
        <w:spacing w:after="0" w:line="28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$122 million favorable decrease. This is primarily due to a decrease in pre-tax income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2025, and the absence of a change in the Company’s valuation allowance that occurred in 2024.</w:t>
      </w:r>
    </w:p>
    <w:p>
      <w:pPr>
        <w:spacing w:after="0" w:line="115" w:lineRule="exact"/>
        <w:rPr>
          <w:rFonts w:ascii="Arial" w:cs="Arial" w:eastAsia="Arial" w:hAnsi="Arial"/>
          <w:sz w:val="16"/>
          <w:szCs w:val="16"/>
          <w:color w:val="auto"/>
        </w:rPr>
      </w:pPr>
    </w:p>
    <w:p>
      <w:pPr>
        <w:ind w:left="660" w:right="240" w:hanging="328"/>
        <w:spacing w:after="0" w:line="28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Net Income Attributable to Noncontrolling Interest. </w:t>
      </w:r>
      <w:r>
        <w:rPr>
          <w:rFonts w:ascii="Arial" w:cs="Arial" w:eastAsia="Arial" w:hAnsi="Arial"/>
          <w:sz w:val="16"/>
          <w:szCs w:val="16"/>
          <w:color w:val="auto"/>
        </w:rPr>
        <w:t>$29 million favorable decrease. This is related to the purchase of the remaining noncontrolling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Cumulus Digital in the fourth quarter 2024.</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67" w:lineRule="exact"/>
        <w:rPr>
          <w:sz w:val="20"/>
          <w:szCs w:val="20"/>
          <w:color w:val="auto"/>
        </w:rPr>
      </w:pPr>
    </w:p>
    <w:p>
      <w:pPr>
        <w:ind w:right="160" w:firstLine="324"/>
        <w:spacing w:after="0" w:line="265" w:lineRule="auto"/>
        <w:rPr>
          <w:sz w:val="20"/>
          <w:szCs w:val="20"/>
          <w:color w:val="auto"/>
        </w:rPr>
      </w:pPr>
      <w:r>
        <w:rPr>
          <w:rFonts w:ascii="Arial" w:cs="Arial" w:eastAsia="Arial" w:hAnsi="Arial"/>
          <w:sz w:val="16"/>
          <w:szCs w:val="16"/>
          <w:color w:val="auto"/>
        </w:rPr>
        <w:t>Our liquidity and capital requirements are generally a function of: (i) debt service requirements; (ii) capital expenditures; (iii) maintenance activities; (iv) liquidity requirements for our hedging activities including cash collateral and other forms of credit support; (v) the settlement of, or forms of credit in support of, legacy asset retirement and (or) environmental obligations; (vi) other working capital requirements; and (or) (vii) discretionary expenditures, including share repurchase activities.</w:t>
      </w:r>
    </w:p>
    <w:p>
      <w:pPr>
        <w:spacing w:after="0" w:line="11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spacing w:after="0" w:line="114"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the stability provided by contracted cash flows associated with long-term PPAs as well as the Nuclear PTC (which provides a built-in hedging apparatus through the tax credit) lower our overall hedging requirements.</w:t>
      </w:r>
    </w:p>
    <w:p>
      <w:pPr>
        <w:spacing w:after="0" w:line="122" w:lineRule="exact"/>
        <w:rPr>
          <w:sz w:val="20"/>
          <w:szCs w:val="20"/>
          <w:color w:val="auto"/>
        </w:rPr>
      </w:pPr>
    </w:p>
    <w:p>
      <w:pPr>
        <w:ind w:right="360" w:firstLine="324"/>
        <w:spacing w:after="0" w:line="275" w:lineRule="auto"/>
        <w:rPr>
          <w:sz w:val="20"/>
          <w:szCs w:val="20"/>
          <w:color w:val="auto"/>
        </w:rPr>
      </w:pPr>
      <w:r>
        <w:rPr>
          <w:rFonts w:ascii="Arial" w:cs="Arial" w:eastAsia="Arial" w:hAnsi="Arial"/>
          <w:sz w:val="16"/>
          <w:szCs w:val="16"/>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spacing w:after="0" w:line="124" w:lineRule="exact"/>
        <w:rPr>
          <w:sz w:val="20"/>
          <w:szCs w:val="20"/>
          <w:color w:val="auto"/>
        </w:rPr>
      </w:pPr>
    </w:p>
    <w:p>
      <w:pPr>
        <w:ind w:right="400" w:firstLine="324"/>
        <w:spacing w:after="0" w:line="266" w:lineRule="auto"/>
        <w:rPr>
          <w:sz w:val="20"/>
          <w:szCs w:val="20"/>
          <w:color w:val="auto"/>
        </w:rPr>
      </w:pPr>
      <w:r>
        <w:rPr>
          <w:rFonts w:ascii="Arial" w:cs="Arial" w:eastAsia="Arial" w:hAnsi="Arial"/>
          <w:sz w:val="16"/>
          <w:szCs w:val="16"/>
          <w:color w:val="auto"/>
        </w:rPr>
        <w:t>See the following Notes to the Interim Financial Statements for additional information on liquidity topics discussed below: Note 2 for derivatives and hedging, Note 8 for AROs and environmental obligations, Note 10 for long-term debt and credit facilities, and Note 16 for supplemental cash flow information.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Liquidity and Letter of Credit Capacity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 unrestricted</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328</w:t>
            </w:r>
          </w:p>
        </w:tc>
      </w:tr>
      <w:tr>
        <w:trPr>
          <w:trHeight w:val="203"/>
        </w:trPr>
        <w:tc>
          <w:tcPr>
            <w:tcW w:w="82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Unutilized RCF capacity </w:t>
            </w:r>
            <w:r>
              <w:rPr>
                <w:rFonts w:ascii="Arial" w:cs="Arial" w:eastAsia="Arial" w:hAnsi="Arial"/>
                <w:sz w:val="18"/>
                <w:szCs w:val="18"/>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r>
      <w:tr>
        <w:trPr>
          <w:trHeight w:val="485"/>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available liquidity</w:t>
            </w:r>
          </w:p>
        </w:tc>
        <w:tc>
          <w:tcPr>
            <w:tcW w:w="100" w:type="dxa"/>
            <w:vAlign w:val="bottom"/>
            <w:tcBorders>
              <w:bottom w:val="single" w:sz="8" w:color="E1E1E2"/>
            </w:tcBorders>
            <w:shd w:val="clear" w:color="auto" w:fill="E1E1E2"/>
          </w:tcPr>
          <w:p>
            <w:pPr>
              <w:spacing w:after="0"/>
              <w:rPr>
                <w:sz w:val="24"/>
                <w:szCs w:val="24"/>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1,197</w:t>
            </w:r>
          </w:p>
        </w:tc>
        <w:tc>
          <w:tcPr>
            <w:tcW w:w="100" w:type="dxa"/>
            <w:vAlign w:val="bottom"/>
            <w:tcBorders>
              <w:bottom w:val="single" w:sz="8" w:color="E1E1E2"/>
            </w:tcBorders>
            <w:shd w:val="clear" w:color="auto" w:fill="E1E1E2"/>
          </w:tcPr>
          <w:p>
            <w:pPr>
              <w:spacing w:after="0"/>
              <w:rPr>
                <w:sz w:val="24"/>
                <w:szCs w:val="24"/>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1,028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8"/>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Additional unutilized LC capacity </w:t>
            </w:r>
            <w:r>
              <w:rPr>
                <w:rFonts w:ascii="Arial" w:cs="Arial" w:eastAsia="Arial" w:hAnsi="Arial"/>
                <w:sz w:val="18"/>
                <w:szCs w:val="18"/>
                <w:b w:val="1"/>
                <w:bCs w:val="1"/>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526</w:t>
            </w:r>
          </w:p>
        </w:tc>
      </w:tr>
      <w:tr>
        <w:trPr>
          <w:trHeight w:val="231"/>
        </w:trPr>
        <w:tc>
          <w:tcPr>
            <w:tcW w:w="82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bl>
    <w:p>
      <w:pPr>
        <w:ind w:left="320" w:hanging="312"/>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w:t>
      </w:r>
    </w:p>
    <w:p>
      <w:pPr>
        <w:ind w:left="320" w:hanging="312"/>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Excludes LC capacity available under the RCF and includes LC capacity under the LCF.</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October 2025, TES received commitments to (i) increase its existing RCF (including its revolving LC capacity) from $700 million to $900 million and</w:t>
      </w:r>
    </w:p>
    <w:p>
      <w:pPr>
        <w:spacing w:after="0" w:line="31" w:lineRule="exact"/>
        <w:rPr>
          <w:sz w:val="20"/>
          <w:szCs w:val="20"/>
          <w:color w:val="auto"/>
        </w:rPr>
      </w:pPr>
    </w:p>
    <w:p>
      <w:pPr>
        <w:ind w:right="60" w:firstLine="8"/>
        <w:spacing w:after="0" w:line="267" w:lineRule="auto"/>
        <w:tabs>
          <w:tab w:leader="none" w:pos="225"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upsize its existing $900 million LCF to $1.1 billion and extend the maturity from December 2026 to December 2027, in each case effective upon the closing of either the Freedom Acquisition or the Guernsey Acquisition (whichever closes first). See Note 10 to the Interim Financial Statements for additional information.</w:t>
      </w:r>
    </w:p>
    <w:p>
      <w:pPr>
        <w:spacing w:after="0" w:line="116" w:lineRule="exact"/>
        <w:rPr>
          <w:sz w:val="20"/>
          <w:szCs w:val="20"/>
          <w:color w:val="auto"/>
        </w:rPr>
      </w:pPr>
    </w:p>
    <w:p>
      <w:pPr>
        <w:jc w:val="both"/>
        <w:ind w:right="60" w:firstLine="324"/>
        <w:spacing w:after="0" w:line="265" w:lineRule="auto"/>
        <w:rPr>
          <w:sz w:val="20"/>
          <w:szCs w:val="20"/>
          <w:color w:val="auto"/>
        </w:rPr>
      </w:pPr>
      <w:r>
        <w:rPr>
          <w:rFonts w:ascii="Arial" w:cs="Arial" w:eastAsia="Arial" w:hAnsi="Arial"/>
          <w:sz w:val="16"/>
          <w:szCs w:val="16"/>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10 to the Interim Financial Statements for additional information on the RCF and LCF.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Financial Performance Assurances</w:t>
      </w:r>
    </w:p>
    <w:p>
      <w:pPr>
        <w:spacing w:after="0" w:line="165"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Outstanding surety bonds</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234</w:t>
            </w:r>
          </w:p>
        </w:tc>
      </w:tr>
    </w:tbl>
    <w:p>
      <w:pPr>
        <w:spacing w:after="0" w:line="229"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In May 2025, the Company elected to replace a surety provider and, as of September 30, 2025, the replacement surety bonds issued by the new provider were outstanding. However, an aggregate $10 million of replaced surety bonds (included in the total above) continued to be outstanding as their release was not yet completed as of September 30, 2025.</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Forecasted Uses of Cash</w:t>
      </w:r>
    </w:p>
    <w:p>
      <w:pPr>
        <w:spacing w:after="0" w:line="17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 plans are revised periodically for changes in operational needs, market conditions, 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cost projections. Accordingly, the expected cash requirements for capital expenditures are subject to revision.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2026</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PJM nuclear generation facility</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fossil generation facilities</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20"/>
        </w:trPr>
        <w:tc>
          <w:tcPr>
            <w:tcW w:w="8340" w:type="dxa"/>
            <w:vAlign w:val="bottom"/>
            <w:gridSpan w:val="2"/>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(a)</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277</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Expected capitalized interest on capital expenditures is a non-material amount in 2025 and 2026.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(used in) operating, investing, and financing activities for the periods was: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6"/>
            <w:vMerge w:val="restart"/>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Pr>
          <w:p>
            <w:pPr>
              <w:spacing w:after="0"/>
              <w:rPr>
                <w:sz w:val="14"/>
                <w:szCs w:val="14"/>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6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89"/>
              <w:spacing w:after="0" w:line="116"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97"/>
        </w:trPr>
        <w:tc>
          <w:tcPr>
            <w:tcW w:w="6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65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activities</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center"/>
              <w:ind w:left="48"/>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8"/>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1040" w:type="dxa"/>
            <w:vAlign w:val="bottom"/>
          </w:tcPr>
          <w:p>
            <w:pPr>
              <w:spacing w:after="0"/>
              <w:rPr>
                <w:sz w:val="17"/>
                <w:szCs w:val="17"/>
                <w:color w:val="auto"/>
              </w:rPr>
            </w:pPr>
          </w:p>
        </w:tc>
        <w:tc>
          <w:tcPr>
            <w:tcW w:w="480" w:type="dxa"/>
            <w:vAlign w:val="bottom"/>
          </w:tcPr>
          <w:p>
            <w:pPr>
              <w:jc w:val="center"/>
              <w:ind w:lef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203"/>
        </w:trPr>
        <w:tc>
          <w:tcPr>
            <w:tcW w:w="64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center"/>
              <w:ind w:left="2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65" w:lineRule="exact"/>
        <w:rPr>
          <w:sz w:val="20"/>
          <w:szCs w:val="20"/>
          <w:color w:val="auto"/>
        </w:rPr>
      </w:pPr>
    </w:p>
    <w:p>
      <w:pPr>
        <w:ind w:right="220" w:firstLine="324"/>
        <w:spacing w:after="0" w:line="304" w:lineRule="auto"/>
        <w:rPr>
          <w:sz w:val="20"/>
          <w:szCs w:val="20"/>
          <w:color w:val="auto"/>
        </w:rPr>
      </w:pPr>
      <w:r>
        <w:rPr>
          <w:rFonts w:ascii="Arial" w:cs="Arial" w:eastAsia="Arial" w:hAnsi="Arial"/>
          <w:sz w:val="16"/>
          <w:szCs w:val="16"/>
          <w:color w:val="auto"/>
        </w:rPr>
        <w:t>A change of $178 million in net cash provided by (used in) operating activities is generally aligned with results from operations combined with working capital changes in the normal course of business. See “—Results of Operations” for additional information.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79" w:lineRule="exact"/>
        <w:rPr>
          <w:sz w:val="20"/>
          <w:szCs w:val="20"/>
          <w:color w:val="auto"/>
        </w:rPr>
      </w:pPr>
    </w:p>
    <w:p>
      <w:pPr>
        <w:ind w:right="100" w:firstLine="324"/>
        <w:spacing w:after="0" w:line="266" w:lineRule="auto"/>
        <w:rPr>
          <w:sz w:val="20"/>
          <w:szCs w:val="20"/>
          <w:color w:val="auto"/>
        </w:rPr>
      </w:pPr>
      <w:r>
        <w:rPr>
          <w:rFonts w:ascii="Arial" w:cs="Arial" w:eastAsia="Arial" w:hAnsi="Arial"/>
          <w:sz w:val="16"/>
          <w:szCs w:val="16"/>
          <w:color w:val="auto"/>
        </w:rPr>
        <w:t>A change of $(1,381) million in net cash provided by (used in) investing activities was primarily due to: (i) $(635) million in proceeds from the AWS Data Campus Sale in 2024; and (ii) $(763) million of proceeds from the ERCOT Sale in 2024. See Note 17 to the Interim Financial Statements for additional information on the AWS Data Campus Sale and the ERCOT Sale.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65"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color w:val="auto"/>
        </w:rPr>
        <w:t>A change of $1,104 million in net cash provided by (used in) financing activities is primarily the result of the combined effect of the: (i) $182 million repayment of the Cumulus Digital TLF; (ii) $39 million purchase of noncontrolling interest in Cumulus Digital, both in the first quarter 2024; and (iii) a $853 million decrease in share repurchases.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Guarantees of Subsidiary Obligations</w:t>
      </w:r>
    </w:p>
    <w:p>
      <w:pPr>
        <w:spacing w:after="0" w:line="165"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TES guarantees certain agreements and obligations for its subsidiaries. Certain agreements may contingently require payments to a guaranteed or indemnified party. See “Guarantees and Other Assurances” in Note 9 to the Interim Financial Statements for additional information regarding guarantees.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w:t>
      </w:r>
    </w:p>
    <w:p>
      <w:pPr>
        <w:spacing w:after="0" w:line="167" w:lineRule="exact"/>
        <w:rPr>
          <w:sz w:val="20"/>
          <w:szCs w:val="20"/>
          <w:color w:val="auto"/>
        </w:rPr>
      </w:pPr>
    </w:p>
    <w:p>
      <w:pPr>
        <w:ind w:right="80" w:firstLine="324"/>
        <w:spacing w:after="0" w:line="259" w:lineRule="auto"/>
        <w:rPr>
          <w:sz w:val="20"/>
          <w:szCs w:val="20"/>
          <w:color w:val="auto"/>
        </w:rPr>
      </w:pPr>
      <w:r>
        <w:rPr>
          <w:rFonts w:ascii="Arial" w:cs="Arial" w:eastAsia="Arial" w:hAnsi="Arial"/>
          <w:sz w:val="16"/>
          <w:szCs w:val="16"/>
          <w:color w:val="auto"/>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Adjusted EBITDA</w:t>
      </w:r>
    </w:p>
    <w:p>
      <w:pPr>
        <w:spacing w:after="0" w:line="165"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11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spacing w:after="0" w:line="120"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reconciliation of the GAAP financial measure of “Net Income (Loss)” presented on the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to the non-GAAP financial measure of Adjusted EBITDA: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1E1E2"/>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1E1E2"/>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9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207</w:t>
            </w:r>
          </w:p>
        </w:tc>
        <w:tc>
          <w:tcPr>
            <w:tcW w:w="80" w:type="dxa"/>
            <w:vAlign w:val="bottom"/>
            <w:shd w:val="clear" w:color="auto" w:fill="E1E1E2"/>
          </w:tcPr>
          <w:p>
            <w:pPr>
              <w:spacing w:after="0"/>
              <w:rPr>
                <w:sz w:val="16"/>
                <w:szCs w:val="16"/>
                <w:color w:val="auto"/>
              </w:rPr>
            </w:pPr>
          </w:p>
        </w:tc>
        <w:tc>
          <w:tcPr>
            <w:tcW w:w="360" w:type="dxa"/>
            <w:vAlign w:val="bottom"/>
            <w:tcBorders>
              <w:bottom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168</w:t>
            </w:r>
          </w:p>
        </w:tc>
        <w:tc>
          <w:tcPr>
            <w:tcW w:w="8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E1E1E2"/>
          </w:tcPr>
          <w:p>
            <w:pPr>
              <w:spacing w:after="0"/>
              <w:rPr>
                <w:sz w:val="16"/>
                <w:szCs w:val="16"/>
                <w:color w:val="auto"/>
              </w:rPr>
            </w:pP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945</w:t>
            </w:r>
          </w:p>
        </w:tc>
      </w:tr>
      <w:tr>
        <w:trPr>
          <w:trHeight w:val="199"/>
        </w:trPr>
        <w:tc>
          <w:tcPr>
            <w:tcW w:w="49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240" w:type="dxa"/>
            <w:vAlign w:val="bottom"/>
            <w:shd w:val="clear" w:color="auto" w:fill="E1E1E2"/>
          </w:tcPr>
          <w:p>
            <w:pPr>
              <w:spacing w:after="0"/>
              <w:rPr>
                <w:sz w:val="17"/>
                <w:szCs w:val="17"/>
                <w:color w:val="auto"/>
              </w:rPr>
            </w:pPr>
          </w:p>
        </w:tc>
        <w:tc>
          <w:tcPr>
            <w:tcW w:w="12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187</w:t>
            </w:r>
          </w:p>
        </w:tc>
      </w:tr>
      <w:tr>
        <w:trPr>
          <w:trHeight w:val="198"/>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4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07"/>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240" w:type="dxa"/>
            <w:vAlign w:val="bottom"/>
            <w:shd w:val="clear" w:color="auto" w:fill="E1E1E2"/>
          </w:tcPr>
          <w:p>
            <w:pPr>
              <w:spacing w:after="0"/>
              <w:rPr>
                <w:sz w:val="17"/>
                <w:szCs w:val="17"/>
                <w:color w:val="auto"/>
              </w:rPr>
            </w:pPr>
          </w:p>
        </w:tc>
        <w:tc>
          <w:tcPr>
            <w:tcW w:w="12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75</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225</w:t>
            </w:r>
          </w:p>
        </w:tc>
      </w:tr>
      <w:tr>
        <w:trPr>
          <w:trHeight w:val="198"/>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24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7"/>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24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w:t>
            </w:r>
          </w:p>
        </w:tc>
      </w:tr>
      <w:tr>
        <w:trPr>
          <w:trHeight w:val="198"/>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07"/>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and other long-term incentive compensation expense</w:t>
            </w:r>
          </w:p>
        </w:tc>
        <w:tc>
          <w:tcPr>
            <w:tcW w:w="240" w:type="dxa"/>
            <w:vAlign w:val="bottom"/>
            <w:shd w:val="clear" w:color="auto" w:fill="E1E1E2"/>
          </w:tcPr>
          <w:p>
            <w:pPr>
              <w:spacing w:after="0"/>
              <w:rPr>
                <w:sz w:val="17"/>
                <w:szCs w:val="17"/>
                <w:color w:val="auto"/>
              </w:rPr>
            </w:pPr>
          </w:p>
        </w:tc>
        <w:tc>
          <w:tcPr>
            <w:tcW w:w="12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w:t>
            </w:r>
          </w:p>
        </w:tc>
        <w:tc>
          <w:tcPr>
            <w:tcW w:w="8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r>
      <w:tr>
        <w:trPr>
          <w:trHeight w:val="198"/>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 xml:space="preserve">(Gain) loss on asset sales, net </w:t>
            </w:r>
            <w:r>
              <w:rPr>
                <w:rFonts w:ascii="Arial" w:cs="Arial" w:eastAsia="Arial" w:hAnsi="Arial"/>
                <w:sz w:val="9"/>
                <w:szCs w:val="9"/>
                <w:color w:val="auto"/>
              </w:rPr>
              <w:t>(a)</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(885)</w:t>
            </w:r>
          </w:p>
        </w:tc>
      </w:tr>
      <w:tr>
        <w:trPr>
          <w:trHeight w:val="234"/>
        </w:trPr>
        <w:tc>
          <w:tcPr>
            <w:tcW w:w="49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240" w:type="dxa"/>
            <w:vAlign w:val="bottom"/>
            <w:shd w:val="clear" w:color="auto" w:fill="E1E1E2"/>
          </w:tcPr>
          <w:p>
            <w:pPr>
              <w:spacing w:after="0"/>
              <w:rPr>
                <w:sz w:val="20"/>
                <w:szCs w:val="20"/>
                <w:color w:val="auto"/>
              </w:rPr>
            </w:pPr>
          </w:p>
        </w:tc>
        <w:tc>
          <w:tcPr>
            <w:tcW w:w="12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E1E1E2"/>
          </w:tcPr>
          <w:p>
            <w:pPr>
              <w:spacing w:after="0"/>
              <w:rPr>
                <w:sz w:val="20"/>
                <w:szCs w:val="20"/>
                <w:color w:val="auto"/>
              </w:rPr>
            </w:pPr>
          </w:p>
        </w:tc>
        <w:tc>
          <w:tcPr>
            <w:tcW w:w="360" w:type="dxa"/>
            <w:vAlign w:val="bottom"/>
            <w:shd w:val="clear" w:color="auto" w:fill="E1E1E2"/>
          </w:tcPr>
          <w:p>
            <w:pPr>
              <w:spacing w:after="0"/>
              <w:rPr>
                <w:sz w:val="20"/>
                <w:szCs w:val="20"/>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shd w:val="clear" w:color="auto" w:fill="E1E1E2"/>
          </w:tcPr>
          <w:p>
            <w:pPr>
              <w:spacing w:after="0"/>
              <w:rPr>
                <w:sz w:val="20"/>
                <w:szCs w:val="20"/>
                <w:color w:val="auto"/>
              </w:rPr>
            </w:pPr>
          </w:p>
        </w:tc>
        <w:tc>
          <w:tcPr>
            <w:tcW w:w="240" w:type="dxa"/>
            <w:vAlign w:val="bottom"/>
            <w:shd w:val="clear" w:color="auto" w:fill="E1E1E2"/>
          </w:tcPr>
          <w:p>
            <w:pPr>
              <w:spacing w:after="0"/>
              <w:rPr>
                <w:sz w:val="20"/>
                <w:szCs w:val="20"/>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w:t>
            </w:r>
          </w:p>
        </w:tc>
      </w:tr>
      <w:tr>
        <w:trPr>
          <w:trHeight w:val="198"/>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4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Adjusted EBITDA</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363</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230</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653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606</w:t>
            </w:r>
          </w:p>
        </w:tc>
      </w:tr>
      <w:tr>
        <w:trPr>
          <w:trHeight w:val="22"/>
        </w:trPr>
        <w:tc>
          <w:tcPr>
            <w:tcW w:w="4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Note 17 to the Interim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6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The Company’s financial statements are prepared in conformity with GAAP, which requires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See our 2024 Annual Report for a description of our significant accounting policies and estimates.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2 to the Interim Financial Statements for a description of our market risk.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management, including our principal executive officer and principal financial officer, the effectiveness of the design and operation of our disclosure controls and procedures (as defined in Rules 13a-15(e) and 15d-15(e) under the Exchange Act). Based upon that evaluation, our principal executive officer and principal financial officer concluded that our disclosure controls and procedures were effective as of September 30, 2025, the end of the period covered by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There were no changes in our internal control over financial reporting that occurred during the three months ended September 30, 2025 that materially affected, or are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67" w:lineRule="exact"/>
        <w:rPr>
          <w:sz w:val="20"/>
          <w:szCs w:val="20"/>
          <w:color w:val="auto"/>
        </w:rPr>
      </w:pPr>
    </w:p>
    <w:p>
      <w:pPr>
        <w:ind w:right="200" w:firstLine="324"/>
        <w:spacing w:after="0" w:line="304" w:lineRule="auto"/>
        <w:rPr>
          <w:sz w:val="20"/>
          <w:szCs w:val="20"/>
          <w:color w:val="auto"/>
        </w:rPr>
      </w:pPr>
      <w:r>
        <w:rPr>
          <w:rFonts w:ascii="Arial" w:cs="Arial" w:eastAsia="Arial" w:hAnsi="Arial"/>
          <w:sz w:val="16"/>
          <w:szCs w:val="16"/>
          <w:color w:val="auto"/>
        </w:rPr>
        <w:t>There have been no additional material developments with respect to the information previously reported under “Part I, Item 3. Legal Proceedings” of our 2024 Annual Report, as updated by “Part II, Item 1. Legal Proceedings” of our 2025 Quarterly Reports.</w:t>
      </w:r>
    </w:p>
    <w:p>
      <w:pPr>
        <w:spacing w:after="0" w:line="87" w:lineRule="exact"/>
        <w:rPr>
          <w:sz w:val="20"/>
          <w:szCs w:val="20"/>
          <w:color w:val="auto"/>
        </w:rPr>
      </w:pPr>
    </w:p>
    <w:p>
      <w:pPr>
        <w:ind w:right="1840" w:firstLine="324"/>
        <w:spacing w:after="0" w:line="466" w:lineRule="auto"/>
        <w:rPr>
          <w:sz w:val="20"/>
          <w:szCs w:val="20"/>
          <w:color w:val="auto"/>
        </w:rPr>
      </w:pPr>
      <w:r>
        <w:rPr>
          <w:rFonts w:ascii="Arial" w:cs="Arial" w:eastAsia="Arial" w:hAnsi="Arial"/>
          <w:sz w:val="16"/>
          <w:szCs w:val="16"/>
          <w:color w:val="auto"/>
        </w:rPr>
        <w:t xml:space="preserve">See Note 9 to the Interim Financial Statements for information about other material legal proceedings to which we are subject. </w:t>
      </w:r>
      <w:r>
        <w:rPr>
          <w:rFonts w:ascii="Arial" w:cs="Arial" w:eastAsia="Arial" w:hAnsi="Arial"/>
          <w:sz w:val="16"/>
          <w:szCs w:val="16"/>
          <w:b w:val="1"/>
          <w:bCs w:val="1"/>
          <w:color w:val="auto"/>
        </w:rPr>
        <w:t>ITEM 1A. RISK FACTORS</w:t>
      </w:r>
    </w:p>
    <w:p>
      <w:pPr>
        <w:spacing w:after="0" w:line="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6"/>
          <w:szCs w:val="16"/>
          <w:color w:val="auto"/>
        </w:rPr>
        <w:t>For information related to the Company’s risk factors, see “Part I, Item 1A. Risk Factors” in our 2024 Annual Report, as updated by our 2025 Quarterly Reports under “Part II, Item 1A. Risk Factors.”</w:t>
      </w:r>
    </w:p>
    <w:p>
      <w:pPr>
        <w:spacing w:after="0" w:line="115" w:lineRule="exact"/>
        <w:rPr>
          <w:sz w:val="20"/>
          <w:szCs w:val="20"/>
          <w:color w:val="auto"/>
        </w:rPr>
      </w:pPr>
    </w:p>
    <w:p>
      <w:pPr>
        <w:ind w:right="4760"/>
        <w:spacing w:after="0" w:line="457" w:lineRule="auto"/>
        <w:rPr>
          <w:sz w:val="20"/>
          <w:szCs w:val="20"/>
          <w:color w:val="auto"/>
        </w:rPr>
      </w:pPr>
      <w:r>
        <w:rPr>
          <w:rFonts w:ascii="Arial" w:cs="Arial" w:eastAsia="Arial" w:hAnsi="Arial"/>
          <w:sz w:val="16"/>
          <w:szCs w:val="16"/>
          <w:b w:val="1"/>
          <w:bCs w:val="1"/>
          <w:color w:val="auto"/>
        </w:rPr>
        <w:t>ITEM 2. UNREGISTERED SALES OF EQUITY SECURITIES AND USE OF PROCEEDS Issuer Purchases of Equity Securities</w:t>
      </w:r>
    </w:p>
    <w:p>
      <w:pPr>
        <w:spacing w:after="0" w:line="1"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6"/>
          <w:szCs w:val="16"/>
          <w:color w:val="auto"/>
        </w:rPr>
        <w:t>In October 2023, we announced the Board of Directors approved the SRP, initially authorizing the Company to repurchase up to $300 million of TEC’s outstanding common stock. In May 2024, the Board of Directors approved an increase in the then-remaining SRP capacity to $1 billion through the end of 2025. In September 2024, the Board of Directors again approved an increase in the then-remaining SRP capacity to $1.25 billion through December 31,</w:t>
      </w:r>
    </w:p>
    <w:p>
      <w:pPr>
        <w:spacing w:after="0" w:line="1"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2026. In September 2025, the Board of Directors approved an increase in the then-remaining SRP capacity to $2 billion through December 31, 2028. The execution of this additional authorization is contingent on the completion of the Freedom and Guernsey Acquisitions. See “Item 5. Market for Registrant’s Common Equity, Related Shareholder Matters and Issuer Purchases of Equity Securities” in the Company’s 2024 Annual Report for additional information related to the SRP and shares repurchased under the SRP.</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share repurchases during the three months ended September 30, 2025.</w:t>
      </w:r>
    </w:p>
    <w:p>
      <w:pPr>
        <w:spacing w:after="0" w:line="167" w:lineRule="exact"/>
        <w:rPr>
          <w:sz w:val="20"/>
          <w:szCs w:val="20"/>
          <w:color w:val="auto"/>
        </w:rPr>
      </w:pPr>
    </w:p>
    <w:p>
      <w:pPr>
        <w:ind w:right="480" w:firstLine="324"/>
        <w:spacing w:after="0" w:line="304" w:lineRule="auto"/>
        <w:rPr>
          <w:sz w:val="20"/>
          <w:szCs w:val="20"/>
          <w:color w:val="auto"/>
        </w:rPr>
      </w:pPr>
      <w:r>
        <w:rPr>
          <w:rFonts w:ascii="Arial" w:cs="Arial" w:eastAsia="Arial" w:hAnsi="Arial"/>
          <w:sz w:val="16"/>
          <w:szCs w:val="16"/>
          <w:color w:val="auto"/>
        </w:rPr>
        <w:t>For a description of limitations on the payment of our dividends, see “Part II, Item 5. Market for Registrant’s Common Equity, Related Stockholder Matters and Issuer Purchases of Equity Securities” in our 2024 Annual Report.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67" w:lineRule="exact"/>
        <w:rPr>
          <w:sz w:val="20"/>
          <w:szCs w:val="20"/>
          <w:color w:val="auto"/>
        </w:rPr>
      </w:pPr>
    </w:p>
    <w:p>
      <w:pPr>
        <w:jc w:val="both"/>
        <w:ind w:right="200" w:firstLine="324"/>
        <w:spacing w:after="0" w:line="304" w:lineRule="auto"/>
        <w:rPr>
          <w:sz w:val="20"/>
          <w:szCs w:val="20"/>
          <w:color w:val="auto"/>
        </w:rPr>
      </w:pPr>
      <w:r>
        <w:rPr>
          <w:rFonts w:ascii="Arial" w:cs="Arial" w:eastAsia="Arial" w:hAnsi="Arial"/>
          <w:sz w:val="16"/>
          <w:szCs w:val="16"/>
          <w:color w:val="auto"/>
        </w:rPr>
        <w:t>During the three months ended September 30, 2025, none of our directors or “officers” (as such term is defined in Rule 16(a)-1(f) under the Exchange Act) adopted or terminated a “Rule 10b5-1 trading agreement” or “non-Rule 10b5-1 trading arrangement” (each as defined in Item 408 of Regulation S-K).</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2"/>
                <w:szCs w:val="12"/>
                <w:color w:val="auto"/>
              </w:rPr>
            </w:pPr>
          </w:p>
        </w:tc>
        <w:tc>
          <w:tcPr>
            <w:tcW w:w="546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Date of Filing</w:t>
            </w:r>
          </w:p>
        </w:tc>
        <w:tc>
          <w:tcPr>
            <w:tcW w:w="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9"/>
        </w:trPr>
        <w:tc>
          <w:tcPr>
            <w:tcW w:w="10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gridSpan w:val="25"/>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74"/>
        </w:trPr>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E1E1E2"/>
          </w:tcPr>
          <w:p>
            <w:pPr>
              <w:ind w:left="20"/>
              <w:spacing w:after="0" w:line="162" w:lineRule="exact"/>
              <w:rPr>
                <w:sz w:val="20"/>
                <w:szCs w:val="20"/>
                <w:color w:val="auto"/>
              </w:rPr>
            </w:pPr>
            <w:r>
              <w:rPr>
                <w:rFonts w:ascii="Arial" w:cs="Arial" w:eastAsia="Arial" w:hAnsi="Arial"/>
                <w:sz w:val="14"/>
                <w:szCs w:val="14"/>
                <w:color w:val="auto"/>
              </w:rPr>
              <w:t>2.1</w:t>
            </w:r>
            <w:r>
              <w:rPr>
                <w:rFonts w:ascii="Arial" w:cs="Arial" w:eastAsia="Arial" w:hAnsi="Arial"/>
                <w:sz w:val="18"/>
                <w:szCs w:val="18"/>
                <w:color w:val="auto"/>
                <w:vertAlign w:val="superscript"/>
              </w:rPr>
              <w:t>#^</w:t>
            </w:r>
          </w:p>
        </w:tc>
        <w:tc>
          <w:tcPr>
            <w:tcW w:w="100" w:type="dxa"/>
            <w:vAlign w:val="bottom"/>
            <w:shd w:val="clear" w:color="auto" w:fill="E1E1E2"/>
          </w:tcPr>
          <w:p>
            <w:pPr>
              <w:spacing w:after="0"/>
              <w:rPr>
                <w:sz w:val="14"/>
                <w:szCs w:val="14"/>
                <w:color w:val="auto"/>
              </w:rPr>
            </w:pPr>
          </w:p>
        </w:tc>
        <w:tc>
          <w:tcPr>
            <w:tcW w:w="20" w:type="dxa"/>
            <w:vAlign w:val="bottom"/>
            <w:shd w:val="clear" w:color="auto" w:fill="E1E1E2"/>
          </w:tcPr>
          <w:p>
            <w:pPr>
              <w:spacing w:after="0"/>
              <w:rPr>
                <w:sz w:val="14"/>
                <w:szCs w:val="14"/>
                <w:color w:val="auto"/>
              </w:rPr>
            </w:pPr>
          </w:p>
        </w:tc>
        <w:tc>
          <w:tcPr>
            <w:tcW w:w="5460" w:type="dxa"/>
            <w:vAlign w:val="bottom"/>
            <w:gridSpan w:val="25"/>
            <w:shd w:val="clear" w:color="auto" w:fill="E1E1E2"/>
          </w:tcPr>
          <w:p>
            <w:pPr>
              <w:spacing w:after="0"/>
              <w:rPr>
                <w:rFonts w:ascii="Arial" w:cs="Arial" w:eastAsia="Arial" w:hAnsi="Arial"/>
                <w:sz w:val="14"/>
                <w:szCs w:val="14"/>
                <w:color w:val="0000FF"/>
              </w:rPr>
            </w:pPr>
            <w:hyperlink r:id="rId56">
              <w:r>
                <w:rPr>
                  <w:rFonts w:ascii="Arial" w:cs="Arial" w:eastAsia="Arial" w:hAnsi="Arial"/>
                  <w:sz w:val="14"/>
                  <w:szCs w:val="14"/>
                  <w:color w:val="0000FF"/>
                </w:rPr>
                <w:t>Purchase and Sale Agreement, dated as of July 17, 2025, by and between</w:t>
              </w:r>
            </w:hyperlink>
          </w:p>
        </w:tc>
        <w:tc>
          <w:tcPr>
            <w:tcW w:w="98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10-Q</w:t>
            </w:r>
          </w:p>
        </w:tc>
        <w:tc>
          <w:tcPr>
            <w:tcW w:w="12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E1E1E2"/>
          </w:tcPr>
          <w:p>
            <w:pPr>
              <w:spacing w:after="0"/>
              <w:rPr>
                <w:sz w:val="14"/>
                <w:szCs w:val="14"/>
                <w:color w:val="auto"/>
              </w:rPr>
            </w:pPr>
          </w:p>
        </w:tc>
        <w:tc>
          <w:tcPr>
            <w:tcW w:w="1500" w:type="dxa"/>
            <w:vAlign w:val="bottom"/>
            <w:gridSpan w:val="2"/>
            <w:shd w:val="clear" w:color="auto" w:fill="E1E1E2"/>
          </w:tcPr>
          <w:p>
            <w:pPr>
              <w:jc w:val="center"/>
              <w:ind w:right="80"/>
              <w:spacing w:after="0"/>
              <w:rPr>
                <w:sz w:val="20"/>
                <w:szCs w:val="20"/>
                <w:color w:val="auto"/>
              </w:rPr>
            </w:pPr>
            <w:r>
              <w:rPr>
                <w:rFonts w:ascii="Arial" w:cs="Arial" w:eastAsia="Arial" w:hAnsi="Arial"/>
                <w:sz w:val="14"/>
                <w:szCs w:val="14"/>
                <w:color w:val="auto"/>
              </w:rPr>
              <w:t>August 7, 2025</w:t>
            </w:r>
          </w:p>
        </w:tc>
        <w:tc>
          <w:tcPr>
            <w:tcW w:w="8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6"/>
        </w:trPr>
        <w:tc>
          <w:tcPr>
            <w:tcW w:w="96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4660" w:type="dxa"/>
            <w:vAlign w:val="bottom"/>
            <w:tcBorders>
              <w:top w:val="single" w:sz="8" w:color="0000FF"/>
              <w:bottom w:val="single" w:sz="8" w:color="0000FF"/>
            </w:tcBorders>
            <w:gridSpan w:val="13"/>
            <w:shd w:val="clear" w:color="auto" w:fill="E1E1E2"/>
          </w:tcPr>
          <w:p>
            <w:pPr>
              <w:spacing w:after="0" w:line="115" w:lineRule="exact"/>
              <w:rPr>
                <w:rFonts w:ascii="Arial" w:cs="Arial" w:eastAsia="Arial" w:hAnsi="Arial"/>
                <w:sz w:val="13"/>
                <w:szCs w:val="13"/>
                <w:color w:val="0000FF"/>
              </w:rPr>
            </w:pPr>
            <w:hyperlink r:id="rId56">
              <w:r>
                <w:rPr>
                  <w:rFonts w:ascii="Arial" w:cs="Arial" w:eastAsia="Arial" w:hAnsi="Arial"/>
                  <w:sz w:val="13"/>
                  <w:szCs w:val="13"/>
                  <w:color w:val="0000FF"/>
                </w:rPr>
                <w:t>Caithness Energy, L.L.C., as seller, and Talen Generation, LLC, as buyer.</w:t>
              </w:r>
            </w:hyperlink>
          </w:p>
        </w:tc>
        <w:tc>
          <w:tcPr>
            <w:tcW w:w="80" w:type="dxa"/>
            <w:vAlign w:val="bottom"/>
            <w:tcBorders>
              <w:top w:val="single" w:sz="8" w:color="0000FF"/>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12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8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120" w:type="dxa"/>
            <w:vAlign w:val="bottom"/>
            <w:tcBorders>
              <w:top w:val="single" w:sz="8" w:color="E1E1E2"/>
              <w:bottom w:val="single" w:sz="8" w:color="E1E1E2"/>
            </w:tcBorders>
            <w:shd w:val="clear" w:color="auto" w:fill="E1E1E2"/>
          </w:tcPr>
          <w:p>
            <w:pPr>
              <w:spacing w:after="0"/>
              <w:rPr>
                <w:sz w:val="11"/>
                <w:szCs w:val="11"/>
                <w:color w:val="auto"/>
              </w:rPr>
            </w:pPr>
          </w:p>
        </w:tc>
        <w:tc>
          <w:tcPr>
            <w:tcW w:w="60" w:type="dxa"/>
            <w:vAlign w:val="bottom"/>
            <w:tcBorders>
              <w:top w:val="single" w:sz="8" w:color="E1E1E2"/>
              <w:bottom w:val="single" w:sz="8" w:color="E1E1E2"/>
            </w:tcBorders>
            <w:shd w:val="clear" w:color="auto" w:fill="E1E1E2"/>
          </w:tcPr>
          <w:p>
            <w:pPr>
              <w:spacing w:after="0"/>
              <w:rPr>
                <w:sz w:val="11"/>
                <w:szCs w:val="11"/>
                <w:color w:val="auto"/>
              </w:rPr>
            </w:pPr>
          </w:p>
        </w:tc>
        <w:tc>
          <w:tcPr>
            <w:tcW w:w="40" w:type="dxa"/>
            <w:vAlign w:val="bottom"/>
            <w:tcBorders>
              <w:top w:val="single" w:sz="8" w:color="E1E1E2"/>
              <w:bottom w:val="single" w:sz="8" w:color="E1E1E2"/>
            </w:tcBorders>
            <w:shd w:val="clear" w:color="auto" w:fill="E1E1E2"/>
          </w:tcPr>
          <w:p>
            <w:pPr>
              <w:spacing w:after="0"/>
              <w:rPr>
                <w:sz w:val="11"/>
                <w:szCs w:val="11"/>
                <w:color w:val="auto"/>
              </w:rPr>
            </w:pPr>
          </w:p>
        </w:tc>
        <w:tc>
          <w:tcPr>
            <w:tcW w:w="140" w:type="dxa"/>
            <w:vAlign w:val="bottom"/>
            <w:tcBorders>
              <w:top w:val="single" w:sz="8" w:color="E1E1E2"/>
              <w:bottom w:val="single" w:sz="8" w:color="E1E1E2"/>
            </w:tcBorders>
            <w:gridSpan w:val="2"/>
            <w:shd w:val="clear" w:color="auto" w:fill="E1E1E2"/>
          </w:tcPr>
          <w:p>
            <w:pPr>
              <w:spacing w:after="0"/>
              <w:rPr>
                <w:sz w:val="11"/>
                <w:szCs w:val="11"/>
                <w:color w:val="auto"/>
              </w:rPr>
            </w:pPr>
          </w:p>
        </w:tc>
        <w:tc>
          <w:tcPr>
            <w:tcW w:w="88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26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420" w:type="dxa"/>
            <w:vAlign w:val="bottom"/>
            <w:tcBorders>
              <w:top w:val="single" w:sz="8" w:color="E1E1E2"/>
              <w:bottom w:val="single" w:sz="8" w:color="E1E1E2"/>
            </w:tcBorders>
            <w:shd w:val="clear" w:color="auto" w:fill="E1E1E2"/>
          </w:tcPr>
          <w:p>
            <w:pPr>
              <w:spacing w:after="0"/>
              <w:rPr>
                <w:sz w:val="11"/>
                <w:szCs w:val="11"/>
                <w:color w:val="auto"/>
              </w:rPr>
            </w:pPr>
          </w:p>
        </w:tc>
        <w:tc>
          <w:tcPr>
            <w:tcW w:w="80" w:type="dxa"/>
            <w:vAlign w:val="bottom"/>
            <w:tcBorders>
              <w:top w:val="single" w:sz="8" w:color="E1E1E2"/>
              <w:bottom w:val="single" w:sz="8" w:color="E1E1E2"/>
            </w:tcBorders>
            <w:shd w:val="clear" w:color="auto" w:fill="E1E1E2"/>
          </w:tcPr>
          <w:p>
            <w:pPr>
              <w:spacing w:after="0"/>
              <w:rPr>
                <w:sz w:val="11"/>
                <w:szCs w:val="11"/>
                <w:color w:val="auto"/>
              </w:rPr>
            </w:pPr>
          </w:p>
        </w:tc>
        <w:tc>
          <w:tcPr>
            <w:tcW w:w="860" w:type="dxa"/>
            <w:vAlign w:val="bottom"/>
            <w:tcBorders>
              <w:top w:val="single" w:sz="8" w:color="E1E1E2"/>
              <w:bottom w:val="single" w:sz="8" w:color="E1E1E2"/>
            </w:tcBorders>
            <w:shd w:val="clear" w:color="auto" w:fill="E1E1E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Arial" w:cs="Arial" w:eastAsia="Arial" w:hAnsi="Arial"/>
                <w:sz w:val="14"/>
                <w:szCs w:val="14"/>
                <w:color w:val="auto"/>
              </w:rPr>
              <w:t>2.2</w:t>
            </w:r>
            <w:r>
              <w:rPr>
                <w:rFonts w:ascii="Arial" w:cs="Arial" w:eastAsia="Arial" w:hAnsi="Arial"/>
                <w:sz w:val="18"/>
                <w:szCs w:val="18"/>
                <w:color w:val="auto"/>
                <w:vertAlign w:val="superscript"/>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25"/>
          </w:tcPr>
          <w:p>
            <w:pPr>
              <w:spacing w:after="0"/>
              <w:rPr>
                <w:rFonts w:ascii="Arial" w:cs="Arial" w:eastAsia="Arial" w:hAnsi="Arial"/>
                <w:sz w:val="14"/>
                <w:szCs w:val="14"/>
                <w:color w:val="0000FF"/>
              </w:rPr>
            </w:pPr>
            <w:hyperlink r:id="rId57">
              <w:r>
                <w:rPr>
                  <w:rFonts w:ascii="Arial" w:cs="Arial" w:eastAsia="Arial" w:hAnsi="Arial"/>
                  <w:sz w:val="14"/>
                  <w:szCs w:val="14"/>
                  <w:color w:val="0000FF"/>
                </w:rPr>
                <w:t>Purchase and Sale Agreement, dated as of July 17, 2025, by and among Caithness</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August 7, 2025</w:t>
            </w:r>
          </w:p>
        </w:tc>
        <w:tc>
          <w:tcPr>
            <w:tcW w:w="860" w:type="dxa"/>
            <w:vAlign w:val="bottom"/>
          </w:tcPr>
          <w:p>
            <w:pPr>
              <w:jc w:val="center"/>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2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57">
              <w:r>
                <w:rPr>
                  <w:rFonts w:ascii="Arial" w:cs="Arial" w:eastAsia="Arial" w:hAnsi="Arial"/>
                  <w:sz w:val="13"/>
                  <w:szCs w:val="13"/>
                  <w:color w:val="0000FF"/>
                </w:rPr>
                <w:t>Energy, L.L.C., as seller, Caithness Apex Guernsey, LLC, as subsidiary seller, and</w:t>
              </w:r>
            </w:hyperlink>
          </w:p>
        </w:tc>
        <w:tc>
          <w:tcPr>
            <w:tcW w:w="14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2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57">
              <w:r>
                <w:rPr>
                  <w:rFonts w:ascii="Arial" w:cs="Arial" w:eastAsia="Arial" w:hAnsi="Arial"/>
                  <w:sz w:val="14"/>
                  <w:szCs w:val="14"/>
                  <w:color w:val="0000FF"/>
                </w:rPr>
                <w:t>Talen Generation, LLC, as buyer.</w:t>
              </w:r>
            </w:hyperlink>
          </w:p>
        </w:tc>
        <w:tc>
          <w:tcPr>
            <w:tcW w:w="6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1E1E2"/>
          </w:tcPr>
          <w:p>
            <w:pPr>
              <w:spacing w:after="0"/>
              <w:rPr>
                <w:sz w:val="14"/>
                <w:szCs w:val="14"/>
                <w:color w:val="auto"/>
              </w:rPr>
            </w:pPr>
          </w:p>
        </w:tc>
        <w:tc>
          <w:tcPr>
            <w:tcW w:w="20" w:type="dxa"/>
            <w:vAlign w:val="bottom"/>
            <w:shd w:val="clear" w:color="auto" w:fill="E1E1E2"/>
          </w:tcPr>
          <w:p>
            <w:pPr>
              <w:spacing w:after="0"/>
              <w:rPr>
                <w:sz w:val="14"/>
                <w:szCs w:val="14"/>
                <w:color w:val="auto"/>
              </w:rPr>
            </w:pPr>
          </w:p>
        </w:tc>
        <w:tc>
          <w:tcPr>
            <w:tcW w:w="5460" w:type="dxa"/>
            <w:vAlign w:val="bottom"/>
            <w:gridSpan w:val="25"/>
            <w:shd w:val="clear" w:color="auto" w:fill="E1E1E2"/>
          </w:tcPr>
          <w:p>
            <w:pPr>
              <w:spacing w:after="0"/>
              <w:rPr>
                <w:rFonts w:ascii="Arial" w:cs="Arial" w:eastAsia="Arial" w:hAnsi="Arial"/>
                <w:sz w:val="14"/>
                <w:szCs w:val="14"/>
                <w:color w:val="0000FF"/>
              </w:rPr>
            </w:pPr>
            <w:hyperlink r:id="rId58">
              <w:r>
                <w:rPr>
                  <w:rFonts w:ascii="Arial" w:cs="Arial" w:eastAsia="Arial" w:hAnsi="Arial"/>
                  <w:sz w:val="14"/>
                  <w:szCs w:val="14"/>
                  <w:color w:val="0000FF"/>
                </w:rPr>
                <w:t>Third Amended and Restated Certificate of Incorporation of Talen Energy</w:t>
              </w:r>
            </w:hyperlink>
          </w:p>
        </w:tc>
        <w:tc>
          <w:tcPr>
            <w:tcW w:w="98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E1E1E2"/>
          </w:tcPr>
          <w:p>
            <w:pPr>
              <w:spacing w:after="0"/>
              <w:rPr>
                <w:sz w:val="14"/>
                <w:szCs w:val="14"/>
                <w:color w:val="auto"/>
              </w:rPr>
            </w:pPr>
          </w:p>
        </w:tc>
        <w:tc>
          <w:tcPr>
            <w:tcW w:w="1500" w:type="dxa"/>
            <w:vAlign w:val="bottom"/>
            <w:gridSpan w:val="2"/>
            <w:shd w:val="clear" w:color="auto" w:fill="E1E1E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6"/>
        </w:trPr>
        <w:tc>
          <w:tcPr>
            <w:tcW w:w="96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800" w:type="dxa"/>
            <w:vAlign w:val="bottom"/>
            <w:tcBorders>
              <w:top w:val="single" w:sz="8" w:color="0000FF"/>
              <w:bottom w:val="single" w:sz="8" w:color="0000FF"/>
            </w:tcBorders>
            <w:gridSpan w:val="3"/>
            <w:shd w:val="clear" w:color="auto" w:fill="E1E1E2"/>
          </w:tcPr>
          <w:p>
            <w:pPr>
              <w:spacing w:after="0" w:line="115" w:lineRule="exact"/>
              <w:rPr>
                <w:rFonts w:ascii="Arial" w:cs="Arial" w:eastAsia="Arial" w:hAnsi="Arial"/>
                <w:sz w:val="13"/>
                <w:szCs w:val="13"/>
                <w:color w:val="0000FF"/>
              </w:rPr>
            </w:pPr>
            <w:hyperlink r:id="rId58">
              <w:r>
                <w:rPr>
                  <w:rFonts w:ascii="Arial" w:cs="Arial" w:eastAsia="Arial" w:hAnsi="Arial"/>
                  <w:sz w:val="13"/>
                  <w:szCs w:val="13"/>
                  <w:color w:val="0000FF"/>
                </w:rPr>
                <w:t>Corporation.</w:t>
              </w:r>
            </w:hyperlink>
          </w:p>
        </w:tc>
        <w:tc>
          <w:tcPr>
            <w:tcW w:w="3840" w:type="dxa"/>
            <w:vAlign w:val="bottom"/>
            <w:tcBorders>
              <w:top w:val="single" w:sz="8" w:color="0000FF"/>
              <w:bottom w:val="single" w:sz="8" w:color="E1E1E2"/>
            </w:tcBorders>
            <w:gridSpan w:val="9"/>
            <w:shd w:val="clear" w:color="auto" w:fill="E1E1E2"/>
          </w:tcPr>
          <w:p>
            <w:pPr>
              <w:spacing w:after="0"/>
              <w:rPr>
                <w:sz w:val="11"/>
                <w:szCs w:val="11"/>
                <w:color w:val="auto"/>
              </w:rPr>
            </w:pPr>
          </w:p>
        </w:tc>
        <w:tc>
          <w:tcPr>
            <w:tcW w:w="120" w:type="dxa"/>
            <w:vAlign w:val="bottom"/>
            <w:tcBorders>
              <w:top w:val="single" w:sz="8" w:color="E1E1E2"/>
              <w:bottom w:val="single" w:sz="8" w:color="E1E1E2"/>
            </w:tcBorders>
            <w:gridSpan w:val="3"/>
            <w:shd w:val="clear" w:color="auto" w:fill="E1E1E2"/>
          </w:tcPr>
          <w:p>
            <w:pPr>
              <w:spacing w:after="0"/>
              <w:rPr>
                <w:sz w:val="11"/>
                <w:szCs w:val="11"/>
                <w:color w:val="auto"/>
              </w:rPr>
            </w:pPr>
          </w:p>
        </w:tc>
        <w:tc>
          <w:tcPr>
            <w:tcW w:w="12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8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180" w:type="dxa"/>
            <w:vAlign w:val="bottom"/>
            <w:tcBorders>
              <w:top w:val="single" w:sz="8" w:color="E1E1E2"/>
              <w:bottom w:val="single" w:sz="8" w:color="E1E1E2"/>
            </w:tcBorders>
            <w:gridSpan w:val="2"/>
            <w:shd w:val="clear" w:color="auto" w:fill="E1E1E2"/>
          </w:tcPr>
          <w:p>
            <w:pPr>
              <w:spacing w:after="0"/>
              <w:rPr>
                <w:sz w:val="11"/>
                <w:szCs w:val="11"/>
                <w:color w:val="auto"/>
              </w:rPr>
            </w:pPr>
          </w:p>
        </w:tc>
        <w:tc>
          <w:tcPr>
            <w:tcW w:w="180" w:type="dxa"/>
            <w:vAlign w:val="bottom"/>
            <w:tcBorders>
              <w:top w:val="single" w:sz="8" w:color="E1E1E2"/>
              <w:bottom w:val="single" w:sz="8" w:color="E1E1E2"/>
            </w:tcBorders>
            <w:gridSpan w:val="3"/>
            <w:shd w:val="clear" w:color="auto" w:fill="E1E1E2"/>
          </w:tcPr>
          <w:p>
            <w:pPr>
              <w:spacing w:after="0"/>
              <w:rPr>
                <w:sz w:val="11"/>
                <w:szCs w:val="11"/>
                <w:color w:val="auto"/>
              </w:rPr>
            </w:pPr>
          </w:p>
        </w:tc>
        <w:tc>
          <w:tcPr>
            <w:tcW w:w="88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26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420" w:type="dxa"/>
            <w:vAlign w:val="bottom"/>
            <w:tcBorders>
              <w:top w:val="single" w:sz="8" w:color="E1E1E2"/>
              <w:bottom w:val="single" w:sz="8" w:color="E1E1E2"/>
            </w:tcBorders>
            <w:shd w:val="clear" w:color="auto" w:fill="E1E1E2"/>
          </w:tcPr>
          <w:p>
            <w:pPr>
              <w:spacing w:after="0"/>
              <w:rPr>
                <w:sz w:val="11"/>
                <w:szCs w:val="11"/>
                <w:color w:val="auto"/>
              </w:rPr>
            </w:pPr>
          </w:p>
        </w:tc>
        <w:tc>
          <w:tcPr>
            <w:tcW w:w="80" w:type="dxa"/>
            <w:vAlign w:val="bottom"/>
            <w:tcBorders>
              <w:top w:val="single" w:sz="8" w:color="E1E1E2"/>
              <w:bottom w:val="single" w:sz="8" w:color="E1E1E2"/>
            </w:tcBorders>
            <w:shd w:val="clear" w:color="auto" w:fill="E1E1E2"/>
          </w:tcPr>
          <w:p>
            <w:pPr>
              <w:spacing w:after="0"/>
              <w:rPr>
                <w:sz w:val="11"/>
                <w:szCs w:val="11"/>
                <w:color w:val="auto"/>
              </w:rPr>
            </w:pPr>
          </w:p>
        </w:tc>
        <w:tc>
          <w:tcPr>
            <w:tcW w:w="860" w:type="dxa"/>
            <w:vAlign w:val="bottom"/>
            <w:tcBorders>
              <w:top w:val="single" w:sz="8" w:color="E1E1E2"/>
              <w:bottom w:val="single" w:sz="8" w:color="E1E1E2"/>
            </w:tcBorders>
            <w:shd w:val="clear" w:color="auto" w:fill="E1E1E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25"/>
          </w:tcPr>
          <w:p>
            <w:pPr>
              <w:spacing w:after="0"/>
              <w:rPr>
                <w:rFonts w:ascii="Arial" w:cs="Arial" w:eastAsia="Arial" w:hAnsi="Arial"/>
                <w:sz w:val="14"/>
                <w:szCs w:val="14"/>
                <w:color w:val="0000FF"/>
              </w:rPr>
            </w:pPr>
            <w:hyperlink r:id="rId59">
              <w:r>
                <w:rPr>
                  <w:rFonts w:ascii="Arial" w:cs="Arial" w:eastAsia="Arial" w:hAnsi="Arial"/>
                  <w:sz w:val="14"/>
                  <w:szCs w:val="14"/>
                  <w:color w:val="0000FF"/>
                </w:rPr>
                <w:t>Second Amended and Restated Bylaws of Talen Energy Corporation</w:t>
              </w:r>
            </w:hyperlink>
            <w:r>
              <w:rPr>
                <w:rFonts w:ascii="Arial" w:cs="Arial" w:eastAsia="Arial" w:hAnsi="Arial"/>
                <w:sz w:val="14"/>
                <w:szCs w:val="14"/>
                <w:color w:val="000000"/>
              </w:rPr>
              <w: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60" w:type="dxa"/>
            <w:vAlign w:val="bottom"/>
            <w:gridSpan w:val="25"/>
            <w:shd w:val="clear" w:color="auto" w:fill="DBDBDB"/>
          </w:tcPr>
          <w:p>
            <w:pPr>
              <w:spacing w:after="0"/>
              <w:rPr>
                <w:rFonts w:ascii="Arial" w:cs="Arial" w:eastAsia="Arial" w:hAnsi="Arial"/>
                <w:sz w:val="14"/>
                <w:szCs w:val="14"/>
                <w:color w:val="0000FF"/>
              </w:rPr>
            </w:pPr>
            <w:hyperlink r:id="rId60">
              <w:r>
                <w:rPr>
                  <w:rFonts w:ascii="Arial" w:cs="Arial" w:eastAsia="Arial" w:hAnsi="Arial"/>
                  <w:sz w:val="14"/>
                  <w:szCs w:val="14"/>
                  <w:color w:val="0000FF"/>
                </w:rPr>
                <w:t>Indenture, dated as of October 27, 2025, by and among Talen Energy Supply, LLC,</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October 27,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5280" w:type="dxa"/>
            <w:vAlign w:val="bottom"/>
            <w:tcBorders>
              <w:top w:val="single" w:sz="8" w:color="0000FF"/>
            </w:tcBorders>
            <w:gridSpan w:val="22"/>
            <w:shd w:val="clear" w:color="auto" w:fill="DBDBDB"/>
          </w:tcPr>
          <w:p>
            <w:pPr>
              <w:spacing w:after="0" w:line="115" w:lineRule="exact"/>
              <w:rPr>
                <w:rFonts w:ascii="Arial" w:cs="Arial" w:eastAsia="Arial" w:hAnsi="Arial"/>
                <w:sz w:val="13"/>
                <w:szCs w:val="13"/>
                <w:color w:val="0000FF"/>
              </w:rPr>
            </w:pPr>
            <w:hyperlink r:id="rId60">
              <w:r>
                <w:rPr>
                  <w:rFonts w:ascii="Arial" w:cs="Arial" w:eastAsia="Arial" w:hAnsi="Arial"/>
                  <w:sz w:val="13"/>
                  <w:szCs w:val="13"/>
                  <w:color w:val="0000FF"/>
                </w:rPr>
                <w:t>the guarantors party thereto, and Citibank, N.A., as Trustee (relating to the 2034</w:t>
              </w:r>
            </w:hyperlink>
          </w:p>
        </w:tc>
        <w:tc>
          <w:tcPr>
            <w:tcW w:w="180" w:type="dxa"/>
            <w:vAlign w:val="bottom"/>
            <w:tcBorders>
              <w:top w:val="single" w:sz="8" w:color="DBDBDB"/>
            </w:tcBorders>
            <w:gridSpan w:val="3"/>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5080" w:type="dxa"/>
            <w:vAlign w:val="bottom"/>
            <w:tcBorders>
              <w:top w:val="single" w:sz="8" w:color="0000FF"/>
            </w:tcBorders>
            <w:gridSpan w:val="19"/>
            <w:shd w:val="clear" w:color="auto" w:fill="DBDBDB"/>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Notes).</w:t>
              </w:r>
            </w:hyperlink>
          </w:p>
        </w:tc>
        <w:tc>
          <w:tcPr>
            <w:tcW w:w="20" w:type="dxa"/>
            <w:vAlign w:val="bottom"/>
            <w:tcBorders>
              <w:top w:val="single" w:sz="8" w:color="DBDBDB"/>
            </w:tcBorders>
            <w:shd w:val="clear" w:color="auto" w:fill="DBDBDB"/>
          </w:tcPr>
          <w:p>
            <w:pPr>
              <w:spacing w:after="0"/>
              <w:rPr>
                <w:sz w:val="11"/>
                <w:szCs w:val="11"/>
                <w:color w:val="auto"/>
              </w:rPr>
            </w:pPr>
          </w:p>
        </w:tc>
        <w:tc>
          <w:tcPr>
            <w:tcW w:w="180" w:type="dxa"/>
            <w:vAlign w:val="bottom"/>
            <w:tcBorders>
              <w:top w:val="single" w:sz="8" w:color="DBDBDB"/>
            </w:tcBorders>
            <w:gridSpan w:val="2"/>
            <w:shd w:val="clear" w:color="auto" w:fill="DBDBDB"/>
          </w:tcPr>
          <w:p>
            <w:pPr>
              <w:spacing w:after="0"/>
              <w:rPr>
                <w:sz w:val="11"/>
                <w:szCs w:val="11"/>
                <w:color w:val="auto"/>
              </w:rPr>
            </w:pPr>
          </w:p>
        </w:tc>
        <w:tc>
          <w:tcPr>
            <w:tcW w:w="180" w:type="dxa"/>
            <w:vAlign w:val="bottom"/>
            <w:tcBorders>
              <w:top w:val="single" w:sz="8" w:color="DBDBDB"/>
            </w:tcBorders>
            <w:gridSpan w:val="3"/>
            <w:shd w:val="clear" w:color="auto" w:fill="DBDBDB"/>
          </w:tcPr>
          <w:p>
            <w:pPr>
              <w:spacing w:after="0"/>
              <w:rPr>
                <w:sz w:val="11"/>
                <w:szCs w:val="11"/>
                <w:color w:val="auto"/>
              </w:rPr>
            </w:pPr>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04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25"/>
          </w:tcPr>
          <w:p>
            <w:pPr>
              <w:spacing w:after="0"/>
              <w:rPr>
                <w:rFonts w:ascii="Arial" w:cs="Arial" w:eastAsia="Arial" w:hAnsi="Arial"/>
                <w:sz w:val="14"/>
                <w:szCs w:val="14"/>
                <w:color w:val="0000FF"/>
              </w:rPr>
            </w:pPr>
            <w:hyperlink r:id="rId60">
              <w:r>
                <w:rPr>
                  <w:rFonts w:ascii="Arial" w:cs="Arial" w:eastAsia="Arial" w:hAnsi="Arial"/>
                  <w:sz w:val="14"/>
                  <w:szCs w:val="14"/>
                  <w:color w:val="0000FF"/>
                </w:rPr>
                <w:t>Form of 6.250% Senior Notes due 2034.</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October 27, 2025</w:t>
            </w:r>
          </w:p>
        </w:tc>
        <w:tc>
          <w:tcPr>
            <w:tcW w:w="860" w:type="dxa"/>
            <w:vAlign w:val="bottom"/>
          </w:tcPr>
          <w:p>
            <w:pPr>
              <w:jc w:val="center"/>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60" w:type="dxa"/>
            <w:vAlign w:val="bottom"/>
            <w:gridSpan w:val="25"/>
            <w:shd w:val="clear" w:color="auto" w:fill="DBDBDB"/>
          </w:tcPr>
          <w:p>
            <w:pPr>
              <w:spacing w:after="0"/>
              <w:rPr>
                <w:rFonts w:ascii="Arial" w:cs="Arial" w:eastAsia="Arial" w:hAnsi="Arial"/>
                <w:sz w:val="14"/>
                <w:szCs w:val="14"/>
                <w:color w:val="auto"/>
              </w:rPr>
            </w:pPr>
            <w:hyperlink r:id="rId61">
              <w:r>
                <w:rPr>
                  <w:rFonts w:ascii="Arial" w:cs="Arial" w:eastAsia="Arial" w:hAnsi="Arial"/>
                  <w:sz w:val="14"/>
                  <w:szCs w:val="14"/>
                  <w:color w:val="auto"/>
                </w:rPr>
                <w:t>I</w:t>
              </w:r>
              <w:r>
                <w:rPr>
                  <w:rFonts w:ascii="Arial" w:cs="Arial" w:eastAsia="Arial" w:hAnsi="Arial"/>
                  <w:sz w:val="14"/>
                  <w:szCs w:val="14"/>
                  <w:color w:val="0000FF"/>
                </w:rPr>
                <w:t>ndenture, dated as of October 27, 2025, by and among Talen Energy Supply, LLC,</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October 27,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40" w:type="dxa"/>
            <w:vAlign w:val="bottom"/>
            <w:tcBorders>
              <w:top w:val="single" w:sz="8" w:color="DBDBDB"/>
            </w:tcBorders>
            <w:shd w:val="clear" w:color="auto" w:fill="DBDBDB"/>
          </w:tcPr>
          <w:p>
            <w:pPr>
              <w:spacing w:after="0"/>
              <w:rPr>
                <w:sz w:val="10"/>
                <w:szCs w:val="10"/>
                <w:color w:val="auto"/>
              </w:rPr>
            </w:pPr>
          </w:p>
        </w:tc>
        <w:tc>
          <w:tcPr>
            <w:tcW w:w="5240" w:type="dxa"/>
            <w:vAlign w:val="bottom"/>
            <w:tcBorders>
              <w:top w:val="single" w:sz="8" w:color="0000FF"/>
            </w:tcBorders>
            <w:gridSpan w:val="21"/>
            <w:shd w:val="clear" w:color="auto" w:fill="DBDBDB"/>
          </w:tcPr>
          <w:p>
            <w:pPr>
              <w:spacing w:after="0" w:line="115" w:lineRule="exact"/>
              <w:rPr>
                <w:rFonts w:ascii="Arial" w:cs="Arial" w:eastAsia="Arial" w:hAnsi="Arial"/>
                <w:sz w:val="13"/>
                <w:szCs w:val="13"/>
                <w:color w:val="0000FF"/>
              </w:rPr>
            </w:pPr>
            <w:hyperlink r:id="rId61">
              <w:r>
                <w:rPr>
                  <w:rFonts w:ascii="Arial" w:cs="Arial" w:eastAsia="Arial" w:hAnsi="Arial"/>
                  <w:sz w:val="13"/>
                  <w:szCs w:val="13"/>
                  <w:color w:val="0000FF"/>
                </w:rPr>
                <w:t>the guarantors party thereto, and Citibank, N.A., as Trustee (relating to the 2036</w:t>
              </w:r>
            </w:hyperlink>
          </w:p>
        </w:tc>
        <w:tc>
          <w:tcPr>
            <w:tcW w:w="180" w:type="dxa"/>
            <w:vAlign w:val="bottom"/>
            <w:tcBorders>
              <w:top w:val="single" w:sz="8" w:color="DBDBDB"/>
            </w:tcBorders>
            <w:gridSpan w:val="3"/>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5100" w:type="dxa"/>
            <w:vAlign w:val="bottom"/>
            <w:tcBorders>
              <w:top w:val="single" w:sz="8" w:color="0000FF"/>
            </w:tcBorders>
            <w:gridSpan w:val="20"/>
            <w:shd w:val="clear" w:color="auto" w:fill="DBDBDB"/>
          </w:tcPr>
          <w:p>
            <w:pPr>
              <w:spacing w:after="0" w:line="129" w:lineRule="exact"/>
              <w:rPr>
                <w:rFonts w:ascii="Arial" w:cs="Arial" w:eastAsia="Arial" w:hAnsi="Arial"/>
                <w:sz w:val="14"/>
                <w:szCs w:val="14"/>
                <w:color w:val="0000FF"/>
              </w:rPr>
            </w:pPr>
            <w:hyperlink r:id="rId61">
              <w:r>
                <w:rPr>
                  <w:rFonts w:ascii="Arial" w:cs="Arial" w:eastAsia="Arial" w:hAnsi="Arial"/>
                  <w:sz w:val="14"/>
                  <w:szCs w:val="14"/>
                  <w:color w:val="0000FF"/>
                </w:rPr>
                <w:t>Notes).</w:t>
              </w:r>
            </w:hyperlink>
          </w:p>
        </w:tc>
        <w:tc>
          <w:tcPr>
            <w:tcW w:w="360" w:type="dxa"/>
            <w:vAlign w:val="bottom"/>
            <w:tcBorders>
              <w:top w:val="single" w:sz="8" w:color="DBDBDB"/>
            </w:tcBorders>
            <w:gridSpan w:val="5"/>
            <w:shd w:val="clear" w:color="auto" w:fill="DBDBDB"/>
          </w:tcPr>
          <w:p>
            <w:pPr>
              <w:spacing w:after="0"/>
              <w:rPr>
                <w:sz w:val="11"/>
                <w:szCs w:val="11"/>
                <w:color w:val="auto"/>
              </w:rPr>
            </w:pPr>
          </w:p>
        </w:tc>
        <w:tc>
          <w:tcPr>
            <w:tcW w:w="8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42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04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25"/>
          </w:tcPr>
          <w:p>
            <w:pPr>
              <w:spacing w:after="0"/>
              <w:rPr>
                <w:rFonts w:ascii="Arial" w:cs="Arial" w:eastAsia="Arial" w:hAnsi="Arial"/>
                <w:sz w:val="14"/>
                <w:szCs w:val="14"/>
                <w:color w:val="0000FF"/>
              </w:rPr>
            </w:pPr>
            <w:hyperlink r:id="rId61">
              <w:r>
                <w:rPr>
                  <w:rFonts w:ascii="Arial" w:cs="Arial" w:eastAsia="Arial" w:hAnsi="Arial"/>
                  <w:sz w:val="14"/>
                  <w:szCs w:val="14"/>
                  <w:color w:val="0000FF"/>
                </w:rPr>
                <w:t>Form of 6.500% Senior Notes due 2036.</w:t>
              </w:r>
            </w:hyperlink>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October 27, 2025</w:t>
            </w:r>
          </w:p>
        </w:tc>
        <w:tc>
          <w:tcPr>
            <w:tcW w:w="860" w:type="dxa"/>
            <w:vAlign w:val="bottom"/>
          </w:tcPr>
          <w:p>
            <w:pPr>
              <w:jc w:val="center"/>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60" w:type="dxa"/>
            <w:vAlign w:val="bottom"/>
            <w:gridSpan w:val="25"/>
            <w:shd w:val="clear" w:color="auto" w:fill="DBDBDB"/>
          </w:tcPr>
          <w:p>
            <w:pPr>
              <w:spacing w:after="0"/>
              <w:rPr>
                <w:sz w:val="20"/>
                <w:szCs w:val="20"/>
                <w:color w:val="auto"/>
              </w:rPr>
            </w:pPr>
            <w:r>
              <w:rPr>
                <w:rFonts w:ascii="Arial" w:cs="Arial" w:eastAsia="Arial" w:hAnsi="Arial"/>
                <w:sz w:val="14"/>
                <w:szCs w:val="14"/>
                <w:color w:val="0000FF"/>
              </w:rPr>
              <w:t>Certification of Chief Executive Officer (Principal Executive Officer) pursuant to</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5"/>
        </w:trPr>
        <w:tc>
          <w:tcPr>
            <w:tcW w:w="9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20" w:type="dxa"/>
            <w:vAlign w:val="bottom"/>
            <w:tcBorders>
              <w:top w:val="single" w:sz="8" w:color="DBDBDB"/>
              <w:bottom w:val="single" w:sz="8" w:color="DBDBDB"/>
            </w:tcBorders>
            <w:shd w:val="clear" w:color="auto" w:fill="DBDBDB"/>
          </w:tcPr>
          <w:p>
            <w:pPr>
              <w:spacing w:after="0"/>
              <w:rPr>
                <w:sz w:val="11"/>
                <w:szCs w:val="11"/>
                <w:color w:val="auto"/>
              </w:rPr>
            </w:pPr>
          </w:p>
        </w:tc>
        <w:tc>
          <w:tcPr>
            <w:tcW w:w="3040" w:type="dxa"/>
            <w:vAlign w:val="bottom"/>
            <w:tcBorders>
              <w:top w:val="single" w:sz="8" w:color="0000FF"/>
              <w:bottom w:val="single" w:sz="8" w:color="0000FF"/>
            </w:tcBorders>
            <w:gridSpan w:val="9"/>
            <w:shd w:val="clear" w:color="auto" w:fill="DBDBDB"/>
          </w:tcPr>
          <w:p>
            <w:pPr>
              <w:spacing w:after="0" w:line="115" w:lineRule="exact"/>
              <w:rPr>
                <w:sz w:val="20"/>
                <w:szCs w:val="20"/>
                <w:color w:val="auto"/>
              </w:rPr>
            </w:pPr>
            <w:r>
              <w:rPr>
                <w:rFonts w:ascii="Arial" w:cs="Arial" w:eastAsia="Arial" w:hAnsi="Arial"/>
                <w:sz w:val="13"/>
                <w:szCs w:val="13"/>
                <w:color w:val="0000FF"/>
              </w:rPr>
              <w:t>Section 302 of the Sarbanes-Oxley Act of 2002.</w:t>
            </w:r>
          </w:p>
        </w:tc>
        <w:tc>
          <w:tcPr>
            <w:tcW w:w="1960" w:type="dxa"/>
            <w:vAlign w:val="bottom"/>
            <w:tcBorders>
              <w:top w:val="single" w:sz="8" w:color="0000FF"/>
              <w:bottom w:val="single" w:sz="8" w:color="DBDBDB"/>
            </w:tcBorders>
            <w:gridSpan w:val="9"/>
            <w:shd w:val="clear" w:color="auto" w:fill="DBDBDB"/>
          </w:tcPr>
          <w:p>
            <w:pPr>
              <w:spacing w:after="0"/>
              <w:rPr>
                <w:sz w:val="11"/>
                <w:szCs w:val="11"/>
                <w:color w:val="auto"/>
              </w:rPr>
            </w:pPr>
          </w:p>
        </w:tc>
        <w:tc>
          <w:tcPr>
            <w:tcW w:w="460" w:type="dxa"/>
            <w:vAlign w:val="bottom"/>
            <w:tcBorders>
              <w:top w:val="single" w:sz="8" w:color="DBDBDB"/>
              <w:bottom w:val="single" w:sz="8" w:color="DBDBDB"/>
            </w:tcBorders>
            <w:gridSpan w:val="7"/>
            <w:shd w:val="clear" w:color="auto" w:fill="DBDBDB"/>
          </w:tcPr>
          <w:p>
            <w:pPr>
              <w:spacing w:after="0"/>
              <w:rPr>
                <w:sz w:val="11"/>
                <w:szCs w:val="11"/>
                <w:color w:val="auto"/>
              </w:rPr>
            </w:pPr>
          </w:p>
        </w:tc>
        <w:tc>
          <w:tcPr>
            <w:tcW w:w="88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260" w:type="dxa"/>
            <w:vAlign w:val="bottom"/>
            <w:tcBorders>
              <w:top w:val="single" w:sz="8" w:color="DBDBDB"/>
              <w:bottom w:val="single" w:sz="8" w:color="DBDBDB"/>
            </w:tcBorders>
            <w:shd w:val="clear" w:color="auto" w:fill="DBDBDB"/>
          </w:tcPr>
          <w:p>
            <w:pPr>
              <w:spacing w:after="0"/>
              <w:rPr>
                <w:sz w:val="11"/>
                <w:szCs w:val="11"/>
                <w:color w:val="auto"/>
              </w:rPr>
            </w:pPr>
          </w:p>
        </w:tc>
        <w:tc>
          <w:tcPr>
            <w:tcW w:w="100" w:type="dxa"/>
            <w:vAlign w:val="bottom"/>
            <w:tcBorders>
              <w:top w:val="single" w:sz="8" w:color="DBDBDB"/>
              <w:bottom w:val="single" w:sz="8" w:color="DBDBDB"/>
            </w:tcBorders>
            <w:shd w:val="clear" w:color="auto" w:fill="DBDBDB"/>
          </w:tcPr>
          <w:p>
            <w:pPr>
              <w:spacing w:after="0"/>
              <w:rPr>
                <w:sz w:val="11"/>
                <w:szCs w:val="11"/>
                <w:color w:val="auto"/>
              </w:rPr>
            </w:pPr>
          </w:p>
        </w:tc>
        <w:tc>
          <w:tcPr>
            <w:tcW w:w="142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shd w:val="clear" w:color="auto" w:fill="DBDBDB"/>
          </w:tcPr>
          <w:p>
            <w:pPr>
              <w:spacing w:after="0"/>
              <w:rPr>
                <w:sz w:val="11"/>
                <w:szCs w:val="11"/>
                <w:color w:val="auto"/>
              </w:rPr>
            </w:pPr>
          </w:p>
        </w:tc>
        <w:tc>
          <w:tcPr>
            <w:tcW w:w="860" w:type="dxa"/>
            <w:vAlign w:val="bottom"/>
            <w:tcBorders>
              <w:top w:val="single" w:sz="8" w:color="DBDBDB"/>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gridSpan w:val="25"/>
          </w:tcPr>
          <w:p>
            <w:pPr>
              <w:spacing w:after="0"/>
              <w:rPr>
                <w:sz w:val="20"/>
                <w:szCs w:val="20"/>
                <w:color w:val="auto"/>
              </w:rPr>
            </w:pPr>
            <w:r>
              <w:rPr>
                <w:rFonts w:ascii="Arial" w:cs="Arial" w:eastAsia="Arial" w:hAnsi="Arial"/>
                <w:sz w:val="14"/>
                <w:szCs w:val="14"/>
                <w:color w:val="0000FF"/>
              </w:rPr>
              <w:t>Certification of Chief Financial Officer (Principal Financial Officer) pursuant to</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60" w:type="dxa"/>
            <w:vAlign w:val="bottom"/>
            <w:tcBorders>
              <w:top w:val="single" w:sz="8" w:color="0000FF"/>
            </w:tcBorders>
            <w:gridSpan w:val="10"/>
          </w:tcPr>
          <w:p>
            <w:pPr>
              <w:spacing w:after="0" w:line="95" w:lineRule="exact"/>
              <w:rPr>
                <w:sz w:val="20"/>
                <w:szCs w:val="20"/>
                <w:color w:val="auto"/>
              </w:rPr>
            </w:pPr>
            <w:r>
              <w:rPr>
                <w:rFonts w:ascii="Arial" w:cs="Arial" w:eastAsia="Arial" w:hAnsi="Arial"/>
                <w:sz w:val="11"/>
                <w:szCs w:val="11"/>
                <w:color w:val="0000FF"/>
              </w:rPr>
              <w:t>Section 302 of the Sarbanes-Oxley Act of 2002.</w:t>
            </w:r>
          </w:p>
        </w:tc>
        <w:tc>
          <w:tcPr>
            <w:tcW w:w="70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460" w:type="dxa"/>
            <w:vAlign w:val="bottom"/>
            <w:gridSpan w:val="25"/>
            <w:shd w:val="clear" w:color="auto" w:fill="DBDBDB"/>
          </w:tcPr>
          <w:p>
            <w:pPr>
              <w:spacing w:after="0"/>
              <w:rPr>
                <w:sz w:val="20"/>
                <w:szCs w:val="20"/>
                <w:color w:val="auto"/>
              </w:rPr>
            </w:pPr>
            <w:r>
              <w:rPr>
                <w:rFonts w:ascii="Arial" w:cs="Arial" w:eastAsia="Arial" w:hAnsi="Arial"/>
                <w:sz w:val="14"/>
                <w:szCs w:val="14"/>
                <w:color w:val="0000FF"/>
              </w:rPr>
              <w:t>Certification of Chief Executive Officer (Principal Executive Officer) and Chief</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20" w:type="dxa"/>
            <w:vAlign w:val="bottom"/>
            <w:tcBorders>
              <w:top w:val="single" w:sz="8" w:color="DBDBDB"/>
            </w:tcBorders>
            <w:shd w:val="clear" w:color="auto" w:fill="DBDBDB"/>
          </w:tcPr>
          <w:p>
            <w:pPr>
              <w:spacing w:after="0"/>
              <w:rPr>
                <w:sz w:val="10"/>
                <w:szCs w:val="10"/>
                <w:color w:val="auto"/>
              </w:rPr>
            </w:pPr>
          </w:p>
        </w:tc>
        <w:tc>
          <w:tcPr>
            <w:tcW w:w="4880" w:type="dxa"/>
            <w:vAlign w:val="bottom"/>
            <w:tcBorders>
              <w:top w:val="single" w:sz="8" w:color="0000FF"/>
            </w:tcBorders>
            <w:gridSpan w:val="16"/>
            <w:shd w:val="clear" w:color="auto" w:fill="DBDBDB"/>
          </w:tcPr>
          <w:p>
            <w:pPr>
              <w:spacing w:after="0" w:line="115" w:lineRule="exact"/>
              <w:rPr>
                <w:sz w:val="20"/>
                <w:szCs w:val="20"/>
                <w:color w:val="auto"/>
              </w:rPr>
            </w:pPr>
            <w:r>
              <w:rPr>
                <w:rFonts w:ascii="Arial" w:cs="Arial" w:eastAsia="Arial" w:hAnsi="Arial"/>
                <w:sz w:val="13"/>
                <w:szCs w:val="13"/>
                <w:color w:val="0000FF"/>
              </w:rPr>
              <w:t>Financial Officer (Principal Financial Officer) pursuant to Section 906 of the</w:t>
            </w:r>
          </w:p>
        </w:tc>
        <w:tc>
          <w:tcPr>
            <w:tcW w:w="580" w:type="dxa"/>
            <w:vAlign w:val="bottom"/>
            <w:tcBorders>
              <w:top w:val="single" w:sz="8" w:color="DBDBDB"/>
            </w:tcBorders>
            <w:gridSpan w:val="9"/>
            <w:shd w:val="clear" w:color="auto" w:fill="DBDBDB"/>
          </w:tcPr>
          <w:p>
            <w:pPr>
              <w:spacing w:after="0"/>
              <w:rPr>
                <w:sz w:val="10"/>
                <w:szCs w:val="10"/>
                <w:color w:val="auto"/>
              </w:rPr>
            </w:pPr>
          </w:p>
        </w:tc>
        <w:tc>
          <w:tcPr>
            <w:tcW w:w="8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26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42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DBDBDB"/>
              <w:bottom w:val="single" w:sz="8" w:color="DBDBDB"/>
            </w:tcBorders>
            <w:shd w:val="clear" w:color="auto" w:fill="DBDBDB"/>
          </w:tcPr>
          <w:p>
            <w:pPr>
              <w:spacing w:after="0"/>
              <w:rPr>
                <w:sz w:val="12"/>
                <w:szCs w:val="12"/>
                <w:color w:val="auto"/>
              </w:rPr>
            </w:pPr>
          </w:p>
        </w:tc>
        <w:tc>
          <w:tcPr>
            <w:tcW w:w="10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840" w:type="dxa"/>
            <w:vAlign w:val="bottom"/>
            <w:tcBorders>
              <w:top w:val="single" w:sz="8" w:color="0000FF"/>
              <w:bottom w:val="single" w:sz="8" w:color="0000FF"/>
            </w:tcBorders>
            <w:gridSpan w:val="4"/>
            <w:shd w:val="clear" w:color="auto" w:fill="DBDBDB"/>
          </w:tcPr>
          <w:p>
            <w:pPr>
              <w:spacing w:after="0" w:line="129" w:lineRule="exact"/>
              <w:rPr>
                <w:sz w:val="20"/>
                <w:szCs w:val="20"/>
                <w:color w:val="auto"/>
              </w:rPr>
            </w:pPr>
            <w:r>
              <w:rPr>
                <w:rFonts w:ascii="Arial" w:cs="Arial" w:eastAsia="Arial" w:hAnsi="Arial"/>
                <w:sz w:val="14"/>
                <w:szCs w:val="14"/>
                <w:color w:val="0000FF"/>
              </w:rPr>
              <w:t>Sarbanes-Oxley Act of 2002.</w:t>
            </w:r>
          </w:p>
        </w:tc>
        <w:tc>
          <w:tcPr>
            <w:tcW w:w="1000" w:type="dxa"/>
            <w:vAlign w:val="bottom"/>
            <w:tcBorders>
              <w:top w:val="single" w:sz="8" w:color="0000FF"/>
              <w:bottom w:val="single" w:sz="8" w:color="DBDBDB"/>
            </w:tcBorders>
            <w:gridSpan w:val="3"/>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900" w:type="dxa"/>
            <w:vAlign w:val="bottom"/>
            <w:tcBorders>
              <w:top w:val="single" w:sz="8" w:color="0000FF"/>
              <w:bottom w:val="single" w:sz="8" w:color="DBDBDB"/>
            </w:tcBorders>
            <w:gridSpan w:val="7"/>
            <w:shd w:val="clear" w:color="auto" w:fill="DBDBDB"/>
          </w:tcPr>
          <w:p>
            <w:pPr>
              <w:spacing w:after="0"/>
              <w:rPr>
                <w:sz w:val="12"/>
                <w:szCs w:val="12"/>
                <w:color w:val="auto"/>
              </w:rPr>
            </w:pPr>
          </w:p>
        </w:tc>
        <w:tc>
          <w:tcPr>
            <w:tcW w:w="700" w:type="dxa"/>
            <w:vAlign w:val="bottom"/>
            <w:tcBorders>
              <w:top w:val="single" w:sz="8" w:color="DBDBDB"/>
              <w:bottom w:val="single" w:sz="8" w:color="DBDBDB"/>
            </w:tcBorders>
            <w:gridSpan w:val="10"/>
            <w:shd w:val="clear" w:color="auto" w:fill="DBDBDB"/>
          </w:tcPr>
          <w:p>
            <w:pPr>
              <w:spacing w:after="0"/>
              <w:rPr>
                <w:sz w:val="12"/>
                <w:szCs w:val="12"/>
                <w:color w:val="auto"/>
              </w:rPr>
            </w:pPr>
          </w:p>
        </w:tc>
        <w:tc>
          <w:tcPr>
            <w:tcW w:w="880" w:type="dxa"/>
            <w:vAlign w:val="bottom"/>
            <w:tcBorders>
              <w:top w:val="single" w:sz="8" w:color="DBDBDB"/>
              <w:bottom w:val="single" w:sz="8" w:color="DBDBDB"/>
            </w:tcBorders>
            <w:shd w:val="clear" w:color="auto" w:fill="DBDBDB"/>
          </w:tcPr>
          <w:p>
            <w:pPr>
              <w:spacing w:after="0"/>
              <w:rPr>
                <w:sz w:val="12"/>
                <w:szCs w:val="12"/>
                <w:color w:val="auto"/>
              </w:rPr>
            </w:pPr>
          </w:p>
        </w:tc>
        <w:tc>
          <w:tcPr>
            <w:tcW w:w="100" w:type="dxa"/>
            <w:vAlign w:val="bottom"/>
            <w:tcBorders>
              <w:top w:val="single" w:sz="8" w:color="DBDBDB"/>
              <w:bottom w:val="single" w:sz="8" w:color="DBDBDB"/>
            </w:tcBorders>
            <w:shd w:val="clear" w:color="auto" w:fill="DBDBDB"/>
          </w:tcPr>
          <w:p>
            <w:pPr>
              <w:spacing w:after="0"/>
              <w:rPr>
                <w:sz w:val="12"/>
                <w:szCs w:val="12"/>
                <w:color w:val="auto"/>
              </w:rPr>
            </w:pPr>
          </w:p>
        </w:tc>
        <w:tc>
          <w:tcPr>
            <w:tcW w:w="1260" w:type="dxa"/>
            <w:vAlign w:val="bottom"/>
            <w:tcBorders>
              <w:top w:val="single" w:sz="8" w:color="DBDBDB"/>
              <w:bottom w:val="single" w:sz="8" w:color="DBDBDB"/>
            </w:tcBorders>
            <w:shd w:val="clear" w:color="auto" w:fill="DBDBDB"/>
          </w:tcPr>
          <w:p>
            <w:pPr>
              <w:spacing w:after="0"/>
              <w:rPr>
                <w:sz w:val="12"/>
                <w:szCs w:val="12"/>
                <w:color w:val="auto"/>
              </w:rPr>
            </w:pPr>
          </w:p>
        </w:tc>
        <w:tc>
          <w:tcPr>
            <w:tcW w:w="100" w:type="dxa"/>
            <w:vAlign w:val="bottom"/>
            <w:tcBorders>
              <w:top w:val="single" w:sz="8" w:color="DBDBDB"/>
              <w:bottom w:val="single" w:sz="8" w:color="DBDBDB"/>
            </w:tcBorders>
            <w:shd w:val="clear" w:color="auto" w:fill="DBDBDB"/>
          </w:tcPr>
          <w:p>
            <w:pPr>
              <w:spacing w:after="0"/>
              <w:rPr>
                <w:sz w:val="12"/>
                <w:szCs w:val="12"/>
                <w:color w:val="auto"/>
              </w:rPr>
            </w:pPr>
          </w:p>
        </w:tc>
        <w:tc>
          <w:tcPr>
            <w:tcW w:w="1420" w:type="dxa"/>
            <w:vAlign w:val="bottom"/>
            <w:tcBorders>
              <w:top w:val="single" w:sz="8" w:color="DBDBDB"/>
              <w:bottom w:val="single" w:sz="8" w:color="DBDBDB"/>
            </w:tcBorders>
            <w:shd w:val="clear" w:color="auto" w:fill="DBDBDB"/>
          </w:tcPr>
          <w:p>
            <w:pPr>
              <w:spacing w:after="0"/>
              <w:rPr>
                <w:sz w:val="12"/>
                <w:szCs w:val="12"/>
                <w:color w:val="auto"/>
              </w:rPr>
            </w:pPr>
          </w:p>
        </w:tc>
        <w:tc>
          <w:tcPr>
            <w:tcW w:w="80" w:type="dxa"/>
            <w:vAlign w:val="bottom"/>
            <w:tcBorders>
              <w:top w:val="single" w:sz="8" w:color="DBDBDB"/>
              <w:bottom w:val="single" w:sz="8" w:color="DBDBDB"/>
            </w:tcBorders>
            <w:shd w:val="clear" w:color="auto" w:fill="DBDBDB"/>
          </w:tcPr>
          <w:p>
            <w:pPr>
              <w:spacing w:after="0"/>
              <w:rPr>
                <w:sz w:val="12"/>
                <w:szCs w:val="12"/>
                <w:color w:val="auto"/>
              </w:rPr>
            </w:pPr>
          </w:p>
        </w:tc>
        <w:tc>
          <w:tcPr>
            <w:tcW w:w="860" w:type="dxa"/>
            <w:vAlign w:val="bottom"/>
            <w:tcBorders>
              <w:top w:val="single" w:sz="8" w:color="DBDBDB"/>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7"/>
                <w:szCs w:val="17"/>
                <w:color w:val="auto"/>
              </w:rPr>
            </w:pPr>
          </w:p>
        </w:tc>
        <w:tc>
          <w:tcPr>
            <w:tcW w:w="5460" w:type="dxa"/>
            <w:vAlign w:val="bottom"/>
            <w:gridSpan w:val="25"/>
          </w:tcPr>
          <w:p>
            <w:pPr>
              <w:spacing w:after="0"/>
              <w:rPr>
                <w:sz w:val="20"/>
                <w:szCs w:val="20"/>
                <w:color w:val="auto"/>
              </w:rPr>
            </w:pPr>
            <w:r>
              <w:rPr>
                <w:rFonts w:ascii="Arial" w:cs="Arial" w:eastAsia="Arial" w:hAnsi="Arial"/>
                <w:sz w:val="14"/>
                <w:szCs w:val="14"/>
                <w:color w:val="auto"/>
              </w:rPr>
              <w:t>Inline XBRL Instance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101.SCH*</w:t>
            </w:r>
          </w:p>
        </w:tc>
        <w:tc>
          <w:tcPr>
            <w:tcW w:w="20" w:type="dxa"/>
            <w:vAlign w:val="bottom"/>
            <w:shd w:val="clear" w:color="auto" w:fill="DBDBDB"/>
          </w:tcPr>
          <w:p>
            <w:pPr>
              <w:spacing w:after="0"/>
              <w:rPr>
                <w:sz w:val="17"/>
                <w:szCs w:val="17"/>
                <w:color w:val="auto"/>
              </w:rPr>
            </w:pPr>
          </w:p>
        </w:tc>
        <w:tc>
          <w:tcPr>
            <w:tcW w:w="5460" w:type="dxa"/>
            <w:vAlign w:val="bottom"/>
            <w:gridSpan w:val="25"/>
            <w:shd w:val="clear" w:color="auto" w:fill="DBDBDB"/>
          </w:tcPr>
          <w:p>
            <w:pPr>
              <w:spacing w:after="0"/>
              <w:rPr>
                <w:sz w:val="20"/>
                <w:szCs w:val="20"/>
                <w:color w:val="auto"/>
              </w:rPr>
            </w:pPr>
            <w:r>
              <w:rPr>
                <w:rFonts w:ascii="Arial" w:cs="Arial" w:eastAsia="Arial" w:hAnsi="Arial"/>
                <w:sz w:val="14"/>
                <w:szCs w:val="14"/>
                <w:color w:val="auto"/>
              </w:rPr>
              <w:t>Inline XBRL Taxonomy Extension Schema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7"/>
                <w:szCs w:val="17"/>
                <w:color w:val="auto"/>
              </w:rPr>
            </w:pPr>
          </w:p>
        </w:tc>
        <w:tc>
          <w:tcPr>
            <w:tcW w:w="5460" w:type="dxa"/>
            <w:vAlign w:val="bottom"/>
            <w:gridSpan w:val="25"/>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101.DEF*</w:t>
            </w:r>
          </w:p>
        </w:tc>
        <w:tc>
          <w:tcPr>
            <w:tcW w:w="20" w:type="dxa"/>
            <w:vAlign w:val="bottom"/>
            <w:shd w:val="clear" w:color="auto" w:fill="DBDBDB"/>
          </w:tcPr>
          <w:p>
            <w:pPr>
              <w:spacing w:after="0"/>
              <w:rPr>
                <w:sz w:val="17"/>
                <w:szCs w:val="17"/>
                <w:color w:val="auto"/>
              </w:rPr>
            </w:pPr>
          </w:p>
        </w:tc>
        <w:tc>
          <w:tcPr>
            <w:tcW w:w="5460" w:type="dxa"/>
            <w:vAlign w:val="bottom"/>
            <w:gridSpan w:val="25"/>
            <w:shd w:val="clear" w:color="auto" w:fill="DBDBDB"/>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7"/>
                <w:szCs w:val="17"/>
                <w:color w:val="auto"/>
              </w:rPr>
            </w:pPr>
          </w:p>
        </w:tc>
        <w:tc>
          <w:tcPr>
            <w:tcW w:w="5460" w:type="dxa"/>
            <w:vAlign w:val="bottom"/>
            <w:gridSpan w:val="25"/>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101.PRE*</w:t>
            </w:r>
          </w:p>
        </w:tc>
        <w:tc>
          <w:tcPr>
            <w:tcW w:w="20" w:type="dxa"/>
            <w:vAlign w:val="bottom"/>
            <w:shd w:val="clear" w:color="auto" w:fill="DBDBDB"/>
          </w:tcPr>
          <w:p>
            <w:pPr>
              <w:spacing w:after="0"/>
              <w:rPr>
                <w:sz w:val="17"/>
                <w:szCs w:val="17"/>
                <w:color w:val="auto"/>
              </w:rPr>
            </w:pPr>
          </w:p>
        </w:tc>
        <w:tc>
          <w:tcPr>
            <w:tcW w:w="5460" w:type="dxa"/>
            <w:vAlign w:val="bottom"/>
            <w:gridSpan w:val="25"/>
            <w:shd w:val="clear" w:color="auto" w:fill="DBDBDB"/>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4"/>
        </w:trPr>
        <w:tc>
          <w:tcPr>
            <w:tcW w:w="96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gridSpan w:val="25"/>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1"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Furnished herewith.</w:t>
      </w:r>
    </w:p>
    <w:p>
      <w:pPr>
        <w:ind w:left="140" w:hanging="132"/>
        <w:spacing w:after="0" w:line="216" w:lineRule="auto"/>
        <w:tabs>
          <w:tab w:leader="none" w:pos="140" w:val="left"/>
        </w:tabs>
        <w:numPr>
          <w:ilvl w:val="0"/>
          <w:numId w:val="41"/>
        </w:numPr>
        <w:rPr>
          <w:rFonts w:ascii="Arial" w:cs="Arial" w:eastAsia="Arial" w:hAnsi="Arial"/>
          <w:sz w:val="15"/>
          <w:szCs w:val="15"/>
          <w:color w:val="auto"/>
          <w:vertAlign w:val="superscript"/>
        </w:rPr>
      </w:pPr>
      <w:r>
        <w:rPr>
          <w:rFonts w:ascii="Arial" w:cs="Arial" w:eastAsia="Arial" w:hAnsi="Arial"/>
          <w:sz w:val="12"/>
          <w:szCs w:val="12"/>
          <w:color w:val="auto"/>
        </w:rPr>
        <w:t>Certain of the schedules and attachments to the exhibit have been omitted pursuant to Item 601(a)(5) of Regulation S-K. A copy of any omitted schedule or attachment will be furnished to the SEC</w:t>
      </w:r>
    </w:p>
    <w:p>
      <w:pPr>
        <w:ind w:left="340"/>
        <w:spacing w:after="0" w:line="237" w:lineRule="auto"/>
        <w:rPr>
          <w:sz w:val="20"/>
          <w:szCs w:val="20"/>
          <w:color w:val="auto"/>
        </w:rPr>
      </w:pPr>
      <w:r>
        <w:rPr>
          <w:rFonts w:ascii="Arial" w:cs="Arial" w:eastAsia="Arial" w:hAnsi="Arial"/>
          <w:sz w:val="13"/>
          <w:szCs w:val="13"/>
          <w:color w:val="auto"/>
        </w:rPr>
        <w:t>upon request.</w:t>
      </w:r>
    </w:p>
    <w:p>
      <w:pPr>
        <w:ind w:left="140" w:hanging="132"/>
        <w:spacing w:after="0" w:line="202" w:lineRule="auto"/>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3"/>
          <w:szCs w:val="13"/>
          <w:color w:val="auto"/>
        </w:rPr>
        <w:t>Certain private and immaterial portions of the exhibit have been redacted pursuant to Item 601(a)(6) of Regulation S-K.</w:t>
      </w:r>
    </w:p>
    <w:p>
      <w:pPr>
        <w:spacing w:after="0" w:line="200" w:lineRule="exact"/>
        <w:rPr>
          <w:rFonts w:ascii="Arial" w:cs="Arial" w:eastAsia="Arial" w:hAnsi="Arial"/>
          <w:sz w:val="16"/>
          <w:szCs w:val="16"/>
          <w:color w:val="auto"/>
          <w:vertAlign w:val="superscript"/>
        </w:rPr>
      </w:pPr>
    </w:p>
    <w:p>
      <w:pPr>
        <w:spacing w:after="0" w:line="277" w:lineRule="exact"/>
        <w:rPr>
          <w:rFonts w:ascii="Arial" w:cs="Arial" w:eastAsia="Arial" w:hAnsi="Arial"/>
          <w:sz w:val="16"/>
          <w:szCs w:val="16"/>
          <w:color w:val="auto"/>
          <w:vertAlign w:val="superscript"/>
        </w:rPr>
      </w:pPr>
    </w:p>
    <w:p>
      <w:pPr>
        <w:ind w:left="5540"/>
        <w:spacing w:after="0"/>
        <w:rPr>
          <w:rFonts w:ascii="Arial" w:cs="Arial" w:eastAsia="Arial" w:hAnsi="Arial"/>
          <w:sz w:val="16"/>
          <w:szCs w:val="16"/>
          <w:color w:val="auto"/>
          <w:vertAlign w:val="superscript"/>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GLOSSARY OF TERMS AND ABBREVIATIONS</w:t>
      </w: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Net income (loss) adjusted, among other things, for certain: (i) nonrecurring charges; (ii) non-recurring gains; (iii) non-cash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w:t>
      </w:r>
    </w:p>
    <w:p>
      <w:pPr>
        <w:spacing w:after="0" w:line="1" w:lineRule="exact"/>
        <w:rPr>
          <w:sz w:val="20"/>
          <w:szCs w:val="20"/>
          <w:color w:val="auto"/>
        </w:rPr>
      </w:pPr>
    </w:p>
    <w:p>
      <w:pPr>
        <w:ind w:firstLine="8"/>
        <w:spacing w:after="0" w:line="260" w:lineRule="auto"/>
        <w:tabs>
          <w:tab w:leader="none" w:pos="27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spacing w:after="0" w:line="122"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b w:val="1"/>
          <w:bCs w:val="1"/>
          <w:i w:val="1"/>
          <w:iCs w:val="1"/>
          <w:color w:val="auto"/>
        </w:rPr>
        <w:t xml:space="preserve">Annual Financial Statements. </w:t>
      </w:r>
      <w:r>
        <w:rPr>
          <w:rFonts w:ascii="Arial" w:cs="Arial" w:eastAsia="Arial" w:hAnsi="Arial"/>
          <w:sz w:val="16"/>
          <w:szCs w:val="16"/>
          <w:color w:val="auto"/>
        </w:rPr>
        <w:t>The audited consolidated balance sheets of TEC as of December 31, 2024 (Successor) and December 31,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(Successor); the related audited consolidated statements of operations, statements of comprehensive income, statements of cash flows, and statements of equity for the year ended December 31, 2024 (Successor), for the period from May 18, 2023 through December 31, 2023 (Successor), and for the period from January 1, 2023 through May 17, 2023 (Predecessor) and the year ended December 31, 2022 (Predecessor); and the related notes.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AOCI. </w:t>
      </w:r>
      <w:r>
        <w:rPr>
          <w:rFonts w:ascii="Arial" w:cs="Arial" w:eastAsia="Arial" w:hAnsi="Arial"/>
          <w:sz w:val="16"/>
          <w:szCs w:val="16"/>
          <w:color w:val="auto"/>
        </w:rPr>
        <w:t>Accumulated other comprehensive income or loss, which is a component of stockholders’ equity on the Consolidated Balance Sheets.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ARO. </w:t>
      </w:r>
      <w:r>
        <w:rPr>
          <w:rFonts w:ascii="Arial" w:cs="Arial" w:eastAsia="Arial" w:hAnsi="Arial"/>
          <w:sz w:val="16"/>
          <w:szCs w:val="16"/>
          <w:color w:val="auto"/>
        </w:rPr>
        <w:t>Asset retirement obligation.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AWS. </w:t>
      </w:r>
      <w:r>
        <w:rPr>
          <w:rFonts w:ascii="Arial" w:cs="Arial" w:eastAsia="Arial" w:hAnsi="Arial"/>
          <w:sz w:val="16"/>
          <w:szCs w:val="16"/>
          <w:color w:val="auto"/>
        </w:rPr>
        <w:t>Amazon Web Services, Inc. and its affiliates.</w:t>
      </w:r>
    </w:p>
    <w:p>
      <w:pPr>
        <w:spacing w:after="0" w:line="181" w:lineRule="exact"/>
        <w:rPr>
          <w:sz w:val="20"/>
          <w:szCs w:val="20"/>
          <w:color w:val="auto"/>
        </w:rPr>
      </w:pPr>
    </w:p>
    <w:p>
      <w:pPr>
        <w:ind w:right="5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w:t>
      </w:r>
      <w:r>
        <w:rPr>
          <w:rFonts w:ascii="Arial" w:cs="Arial" w:eastAsia="Arial" w:hAnsi="Arial"/>
          <w:sz w:val="16"/>
          <w:szCs w:val="16"/>
          <w:color w:val="auto"/>
        </w:rPr>
        <w:t>The data center campus initially developed by a subsidiary of Cumulus Digital adjacent to Susquehanna. See Note 17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Interim Financial Statements for information on the AWS Data Campus Sale.</w:t>
      </w:r>
    </w:p>
    <w:p>
      <w:pPr>
        <w:spacing w:after="0" w:line="11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Sale. </w:t>
      </w:r>
      <w:r>
        <w:rPr>
          <w:rFonts w:ascii="Arial" w:cs="Arial" w:eastAsia="Arial" w:hAnsi="Arial"/>
          <w:sz w:val="16"/>
          <w:szCs w:val="16"/>
          <w:color w:val="auto"/>
        </w:rPr>
        <w:t>The Company’s sale of the AWS Data Campus to AWS in March 2024 to AWS for gross proceeds of $650 million. See Note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 to the Interim Financial Statements for additional information.</w:t>
      </w:r>
    </w:p>
    <w:p>
      <w:pPr>
        <w:spacing w:after="0" w:line="10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b w:val="1"/>
          <w:bCs w:val="1"/>
          <w:i w:val="1"/>
          <w:iCs w:val="1"/>
          <w:color w:val="auto"/>
        </w:rPr>
        <w:t xml:space="preserve">AWS PPA. </w:t>
      </w:r>
      <w:r>
        <w:rPr>
          <w:rFonts w:ascii="Arial" w:cs="Arial" w:eastAsia="Arial" w:hAnsi="Arial"/>
          <w:sz w:val="16"/>
          <w:szCs w:val="16"/>
          <w:color w:val="auto"/>
        </w:rPr>
        <w:t>The March 2024 (as revised in June 2025) power purchase agreement between the Company and AWS pursuant to which,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the Company agreed to supply up to 960 MW of long-term power to the AWS Data Campus from Susquehanna. In June 2025, the Company and AWS entered into a revised AWS PPA, under which the Company is expected to provide AWS with up to 1,920 MW of power in a “front-of-the-meter” model through 2042. The transition to the revised AWS PPA is expected to occur in Spring 2026.</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Bilateral LCF. </w:t>
      </w:r>
      <w:r>
        <w:rPr>
          <w:rFonts w:ascii="Arial" w:cs="Arial" w:eastAsia="Arial" w:hAnsi="Arial"/>
          <w:sz w:val="16"/>
          <w:szCs w:val="16"/>
          <w:color w:val="auto"/>
        </w:rPr>
        <w:t>The $75 million senior secured bilateral LC facility provided by Barclays Bank PLC. The Bilateral LCF was terminated in December 2024.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Board of Directors. </w:t>
      </w:r>
      <w:r>
        <w:rPr>
          <w:rFonts w:ascii="Arial" w:cs="Arial" w:eastAsia="Arial" w:hAnsi="Arial"/>
          <w:sz w:val="16"/>
          <w:szCs w:val="16"/>
          <w:color w:val="auto"/>
        </w:rPr>
        <w:t>The board of directors of Talen Energy Corporation.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Brandon Shores. </w:t>
      </w:r>
      <w:r>
        <w:rPr>
          <w:rFonts w:ascii="Arial" w:cs="Arial" w:eastAsia="Arial" w:hAnsi="Arial"/>
          <w:sz w:val="16"/>
          <w:szCs w:val="16"/>
          <w:color w:val="auto"/>
        </w:rPr>
        <w:t>A Talen-owned and operated generation facility in Curtis Bay, Maryland.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Brunner Island. </w:t>
      </w:r>
      <w:r>
        <w:rPr>
          <w:rFonts w:ascii="Arial" w:cs="Arial" w:eastAsia="Arial" w:hAnsi="Arial"/>
          <w:sz w:val="16"/>
          <w:szCs w:val="16"/>
          <w:color w:val="auto"/>
        </w:rPr>
        <w:t>A Talen-owned and operated generation facility in York Haven, Pennsylvania.</w:t>
      </w:r>
    </w:p>
    <w:p>
      <w:pPr>
        <w:spacing w:after="0" w:line="18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CCR. </w:t>
      </w:r>
      <w:r>
        <w:rPr>
          <w:rFonts w:ascii="Arial" w:cs="Arial" w:eastAsia="Arial" w:hAnsi="Arial"/>
          <w:sz w:val="16"/>
          <w:szCs w:val="16"/>
          <w:color w:val="auto"/>
        </w:rPr>
        <w:t>Coal Combustion Residuals, including but not limited to fly ash, bottom ash, and gypsum, that are produced from coal-fired electric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w:t>
      </w:r>
    </w:p>
    <w:p>
      <w:pPr>
        <w:spacing w:after="0" w:line="102" w:lineRule="exact"/>
        <w:rPr>
          <w:sz w:val="20"/>
          <w:szCs w:val="20"/>
          <w:color w:val="auto"/>
        </w:rPr>
      </w:pPr>
    </w:p>
    <w:p>
      <w:pPr>
        <w:ind w:right="240" w:firstLine="324"/>
        <w:spacing w:after="0" w:line="275" w:lineRule="auto"/>
        <w:rPr>
          <w:sz w:val="20"/>
          <w:szCs w:val="20"/>
          <w:color w:val="auto"/>
        </w:rPr>
      </w:pPr>
      <w:r>
        <w:rPr>
          <w:rFonts w:ascii="Arial" w:cs="Arial" w:eastAsia="Arial" w:hAnsi="Arial"/>
          <w:sz w:val="16"/>
          <w:szCs w:val="16"/>
          <w:b w:val="1"/>
          <w:bCs w:val="1"/>
          <w:i w:val="1"/>
          <w:iCs w:val="1"/>
          <w:color w:val="auto"/>
        </w:rPr>
        <w:t xml:space="preserve">Colstrip. </w:t>
      </w:r>
      <w:r>
        <w:rPr>
          <w:rFonts w:ascii="Arial" w:cs="Arial" w:eastAsia="Arial" w:hAnsi="Arial"/>
          <w:sz w:val="16"/>
          <w:szCs w:val="16"/>
          <w:color w:val="auto"/>
        </w:rPr>
        <w:t>A generation facility comprised of four coal-fired generation units located in Colstrip, Montana. Talen Montana operates Colstrip, owns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undivided interest in Colstrip Unit 3, and has an economic interest in Colstrip Unit 4. Colstrip Units 1 and 2 were permanently retired in January 2020. See Note 10 to the Annual Financial Statements for additional information on jointly owned facilities and Talen Montana’s ownership interests in Colstrip.</w:t>
      </w:r>
    </w:p>
    <w:p>
      <w:pPr>
        <w:spacing w:after="0" w:line="124" w:lineRule="exact"/>
        <w:rPr>
          <w:sz w:val="20"/>
          <w:szCs w:val="20"/>
          <w:color w:val="auto"/>
        </w:rPr>
      </w:pPr>
    </w:p>
    <w:p>
      <w:pPr>
        <w:ind w:right="60" w:firstLine="324"/>
        <w:spacing w:after="0" w:line="266" w:lineRule="auto"/>
        <w:rPr>
          <w:sz w:val="20"/>
          <w:szCs w:val="20"/>
          <w:color w:val="auto"/>
        </w:rPr>
      </w:pPr>
      <w:r>
        <w:rPr>
          <w:rFonts w:ascii="Arial" w:cs="Arial" w:eastAsia="Arial" w:hAnsi="Arial"/>
          <w:sz w:val="16"/>
          <w:szCs w:val="16"/>
          <w:b w:val="1"/>
          <w:bCs w:val="1"/>
          <w:i w:val="1"/>
          <w:iCs w:val="1"/>
          <w:color w:val="auto"/>
        </w:rPr>
        <w:t xml:space="preserve">Credit Agreement. </w:t>
      </w:r>
      <w:r>
        <w:rPr>
          <w:rFonts w:ascii="Arial" w:cs="Arial" w:eastAsia="Arial" w:hAnsi="Arial"/>
          <w:sz w:val="16"/>
          <w:szCs w:val="16"/>
          <w:color w:val="auto"/>
        </w:rPr>
        <w:t>The Credit Agreement, dated as of May 17, 2023, by and among TES, as borrower, the lending institutions from time to time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Citibank, N.A., as administrative agent and collateral agent, and the joint lead arrangers and joint bookrunners parties thereto, which governs the RCF, TLB-1, TLB-2, and LCF, as the same may be amended, amended and restated, supplemented, or otherwise modified from time-to-time.</w:t>
      </w:r>
    </w:p>
    <w:p>
      <w:pPr>
        <w:spacing w:after="0" w:line="13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Cumulus Digital. </w:t>
      </w:r>
      <w:r>
        <w:rPr>
          <w:rFonts w:ascii="Arial" w:cs="Arial" w:eastAsia="Arial" w:hAnsi="Arial"/>
          <w:sz w:val="16"/>
          <w:szCs w:val="16"/>
          <w:color w:val="auto"/>
        </w:rPr>
        <w:t>Cumulus Digital Holdings LLC, a subsidiary of TES that, through its subsidiaries, (i) initially developed the AWS Data Campus; and (ii)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holds the Company’s interest in Nautilus.</w:t>
      </w:r>
    </w:p>
    <w:p>
      <w:pPr>
        <w:spacing w:after="0" w:line="102" w:lineRule="exact"/>
        <w:rPr>
          <w:sz w:val="20"/>
          <w:szCs w:val="20"/>
          <w:color w:val="auto"/>
        </w:rPr>
      </w:pPr>
    </w:p>
    <w:p>
      <w:pPr>
        <w:ind w:right="140" w:firstLine="324"/>
        <w:spacing w:after="0" w:line="304" w:lineRule="auto"/>
        <w:rPr>
          <w:sz w:val="20"/>
          <w:szCs w:val="20"/>
          <w:color w:val="auto"/>
        </w:rPr>
      </w:pPr>
      <w:r>
        <w:rPr>
          <w:rFonts w:ascii="Arial" w:cs="Arial" w:eastAsia="Arial" w:hAnsi="Arial"/>
          <w:sz w:val="16"/>
          <w:szCs w:val="16"/>
          <w:b w:val="1"/>
          <w:bCs w:val="1"/>
          <w:i w:val="1"/>
          <w:iCs w:val="1"/>
          <w:color w:val="auto"/>
        </w:rPr>
        <w:t xml:space="preserve">Cumulus Digital TLF. </w:t>
      </w:r>
      <w:r>
        <w:rPr>
          <w:rFonts w:ascii="Arial" w:cs="Arial" w:eastAsia="Arial" w:hAnsi="Arial"/>
          <w:sz w:val="16"/>
          <w:szCs w:val="16"/>
          <w:color w:val="auto"/>
        </w:rPr>
        <w:t>The term loan facility under which a subsidiary of Cumulus Digital borrowed $175 million to support the development of Nautilus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AWS Data Campus. The Cumulus Digital TLF was repaid in full and terminated in March 2024.</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DOE. </w:t>
      </w:r>
      <w:r>
        <w:rPr>
          <w:rFonts w:ascii="Arial" w:cs="Arial" w:eastAsia="Arial" w:hAnsi="Arial"/>
          <w:sz w:val="16"/>
          <w:szCs w:val="16"/>
          <w:color w:val="auto"/>
        </w:rPr>
        <w:t>U.S. Department of Energy.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EPA. </w:t>
      </w:r>
      <w:r>
        <w:rPr>
          <w:rFonts w:ascii="Arial" w:cs="Arial" w:eastAsia="Arial" w:hAnsi="Arial"/>
          <w:sz w:val="16"/>
          <w:szCs w:val="16"/>
          <w:color w:val="auto"/>
        </w:rPr>
        <w:t>U.S. Environmental Protection Agency.</w:t>
      </w:r>
    </w:p>
    <w:p>
      <w:pPr>
        <w:spacing w:after="0" w:line="167" w:lineRule="exact"/>
        <w:rPr>
          <w:sz w:val="20"/>
          <w:szCs w:val="20"/>
          <w:color w:val="auto"/>
        </w:rPr>
      </w:pPr>
    </w:p>
    <w:p>
      <w:pPr>
        <w:ind w:right="580" w:firstLine="324"/>
        <w:spacing w:after="0" w:line="304" w:lineRule="auto"/>
        <w:rPr>
          <w:sz w:val="20"/>
          <w:szCs w:val="20"/>
          <w:color w:val="auto"/>
        </w:rPr>
      </w:pPr>
      <w:r>
        <w:rPr>
          <w:rFonts w:ascii="Arial" w:cs="Arial" w:eastAsia="Arial" w:hAnsi="Arial"/>
          <w:sz w:val="16"/>
          <w:szCs w:val="16"/>
          <w:b w:val="1"/>
          <w:bCs w:val="1"/>
          <w:i w:val="1"/>
          <w:iCs w:val="1"/>
          <w:color w:val="auto"/>
        </w:rPr>
        <w:t xml:space="preserve">EPA CCR Rule. </w:t>
      </w:r>
      <w:r>
        <w:rPr>
          <w:rFonts w:ascii="Arial" w:cs="Arial" w:eastAsia="Arial" w:hAnsi="Arial"/>
          <w:sz w:val="16"/>
          <w:szCs w:val="16"/>
          <w:color w:val="auto"/>
        </w:rPr>
        <w:t>The national regulatory standards required by the EPA for the management of coal combustion residuals in landfills and surface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impoundments.</w:t>
      </w:r>
    </w:p>
    <w:p>
      <w:pPr>
        <w:spacing w:after="0" w:line="87" w:lineRule="exact"/>
        <w:rPr>
          <w:sz w:val="20"/>
          <w:szCs w:val="20"/>
          <w:color w:val="auto"/>
        </w:rPr>
      </w:pPr>
    </w:p>
    <w:p>
      <w:pPr>
        <w:ind w:right="60" w:firstLine="324"/>
        <w:spacing w:after="0" w:line="265" w:lineRule="auto"/>
        <w:rPr>
          <w:sz w:val="20"/>
          <w:szCs w:val="20"/>
          <w:color w:val="auto"/>
        </w:rPr>
      </w:pPr>
      <w:r>
        <w:rPr>
          <w:rFonts w:ascii="Arial" w:cs="Arial" w:eastAsia="Arial" w:hAnsi="Arial"/>
          <w:sz w:val="16"/>
          <w:szCs w:val="16"/>
          <w:b w:val="1"/>
          <w:bCs w:val="1"/>
          <w:i w:val="1"/>
          <w:iCs w:val="1"/>
          <w:color w:val="auto"/>
        </w:rPr>
        <w:t xml:space="preserve">EPA CSAPR. </w:t>
      </w:r>
      <w:r>
        <w:rPr>
          <w:rFonts w:ascii="Arial" w:cs="Arial" w:eastAsia="Arial" w:hAnsi="Arial"/>
          <w:sz w:val="16"/>
          <w:szCs w:val="16"/>
          <w:color w:val="auto"/>
        </w:rPr>
        <w:t>The Cross-State Air Pollution Rule, a federal program that aims to reduce power plant emissions that cross state lines and contribute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spacing w:after="0" w:line="13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ELG Rule. </w:t>
      </w:r>
      <w:r>
        <w:rPr>
          <w:rFonts w:ascii="Arial" w:cs="Arial" w:eastAsia="Arial" w:hAnsi="Arial"/>
          <w:sz w:val="16"/>
          <w:szCs w:val="16"/>
          <w:color w:val="auto"/>
        </w:rPr>
        <w:t>The effluent limitation guidelines, which are national regulatory standards required by the EPA for wastewater discharged from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categories, including but not limited to coal-fired electric generation facilities, to surface waters and municipal sewage treatment plants.</w:t>
      </w:r>
    </w:p>
    <w:p>
      <w:pPr>
        <w:spacing w:after="0" w:line="11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EPA GHG Rule. </w:t>
      </w:r>
      <w:r>
        <w:rPr>
          <w:rFonts w:ascii="Arial" w:cs="Arial" w:eastAsia="Arial" w:hAnsi="Arial"/>
          <w:sz w:val="16"/>
          <w:szCs w:val="16"/>
          <w:color w:val="auto"/>
        </w:rPr>
        <w:t>An EPA rule that establishes carbon dioxide limits for new electric generating units and GHG guidelines for certain existing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generating units.</w:t>
      </w:r>
    </w:p>
    <w:p>
      <w:pPr>
        <w:spacing w:after="0" w:line="102" w:lineRule="exact"/>
        <w:rPr>
          <w:sz w:val="20"/>
          <w:szCs w:val="20"/>
          <w:color w:val="auto"/>
        </w:rPr>
      </w:pPr>
    </w:p>
    <w:p>
      <w:pPr>
        <w:ind w:right="260" w:firstLine="324"/>
        <w:spacing w:after="0" w:line="304" w:lineRule="auto"/>
        <w:rPr>
          <w:sz w:val="20"/>
          <w:szCs w:val="20"/>
          <w:color w:val="auto"/>
        </w:rPr>
      </w:pPr>
      <w:r>
        <w:rPr>
          <w:rFonts w:ascii="Arial" w:cs="Arial" w:eastAsia="Arial" w:hAnsi="Arial"/>
          <w:sz w:val="16"/>
          <w:szCs w:val="16"/>
          <w:b w:val="1"/>
          <w:bCs w:val="1"/>
          <w:i w:val="1"/>
          <w:iCs w:val="1"/>
          <w:color w:val="auto"/>
        </w:rPr>
        <w:t xml:space="preserve">EPA MATS Rule. </w:t>
      </w:r>
      <w:r>
        <w:rPr>
          <w:rFonts w:ascii="Arial" w:cs="Arial" w:eastAsia="Arial" w:hAnsi="Arial"/>
          <w:sz w:val="16"/>
          <w:szCs w:val="16"/>
          <w:color w:val="auto"/>
        </w:rPr>
        <w:t>The Mercury and Air Toxics Standards, EPA technology-based emissions standards for mercury and other hazardous air pollutants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emitted by generation units with a capacity of more than 25 MWs.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EPS</w:t>
      </w:r>
      <w:r>
        <w:rPr>
          <w:rFonts w:ascii="Arial" w:cs="Arial" w:eastAsia="Arial" w:hAnsi="Arial"/>
          <w:sz w:val="16"/>
          <w:szCs w:val="16"/>
          <w:color w:val="auto"/>
        </w:rPr>
        <w:t>. Earnings per share.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ERCOT. </w:t>
      </w:r>
      <w:r>
        <w:rPr>
          <w:rFonts w:ascii="Arial" w:cs="Arial" w:eastAsia="Arial" w:hAnsi="Arial"/>
          <w:sz w:val="16"/>
          <w:szCs w:val="16"/>
          <w:color w:val="333333"/>
        </w:rPr>
        <w:t>The Electric Reliability Council of Texas, operator of the electricity transmission network and electricity energy market in most of Texas</w:t>
      </w:r>
      <w:r>
        <w:rPr>
          <w:rFonts w:ascii="Arial" w:cs="Arial" w:eastAsia="Arial" w:hAnsi="Arial"/>
          <w:sz w:val="16"/>
          <w:szCs w:val="16"/>
          <w:color w:val="auto"/>
        </w:rPr>
        <w: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ERCOT Sale. </w:t>
      </w:r>
      <w:r>
        <w:rPr>
          <w:rFonts w:ascii="Arial" w:cs="Arial" w:eastAsia="Arial" w:hAnsi="Arial"/>
          <w:sz w:val="16"/>
          <w:szCs w:val="16"/>
          <w:color w:val="auto"/>
        </w:rPr>
        <w:t>The sale of our Texas fleet to CPS Energy in May 2024.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Exchange Act. </w:t>
      </w:r>
      <w:r>
        <w:rPr>
          <w:rFonts w:ascii="Arial" w:cs="Arial" w:eastAsia="Arial" w:hAnsi="Arial"/>
          <w:sz w:val="16"/>
          <w:szCs w:val="16"/>
          <w:color w:val="auto"/>
        </w:rPr>
        <w:t>The Securities Exchange Act of 1934, as amended.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FERC. </w:t>
      </w:r>
      <w:r>
        <w:rPr>
          <w:rFonts w:ascii="Arial" w:cs="Arial" w:eastAsia="Arial" w:hAnsi="Arial"/>
          <w:sz w:val="16"/>
          <w:szCs w:val="16"/>
          <w:color w:val="auto"/>
        </w:rPr>
        <w:t>U.S. Federal Energy Regulatory Commission.</w:t>
      </w:r>
    </w:p>
    <w:p>
      <w:pPr>
        <w:spacing w:after="0" w:line="16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b w:val="1"/>
          <w:bCs w:val="1"/>
          <w:i w:val="1"/>
          <w:iCs w:val="1"/>
          <w:color w:val="auto"/>
        </w:rPr>
        <w:t xml:space="preserve">Freedom and Guernsey Acquisitions. </w:t>
      </w:r>
      <w:r>
        <w:rPr>
          <w:rFonts w:ascii="Arial" w:cs="Arial" w:eastAsia="Arial" w:hAnsi="Arial"/>
          <w:sz w:val="16"/>
          <w:szCs w:val="16"/>
          <w:color w:val="auto"/>
        </w:rPr>
        <w:t>Our pending acquisitions of the Freedom Generating Station in Pennsylvania and the Guernsey Power Station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Ohio from affiliates of Caithness Energy. See Note 17 to the Interim Financial Statements for additional information.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GAAP. </w:t>
      </w:r>
      <w:r>
        <w:rPr>
          <w:rFonts w:ascii="Arial" w:cs="Arial" w:eastAsia="Arial" w:hAnsi="Arial"/>
          <w:sz w:val="16"/>
          <w:szCs w:val="16"/>
          <w:color w:val="auto"/>
        </w:rPr>
        <w:t>Generally Accepted Accounting Principles in the United States.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H.A. Wagner. </w:t>
      </w:r>
      <w:r>
        <w:rPr>
          <w:rFonts w:ascii="Arial" w:cs="Arial" w:eastAsia="Arial" w:hAnsi="Arial"/>
          <w:sz w:val="16"/>
          <w:szCs w:val="16"/>
          <w:color w:val="auto"/>
        </w:rPr>
        <w:t>A Talen-owned and operated generation facility in Curtis Bay, Maryland.</w:t>
      </w:r>
    </w:p>
    <w:p>
      <w:pPr>
        <w:spacing w:after="0" w:line="181"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b w:val="1"/>
          <w:bCs w:val="1"/>
          <w:i w:val="1"/>
          <w:iCs w:val="1"/>
          <w:color w:val="auto"/>
        </w:rPr>
        <w:t xml:space="preserve">Indenture. </w:t>
      </w:r>
      <w:r>
        <w:rPr>
          <w:rFonts w:ascii="Arial" w:cs="Arial" w:eastAsia="Arial" w:hAnsi="Arial"/>
          <w:sz w:val="16"/>
          <w:szCs w:val="16"/>
          <w:color w:val="auto"/>
        </w:rPr>
        <w:t>The Indenture, dated as of May 12, 2023, as supplemented by the First Supplemental Indenture, dated as of May 17, 2023, the Second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Supplemental Indenture, dated as of October 6, 2023, the Third Supplemental Indenture, dated as of June 22, 2024, and the Fourth Supplemental Indenture, dated as of January 13, 2025, each between TES, the Subsidiary Guarantors and Wilmington Savings Fund Society, FSB, as trustee, which governs the Secured Notes, as the same may be further amended, amended and restated, supplemented or otherwise modified from time-to-time.</w:t>
      </w:r>
    </w:p>
    <w:p>
      <w:pPr>
        <w:spacing w:after="0" w:line="119" w:lineRule="exact"/>
        <w:rPr>
          <w:sz w:val="20"/>
          <w:szCs w:val="20"/>
          <w:color w:val="auto"/>
        </w:rPr>
      </w:pPr>
    </w:p>
    <w:p>
      <w:pPr>
        <w:ind w:right="520" w:firstLine="324"/>
        <w:spacing w:after="0" w:line="304" w:lineRule="auto"/>
        <w:rPr>
          <w:sz w:val="20"/>
          <w:szCs w:val="20"/>
          <w:color w:val="auto"/>
        </w:rPr>
      </w:pPr>
      <w:r>
        <w:rPr>
          <w:rFonts w:ascii="Arial" w:cs="Arial" w:eastAsia="Arial" w:hAnsi="Arial"/>
          <w:sz w:val="16"/>
          <w:szCs w:val="16"/>
          <w:b w:val="1"/>
          <w:bCs w:val="1"/>
          <w:i w:val="1"/>
          <w:iCs w:val="1"/>
          <w:color w:val="auto"/>
        </w:rPr>
        <w:t xml:space="preserve">Inflation Reduction Act. </w:t>
      </w:r>
      <w:r>
        <w:rPr>
          <w:rFonts w:ascii="Arial" w:cs="Arial" w:eastAsia="Arial" w:hAnsi="Arial"/>
          <w:sz w:val="16"/>
          <w:szCs w:val="16"/>
          <w:color w:val="auto"/>
        </w:rPr>
        <w:t>The Inflation Reduction Act of 2022, which was signed into law in August 2022. The Inflation Reduction Act’s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among other things, amendments to the Internal Revenue Code of 1986 to create a nuclear production tax credit program.</w:t>
      </w:r>
    </w:p>
    <w:p>
      <w:pPr>
        <w:spacing w:after="0" w:line="87"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b w:val="1"/>
          <w:bCs w:val="1"/>
          <w:i w:val="1"/>
          <w:iCs w:val="1"/>
          <w:color w:val="auto"/>
        </w:rPr>
        <w:t xml:space="preserve">Interim Financial Statements. </w:t>
      </w:r>
      <w:r>
        <w:rPr>
          <w:rFonts w:ascii="Arial" w:cs="Arial" w:eastAsia="Arial" w:hAnsi="Arial"/>
          <w:sz w:val="16"/>
          <w:szCs w:val="16"/>
          <w:color w:val="auto"/>
        </w:rPr>
        <w:t>The consolidated balance sheets of TEC as of September 30, 2025 and December 31, 2024; the related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of operations, statements of comprehensive income, and statements of equity for the three and nine months ended September 30, 2025 and 2024; the consolidated statement of cash flows for the nine months ended September 30, 2025 and 2024; and the related notes.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ISA. </w:t>
      </w:r>
      <w:r>
        <w:rPr>
          <w:rFonts w:ascii="Arial" w:cs="Arial" w:eastAsia="Arial" w:hAnsi="Arial"/>
          <w:sz w:val="16"/>
          <w:szCs w:val="16"/>
          <w:color w:val="auto"/>
        </w:rPr>
        <w:t>Interconnection Service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ISO. </w:t>
      </w:r>
      <w:r>
        <w:rPr>
          <w:rFonts w:ascii="Arial" w:cs="Arial" w:eastAsia="Arial" w:hAnsi="Arial"/>
          <w:sz w:val="16"/>
          <w:szCs w:val="16"/>
          <w:color w:val="auto"/>
        </w:rPr>
        <w:t>Independent System Operator.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LC. </w:t>
      </w:r>
      <w:r>
        <w:rPr>
          <w:rFonts w:ascii="Arial" w:cs="Arial" w:eastAsia="Arial" w:hAnsi="Arial"/>
          <w:sz w:val="16"/>
          <w:szCs w:val="16"/>
          <w:color w:val="auto"/>
        </w:rPr>
        <w:t>Letter of credit.</w:t>
      </w:r>
    </w:p>
    <w:p>
      <w:pPr>
        <w:spacing w:after="0" w:line="167" w:lineRule="exact"/>
        <w:rPr>
          <w:sz w:val="20"/>
          <w:szCs w:val="20"/>
          <w:color w:val="auto"/>
        </w:rPr>
      </w:pPr>
    </w:p>
    <w:p>
      <w:pPr>
        <w:jc w:val="both"/>
        <w:ind w:right="500" w:firstLine="324"/>
        <w:spacing w:after="0" w:line="275" w:lineRule="auto"/>
        <w:rPr>
          <w:sz w:val="20"/>
          <w:szCs w:val="20"/>
          <w:color w:val="auto"/>
        </w:rPr>
      </w:pPr>
      <w:r>
        <w:rPr>
          <w:rFonts w:ascii="Arial" w:cs="Arial" w:eastAsia="Arial" w:hAnsi="Arial"/>
          <w:sz w:val="16"/>
          <w:szCs w:val="16"/>
          <w:b w:val="1"/>
          <w:bCs w:val="1"/>
          <w:i w:val="1"/>
          <w:iCs w:val="1"/>
          <w:color w:val="auto"/>
        </w:rPr>
        <w:t xml:space="preserve">LCF. </w:t>
      </w:r>
      <w:r>
        <w:rPr>
          <w:rFonts w:ascii="Arial" w:cs="Arial" w:eastAsia="Arial" w:hAnsi="Arial"/>
          <w:sz w:val="16"/>
          <w:szCs w:val="16"/>
          <w:color w:val="auto"/>
        </w:rPr>
        <w:t>The $900 million stand-alone letter of credit facility established under the Credit Agreement. In October 2025, TES received commitments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upsize the LCF from $900 million to $1.1 billion and extend the maturity from December 2026 to December 2027 in connection with the closing of the Freedom and Guernsey Acquisitions.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Martins Creek. </w:t>
      </w:r>
      <w:r>
        <w:rPr>
          <w:rFonts w:ascii="Arial" w:cs="Arial" w:eastAsia="Arial" w:hAnsi="Arial"/>
          <w:sz w:val="16"/>
          <w:szCs w:val="16"/>
          <w:color w:val="auto"/>
        </w:rPr>
        <w:t>A Talen-owned and operated generation facility in Bangor, Pennsylvania.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MMBtu. </w:t>
      </w:r>
      <w:r>
        <w:rPr>
          <w:rFonts w:ascii="Arial" w:cs="Arial" w:eastAsia="Arial" w:hAnsi="Arial"/>
          <w:sz w:val="16"/>
          <w:szCs w:val="16"/>
          <w:color w:val="auto"/>
        </w:rPr>
        <w:t>One million British Thermal Units.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Montour. </w:t>
      </w:r>
      <w:r>
        <w:rPr>
          <w:rFonts w:ascii="Arial" w:cs="Arial" w:eastAsia="Arial" w:hAnsi="Arial"/>
          <w:sz w:val="16"/>
          <w:szCs w:val="16"/>
          <w:color w:val="auto"/>
        </w:rPr>
        <w:t>A Talen-owned and operated generation facility in Washingtonville, Pennsylvania.</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 </w:t>
      </w:r>
      <w:r>
        <w:rPr>
          <w:rFonts w:ascii="Arial" w:cs="Arial" w:eastAsia="Arial" w:hAnsi="Arial"/>
          <w:sz w:val="16"/>
          <w:szCs w:val="16"/>
          <w:color w:val="auto"/>
        </w:rPr>
        <w:t>Megawatt.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MWd. </w:t>
      </w:r>
      <w:r>
        <w:rPr>
          <w:rFonts w:ascii="Arial" w:cs="Arial" w:eastAsia="Arial" w:hAnsi="Arial"/>
          <w:sz w:val="16"/>
          <w:szCs w:val="16"/>
          <w:color w:val="auto"/>
        </w:rPr>
        <w:t>Megawatt-day.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MWh. </w:t>
      </w:r>
      <w:r>
        <w:rPr>
          <w:rFonts w:ascii="Arial" w:cs="Arial" w:eastAsia="Arial" w:hAnsi="Arial"/>
          <w:sz w:val="16"/>
          <w:szCs w:val="16"/>
          <w:color w:val="auto"/>
        </w:rPr>
        <w:t>Megawatt-hour.</w:t>
      </w:r>
    </w:p>
    <w:p>
      <w:pPr>
        <w:spacing w:after="0" w:line="181" w:lineRule="exact"/>
        <w:rPr>
          <w:sz w:val="20"/>
          <w:szCs w:val="20"/>
          <w:color w:val="auto"/>
        </w:rPr>
      </w:pPr>
    </w:p>
    <w:p>
      <w:pPr>
        <w:ind w:right="160" w:firstLine="324"/>
        <w:spacing w:after="0" w:line="266" w:lineRule="auto"/>
        <w:rPr>
          <w:sz w:val="20"/>
          <w:szCs w:val="20"/>
          <w:color w:val="auto"/>
        </w:rPr>
      </w:pPr>
      <w:r>
        <w:rPr>
          <w:rFonts w:ascii="Arial" w:cs="Arial" w:eastAsia="Arial" w:hAnsi="Arial"/>
          <w:sz w:val="16"/>
          <w:szCs w:val="16"/>
          <w:b w:val="1"/>
          <w:bCs w:val="1"/>
          <w:i w:val="1"/>
          <w:iCs w:val="1"/>
          <w:color w:val="auto"/>
        </w:rPr>
        <w:t xml:space="preserve">Nautilus. </w:t>
      </w:r>
      <w:r>
        <w:rPr>
          <w:rFonts w:ascii="Arial" w:cs="Arial" w:eastAsia="Arial" w:hAnsi="Arial"/>
          <w:sz w:val="16"/>
          <w:szCs w:val="16"/>
          <w:color w:val="auto"/>
        </w:rPr>
        <w:t>Nautilus Cryptomine LLC, a cryptocurrency project that was previously a joint venture between the Company and TeraWulf.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TeraWulf’s interest in October 2024 and owns 100% of Nautilus. In June 2025, the Company ceased use of the Nautilus facility and related assets and obligations were derecognized.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NAV. </w:t>
      </w:r>
      <w:r>
        <w:rPr>
          <w:rFonts w:ascii="Arial" w:cs="Arial" w:eastAsia="Arial" w:hAnsi="Arial"/>
          <w:sz w:val="16"/>
          <w:szCs w:val="16"/>
          <w:color w:val="auto"/>
        </w:rPr>
        <w:t>Net asset value.</w:t>
      </w:r>
    </w:p>
    <w:p>
      <w:pPr>
        <w:spacing w:after="0" w:line="167" w:lineRule="exact"/>
        <w:rPr>
          <w:sz w:val="20"/>
          <w:szCs w:val="20"/>
          <w:color w:val="auto"/>
        </w:rPr>
      </w:pPr>
    </w:p>
    <w:p>
      <w:pPr>
        <w:ind w:right="40" w:firstLine="324"/>
        <w:spacing w:after="0" w:line="304" w:lineRule="auto"/>
        <w:rPr>
          <w:sz w:val="20"/>
          <w:szCs w:val="20"/>
          <w:color w:val="auto"/>
        </w:rPr>
      </w:pPr>
      <w:r>
        <w:rPr>
          <w:rFonts w:ascii="Arial" w:cs="Arial" w:eastAsia="Arial" w:hAnsi="Arial"/>
          <w:sz w:val="16"/>
          <w:szCs w:val="16"/>
          <w:b w:val="1"/>
          <w:bCs w:val="1"/>
          <w:i w:val="1"/>
          <w:iCs w:val="1"/>
          <w:color w:val="auto"/>
        </w:rPr>
        <w:t xml:space="preserve">NDT. </w:t>
      </w:r>
      <w:r>
        <w:rPr>
          <w:rFonts w:ascii="Arial" w:cs="Arial" w:eastAsia="Arial" w:hAnsi="Arial"/>
          <w:sz w:val="16"/>
          <w:szCs w:val="16"/>
          <w:color w:val="auto"/>
        </w:rPr>
        <w:t>Nuclear facility decommissioning trust that is expected to fund Talen’s proportional costs associated with the future decommissioning activities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Susquehanna.</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NERC. </w:t>
      </w:r>
      <w:r>
        <w:rPr>
          <w:rFonts w:ascii="Arial" w:cs="Arial" w:eastAsia="Arial" w:hAnsi="Arial"/>
          <w:sz w:val="16"/>
          <w:szCs w:val="16"/>
          <w:color w:val="auto"/>
        </w:rPr>
        <w:t>North American Electric Reliability Corporation.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NRC. </w:t>
      </w:r>
      <w:r>
        <w:rPr>
          <w:rFonts w:ascii="Arial" w:cs="Arial" w:eastAsia="Arial" w:hAnsi="Arial"/>
          <w:sz w:val="16"/>
          <w:szCs w:val="16"/>
          <w:color w:val="auto"/>
        </w:rPr>
        <w:t>U.S. Nuclear Regulatory Commission.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Nuclear PTC. </w:t>
      </w:r>
      <w:r>
        <w:rPr>
          <w:rFonts w:ascii="Arial" w:cs="Arial" w:eastAsia="Arial" w:hAnsi="Arial"/>
          <w:sz w:val="16"/>
          <w:szCs w:val="16"/>
          <w:color w:val="auto"/>
        </w:rPr>
        <w:t>The nuclear production tax credit under the Inflation Reduction Act.</w:t>
      </w:r>
    </w:p>
    <w:p>
      <w:pPr>
        <w:spacing w:after="0" w:line="167"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b w:val="1"/>
          <w:bCs w:val="1"/>
          <w:i w:val="1"/>
          <w:iCs w:val="1"/>
          <w:color w:val="auto"/>
        </w:rPr>
        <w:t xml:space="preserve">PEDFA Bonds. </w:t>
      </w:r>
      <w:r>
        <w:rPr>
          <w:rFonts w:ascii="Arial" w:cs="Arial" w:eastAsia="Arial" w:hAnsi="Arial"/>
          <w:sz w:val="16"/>
          <w:szCs w:val="16"/>
          <w:color w:val="auto"/>
        </w:rPr>
        <w:t>The following series of Pennsylvania Economic Development Financing Authority (“PEDFA”) Exempt Facilities Revenue Refunding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Bonds: Series 2009A, due December 2038 (“PEDFA 2009A Bonds”); Series 2009B, due December 2038 (“PEDFA 2009B Bonds”); and Series 2009C, due December 2037 (“PEDFA 2009C Bonds”). The PEDFA 2009A Bonds were extinguished at emergence from bankruptcy in 2023; the PEDFA 2009B Bonds and PEDFA 2009C Bonds remain outstanding and are guaranteed by certain of the Subsidiary Guarantors.</w:t>
      </w:r>
    </w:p>
    <w:p>
      <w:pPr>
        <w:spacing w:after="0" w:line="132" w:lineRule="exact"/>
        <w:rPr>
          <w:sz w:val="20"/>
          <w:szCs w:val="20"/>
          <w:color w:val="auto"/>
        </w:rPr>
      </w:pPr>
    </w:p>
    <w:p>
      <w:pPr>
        <w:ind w:right="5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PJM. </w:t>
      </w:r>
      <w:r>
        <w:rPr>
          <w:rFonts w:ascii="Arial" w:cs="Arial" w:eastAsia="Arial" w:hAnsi="Arial"/>
          <w:sz w:val="16"/>
          <w:szCs w:val="16"/>
          <w:color w:val="auto"/>
        </w:rPr>
        <w:t>PJM Interconnection, L.L.C., the RTO that coordinates the movement of wholesale electricity in all or parts of Pennsylvania, New Jersey,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Maryland, 10 other states, and the District of Columbia.</w:t>
      </w:r>
    </w:p>
    <w:p>
      <w:pPr>
        <w:spacing w:after="0" w:line="10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b w:val="1"/>
          <w:bCs w:val="1"/>
          <w:i w:val="1"/>
          <w:iCs w:val="1"/>
          <w:color w:val="auto"/>
        </w:rPr>
        <w:t xml:space="preserve">PJM BRA. </w:t>
      </w:r>
      <w:r>
        <w:rPr>
          <w:rFonts w:ascii="Arial" w:cs="Arial" w:eastAsia="Arial" w:hAnsi="Arial"/>
          <w:sz w:val="16"/>
          <w:szCs w:val="16"/>
          <w:color w:val="auto"/>
        </w:rPr>
        <w:t>PJM Base Residual Auction, a component of PJM’s capacity market intended to secure power supply resources from market participants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PJM Capacity Year. </w:t>
      </w:r>
      <w:r>
        <w:rPr>
          <w:rFonts w:ascii="Arial" w:cs="Arial" w:eastAsia="Arial" w:hAnsi="Arial"/>
          <w:sz w:val="16"/>
          <w:szCs w:val="16"/>
          <w:color w:val="auto"/>
        </w:rPr>
        <w:t>PJM capacity revenues for each delivery year covering the period from June 1 to May 31.</w:t>
      </w:r>
    </w:p>
    <w:p>
      <w:pPr>
        <w:spacing w:after="0" w:line="167"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Plan of Reorganization. </w:t>
      </w:r>
      <w:r>
        <w:rPr>
          <w:rFonts w:ascii="Arial" w:cs="Arial" w:eastAsia="Arial" w:hAnsi="Arial"/>
          <w:sz w:val="16"/>
          <w:szCs w:val="16"/>
          <w:color w:val="auto"/>
        </w:rPr>
        <w:t>The Joint Chapter 11 Plan of Reorganization of Talen Energy Supply, LLC and Its Affiliated Debtors (Docket No. 1206),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amended, supplemented, or otherwise modified, and any exhibits or schedules thereto.</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PP&amp;E. </w:t>
      </w:r>
      <w:r>
        <w:rPr>
          <w:rFonts w:ascii="Arial" w:cs="Arial" w:eastAsia="Arial" w:hAnsi="Arial"/>
          <w:sz w:val="16"/>
          <w:szCs w:val="16"/>
          <w:color w:val="auto"/>
        </w:rPr>
        <w:t>Property, plant and equipment.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RCF. </w:t>
      </w:r>
      <w:r>
        <w:rPr>
          <w:rFonts w:ascii="Arial" w:cs="Arial" w:eastAsia="Arial" w:hAnsi="Arial"/>
          <w:sz w:val="16"/>
          <w:szCs w:val="16"/>
          <w:color w:val="auto"/>
        </w:rPr>
        <w:t>The senior secured revolving credit facility that provides $700 million in aggregate revolving loan and LC commitments under the Credit</w:t>
      </w:r>
    </w:p>
    <w:p>
      <w:pPr>
        <w:spacing w:after="0" w:line="35"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Agreement. In October 2025, TES received commitments to increase the RCF (including its revolving LC capacity) from $700 million to $900 million in connection with the closing of the Freedom and Guernsey Acquisitions.</w:t>
      </w:r>
    </w:p>
    <w:p>
      <w:pPr>
        <w:spacing w:after="0" w:line="118"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b w:val="1"/>
          <w:bCs w:val="1"/>
          <w:i w:val="1"/>
          <w:iCs w:val="1"/>
          <w:color w:val="auto"/>
        </w:rPr>
        <w:t xml:space="preserve">RGGI. </w:t>
      </w:r>
      <w:r>
        <w:rPr>
          <w:rFonts w:ascii="Arial" w:cs="Arial" w:eastAsia="Arial" w:hAnsi="Arial"/>
          <w:sz w:val="16"/>
          <w:szCs w:val="16"/>
          <w:color w:val="auto"/>
        </w:rPr>
        <w:t>The Regional Greenhouse Gas Initiative, a mandatory market-based program among certain states, including Maryland, New Jersey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spacing w:after="0" w:line="124"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RMR. </w:t>
      </w:r>
      <w:r>
        <w:rPr>
          <w:rFonts w:ascii="Arial" w:cs="Arial" w:eastAsia="Arial" w:hAnsi="Arial"/>
          <w:sz w:val="16"/>
          <w:szCs w:val="16"/>
          <w:color w:val="auto"/>
        </w:rPr>
        <w:t>A generation unit that is otherwise slated to be retired but agrees with PJM to remain operational beyond its requested deactivation date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reliability-must-run resource to mitigate reliability concerns until necessary upgrades can be established.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RTO. </w:t>
      </w:r>
      <w:r>
        <w:rPr>
          <w:rFonts w:ascii="Arial" w:cs="Arial" w:eastAsia="Arial" w:hAnsi="Arial"/>
          <w:sz w:val="16"/>
          <w:szCs w:val="16"/>
          <w:color w:val="auto"/>
        </w:rPr>
        <w:t>Regional Transmission Organization.</w:t>
      </w:r>
    </w:p>
    <w:p>
      <w:pPr>
        <w:spacing w:after="0" w:line="181"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Secured ISDAs. </w:t>
      </w:r>
      <w:r>
        <w:rPr>
          <w:rFonts w:ascii="Arial" w:cs="Arial" w:eastAsia="Arial" w:hAnsi="Arial"/>
          <w:sz w:val="16"/>
          <w:szCs w:val="16"/>
          <w:color w:val="auto"/>
        </w:rPr>
        <w:t>Certain bilateral secured International Swaps and Derivatives Association (“ISDA”) agreements and Base Contracts for Sale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of Natural Gas as published by the North American Energy Standards Board (“NAESB”) of Talen.</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Secured Notes</w:t>
      </w:r>
      <w:r>
        <w:rPr>
          <w:rFonts w:ascii="Arial" w:cs="Arial" w:eastAsia="Arial" w:hAnsi="Arial"/>
          <w:sz w:val="16"/>
          <w:szCs w:val="16"/>
          <w:color w:val="auto"/>
        </w:rPr>
        <w:t>. The 8.625% Senior Secured Notes, due 2030, issued by Talen Energy Supply.</w:t>
      </w:r>
    </w:p>
    <w:p>
      <w:pPr>
        <w:spacing w:after="0" w:line="18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SRP. </w:t>
      </w:r>
      <w:r>
        <w:rPr>
          <w:rFonts w:ascii="Arial" w:cs="Arial" w:eastAsia="Arial" w:hAnsi="Arial"/>
          <w:sz w:val="16"/>
          <w:szCs w:val="16"/>
          <w:color w:val="auto"/>
        </w:rPr>
        <w:t>The share repurchase program, under which the Board of Directors has authorized the Company to repurchase shares of TEC’s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w:t>
      </w:r>
    </w:p>
    <w:p>
      <w:pPr>
        <w:spacing w:after="0" w:line="11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Subsidiary Guarantors. </w:t>
      </w:r>
      <w:r>
        <w:rPr>
          <w:rFonts w:ascii="Arial" w:cs="Arial" w:eastAsia="Arial" w:hAnsi="Arial"/>
          <w:sz w:val="16"/>
          <w:szCs w:val="16"/>
          <w:color w:val="auto"/>
        </w:rPr>
        <w:t>The subsidiaries of TES that guarantee: (i) the obligations of TES under the Credit Facilities and the Secured Notes; and (ii)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of Talen Energy Marketing under the Secured ISDAs.</w:t>
      </w:r>
    </w:p>
    <w:p>
      <w:pPr>
        <w:sectPr>
          <w:pgSz w:w="11900" w:h="16838" w:orient="portrait"/>
          <w:cols w:equalWidth="0" w:num="1">
            <w:col w:w="11100"/>
          </w:cols>
          <w:pgMar w:left="320" w:top="125" w:right="4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Susquehanna. </w:t>
      </w:r>
      <w:r>
        <w:rPr>
          <w:rFonts w:ascii="Arial" w:cs="Arial" w:eastAsia="Arial" w:hAnsi="Arial"/>
          <w:sz w:val="16"/>
          <w:szCs w:val="16"/>
          <w:color w:val="auto"/>
        </w:rPr>
        <w:t>A nuclear-powered generation facility located near Berwick, Pennsylvania. A subsidiary of Talen Energy Supply operates and owns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90% undivided interest in Susquehanna.</w:t>
      </w:r>
    </w:p>
    <w:p>
      <w:pPr>
        <w:spacing w:after="0" w:line="115"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b w:val="1"/>
          <w:bCs w:val="1"/>
          <w:i w:val="1"/>
          <w:iCs w:val="1"/>
          <w:color w:val="auto"/>
        </w:rPr>
        <w:t xml:space="preserve">Talen (or the “Company,” “we,” “us,” or “our”). </w:t>
      </w:r>
      <w:r>
        <w:rPr>
          <w:rFonts w:ascii="Arial" w:cs="Arial" w:eastAsia="Arial" w:hAnsi="Arial"/>
          <w:sz w:val="16"/>
          <w:szCs w:val="16"/>
          <w:color w:val="auto"/>
        </w:rPr>
        <w:t>(i) for periods after May 17, 2023, Talen Energy Corporation and its consolidated subsidiaries,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context clearly indicates otherwise; and (ii) for periods on or before May 17, 2023, Talen Energy Supply and its consolidated subsidiaries, unless the context clearly indicates otherwise.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Talen Energy Corporation (or “TEC”). </w:t>
      </w:r>
      <w:r>
        <w:rPr>
          <w:rFonts w:ascii="Arial" w:cs="Arial" w:eastAsia="Arial" w:hAnsi="Arial"/>
          <w:sz w:val="16"/>
          <w:szCs w:val="16"/>
          <w:color w:val="auto"/>
        </w:rPr>
        <w:t>Talen Energy Corporation, the parent company of Talen Energy Supply and its consolidated subsidiaries.</w:t>
      </w:r>
    </w:p>
    <w:p>
      <w:pPr>
        <w:spacing w:after="0" w:line="167" w:lineRule="exact"/>
        <w:rPr>
          <w:sz w:val="20"/>
          <w:szCs w:val="20"/>
          <w:color w:val="auto"/>
        </w:rPr>
      </w:pPr>
    </w:p>
    <w:p>
      <w:pPr>
        <w:ind w:right="480" w:firstLine="324"/>
        <w:spacing w:after="0" w:line="304" w:lineRule="auto"/>
        <w:rPr>
          <w:sz w:val="20"/>
          <w:szCs w:val="20"/>
          <w:color w:val="auto"/>
        </w:rPr>
      </w:pPr>
      <w:r>
        <w:rPr>
          <w:rFonts w:ascii="Arial" w:cs="Arial" w:eastAsia="Arial" w:hAnsi="Arial"/>
          <w:sz w:val="16"/>
          <w:szCs w:val="16"/>
          <w:b w:val="1"/>
          <w:bCs w:val="1"/>
          <w:i w:val="1"/>
          <w:iCs w:val="1"/>
          <w:color w:val="auto"/>
        </w:rPr>
        <w:t xml:space="preserve">Talen Energy Marketing. </w:t>
      </w:r>
      <w:r>
        <w:rPr>
          <w:rFonts w:ascii="Arial" w:cs="Arial" w:eastAsia="Arial" w:hAnsi="Arial"/>
          <w:sz w:val="16"/>
          <w:szCs w:val="16"/>
          <w:color w:val="auto"/>
        </w:rPr>
        <w:t>Talen Energy Marketing, LLC, a direct subsidiary of Talen Energy Supply that provides energy management services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Talen-owned and operated generation facilities and engages in wholesale commodity marketing activities.</w:t>
      </w:r>
    </w:p>
    <w:p>
      <w:pPr>
        <w:spacing w:after="0" w:line="87" w:lineRule="exact"/>
        <w:rPr>
          <w:sz w:val="20"/>
          <w:szCs w:val="20"/>
          <w:color w:val="auto"/>
        </w:rPr>
      </w:pPr>
    </w:p>
    <w:p>
      <w:pPr>
        <w:ind w:right="400" w:firstLine="324"/>
        <w:spacing w:after="0" w:line="304" w:lineRule="auto"/>
        <w:rPr>
          <w:sz w:val="20"/>
          <w:szCs w:val="20"/>
          <w:color w:val="auto"/>
        </w:rPr>
      </w:pPr>
      <w:r>
        <w:rPr>
          <w:rFonts w:ascii="Arial" w:cs="Arial" w:eastAsia="Arial" w:hAnsi="Arial"/>
          <w:sz w:val="16"/>
          <w:szCs w:val="16"/>
          <w:b w:val="1"/>
          <w:bCs w:val="1"/>
          <w:i w:val="1"/>
          <w:iCs w:val="1"/>
          <w:color w:val="auto"/>
        </w:rPr>
        <w:t xml:space="preserve">Talen Energy Supply (or “TES”). </w:t>
      </w:r>
      <w:r>
        <w:rPr>
          <w:rFonts w:ascii="Arial" w:cs="Arial" w:eastAsia="Arial" w:hAnsi="Arial"/>
          <w:sz w:val="16"/>
          <w:szCs w:val="16"/>
          <w:color w:val="auto"/>
        </w:rPr>
        <w:t>Talen Energy Supply, LLC, a direct subsidiary of Talen Energy Corporation that, thorough subsidiaries,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holds all of Talen’s assets and operations.</w:t>
      </w:r>
    </w:p>
    <w:p>
      <w:pPr>
        <w:spacing w:after="0" w:line="87" w:lineRule="exact"/>
        <w:rPr>
          <w:sz w:val="20"/>
          <w:szCs w:val="20"/>
          <w:color w:val="auto"/>
        </w:rPr>
      </w:pPr>
    </w:p>
    <w:p>
      <w:pPr>
        <w:ind w:right="7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Talen Montana. </w:t>
      </w:r>
      <w:r>
        <w:rPr>
          <w:rFonts w:ascii="Arial" w:cs="Arial" w:eastAsia="Arial" w:hAnsi="Arial"/>
          <w:sz w:val="16"/>
          <w:szCs w:val="16"/>
          <w:color w:val="auto"/>
        </w:rPr>
        <w:t>Talen Montana, LLC, a Talen subsidiary that operates Colstrip, owns an undivided interest in Colstrip Unit 3, and is party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contractual economic sharing agreement for Colstrip Units 3 and 4.</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TeraWulf. </w:t>
      </w:r>
      <w:r>
        <w:rPr>
          <w:rFonts w:ascii="Arial" w:cs="Arial" w:eastAsia="Arial" w:hAnsi="Arial"/>
          <w:sz w:val="16"/>
          <w:szCs w:val="16"/>
          <w:color w:val="auto"/>
        </w:rPr>
        <w:t>TeraWulf (Thales) LLC, a wholly owned subsidiary of TeraWulf Inc. and an unaffiliated third party.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TLB-1. </w:t>
      </w:r>
      <w:r>
        <w:rPr>
          <w:rFonts w:ascii="Arial" w:cs="Arial" w:eastAsia="Arial" w:hAnsi="Arial"/>
          <w:sz w:val="16"/>
          <w:szCs w:val="16"/>
          <w:color w:val="auto"/>
        </w:rPr>
        <w:t>The $580 million (subsequently increased to $870 million) senior secured term loan B facility, due May 2030, under the Credit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TLB-2. </w:t>
      </w:r>
      <w:r>
        <w:rPr>
          <w:rFonts w:ascii="Arial" w:cs="Arial" w:eastAsia="Arial" w:hAnsi="Arial"/>
          <w:sz w:val="16"/>
          <w:szCs w:val="16"/>
          <w:color w:val="auto"/>
        </w:rPr>
        <w:t>The $850 million senior secured term loan B facility, due December 2031, under the Credit Agreement.</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TLB-3. </w:t>
      </w:r>
      <w:r>
        <w:rPr>
          <w:rFonts w:ascii="Arial" w:cs="Arial" w:eastAsia="Arial" w:hAnsi="Arial"/>
          <w:sz w:val="16"/>
          <w:szCs w:val="16"/>
          <w:color w:val="auto"/>
        </w:rPr>
        <w:t>The $1.2 billion senior secured term loan B facility under the Credit Agreement, which is expected to be incurred in connection with the closing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Freedom and Guernsey Acquisitions.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TLC LCF. </w:t>
      </w:r>
      <w:r>
        <w:rPr>
          <w:rFonts w:ascii="Arial" w:cs="Arial" w:eastAsia="Arial" w:hAnsi="Arial"/>
          <w:sz w:val="16"/>
          <w:szCs w:val="16"/>
          <w:color w:val="auto"/>
        </w:rPr>
        <w:t>The $470 million cash collateralized LC facility under the Credit Agreement. The TLC LCF was terminated in December 2024.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Unsecured Notes</w:t>
      </w:r>
      <w:r>
        <w:rPr>
          <w:rFonts w:ascii="Arial" w:cs="Arial" w:eastAsia="Arial" w:hAnsi="Arial"/>
          <w:sz w:val="16"/>
          <w:szCs w:val="16"/>
          <w:color w:val="auto"/>
        </w:rPr>
        <w:t>. TES’s 6.250% Senior Unsecured Notes due 2034 and 6.500% Senior Unsecured Notes due 2036.</w:t>
      </w:r>
    </w:p>
    <w:p>
      <w:pPr>
        <w:spacing w:after="0" w:line="167" w:lineRule="exact"/>
        <w:rPr>
          <w:sz w:val="20"/>
          <w:szCs w:val="20"/>
          <w:color w:val="auto"/>
        </w:rPr>
      </w:pPr>
    </w:p>
    <w:p>
      <w:pPr>
        <w:ind w:right="320" w:firstLine="324"/>
        <w:spacing w:after="0" w:line="304" w:lineRule="auto"/>
        <w:rPr>
          <w:sz w:val="20"/>
          <w:szCs w:val="20"/>
          <w:color w:val="auto"/>
        </w:rPr>
      </w:pPr>
      <w:r>
        <w:rPr>
          <w:rFonts w:ascii="Arial" w:cs="Arial" w:eastAsia="Arial" w:hAnsi="Arial"/>
          <w:sz w:val="16"/>
          <w:szCs w:val="16"/>
          <w:b w:val="1"/>
          <w:bCs w:val="1"/>
          <w:i w:val="1"/>
          <w:iCs w:val="1"/>
          <w:color w:val="auto"/>
        </w:rPr>
        <w:t xml:space="preserve">WECC. </w:t>
      </w:r>
      <w:r>
        <w:rPr>
          <w:rFonts w:ascii="Arial" w:cs="Arial" w:eastAsia="Arial" w:hAnsi="Arial"/>
          <w:sz w:val="16"/>
          <w:szCs w:val="16"/>
          <w:color w:val="auto"/>
        </w:rPr>
        <w:t>The Western Electricity Coordinating Council, a non-profit corporation that assures a reliable and secure bulk electric system in the Western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Interconnection, covering all or parts of Montana, 13 other U.S. States, Canada,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120" w:type="dxa"/>
            <w:vAlign w:val="bottom"/>
          </w:tcPr>
          <w:p>
            <w:pPr>
              <w:ind w:left="140"/>
              <w:spacing w:after="0"/>
              <w:rPr>
                <w:sz w:val="20"/>
                <w:szCs w:val="20"/>
                <w:color w:val="auto"/>
              </w:rPr>
            </w:pPr>
            <w:r>
              <w:rPr>
                <w:rFonts w:ascii="Arial" w:cs="Arial" w:eastAsia="Arial" w:hAnsi="Arial"/>
                <w:sz w:val="14"/>
                <w:szCs w:val="14"/>
                <w:color w:val="auto"/>
              </w:rPr>
              <w:t>November 5, 2025</w:t>
            </w:r>
          </w:p>
        </w:tc>
        <w:tc>
          <w:tcPr>
            <w:tcW w:w="1900" w:type="dxa"/>
            <w:vAlign w:val="bottom"/>
          </w:tcPr>
          <w:p>
            <w:pPr>
              <w:ind w:left="800"/>
              <w:spacing w:after="0"/>
              <w:rPr>
                <w:sz w:val="20"/>
                <w:szCs w:val="20"/>
                <w:color w:val="auto"/>
              </w:rPr>
            </w:pPr>
            <w:r>
              <w:rPr>
                <w:rFonts w:ascii="Arial" w:cs="Arial" w:eastAsia="Arial" w:hAnsi="Arial"/>
                <w:sz w:val="14"/>
                <w:szCs w:val="14"/>
                <w:color w:val="auto"/>
              </w:rPr>
              <w:t>By:</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Terry L. Nutt</w:t>
            </w:r>
          </w:p>
        </w:tc>
      </w:tr>
      <w:tr>
        <w:trPr>
          <w:trHeight w:val="194"/>
        </w:trPr>
        <w:tc>
          <w:tcPr>
            <w:tcW w:w="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900" w:type="dxa"/>
            <w:vAlign w:val="bottom"/>
          </w:tcPr>
          <w:p>
            <w:pPr>
              <w:ind w:left="800"/>
              <w:spacing w:after="0"/>
              <w:rPr>
                <w:sz w:val="20"/>
                <w:szCs w:val="20"/>
                <w:color w:val="auto"/>
              </w:rPr>
            </w:pPr>
            <w:r>
              <w:rPr>
                <w:rFonts w:ascii="Arial" w:cs="Arial" w:eastAsia="Arial" w:hAnsi="Arial"/>
                <w:sz w:val="14"/>
                <w:szCs w:val="14"/>
                <w:color w:val="auto"/>
              </w:rPr>
              <w:t>Name:</w:t>
            </w:r>
          </w:p>
        </w:tc>
        <w:tc>
          <w:tcPr>
            <w:tcW w:w="3320" w:type="dxa"/>
            <w:vAlign w:val="bottom"/>
          </w:tcPr>
          <w:p>
            <w:pPr>
              <w:ind w:left="20"/>
              <w:spacing w:after="0"/>
              <w:rPr>
                <w:sz w:val="20"/>
                <w:szCs w:val="20"/>
                <w:color w:val="auto"/>
              </w:rPr>
            </w:pPr>
            <w:r>
              <w:rPr>
                <w:rFonts w:ascii="Arial" w:cs="Arial" w:eastAsia="Arial" w:hAnsi="Arial"/>
                <w:sz w:val="14"/>
                <w:szCs w:val="14"/>
                <w:color w:val="auto"/>
              </w:rPr>
              <w:t>Terry L. Nutt</w:t>
            </w:r>
          </w:p>
        </w:tc>
      </w:tr>
      <w:tr>
        <w:trPr>
          <w:trHeight w:val="203"/>
        </w:trPr>
        <w:tc>
          <w:tcPr>
            <w:tcW w:w="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00" w:type="dxa"/>
            <w:vAlign w:val="bottom"/>
          </w:tcPr>
          <w:p>
            <w:pPr>
              <w:ind w:left="800"/>
              <w:spacing w:after="0"/>
              <w:rPr>
                <w:sz w:val="20"/>
                <w:szCs w:val="20"/>
                <w:color w:val="auto"/>
              </w:rPr>
            </w:pPr>
            <w:r>
              <w:rPr>
                <w:rFonts w:ascii="Arial" w:cs="Arial" w:eastAsia="Arial" w:hAnsi="Arial"/>
                <w:sz w:val="14"/>
                <w:szCs w:val="14"/>
                <w:color w:val="auto"/>
              </w:rPr>
              <w:t>Title:</w:t>
            </w:r>
          </w:p>
        </w:tc>
        <w:tc>
          <w:tcPr>
            <w:tcW w:w="332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600"/>
          </w:cols>
          <w:pgMar w:left="320" w:top="125" w:right="97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Mark “Mac” A. McFarland, certify that:</w:t>
      </w:r>
    </w:p>
    <w:p>
      <w:pPr>
        <w:spacing w:after="0" w:line="167" w:lineRule="exact"/>
        <w:rPr>
          <w:sz w:val="20"/>
          <w:szCs w:val="20"/>
          <w:color w:val="auto"/>
        </w:rPr>
      </w:pPr>
    </w:p>
    <w:p>
      <w:pPr>
        <w:ind w:left="570" w:hanging="570"/>
        <w:spacing w:after="0"/>
        <w:tabs>
          <w:tab w:leader="none" w:pos="5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340" w:hanging="570"/>
        <w:spacing w:after="0" w:line="286" w:lineRule="auto"/>
        <w:tabs>
          <w:tab w:leader="none" w:pos="5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01" w:lineRule="exact"/>
        <w:rPr>
          <w:rFonts w:ascii="Arial" w:cs="Arial" w:eastAsia="Arial" w:hAnsi="Arial"/>
          <w:sz w:val="16"/>
          <w:szCs w:val="16"/>
          <w:color w:val="auto"/>
        </w:rPr>
      </w:pPr>
    </w:p>
    <w:p>
      <w:pPr>
        <w:ind w:left="1050" w:right="320" w:hanging="483"/>
        <w:spacing w:after="0" w:line="275" w:lineRule="auto"/>
        <w:tabs>
          <w:tab w:leader="none" w:pos="105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50" w:hanging="483"/>
        <w:spacing w:after="0"/>
        <w:tabs>
          <w:tab w:leader="none" w:pos="1050" w:val="left"/>
        </w:tabs>
        <w:numPr>
          <w:ilvl w:val="1"/>
          <w:numId w:val="44"/>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Rules 13a-14(a) and 15d-14(a)];</w:t>
      </w:r>
    </w:p>
    <w:p>
      <w:pPr>
        <w:spacing w:after="0" w:line="18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66" w:lineRule="auto"/>
        <w:tabs>
          <w:tab w:leader="none" w:pos="105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1050" w:right="360" w:hanging="483"/>
        <w:spacing w:after="0" w:line="304" w:lineRule="auto"/>
        <w:tabs>
          <w:tab w:leader="none" w:pos="105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41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19685</wp:posOffset>
            </wp:positionV>
            <wp:extent cx="2366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4" w:lineRule="exact"/>
        <w:rPr>
          <w:sz w:val="20"/>
          <w:szCs w:val="20"/>
          <w:color w:val="auto"/>
        </w:rPr>
      </w:pPr>
    </w:p>
    <w:p>
      <w:pPr>
        <w:ind w:left="829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President &amp; Chief Executive Officer</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Executive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November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70"/>
          </w:cols>
          <w:pgMar w:left="49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Terry L. Nutt, certify that:</w:t>
      </w:r>
    </w:p>
    <w:p>
      <w:pPr>
        <w:spacing w:after="0" w:line="167" w:lineRule="exact"/>
        <w:rPr>
          <w:sz w:val="20"/>
          <w:szCs w:val="20"/>
          <w:color w:val="auto"/>
        </w:rPr>
      </w:pPr>
    </w:p>
    <w:p>
      <w:pPr>
        <w:ind w:left="570" w:hanging="570"/>
        <w:spacing w:after="0"/>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340" w:hanging="570"/>
        <w:spacing w:after="0" w:line="286" w:lineRule="auto"/>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01" w:lineRule="exact"/>
        <w:rPr>
          <w:rFonts w:ascii="Arial" w:cs="Arial" w:eastAsia="Arial" w:hAnsi="Arial"/>
          <w:sz w:val="16"/>
          <w:szCs w:val="16"/>
          <w:color w:val="auto"/>
        </w:rPr>
      </w:pPr>
    </w:p>
    <w:p>
      <w:pPr>
        <w:ind w:left="1050" w:right="320" w:hanging="483"/>
        <w:spacing w:after="0" w:line="275" w:lineRule="auto"/>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50" w:hanging="483"/>
        <w:spacing w:after="0"/>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Rules 13a-14(a) and 15d-14(a)];</w:t>
      </w:r>
    </w:p>
    <w:p>
      <w:pPr>
        <w:spacing w:after="0" w:line="18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66" w:lineRule="auto"/>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1050" w:right="360" w:hanging="483"/>
        <w:spacing w:after="0" w:line="304" w:lineRule="auto"/>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67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19685</wp:posOffset>
            </wp:positionV>
            <wp:extent cx="23399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4" w:lineRule="exact"/>
        <w:rPr>
          <w:sz w:val="20"/>
          <w:szCs w:val="20"/>
          <w:color w:val="auto"/>
        </w:rPr>
      </w:pPr>
    </w:p>
    <w:p>
      <w:pPr>
        <w:ind w:left="879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(Principal Financial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November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70"/>
          </w:cols>
          <w:pgMar w:left="49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 2002</w:t>
      </w:r>
    </w:p>
    <w:p>
      <w:pPr>
        <w:spacing w:after="0" w:line="154"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 connection with the quarterly report on Form 10-Q of Talen Energy Corporation (the “Company”) for the quarter ended September 30, 2025, as filed with the Securities and Exchange Commission on the date hereof (the “Covered Report”), each of the undersigned officers of the Company, certify, pursuant to</w:t>
      </w:r>
    </w:p>
    <w:p>
      <w:pPr>
        <w:spacing w:after="0"/>
        <w:rPr>
          <w:sz w:val="20"/>
          <w:szCs w:val="20"/>
          <w:color w:val="auto"/>
        </w:rPr>
      </w:pPr>
      <w:r>
        <w:rPr>
          <w:rFonts w:ascii="Arial" w:cs="Arial" w:eastAsia="Arial" w:hAnsi="Arial"/>
          <w:sz w:val="16"/>
          <w:szCs w:val="16"/>
          <w:color w:val="auto"/>
        </w:rPr>
        <w:t>18 U.S.C. Section 1350, as adopted pursuant to Section 906 of the Sarbanes-Oxley Act of 2002, that:</w:t>
      </w:r>
    </w:p>
    <w:p>
      <w:pPr>
        <w:spacing w:after="0" w:line="151" w:lineRule="exact"/>
        <w:rPr>
          <w:sz w:val="20"/>
          <w:szCs w:val="20"/>
          <w:color w:val="auto"/>
        </w:rPr>
      </w:pPr>
    </w:p>
    <w:p>
      <w:pPr>
        <w:ind w:left="660" w:right="560" w:hanging="490"/>
        <w:spacing w:after="0" w:line="268"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Covered Report fully complies with the requirements of Section 13(a) or 15(d) of the Securities Exchange Act of 1934, as amended (the “Exchange Act”); and</w:t>
      </w:r>
    </w:p>
    <w:p>
      <w:pPr>
        <w:spacing w:after="0" w:line="88" w:lineRule="exact"/>
        <w:rPr>
          <w:rFonts w:ascii="Arial" w:cs="Arial" w:eastAsia="Arial" w:hAnsi="Arial"/>
          <w:sz w:val="16"/>
          <w:szCs w:val="16"/>
          <w:color w:val="auto"/>
        </w:rPr>
      </w:pPr>
    </w:p>
    <w:p>
      <w:pPr>
        <w:ind w:left="660" w:right="400" w:hanging="490"/>
        <w:spacing w:after="0" w:line="268"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Covered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860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19685</wp:posOffset>
            </wp:positionV>
            <wp:extent cx="23488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4"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President &amp; Chief Executive Officer</w:t>
      </w:r>
    </w:p>
    <w:p>
      <w:pPr>
        <w:spacing w:after="0" w:line="32"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(Principal Executive Officer)</w:t>
      </w:r>
    </w:p>
    <w:p>
      <w:pPr>
        <w:spacing w:after="0" w:line="316" w:lineRule="exact"/>
        <w:rPr>
          <w:sz w:val="20"/>
          <w:szCs w:val="20"/>
          <w:color w:val="auto"/>
        </w:rPr>
      </w:pPr>
    </w:p>
    <w:p>
      <w:pPr>
        <w:ind w:left="882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19685</wp:posOffset>
            </wp:positionV>
            <wp:extent cx="23660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4" w:lineRule="exact"/>
        <w:rPr>
          <w:sz w:val="20"/>
          <w:szCs w:val="20"/>
          <w:color w:val="auto"/>
        </w:rPr>
      </w:pPr>
    </w:p>
    <w:p>
      <w:pPr>
        <w:ind w:left="894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Financial Officer)</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Dated: November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This certification is furnished with this Report pursuant to Section 906 of the Sarbanes-Oxley Act of 2002 and shall not, except to the extent required by the Sarbanes-Oxley Act of 2002, be deemed “filed” for the purpose of Section 18 of the Exchange Act or otherwise subject to the liabilities of that Section. This certification shall not be incorporated by reference into any registration statement or other document pursuant to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Roman"/>
      <w:start w:val="4"/>
    </w:lvl>
  </w:abstractNum>
  <w:abstractNum w:abstractNumId="6">
    <w:nsid w:val="189A769B"/>
    <w:multiLevelType w:val="hybridMultilevel"/>
    <w:lvl w:ilvl="0">
      <w:lvlJc w:val="left"/>
      <w:lvlText w:val="%1."/>
      <w:numFmt w:val="decimal"/>
      <w:start w:val="2"/>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Roman"/>
      <w:start w:val="2"/>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
      <w:numFmt w:val="bullet"/>
      <w:start w:val="1"/>
    </w:lvl>
    <w:lvl w:ilvl="1">
      <w:lvlJc w:val="left"/>
      <w:lvlText w:val="◦"/>
      <w:numFmt w:val="bullet"/>
      <w:start w:val="1"/>
    </w:lvl>
  </w:abstractNum>
  <w:abstractNum w:abstractNumId="32">
    <w:nsid w:val="51EAD36B"/>
    <w:multiLevelType w:val="hybridMultilevel"/>
    <w:lvl w:ilvl="0">
      <w:lvlJc w:val="left"/>
      <w:lvlText w:val="•"/>
      <w:numFmt w:val="bullet"/>
      <w:start w:val="1"/>
    </w:lvl>
    <w:lvl w:ilvl="1">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Roman"/>
      <w:start w:val="2"/>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lowerRoman"/>
      <w:start w:val="1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56" Type="http://schemas.openxmlformats.org/officeDocument/2006/relationships/hyperlink" Target="https://www.sec.gov/Archives/edgar/data/0001622536/000162828025038626/tec-20250630ex21purchasean.htm" TargetMode="External"/><Relationship Id="rId57" Type="http://schemas.openxmlformats.org/officeDocument/2006/relationships/hyperlink" Target="https://www.sec.gov/Archives/edgar/data/0001622536/000162828025038626/tec-20250630ex22purchasean.htm" TargetMode="External"/><Relationship Id="rId58" Type="http://schemas.openxmlformats.org/officeDocument/2006/relationships/hyperlink" Target="https://www.sec.gov/Archives/edgar/data/1622536/000162828024029107/exhibit31-sx1.htm" TargetMode="External"/><Relationship Id="rId59" Type="http://schemas.openxmlformats.org/officeDocument/2006/relationships/hyperlink" Target="https://www.sec.gov/Archives/edgar/data/1622536/000162828024029107/exhibit32-sx1.htm" TargetMode="External"/><Relationship Id="rId60" Type="http://schemas.openxmlformats.org/officeDocument/2006/relationships/hyperlink" Target="https://www.sec.gov/Archives/edgar/data/0001622536/000162253625000023/ex41talenindenture2034notes.htm" TargetMode="External"/><Relationship Id="rId61" Type="http://schemas.openxmlformats.org/officeDocument/2006/relationships/hyperlink" Target="https://www.sec.gov/Archives/edgar/data/0001622536/000162253625000023/ex43talenindenture2036not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2025-11-05T16:40:15Z</dcterms:created>
  <dcterms:modified xsi:type="dcterms:W3CDTF">2025-11-05T16:40:15Z</dcterms:modified>
</cp:coreProperties>
</file>