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80"/>
        <w:ind w:left="0" w:right="0" w:firstLine="360"/>
        <w:jc w:val="left"/>
        <w:rPr/>
      </w:pPr>
      <w:r>
        <w:rPr/>
      </w:r>
    </w:p>
    <w:p>
      <w:pPr>
        <w:pStyle w:val="TextBody"/>
        <w:bidi w:val="0"/>
        <w:spacing w:before="100" w:after="283"/>
        <w:jc w:val="center"/>
        <w:rPr/>
      </w:pPr>
      <w:r>
        <w:rPr/>
      </w:r>
    </w:p>
    <w:p>
      <w:pPr>
        <w:pStyle w:val="TextBody"/>
        <w:bidi w:val="0"/>
        <w:spacing w:before="0" w:after="0"/>
        <w:ind w:left="0" w:right="0" w:firstLine="360"/>
        <w:jc w:val="center"/>
        <w:rPr/>
      </w:pPr>
      <w:r>
        <w:rPr/>
      </w:r>
    </w:p>
    <w:p>
      <w:pPr>
        <w:pStyle w:val="TextBody"/>
        <w:bidi w:val="0"/>
        <w:spacing w:before="0" w:after="180"/>
        <w:ind w:left="0" w:right="0" w:firstLine="360"/>
        <w:jc w:val="center"/>
        <w:rPr/>
      </w:pPr>
      <w:r>
        <w:rPr/>
      </w:r>
    </w:p>
    <w:p>
      <w:pPr>
        <w:pStyle w:val="TextBody"/>
        <w:bidi w:val="0"/>
        <w:spacing w:lineRule="auto" w:line="288" w:before="0" w:after="180"/>
        <w:ind w:left="0" w:right="0" w:firstLine="360"/>
        <w:jc w:val="center"/>
        <w:rPr>
          <w:rFonts w:ascii="Arial;sans-serif" w:hAnsi="Arial;sans-serif"/>
          <w:b/>
          <w:color w:val="000000"/>
          <w:sz w:val="24"/>
        </w:rPr>
      </w:pPr>
      <w:r>
        <w:rPr>
          <w:rFonts w:ascii="Arial;sans-serif" w:hAnsi="Arial;sans-serif"/>
          <w:b/>
          <w:color w:val="000000"/>
          <w:sz w:val="24"/>
        </w:rPr>
        <w:t xml:space="preserve">UNITED STATES </w:t>
      </w:r>
    </w:p>
    <w:p>
      <w:pPr>
        <w:pStyle w:val="TextBody"/>
        <w:bidi w:val="0"/>
        <w:spacing w:lineRule="auto" w:line="240" w:before="0" w:after="120"/>
        <w:jc w:val="center"/>
        <w:rPr>
          <w:rFonts w:ascii="Arial;sans-serif" w:hAnsi="Arial;sans-serif"/>
          <w:b/>
          <w:color w:val="000000"/>
          <w:sz w:val="24"/>
        </w:rPr>
      </w:pPr>
      <w:r>
        <w:rPr>
          <w:rFonts w:ascii="Arial;sans-serif" w:hAnsi="Arial;sans-serif"/>
          <w:b/>
          <w:color w:val="000000"/>
          <w:sz w:val="24"/>
        </w:rPr>
        <w:t xml:space="preserve">SECURITIES AND EXCHANGE COMMISSION </w:t>
      </w:r>
    </w:p>
    <w:p>
      <w:pPr>
        <w:pStyle w:val="TextBody"/>
        <w:bidi w:val="0"/>
        <w:spacing w:lineRule="auto" w:line="240" w:before="0" w:after="0"/>
        <w:jc w:val="center"/>
        <w:rPr/>
      </w:pPr>
      <w:r>
        <w:rPr>
          <w:rFonts w:ascii="Arial;sans-serif" w:hAnsi="Arial;sans-serif"/>
          <w:b/>
          <w:color w:val="000000"/>
          <w:sz w:val="18"/>
        </w:rPr>
        <w:t>Washington, D.C. 20549</w:t>
      </w:r>
      <w:r>
        <w:rPr>
          <w:color w:val="000000"/>
        </w:rPr>
        <w:t xml:space="preserve">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0"/>
              <w:jc w:val="center"/>
              <w:rPr/>
            </w:pPr>
            <w:r>
              <w:rPr/>
            </w:r>
          </w:p>
        </w:tc>
      </w:tr>
    </w:tbl>
    <w:p>
      <w:pPr>
        <w:pStyle w:val="TextBody"/>
        <w:bidi w:val="0"/>
        <w:spacing w:lineRule="auto" w:line="240" w:before="0" w:after="100"/>
        <w:ind w:left="0" w:right="0" w:firstLine="360"/>
        <w:jc w:val="center"/>
        <w:rPr>
          <w:rFonts w:ascii="Arial;sans-serif" w:hAnsi="Arial;sans-serif"/>
          <w:b/>
          <w:color w:val="000000"/>
          <w:sz w:val="24"/>
        </w:rPr>
      </w:pPr>
      <w:r>
        <w:rPr>
          <w:rFonts w:ascii="Arial;sans-serif" w:hAnsi="Arial;sans-serif"/>
          <w:b/>
          <w:color w:val="000000"/>
          <w:sz w:val="24"/>
        </w:rPr>
        <w:t>FORM 10-Q</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0"/>
              <w:jc w:val="center"/>
              <w:rPr/>
            </w:pPr>
            <w:r>
              <w:rPr/>
            </w:r>
          </w:p>
        </w:tc>
      </w:tr>
    </w:tbl>
    <w:p>
      <w:pPr>
        <w:pStyle w:val="TextBody"/>
        <w:bidi w:val="0"/>
        <w:spacing w:lineRule="auto" w:line="240" w:before="0" w:after="0"/>
        <w:ind w:left="0" w:right="0" w:firstLine="360"/>
        <w:jc w:val="left"/>
        <w:rPr>
          <w:rFonts w:ascii="Arial;sans-serif" w:hAnsi="Arial;sans-serif"/>
          <w:b/>
          <w:color w:val="000000"/>
          <w:sz w:val="16"/>
        </w:rPr>
      </w:pPr>
      <w:r>
        <w:rPr>
          <w:rFonts w:ascii="Arial;sans-serif" w:hAnsi="Arial;sans-serif"/>
          <w:b/>
          <w:color w:val="000000"/>
          <w:sz w:val="16"/>
        </w:rPr>
        <w:t>(Mark One)</w:t>
      </w:r>
    </w:p>
    <w:tbl>
      <w:tblPr>
        <w:tblW w:w="9057" w:type="dxa"/>
        <w:jc w:val="left"/>
        <w:tblInd w:w="0" w:type="dxa"/>
        <w:tblLayout w:type="fixed"/>
        <w:tblCellMar>
          <w:top w:w="28" w:type="dxa"/>
          <w:left w:w="28" w:type="dxa"/>
          <w:bottom w:w="28" w:type="dxa"/>
          <w:right w:w="28" w:type="dxa"/>
        </w:tblCellMar>
      </w:tblPr>
      <w:tblGrid>
        <w:gridCol w:w="124"/>
        <w:gridCol w:w="109"/>
        <w:gridCol w:w="109"/>
        <w:gridCol w:w="2553"/>
        <w:gridCol w:w="2553"/>
        <w:gridCol w:w="360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3" w:type="dxa"/>
            <w:tcBorders/>
            <w:vAlign w:val="center"/>
          </w:tcPr>
          <w:p>
            <w:pPr>
              <w:pStyle w:val="TableContents"/>
              <w:bidi w:val="0"/>
              <w:spacing w:before="0" w:after="283"/>
              <w:jc w:val="left"/>
              <w:rPr>
                <w:sz w:val="4"/>
                <w:szCs w:val="4"/>
              </w:rPr>
            </w:pPr>
            <w:r>
              <w:rPr>
                <w:sz w:val="4"/>
                <w:szCs w:val="4"/>
              </w:rPr>
            </w:r>
          </w:p>
        </w:tc>
        <w:tc>
          <w:tcPr>
            <w:tcW w:w="2553" w:type="dxa"/>
            <w:tcBorders/>
            <w:vAlign w:val="center"/>
          </w:tcPr>
          <w:p>
            <w:pPr>
              <w:pStyle w:val="TableContents"/>
              <w:bidi w:val="0"/>
              <w:spacing w:before="0" w:after="283"/>
              <w:jc w:val="left"/>
              <w:rPr>
                <w:sz w:val="4"/>
                <w:szCs w:val="4"/>
              </w:rPr>
            </w:pPr>
            <w:r>
              <w:rPr>
                <w:sz w:val="4"/>
                <w:szCs w:val="4"/>
              </w:rPr>
            </w:r>
          </w:p>
        </w:tc>
        <w:tc>
          <w:tcPr>
            <w:tcW w:w="360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8715" w:type="dxa"/>
            <w:gridSpan w:val="3"/>
            <w:tcBorders/>
            <w:tcMar>
              <w:top w:w="0" w:type="dxa"/>
              <w:left w:w="0" w:type="dxa"/>
              <w:bottom w:w="0" w:type="dxa"/>
              <w:right w:w="0" w:type="dxa"/>
            </w:tcMar>
            <w:vAlign w:val="center"/>
          </w:tcPr>
          <w:p>
            <w:pPr>
              <w:pStyle w:val="TableContents"/>
              <w:bidi w:val="0"/>
              <w:spacing w:lineRule="auto" w:line="240" w:before="0" w:after="0"/>
              <w:ind w:left="0" w:right="0" w:hanging="0"/>
              <w:jc w:val="left"/>
              <w:rPr>
                <w:color w:val="000000"/>
              </w:rPr>
            </w:pPr>
            <w:r>
              <w:rPr>
                <w:color w:val="000000"/>
              </w:rPr>
              <w:t> </w:t>
            </w:r>
            <w:r>
              <w:rPr>
                <w:rFonts w:ascii="Arial;sans-serif" w:hAnsi="Arial;sans-serif"/>
                <w:b/>
                <w:color w:val="000000"/>
                <w:sz w:val="16"/>
              </w:rPr>
              <w:t>QUARTERLY REPORT PURSUANT TO SECTION 13 OR 15(d) OF THE SECURITIES EXCHANGE ACT OF 1934</w:t>
            </w:r>
          </w:p>
        </w:tc>
      </w:tr>
    </w:tbl>
    <w:p>
      <w:pPr>
        <w:pStyle w:val="TextBody"/>
        <w:bidi w:val="0"/>
        <w:spacing w:lineRule="auto" w:line="240" w:before="0" w:after="80"/>
        <w:jc w:val="left"/>
        <w:rPr>
          <w:rFonts w:ascii="Arial;sans-serif" w:hAnsi="Arial;sans-serif"/>
          <w:b w:val="false"/>
          <w:color w:val="000000"/>
          <w:sz w:val="16"/>
        </w:rPr>
      </w:pPr>
      <w:r>
        <w:rPr>
          <w:rFonts w:ascii="Arial;sans-serif" w:hAnsi="Arial;sans-serif"/>
          <w:b w:val="false"/>
          <w:color w:val="000000"/>
          <w:sz w:val="16"/>
        </w:rPr>
        <w:t xml:space="preserve">For the quarterly period ended March 31, 2026 </w:t>
      </w:r>
    </w:p>
    <w:p>
      <w:pPr>
        <w:pStyle w:val="TextBody"/>
        <w:bidi w:val="0"/>
        <w:spacing w:lineRule="auto" w:line="240" w:before="0" w:after="80"/>
        <w:jc w:val="left"/>
        <w:rPr>
          <w:rFonts w:ascii="Arial;sans-serif" w:hAnsi="Arial;sans-serif"/>
          <w:b w:val="false"/>
          <w:color w:val="000000"/>
          <w:sz w:val="16"/>
        </w:rPr>
      </w:pPr>
      <w:r>
        <w:rPr>
          <w:rFonts w:ascii="Arial;sans-serif" w:hAnsi="Arial;sans-serif"/>
          <w:b w:val="false"/>
          <w:color w:val="000000"/>
          <w:sz w:val="16"/>
        </w:rPr>
        <w:t>OR</w:t>
      </w:r>
    </w:p>
    <w:tbl>
      <w:tblPr>
        <w:tblW w:w="9041" w:type="dxa"/>
        <w:jc w:val="left"/>
        <w:tblInd w:w="0" w:type="dxa"/>
        <w:tblLayout w:type="fixed"/>
        <w:tblCellMar>
          <w:top w:w="28" w:type="dxa"/>
          <w:left w:w="28" w:type="dxa"/>
          <w:bottom w:w="28" w:type="dxa"/>
          <w:right w:w="28" w:type="dxa"/>
        </w:tblCellMar>
      </w:tblPr>
      <w:tblGrid>
        <w:gridCol w:w="124"/>
        <w:gridCol w:w="109"/>
        <w:gridCol w:w="109"/>
        <w:gridCol w:w="2544"/>
        <w:gridCol w:w="2544"/>
        <w:gridCol w:w="361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4" w:type="dxa"/>
            <w:tcBorders/>
            <w:vAlign w:val="center"/>
          </w:tcPr>
          <w:p>
            <w:pPr>
              <w:pStyle w:val="TableContents"/>
              <w:bidi w:val="0"/>
              <w:spacing w:before="0" w:after="283"/>
              <w:jc w:val="left"/>
              <w:rPr>
                <w:sz w:val="4"/>
                <w:szCs w:val="4"/>
              </w:rPr>
            </w:pPr>
            <w:r>
              <w:rPr>
                <w:sz w:val="4"/>
                <w:szCs w:val="4"/>
              </w:rPr>
            </w:r>
          </w:p>
        </w:tc>
        <w:tc>
          <w:tcPr>
            <w:tcW w:w="2544" w:type="dxa"/>
            <w:tcBorders/>
            <w:vAlign w:val="center"/>
          </w:tcPr>
          <w:p>
            <w:pPr>
              <w:pStyle w:val="TableContents"/>
              <w:bidi w:val="0"/>
              <w:spacing w:before="0" w:after="283"/>
              <w:jc w:val="left"/>
              <w:rPr>
                <w:sz w:val="4"/>
                <w:szCs w:val="4"/>
              </w:rPr>
            </w:pPr>
            <w:r>
              <w:rPr>
                <w:sz w:val="4"/>
                <w:szCs w:val="4"/>
              </w:rPr>
            </w:r>
          </w:p>
        </w:tc>
        <w:tc>
          <w:tcPr>
            <w:tcW w:w="361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869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color w:val="000000"/>
                <w:sz w:val="16"/>
              </w:rPr>
              <w:t>TRANSITION REPORT PURSUANT TO SECTION 13 OR 15(d) OF THE SECURITIES EXCHANGE ACT OF 1934</w:t>
            </w:r>
          </w:p>
        </w:tc>
      </w:tr>
    </w:tbl>
    <w:p>
      <w:pPr>
        <w:pStyle w:val="TextBody"/>
        <w:bidi w:val="0"/>
        <w:spacing w:lineRule="auto" w:line="240" w:before="0" w:after="180"/>
        <w:jc w:val="left"/>
        <w:rPr>
          <w:rFonts w:ascii="Arial;sans-serif" w:hAnsi="Arial;sans-serif"/>
          <w:b w:val="false"/>
          <w:color w:val="000000"/>
          <w:sz w:val="16"/>
        </w:rPr>
      </w:pPr>
      <w:r>
        <w:rPr>
          <w:rFonts w:ascii="Arial;sans-serif" w:hAnsi="Arial;sans-serif"/>
          <w:b w:val="false"/>
          <w:color w:val="000000"/>
          <w:sz w:val="16"/>
        </w:rPr>
        <w:t>For the transition period from __________ to __________</w:t>
      </w:r>
    </w:p>
    <w:p>
      <w:pPr>
        <w:pStyle w:val="TextBody"/>
        <w:bidi w:val="0"/>
        <w:spacing w:lineRule="auto" w:line="240" w:before="0" w:after="0"/>
        <w:jc w:val="center"/>
        <w:rPr>
          <w:rFonts w:ascii="Arial;sans-serif" w:hAnsi="Arial;sans-serif"/>
          <w:b/>
          <w:color w:val="000000"/>
          <w:sz w:val="16"/>
        </w:rPr>
      </w:pPr>
      <w:r>
        <w:rPr>
          <w:rFonts w:ascii="Arial;sans-serif" w:hAnsi="Arial;sans-serif"/>
          <w:b/>
          <w:color w:val="000000"/>
          <w:sz w:val="16"/>
        </w:rPr>
        <w:t>Commission File Number: 001-37388</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0"/>
              <w:jc w:val="center"/>
              <w:rPr/>
            </w:pPr>
            <w:r>
              <w:rPr/>
            </w:r>
          </w:p>
        </w:tc>
      </w:tr>
    </w:tbl>
    <w:p>
      <w:pPr>
        <w:pStyle w:val="TextBody"/>
        <w:bidi w:val="0"/>
        <w:spacing w:lineRule="auto" w:line="240" w:before="120" w:after="283"/>
        <w:ind w:left="0" w:right="0" w:firstLine="360"/>
        <w:jc w:val="center"/>
        <w:rPr>
          <w:rFonts w:ascii="Arial;sans-serif" w:hAnsi="Arial;sans-serif"/>
          <w:b/>
          <w:color w:val="000000"/>
          <w:sz w:val="32"/>
        </w:rPr>
      </w:pPr>
      <w:r>
        <w:rPr>
          <w:rFonts w:ascii="Arial;sans-serif" w:hAnsi="Arial;sans-serif"/>
          <w:b/>
          <w:color w:val="000000"/>
          <w:sz w:val="32"/>
        </w:rPr>
        <w:t>Talen Energy Corporation</w:t>
      </w:r>
    </w:p>
    <w:p>
      <w:pPr>
        <w:pStyle w:val="TextBody"/>
        <w:bidi w:val="0"/>
        <w:spacing w:lineRule="auto" w:line="240" w:before="0" w:after="100"/>
        <w:jc w:val="center"/>
        <w:rPr>
          <w:rFonts w:ascii="Arial;sans-serif" w:hAnsi="Arial;sans-serif"/>
          <w:b/>
          <w:color w:val="000000"/>
          <w:sz w:val="16"/>
        </w:rPr>
      </w:pPr>
      <w:r>
        <w:rPr>
          <w:rFonts w:ascii="Arial;sans-serif" w:hAnsi="Arial;sans-serif"/>
          <w:b/>
          <w:color w:val="000000"/>
          <w:sz w:val="16"/>
        </w:rPr>
        <w:t xml:space="preserve">(Exact name of registrant as specified in its charter)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0"/>
              <w:jc w:val="center"/>
              <w:rPr/>
            </w:pPr>
            <w:r>
              <w:rPr/>
            </w:r>
          </w:p>
        </w:tc>
      </w:tr>
    </w:tbl>
    <w:tbl>
      <w:tblPr>
        <w:tblW w:w="6268" w:type="dxa"/>
        <w:jc w:val="center"/>
        <w:tblInd w:w="0" w:type="dxa"/>
        <w:tblLayout w:type="fixed"/>
        <w:tblCellMar>
          <w:top w:w="28" w:type="dxa"/>
          <w:left w:w="28" w:type="dxa"/>
          <w:bottom w:w="28" w:type="dxa"/>
          <w:right w:w="28" w:type="dxa"/>
        </w:tblCellMar>
      </w:tblPr>
      <w:tblGrid>
        <w:gridCol w:w="1479"/>
        <w:gridCol w:w="1303"/>
        <w:gridCol w:w="1312"/>
        <w:gridCol w:w="635"/>
        <w:gridCol w:w="635"/>
        <w:gridCol w:w="904"/>
      </w:tblGrid>
      <w:tr>
        <w:trPr/>
        <w:tc>
          <w:tcPr>
            <w:tcW w:w="1479" w:type="dxa"/>
            <w:tcBorders/>
            <w:vAlign w:val="center"/>
          </w:tcPr>
          <w:p>
            <w:pPr>
              <w:pStyle w:val="TableContents"/>
              <w:bidi w:val="0"/>
              <w:spacing w:before="0" w:after="283"/>
              <w:jc w:val="left"/>
              <w:rPr>
                <w:sz w:val="4"/>
                <w:szCs w:val="4"/>
              </w:rPr>
            </w:pPr>
            <w:r>
              <w:rPr>
                <w:sz w:val="4"/>
                <w:szCs w:val="4"/>
              </w:rPr>
            </w:r>
          </w:p>
        </w:tc>
        <w:tc>
          <w:tcPr>
            <w:tcW w:w="1303" w:type="dxa"/>
            <w:tcBorders/>
            <w:vAlign w:val="center"/>
          </w:tcPr>
          <w:p>
            <w:pPr>
              <w:pStyle w:val="TableContents"/>
              <w:bidi w:val="0"/>
              <w:spacing w:before="0" w:after="283"/>
              <w:jc w:val="left"/>
              <w:rPr>
                <w:sz w:val="4"/>
                <w:szCs w:val="4"/>
              </w:rPr>
            </w:pPr>
            <w:r>
              <w:rPr>
                <w:sz w:val="4"/>
                <w:szCs w:val="4"/>
              </w:rPr>
            </w:r>
          </w:p>
        </w:tc>
        <w:tc>
          <w:tcPr>
            <w:tcW w:w="1312"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r>
      <w:tr>
        <w:trPr/>
        <w:tc>
          <w:tcPr>
            <w:tcW w:w="40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Delaware</w:t>
            </w:r>
          </w:p>
        </w:tc>
        <w:tc>
          <w:tcPr>
            <w:tcW w:w="21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47-1197305</w:t>
            </w:r>
          </w:p>
        </w:tc>
      </w:tr>
      <w:tr>
        <w:trPr/>
        <w:tc>
          <w:tcPr>
            <w:tcW w:w="4094" w:type="dxa"/>
            <w:gridSpan w:val="3"/>
            <w:tcBorders/>
            <w:tcMar>
              <w:top w:w="0" w:type="dxa"/>
              <w:left w:w="0" w:type="dxa"/>
              <w:bottom w:w="0" w:type="dxa"/>
              <w:right w:w="0" w:type="dxa"/>
            </w:tcMar>
            <w:vAlign w:val="center"/>
          </w:tcPr>
          <w:p>
            <w:pPr>
              <w:pStyle w:val="TableContents"/>
              <w:bidi w:val="0"/>
              <w:spacing w:lineRule="auto" w:line="266" w:before="0" w:after="180"/>
              <w:ind w:left="0" w:right="0" w:firstLine="360"/>
              <w:jc w:val="center"/>
              <w:rPr>
                <w:rFonts w:ascii="Arial;sans-serif" w:hAnsi="Arial;sans-serif"/>
                <w:b w:val="false"/>
                <w:color w:val="000000"/>
                <w:sz w:val="14"/>
              </w:rPr>
            </w:pPr>
            <w:r>
              <w:rPr>
                <w:rFonts w:ascii="Arial;sans-serif" w:hAnsi="Arial;sans-serif"/>
                <w:b w:val="false"/>
                <w:color w:val="000000"/>
                <w:sz w:val="14"/>
              </w:rPr>
              <w:t>(State or other jurisdiction of incorporation or organization)</w:t>
            </w:r>
          </w:p>
        </w:tc>
        <w:tc>
          <w:tcPr>
            <w:tcW w:w="2174" w:type="dxa"/>
            <w:gridSpan w:val="3"/>
            <w:tcBorders/>
            <w:tcMar>
              <w:top w:w="0" w:type="dxa"/>
              <w:left w:w="0" w:type="dxa"/>
              <w:bottom w:w="0" w:type="dxa"/>
              <w:right w:w="0" w:type="dxa"/>
            </w:tcMar>
            <w:vAlign w:val="center"/>
          </w:tcPr>
          <w:p>
            <w:pPr>
              <w:pStyle w:val="TableContents"/>
              <w:bidi w:val="0"/>
              <w:spacing w:lineRule="auto" w:line="266" w:before="0" w:after="283"/>
              <w:jc w:val="center"/>
              <w:rPr>
                <w:rFonts w:ascii="Arial;sans-serif" w:hAnsi="Arial;sans-serif"/>
                <w:b w:val="false"/>
                <w:color w:val="000000"/>
                <w:sz w:val="14"/>
              </w:rPr>
            </w:pPr>
            <w:r>
              <w:rPr>
                <w:rFonts w:ascii="Arial;sans-serif" w:hAnsi="Arial;sans-serif"/>
                <w:b w:val="false"/>
                <w:color w:val="000000"/>
                <w:sz w:val="14"/>
              </w:rPr>
              <w:t>(IRS Employer Identification No.)</w:t>
            </w:r>
          </w:p>
        </w:tc>
      </w:tr>
    </w:tbl>
    <w:p>
      <w:pPr>
        <w:pStyle w:val="TextBody"/>
        <w:bidi w:val="0"/>
        <w:spacing w:lineRule="auto" w:line="240" w:before="0" w:after="60"/>
        <w:jc w:val="center"/>
        <w:rPr>
          <w:rFonts w:ascii="Arial;sans-serif" w:hAnsi="Arial;sans-serif"/>
          <w:b/>
          <w:color w:val="000000"/>
          <w:sz w:val="16"/>
        </w:rPr>
      </w:pPr>
      <w:r>
        <w:rPr>
          <w:rFonts w:ascii="Arial;sans-serif" w:hAnsi="Arial;sans-serif"/>
          <w:b/>
          <w:color w:val="000000"/>
          <w:sz w:val="16"/>
        </w:rPr>
        <w:t>2929 Allen Pkwy, Suite 2200, Houston, TX 77019</w:t>
      </w:r>
    </w:p>
    <w:p>
      <w:pPr>
        <w:pStyle w:val="TextBody"/>
        <w:bidi w:val="0"/>
        <w:spacing w:lineRule="auto" w:line="240" w:before="0" w:after="180"/>
        <w:jc w:val="center"/>
        <w:rPr>
          <w:rFonts w:ascii="Arial;sans-serif" w:hAnsi="Arial;sans-serif"/>
          <w:b w:val="false"/>
          <w:color w:val="000000"/>
          <w:sz w:val="14"/>
        </w:rPr>
      </w:pPr>
      <w:r>
        <w:rPr>
          <w:rFonts w:ascii="Arial;sans-serif" w:hAnsi="Arial;sans-serif"/>
          <w:b w:val="false"/>
          <w:color w:val="000000"/>
          <w:sz w:val="14"/>
        </w:rPr>
        <w:t>(Address of principal executive offices) (Zip Code)</w:t>
      </w:r>
    </w:p>
    <w:p>
      <w:pPr>
        <w:pStyle w:val="TextBody"/>
        <w:bidi w:val="0"/>
        <w:spacing w:lineRule="auto" w:line="240" w:before="120" w:after="283"/>
        <w:ind w:left="0" w:right="0" w:firstLine="360"/>
        <w:jc w:val="center"/>
        <w:rPr>
          <w:rFonts w:ascii="Arial;sans-serif" w:hAnsi="Arial;sans-serif"/>
          <w:b/>
          <w:color w:val="000000"/>
          <w:sz w:val="16"/>
        </w:rPr>
      </w:pPr>
      <w:r>
        <w:rPr>
          <w:rFonts w:ascii="Arial;sans-serif" w:hAnsi="Arial;sans-serif"/>
          <w:b/>
          <w:color w:val="000000"/>
          <w:sz w:val="16"/>
        </w:rPr>
        <w:t xml:space="preserve">(888) 211-6011 </w:t>
      </w:r>
    </w:p>
    <w:p>
      <w:pPr>
        <w:pStyle w:val="TextBody"/>
        <w:bidi w:val="0"/>
        <w:spacing w:lineRule="auto" w:line="240" w:before="0" w:after="180"/>
        <w:jc w:val="center"/>
        <w:rPr>
          <w:rFonts w:ascii="Arial;sans-serif" w:hAnsi="Arial;sans-serif"/>
          <w:b w:val="false"/>
          <w:color w:val="000000"/>
          <w:sz w:val="14"/>
        </w:rPr>
      </w:pPr>
      <w:r>
        <w:rPr>
          <w:rFonts w:ascii="Arial;sans-serif" w:hAnsi="Arial;sans-serif"/>
          <w:b w:val="false"/>
          <w:color w:val="000000"/>
          <w:sz w:val="14"/>
        </w:rPr>
        <w:t xml:space="preserve">(Registrant’s telephone number, including area code) </w:t>
      </w:r>
    </w:p>
    <w:p>
      <w:pPr>
        <w:pStyle w:val="TextBody"/>
        <w:bidi w:val="0"/>
        <w:spacing w:lineRule="auto" w:line="240" w:before="0" w:after="0"/>
        <w:jc w:val="center"/>
        <w:rPr>
          <w:rFonts w:ascii="Arial;sans-serif" w:hAnsi="Arial;sans-serif"/>
          <w:b/>
          <w:color w:val="000000"/>
          <w:sz w:val="16"/>
        </w:rPr>
      </w:pPr>
      <w:r>
        <w:rPr>
          <w:rFonts w:ascii="Arial;sans-serif" w:hAnsi="Arial;sans-serif"/>
          <w:b/>
          <w:color w:val="000000"/>
          <w:sz w:val="16"/>
        </w:rPr>
        <w:t xml:space="preserve">Not applicable </w:t>
      </w:r>
    </w:p>
    <w:p>
      <w:pPr>
        <w:pStyle w:val="TextBody"/>
        <w:bidi w:val="0"/>
        <w:spacing w:lineRule="auto" w:line="240" w:before="0" w:after="180"/>
        <w:jc w:val="center"/>
        <w:rPr>
          <w:rFonts w:ascii="Arial;sans-serif" w:hAnsi="Arial;sans-serif"/>
          <w:b w:val="false"/>
          <w:color w:val="000000"/>
          <w:sz w:val="14"/>
        </w:rPr>
      </w:pPr>
      <w:r>
        <w:rPr>
          <w:rFonts w:ascii="Arial;sans-serif" w:hAnsi="Arial;sans-serif"/>
          <w:b w:val="false"/>
          <w:color w:val="000000"/>
          <w:sz w:val="14"/>
        </w:rPr>
        <w:t>(Former name, former address and former fiscal year, if changed since last report)</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0"/>
              <w:jc w:val="center"/>
              <w:rPr/>
            </w:pPr>
            <w:r>
              <w:rPr/>
            </w:r>
          </w:p>
        </w:tc>
      </w:tr>
    </w:tbl>
    <w:p>
      <w:pPr>
        <w:pStyle w:val="TextBody"/>
        <w:bidi w:val="0"/>
        <w:spacing w:lineRule="auto" w:line="240" w:before="0" w:after="100"/>
        <w:ind w:left="0" w:right="0" w:firstLine="360"/>
        <w:jc w:val="center"/>
        <w:rPr>
          <w:rFonts w:ascii="Arial;sans-serif" w:hAnsi="Arial;sans-serif"/>
          <w:b/>
          <w:color w:val="000000"/>
          <w:sz w:val="16"/>
        </w:rPr>
      </w:pPr>
      <w:r>
        <w:rPr>
          <w:rFonts w:ascii="Arial;sans-serif" w:hAnsi="Arial;sans-serif"/>
          <w:b/>
          <w:color w:val="000000"/>
          <w:sz w:val="16"/>
        </w:rPr>
        <w:t xml:space="preserve">Securities registered pursuant to Section 12(b) of the Act: </w:t>
      </w:r>
    </w:p>
    <w:p>
      <w:pPr>
        <w:pStyle w:val="TextBody"/>
        <w:bidi w:val="0"/>
        <w:spacing w:before="0" w:after="0"/>
        <w:jc w:val="left"/>
        <w:rPr/>
      </w:pPr>
      <w:r>
        <w:rPr/>
      </w:r>
    </w:p>
    <w:tbl>
      <w:tblPr>
        <w:tblW w:w="9171" w:type="dxa"/>
        <w:jc w:val="center"/>
        <w:tblInd w:w="0" w:type="dxa"/>
        <w:tblLayout w:type="fixed"/>
        <w:tblCellMar>
          <w:top w:w="28" w:type="dxa"/>
          <w:left w:w="28" w:type="dxa"/>
          <w:bottom w:w="28" w:type="dxa"/>
          <w:right w:w="28" w:type="dxa"/>
        </w:tblCellMar>
      </w:tblPr>
      <w:tblGrid>
        <w:gridCol w:w="1187"/>
        <w:gridCol w:w="1042"/>
        <w:gridCol w:w="1055"/>
        <w:gridCol w:w="109"/>
        <w:gridCol w:w="109"/>
        <w:gridCol w:w="109"/>
        <w:gridCol w:w="524"/>
        <w:gridCol w:w="524"/>
        <w:gridCol w:w="526"/>
        <w:gridCol w:w="109"/>
        <w:gridCol w:w="109"/>
        <w:gridCol w:w="109"/>
        <w:gridCol w:w="1071"/>
        <w:gridCol w:w="1071"/>
        <w:gridCol w:w="1517"/>
      </w:tblGrid>
      <w:tr>
        <w:trPr/>
        <w:tc>
          <w:tcPr>
            <w:tcW w:w="1187"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1517" w:type="dxa"/>
            <w:tcBorders/>
            <w:vAlign w:val="center"/>
          </w:tcPr>
          <w:p>
            <w:pPr>
              <w:pStyle w:val="TableContents"/>
              <w:bidi w:val="0"/>
              <w:spacing w:before="0" w:after="283"/>
              <w:jc w:val="left"/>
              <w:rPr>
                <w:sz w:val="4"/>
                <w:szCs w:val="4"/>
              </w:rPr>
            </w:pPr>
            <w:r>
              <w:rPr>
                <w:sz w:val="4"/>
                <w:szCs w:val="4"/>
              </w:rPr>
            </w:r>
          </w:p>
        </w:tc>
      </w:tr>
      <w:tr>
        <w:trPr/>
        <w:tc>
          <w:tcPr>
            <w:tcW w:w="32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Name of each exchange on which registered</w:t>
            </w:r>
          </w:p>
        </w:tc>
      </w:tr>
      <w:tr>
        <w:trPr/>
        <w:tc>
          <w:tcPr>
            <w:tcW w:w="32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Common stock, par value $0.001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TLN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The Nasdaq Global Select Market</w:t>
            </w:r>
          </w:p>
        </w:tc>
      </w:tr>
    </w:tbl>
    <w:p>
      <w:pPr>
        <w:pStyle w:val="TextBody"/>
        <w:bidi w:val="0"/>
        <w:spacing w:lineRule="auto" w:line="240" w:before="0" w:after="180"/>
        <w:jc w:val="left"/>
        <w:rPr>
          <w:rFonts w:ascii="Arial;sans-serif" w:hAnsi="Arial;sans-serif"/>
          <w:b w:val="false"/>
          <w:color w:val="000000"/>
          <w:sz w:val="16"/>
        </w:rPr>
      </w:pPr>
      <w:r>
        <w:rPr>
          <w:rFonts w:ascii="Arial;sans-serif" w:hAnsi="Arial;sans-serif"/>
          <w:b w:val="false"/>
          <w:color w:val="000000"/>
          <w:sz w:val="16"/>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 </w:t>
      </w:r>
    </w:p>
    <w:p>
      <w:pPr>
        <w:pStyle w:val="TextBody"/>
        <w:bidi w:val="0"/>
        <w:spacing w:lineRule="auto" w:line="240" w:before="0" w:after="180"/>
        <w:jc w:val="left"/>
        <w:rPr>
          <w:rFonts w:ascii="Arial;sans-serif" w:hAnsi="Arial;sans-serif"/>
          <w:b w:val="false"/>
          <w:color w:val="000000"/>
          <w:sz w:val="16"/>
        </w:rPr>
      </w:pPr>
      <w:r>
        <w:rPr>
          <w:rFonts w:ascii="Arial;sans-serif" w:hAnsi="Arial;sans-serif"/>
          <w:b w:val="false"/>
          <w:color w:val="000000"/>
          <w:sz w:val="16"/>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 No ☐ </w:t>
      </w:r>
    </w:p>
    <w:p>
      <w:pPr>
        <w:pStyle w:val="TextBody"/>
        <w:bidi w:val="0"/>
        <w:spacing w:lineRule="auto" w:line="240" w:before="0" w:after="180"/>
        <w:jc w:val="left"/>
        <w:rPr>
          <w:rFonts w:ascii="Arial;sans-serif" w:hAnsi="Arial;sans-serif"/>
          <w:b w:val="false"/>
          <w:color w:val="000000"/>
          <w:sz w:val="16"/>
        </w:rPr>
      </w:pPr>
      <w:r>
        <w:rPr>
          <w:rFonts w:ascii="Arial;sans-serif" w:hAnsi="Arial;sans-serif"/>
          <w:b w:val="false"/>
          <w:color w:val="000000"/>
          <w:sz w:val="16"/>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559"/>
        <w:gridCol w:w="559"/>
        <w:gridCol w:w="561"/>
        <w:gridCol w:w="109"/>
        <w:gridCol w:w="109"/>
        <w:gridCol w:w="109"/>
        <w:gridCol w:w="418"/>
        <w:gridCol w:w="418"/>
        <w:gridCol w:w="420"/>
        <w:gridCol w:w="109"/>
        <w:gridCol w:w="109"/>
        <w:gridCol w:w="109"/>
        <w:gridCol w:w="533"/>
        <w:gridCol w:w="533"/>
        <w:gridCol w:w="535"/>
        <w:gridCol w:w="109"/>
        <w:gridCol w:w="109"/>
        <w:gridCol w:w="109"/>
        <w:gridCol w:w="660"/>
        <w:gridCol w:w="660"/>
        <w:gridCol w:w="663"/>
        <w:gridCol w:w="109"/>
        <w:gridCol w:w="109"/>
        <w:gridCol w:w="109"/>
        <w:gridCol w:w="593"/>
        <w:gridCol w:w="593"/>
        <w:gridCol w:w="85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2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6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9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Smaller reporting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203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Emerging growth company</w:t>
            </w:r>
          </w:p>
        </w:tc>
      </w:tr>
    </w:tbl>
    <w:p>
      <w:pPr>
        <w:pStyle w:val="TextBody"/>
        <w:bidi w:val="0"/>
        <w:spacing w:lineRule="auto" w:line="240" w:before="0" w:after="180"/>
        <w:jc w:val="left"/>
        <w:rPr>
          <w:rFonts w:ascii="Arial;sans-serif" w:hAnsi="Arial;sans-serif"/>
          <w:b w:val="false"/>
          <w:color w:val="000000"/>
          <w:sz w:val="16"/>
        </w:rPr>
      </w:pPr>
      <w:r>
        <w:rPr>
          <w:rFonts w:ascii="Arial;sans-serif" w:hAnsi="Arial;sans-serif"/>
          <w:b w:val="false"/>
          <w:color w:val="000000"/>
          <w:sz w:val="16"/>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lineRule="auto" w:line="240" w:before="0" w:after="180"/>
        <w:jc w:val="left"/>
        <w:rPr>
          <w:rFonts w:ascii="Arial;sans-serif" w:hAnsi="Arial;sans-serif"/>
          <w:b w:val="false"/>
          <w:color w:val="000000"/>
          <w:sz w:val="16"/>
        </w:rPr>
      </w:pPr>
      <w:r>
        <w:rPr>
          <w:rFonts w:ascii="Arial;sans-serif" w:hAnsi="Arial;sans-serif"/>
          <w:b w:val="false"/>
          <w:color w:val="000000"/>
          <w:sz w:val="16"/>
        </w:rPr>
        <w:t xml:space="preserve">Indicate by check mark whether the registrant is a shell company (as defined in Rule 12b-2 of the Exchange Act). Yes ☐ No ☒ </w:t>
      </w:r>
    </w:p>
    <w:p>
      <w:pPr>
        <w:pStyle w:val="TextBody"/>
        <w:bidi w:val="0"/>
        <w:spacing w:lineRule="auto" w:line="240" w:before="0" w:after="180"/>
        <w:jc w:val="left"/>
        <w:rPr>
          <w:rFonts w:ascii="Arial;sans-serif" w:hAnsi="Arial;sans-serif"/>
          <w:b w:val="false"/>
          <w:color w:val="000000"/>
          <w:sz w:val="16"/>
        </w:rPr>
      </w:pPr>
      <w:r>
        <w:rPr>
          <w:rFonts w:ascii="Arial;sans-serif" w:hAnsi="Arial;sans-serif"/>
          <w:b w:val="false"/>
          <w:color w:val="000000"/>
          <w:sz w:val="16"/>
        </w:rPr>
        <w:t xml:space="preserve">Indicate by check mark whether the registrant has filed all documents and reports required to be filed by Sections 12, 13 or 15(d) of the Securities Exchange Act of 1934 subsequent to the distribution of securities under a plan confirmed by a court. Yes ☐ No ☒ </w:t>
      </w:r>
    </w:p>
    <w:p>
      <w:pPr>
        <w:pStyle w:val="TextBody"/>
        <w:bidi w:val="0"/>
        <w:spacing w:lineRule="auto" w:line="240" w:before="0" w:after="180"/>
        <w:jc w:val="left"/>
        <w:rPr>
          <w:rFonts w:ascii="Arial;sans-serif" w:hAnsi="Arial;sans-serif"/>
          <w:b w:val="false"/>
          <w:color w:val="000000"/>
          <w:sz w:val="16"/>
        </w:rPr>
      </w:pPr>
      <w:r>
        <w:rPr>
          <w:rFonts w:ascii="Arial;sans-serif" w:hAnsi="Arial;sans-serif"/>
          <w:b w:val="false"/>
          <w:color w:val="000000"/>
          <w:sz w:val="16"/>
        </w:rPr>
        <w:t>As of May 5, 2026, the registrant had outstanding 45,395,007 shares of common stock, par value $0.001 per share (“common stock”).</w:t>
      </w:r>
    </w:p>
    <w:p>
      <w:pPr>
        <w:pStyle w:val="TextBody"/>
        <w:bidi w:val="0"/>
        <w:spacing w:before="0" w:after="120"/>
        <w:ind w:left="0" w:right="0" w:firstLine="36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ind w:left="0" w:right="0" w:firstLine="3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ind w:left="0" w:right="0" w:firstLine="36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180"/>
        <w:jc w:val="left"/>
        <w:rPr/>
      </w:pPr>
      <w:r>
        <w:rPr/>
      </w:r>
    </w:p>
    <w:p>
      <w:pPr>
        <w:pStyle w:val="TextBody"/>
        <w:bidi w:val="0"/>
        <w:spacing w:lineRule="auto" w:line="288" w:before="0" w:after="180"/>
        <w:jc w:val="center"/>
        <w:rPr>
          <w:rFonts w:ascii="Arial;sans-serif" w:hAnsi="Arial;sans-serif"/>
          <w:b/>
          <w:color w:val="000000"/>
          <w:sz w:val="18"/>
        </w:rPr>
      </w:pPr>
      <w:r>
        <w:rPr>
          <w:rFonts w:ascii="Arial;sans-serif" w:hAnsi="Arial;sans-serif"/>
          <w:b/>
          <w:color w:val="000000"/>
          <w:sz w:val="18"/>
        </w:rPr>
        <w:t>TALEN ENERGY CORPORATION AND SUBSIDIARIES</w:t>
      </w:r>
    </w:p>
    <w:p>
      <w:pPr>
        <w:pStyle w:val="TextBody"/>
        <w:bidi w:val="0"/>
        <w:spacing w:lineRule="auto" w:line="288" w:before="0" w:after="180"/>
        <w:jc w:val="center"/>
        <w:rPr>
          <w:rFonts w:ascii="Arial;sans-serif" w:hAnsi="Arial;sans-serif"/>
          <w:b/>
          <w:color w:val="000000"/>
          <w:sz w:val="18"/>
        </w:rPr>
      </w:pPr>
      <w:r>
        <w:rPr>
          <w:rFonts w:ascii="Arial;sans-serif" w:hAnsi="Arial;sans-serif"/>
          <w:b/>
          <w:color w:val="000000"/>
          <w:sz w:val="18"/>
        </w:rPr>
        <w:t>QUARTERLY REPORT ON FORM 10-Q</w:t>
      </w:r>
    </w:p>
    <w:p>
      <w:pPr>
        <w:pStyle w:val="TextBody"/>
        <w:bidi w:val="0"/>
        <w:spacing w:lineRule="auto" w:line="288" w:before="0" w:after="180"/>
        <w:jc w:val="center"/>
        <w:rPr>
          <w:rFonts w:ascii="Arial;sans-serif" w:hAnsi="Arial;sans-serif"/>
          <w:b/>
          <w:color w:val="000000"/>
          <w:sz w:val="18"/>
        </w:rPr>
      </w:pPr>
      <w:r>
        <w:rPr>
          <w:rFonts w:ascii="Arial;sans-serif" w:hAnsi="Arial;sans-serif"/>
          <w:b/>
          <w:color w:val="000000"/>
          <w:sz w:val="18"/>
        </w:rPr>
        <w:t>TABLE OF CONTENTS</w:t>
      </w:r>
    </w:p>
    <w:tbl>
      <w:tblPr>
        <w:tblW w:w="10205" w:type="dxa"/>
        <w:jc w:val="center"/>
        <w:tblInd w:w="0" w:type="dxa"/>
        <w:tblLayout w:type="fixed"/>
        <w:tblCellMar>
          <w:top w:w="28" w:type="dxa"/>
          <w:left w:w="28" w:type="dxa"/>
          <w:bottom w:w="28" w:type="dxa"/>
          <w:right w:w="28" w:type="dxa"/>
        </w:tblCellMar>
      </w:tblPr>
      <w:tblGrid>
        <w:gridCol w:w="631"/>
        <w:gridCol w:w="554"/>
        <w:gridCol w:w="554"/>
        <w:gridCol w:w="622"/>
        <w:gridCol w:w="620"/>
        <w:gridCol w:w="620"/>
        <w:gridCol w:w="2102"/>
        <w:gridCol w:w="1983"/>
        <w:gridCol w:w="1989"/>
        <w:gridCol w:w="154"/>
        <w:gridCol w:w="154"/>
        <w:gridCol w:w="222"/>
      </w:tblGrid>
      <w:tr>
        <w:trPr/>
        <w:tc>
          <w:tcPr>
            <w:tcW w:w="631"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2102" w:type="dxa"/>
            <w:tcBorders/>
            <w:vAlign w:val="center"/>
          </w:tcPr>
          <w:p>
            <w:pPr>
              <w:pStyle w:val="TableContents"/>
              <w:bidi w:val="0"/>
              <w:spacing w:before="0" w:after="283"/>
              <w:jc w:val="left"/>
              <w:rPr>
                <w:sz w:val="4"/>
                <w:szCs w:val="4"/>
              </w:rPr>
            </w:pPr>
            <w:r>
              <w:rPr>
                <w:sz w:val="4"/>
                <w:szCs w:val="4"/>
              </w:rPr>
            </w:r>
          </w:p>
        </w:tc>
        <w:tc>
          <w:tcPr>
            <w:tcW w:w="1983" w:type="dxa"/>
            <w:tcBorders/>
            <w:vAlign w:val="center"/>
          </w:tcPr>
          <w:p>
            <w:pPr>
              <w:pStyle w:val="TableContents"/>
              <w:bidi w:val="0"/>
              <w:spacing w:before="0" w:after="283"/>
              <w:jc w:val="left"/>
              <w:rPr>
                <w:sz w:val="4"/>
                <w:szCs w:val="4"/>
              </w:rPr>
            </w:pPr>
            <w:r>
              <w:rPr>
                <w:sz w:val="4"/>
                <w:szCs w:val="4"/>
              </w:rPr>
            </w:r>
          </w:p>
        </w:tc>
        <w:tc>
          <w:tcPr>
            <w:tcW w:w="198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r>
      <w:tr>
        <w:trPr/>
        <w:tc>
          <w:tcPr>
            <w:tcW w:w="9675" w:type="dxa"/>
            <w:gridSpan w:val="9"/>
            <w:tcBorders>
              <w:bottom w:val="single" w:sz="8" w:space="0" w:color="000000"/>
            </w:tcBorders>
            <w:tcMar>
              <w:top w:w="0" w:type="dxa"/>
              <w:left w:w="0" w:type="dxa"/>
              <w:right w:w="0" w:type="dxa"/>
            </w:tcMar>
            <w:vAlign w:val="center"/>
          </w:tcPr>
          <w:p>
            <w:pPr>
              <w:pStyle w:val="TableContents"/>
              <w:bidi w:val="0"/>
              <w:spacing w:before="0" w:after="180"/>
              <w:jc w:val="left"/>
              <w:rPr/>
            </w:pPr>
            <w:r>
              <w:rPr/>
            </w:r>
          </w:p>
        </w:tc>
        <w:tc>
          <w:tcPr>
            <w:tcW w:w="5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Page</w:t>
            </w:r>
          </w:p>
        </w:tc>
      </w:tr>
      <w:tr>
        <w:trPr/>
        <w:tc>
          <w:tcPr>
            <w:tcW w:w="9675" w:type="dxa"/>
            <w:gridSpan w:val="9"/>
            <w:tcBorders>
              <w:top w:val="single" w:sz="8" w:space="0" w:color="00276B"/>
            </w:tcBorders>
            <w:tcMar>
              <w:top w:w="30" w:type="dxa"/>
              <w:left w:w="0" w:type="dxa"/>
              <w:bottom w:w="0" w:type="dxa"/>
              <w:right w:w="0" w:type="dxa"/>
            </w:tcMar>
            <w:vAlign w:val="center"/>
          </w:tcPr>
          <w:p>
            <w:pPr>
              <w:pStyle w:val="TableContents"/>
              <w:bidi w:val="0"/>
              <w:spacing w:lineRule="auto" w:line="240" w:before="0" w:after="0"/>
              <w:jc w:val="left"/>
              <w:rPr/>
            </w:pPr>
            <w:hyperlink w:anchor="idf08d5c8772847918ea60a8749a96b52_73730">
              <w:r>
                <w:rPr>
                  <w:rStyle w:val="InternetLink"/>
                  <w:rFonts w:ascii="Arial;sans-serif" w:hAnsi="Arial;sans-serif"/>
                  <w:b w:val="false"/>
                  <w:color w:val="000080"/>
                  <w:sz w:val="16"/>
                  <w:u w:val="single"/>
                </w:rPr>
                <w:t xml:space="preserve">CAUTIONARY </w:t>
              </w:r>
            </w:hyperlink>
            <w:hyperlink w:anchor="idf08d5c8772847918ea60a8749a96b52_73730">
              <w:r>
                <w:rPr>
                  <w:rStyle w:val="InternetLink"/>
                  <w:rFonts w:ascii="Arial;sans-serif" w:hAnsi="Arial;sans-serif"/>
                  <w:b w:val="false"/>
                  <w:color w:val="000080"/>
                  <w:sz w:val="16"/>
                  <w:u w:val="single"/>
                </w:rPr>
                <w:t>NOTE</w:t>
              </w:r>
            </w:hyperlink>
            <w:hyperlink w:anchor="idf08d5c8772847918ea60a8749a96b52_73730">
              <w:r>
                <w:rPr>
                  <w:rStyle w:val="InternetLink"/>
                  <w:rFonts w:ascii="Arial;sans-serif" w:hAnsi="Arial;sans-serif"/>
                  <w:b w:val="false"/>
                  <w:color w:val="000080"/>
                  <w:sz w:val="16"/>
                  <w:u w:val="single"/>
                </w:rPr>
                <w:t xml:space="preserve"> REGARDING FORWARD</w:t>
              </w:r>
            </w:hyperlink>
            <w:hyperlink w:anchor="idf08d5c8772847918ea60a8749a96b52_73730">
              <w:r>
                <w:rPr>
                  <w:rStyle w:val="InternetLink"/>
                  <w:rFonts w:ascii="Arial;sans-serif" w:hAnsi="Arial;sans-serif"/>
                  <w:b w:val="false"/>
                  <w:color w:val="000080"/>
                  <w:sz w:val="16"/>
                  <w:u w:val="single"/>
                </w:rPr>
                <w:t>-</w:t>
              </w:r>
            </w:hyperlink>
            <w:hyperlink w:anchor="idf08d5c8772847918ea60a8749a96b52_73730">
              <w:r>
                <w:rPr>
                  <w:rStyle w:val="InternetLink"/>
                  <w:rFonts w:ascii="Arial;sans-serif" w:hAnsi="Arial;sans-serif"/>
                  <w:b w:val="false"/>
                  <w:color w:val="000080"/>
                  <w:sz w:val="16"/>
                  <w:u w:val="single"/>
                </w:rPr>
                <w:t>LOOKING INFORMATION</w:t>
              </w:r>
            </w:hyperlink>
          </w:p>
        </w:tc>
        <w:tc>
          <w:tcPr>
            <w:tcW w:w="5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hyperlink w:anchor="if20e1f3d5a734e3eabbb6aa8f57c7562_3721">
              <w:r>
                <w:rPr>
                  <w:rStyle w:val="InternetLink"/>
                  <w:rFonts w:ascii="Arial;sans-serif" w:hAnsi="Arial;sans-serif"/>
                  <w:b w:val="false"/>
                  <w:color w:val="0000FF"/>
                  <w:sz w:val="16"/>
                  <w:u w:val="single"/>
                </w:rPr>
                <w:t>1</w:t>
              </w:r>
            </w:hyperlink>
          </w:p>
        </w:tc>
      </w:tr>
      <w:tr>
        <w:trPr/>
        <w:tc>
          <w:tcPr>
            <w:tcW w:w="9675" w:type="dxa"/>
            <w:gridSpan w:val="9"/>
            <w:tcBorders/>
            <w:tcMar>
              <w:top w:w="0" w:type="dxa"/>
              <w:left w:w="0" w:type="dxa"/>
              <w:bottom w:w="0" w:type="dxa"/>
              <w:right w:w="0" w:type="dxa"/>
            </w:tcMar>
            <w:vAlign w:val="center"/>
          </w:tcPr>
          <w:p>
            <w:pPr>
              <w:pStyle w:val="TableContents"/>
              <w:bidi w:val="0"/>
              <w:spacing w:lineRule="auto" w:line="240" w:before="0" w:after="0"/>
              <w:jc w:val="left"/>
              <w:rPr/>
            </w:pPr>
            <w:hyperlink w:anchor="if20e1f3d5a734e3eabbb6aa8f57c7562_9383">
              <w:r>
                <w:rPr>
                  <w:rStyle w:val="InternetLink"/>
                  <w:rFonts w:ascii="Arial;sans-serif" w:hAnsi="Arial;sans-serif"/>
                  <w:b w:val="false"/>
                  <w:color w:val="000080"/>
                  <w:sz w:val="16"/>
                  <w:u w:val="single"/>
                </w:rPr>
                <w:t>M</w:t>
              </w:r>
            </w:hyperlink>
            <w:hyperlink w:anchor="if20e1f3d5a734e3eabbb6aa8f57c7562_9383">
              <w:r>
                <w:rPr>
                  <w:rStyle w:val="InternetLink"/>
                  <w:rFonts w:ascii="Arial;sans-serif" w:hAnsi="Arial;sans-serif"/>
                  <w:b w:val="false"/>
                  <w:color w:val="000080"/>
                  <w:sz w:val="16"/>
                  <w:u w:val="single"/>
                </w:rPr>
                <w:t xml:space="preserve">ARKET AND INDUSTRY </w:t>
              </w:r>
            </w:hyperlink>
            <w:hyperlink w:anchor="if20e1f3d5a734e3eabbb6aa8f57c7562_9383">
              <w:r>
                <w:rPr>
                  <w:rStyle w:val="InternetLink"/>
                  <w:rFonts w:ascii="Arial;sans-serif" w:hAnsi="Arial;sans-serif"/>
                  <w:b w:val="false"/>
                  <w:color w:val="000080"/>
                  <w:sz w:val="16"/>
                  <w:u w:val="single"/>
                </w:rPr>
                <w:t>DATA</w:t>
              </w:r>
            </w:hyperlink>
          </w:p>
        </w:tc>
        <w:tc>
          <w:tcPr>
            <w:tcW w:w="53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20e1f3d5a734e3eabbb6aa8f57c7562_9383">
              <w:r>
                <w:rPr>
                  <w:rStyle w:val="InternetLink"/>
                  <w:rFonts w:ascii="Arial;sans-serif" w:hAnsi="Arial;sans-serif"/>
                  <w:b w:val="false"/>
                  <w:color w:val="0000FF"/>
                  <w:sz w:val="16"/>
                  <w:u w:val="single"/>
                </w:rPr>
                <w:t>1</w:t>
              </w:r>
            </w:hyperlink>
          </w:p>
        </w:tc>
      </w:tr>
      <w:tr>
        <w:trPr/>
        <w:tc>
          <w:tcPr>
            <w:tcW w:w="9675" w:type="dxa"/>
            <w:gridSpan w:val="9"/>
            <w:tcBorders/>
            <w:tcMar>
              <w:top w:w="0" w:type="dxa"/>
              <w:left w:w="0" w:type="dxa"/>
              <w:bottom w:w="0" w:type="dxa"/>
              <w:right w:w="0" w:type="dxa"/>
            </w:tcMar>
            <w:vAlign w:val="center"/>
          </w:tcPr>
          <w:p>
            <w:pPr>
              <w:pStyle w:val="TableContents"/>
              <w:bidi w:val="0"/>
              <w:spacing w:lineRule="auto" w:line="240" w:before="0" w:after="0"/>
              <w:jc w:val="left"/>
              <w:rPr/>
            </w:pPr>
            <w:hyperlink w:anchor="if20e1f3d5a734e3eabbb6aa8f57c7562_2263">
              <w:r>
                <w:rPr>
                  <w:rStyle w:val="InternetLink"/>
                  <w:rFonts w:ascii="Arial;sans-serif" w:hAnsi="Arial;sans-serif"/>
                  <w:b w:val="false"/>
                  <w:color w:val="0000FF"/>
                  <w:sz w:val="16"/>
                  <w:u w:val="single"/>
                </w:rPr>
                <w:t>PART I. FINANCIAL INFORMATION</w:t>
              </w:r>
            </w:hyperlink>
          </w:p>
        </w:tc>
        <w:tc>
          <w:tcPr>
            <w:tcW w:w="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6"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f20e1f3d5a734e3eabbb6aa8f57c7562_3915">
              <w:r>
                <w:rPr>
                  <w:rStyle w:val="InternetLink"/>
                  <w:rFonts w:ascii="Arial;sans-serif" w:hAnsi="Arial;sans-serif"/>
                  <w:b w:val="false"/>
                  <w:color w:val="000080"/>
                  <w:sz w:val="16"/>
                  <w:u w:val="single"/>
                </w:rPr>
                <w:t>I</w:t>
              </w:r>
            </w:hyperlink>
            <w:hyperlink w:anchor="if20e1f3d5a734e3eabbb6aa8f57c7562_3915">
              <w:r>
                <w:rPr>
                  <w:rStyle w:val="InternetLink"/>
                  <w:rFonts w:ascii="Arial;sans-serif" w:hAnsi="Arial;sans-serif"/>
                  <w:b w:val="false"/>
                  <w:color w:val="000080"/>
                  <w:sz w:val="16"/>
                  <w:u w:val="single"/>
                </w:rPr>
                <w:t>TEM</w:t>
              </w:r>
            </w:hyperlink>
            <w:hyperlink w:anchor="if20e1f3d5a734e3eabbb6aa8f57c7562_3915">
              <w:r>
                <w:rPr>
                  <w:rStyle w:val="InternetLink"/>
                  <w:rFonts w:ascii="Arial;sans-serif" w:hAnsi="Arial;sans-serif"/>
                  <w:b w:val="false"/>
                  <w:color w:val="000080"/>
                  <w:sz w:val="16"/>
                  <w:u w:val="single"/>
                </w:rPr>
                <w:t xml:space="preserve"> 1.</w:t>
              </w:r>
            </w:hyperlink>
            <w:hyperlink w:anchor="if20e1f3d5a734e3eabbb6aa8f57c7562_3915">
              <w:r>
                <w:rPr>
                  <w:rStyle w:val="InternetLink"/>
                  <w:rFonts w:ascii="Arial;sans-serif" w:hAnsi="Arial;sans-serif"/>
                  <w:b w:val="false"/>
                  <w:color w:val="000080"/>
                  <w:sz w:val="16"/>
                  <w:u w:val="single"/>
                </w:rPr>
                <w:t xml:space="preserve"> </w:t>
              </w:r>
            </w:hyperlink>
            <w:hyperlink w:anchor="if20e1f3d5a734e3eabbb6aa8f57c7562_3915">
              <w:r>
                <w:rPr>
                  <w:rStyle w:val="InternetLink"/>
                  <w:rFonts w:ascii="Arial;sans-serif" w:hAnsi="Arial;sans-serif"/>
                  <w:b w:val="false"/>
                  <w:color w:val="000080"/>
                  <w:sz w:val="16"/>
                  <w:u w:val="single"/>
                </w:rPr>
                <w:t>FINANCIAL STATEME</w:t>
              </w:r>
            </w:hyperlink>
            <w:hyperlink w:anchor="if20e1f3d5a734e3eabbb6aa8f57c7562_3915">
              <w:r>
                <w:rPr>
                  <w:rStyle w:val="InternetLink"/>
                  <w:rFonts w:ascii="Arial;sans-serif" w:hAnsi="Arial;sans-serif"/>
                  <w:b w:val="false"/>
                  <w:color w:val="000080"/>
                  <w:sz w:val="16"/>
                  <w:u w:val="single"/>
                </w:rPr>
                <w:t>NTS</w:t>
              </w:r>
            </w:hyperlink>
          </w:p>
        </w:tc>
        <w:tc>
          <w:tcPr>
            <w:tcW w:w="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20e1f3d5a734e3eabbb6aa8f57c7562_51">
              <w:r>
                <w:rPr>
                  <w:rStyle w:val="InternetLink"/>
                  <w:rFonts w:ascii="Arial;sans-serif" w:hAnsi="Arial;sans-serif"/>
                  <w:b w:val="false"/>
                  <w:color w:val="0000FF"/>
                  <w:sz w:val="16"/>
                  <w:u w:val="single"/>
                </w:rPr>
                <w:t>Condensed Consolidated Statements of Operations (Unaudited)</w:t>
              </w:r>
            </w:hyperlink>
          </w:p>
        </w:tc>
        <w:tc>
          <w:tcPr>
            <w:tcW w:w="53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20e1f3d5a734e3eabbb6aa8f57c7562_51">
              <w:r>
                <w:rPr>
                  <w:rStyle w:val="InternetLink"/>
                  <w:rFonts w:ascii="Arial;sans-serif" w:hAnsi="Arial;sans-serif"/>
                  <w:b w:val="false"/>
                  <w:color w:val="0000FF"/>
                  <w:sz w:val="16"/>
                  <w:u w:val="single"/>
                </w:rPr>
                <w:t>2</w:t>
              </w:r>
            </w:hyperlink>
          </w:p>
        </w:tc>
      </w:tr>
      <w:tr>
        <w:trPr/>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20e1f3d5a734e3eabbb6aa8f57c7562_54">
              <w:r>
                <w:rPr>
                  <w:rStyle w:val="InternetLink"/>
                  <w:rFonts w:ascii="Arial;sans-serif" w:hAnsi="Arial;sans-serif"/>
                  <w:b w:val="false"/>
                  <w:color w:val="0000FF"/>
                  <w:sz w:val="16"/>
                  <w:u w:val="single"/>
                </w:rPr>
                <w:t>Condensed Consolidated Statements of Comprehensive Income (Loss) (Unaudited)</w:t>
              </w:r>
            </w:hyperlink>
          </w:p>
        </w:tc>
        <w:tc>
          <w:tcPr>
            <w:tcW w:w="53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20e1f3d5a734e3eabbb6aa8f57c7562_54">
              <w:r>
                <w:rPr>
                  <w:rStyle w:val="InternetLink"/>
                  <w:rFonts w:ascii="Arial;sans-serif" w:hAnsi="Arial;sans-serif"/>
                  <w:b w:val="false"/>
                  <w:color w:val="0000FF"/>
                  <w:sz w:val="16"/>
                  <w:u w:val="single"/>
                </w:rPr>
                <w:t>3</w:t>
              </w:r>
            </w:hyperlink>
          </w:p>
        </w:tc>
      </w:tr>
      <w:tr>
        <w:trPr/>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20e1f3d5a734e3eabbb6aa8f57c7562_57">
              <w:r>
                <w:rPr>
                  <w:rStyle w:val="InternetLink"/>
                  <w:rFonts w:ascii="Arial;sans-serif" w:hAnsi="Arial;sans-serif"/>
                  <w:b w:val="false"/>
                  <w:color w:val="0000FF"/>
                  <w:sz w:val="16"/>
                  <w:u w:val="single"/>
                </w:rPr>
                <w:t>Condensed Consolidated Balance Sheets (Unaudited)</w:t>
              </w:r>
            </w:hyperlink>
          </w:p>
        </w:tc>
        <w:tc>
          <w:tcPr>
            <w:tcW w:w="53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20e1f3d5a734e3eabbb6aa8f57c7562_57">
              <w:r>
                <w:rPr>
                  <w:rStyle w:val="InternetLink"/>
                  <w:rFonts w:ascii="Arial;sans-serif" w:hAnsi="Arial;sans-serif"/>
                  <w:b w:val="false"/>
                  <w:color w:val="0000FF"/>
                  <w:sz w:val="16"/>
                  <w:u w:val="single"/>
                </w:rPr>
                <w:t>4</w:t>
              </w:r>
            </w:hyperlink>
          </w:p>
        </w:tc>
      </w:tr>
      <w:tr>
        <w:trPr/>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20e1f3d5a734e3eabbb6aa8f57c7562_60">
              <w:r>
                <w:rPr>
                  <w:rStyle w:val="InternetLink"/>
                  <w:rFonts w:ascii="Arial;sans-serif" w:hAnsi="Arial;sans-serif"/>
                  <w:b w:val="false"/>
                  <w:color w:val="0000FF"/>
                  <w:sz w:val="16"/>
                  <w:u w:val="single"/>
                </w:rPr>
                <w:t>Condensed Consolidated Statements of Cash Flows (Unaudited)</w:t>
              </w:r>
            </w:hyperlink>
          </w:p>
        </w:tc>
        <w:tc>
          <w:tcPr>
            <w:tcW w:w="53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20e1f3d5a734e3eabbb6aa8f57c7562_60">
              <w:r>
                <w:rPr>
                  <w:rStyle w:val="InternetLink"/>
                  <w:rFonts w:ascii="Arial;sans-serif" w:hAnsi="Arial;sans-serif"/>
                  <w:b w:val="false"/>
                  <w:color w:val="0000FF"/>
                  <w:sz w:val="16"/>
                  <w:u w:val="single"/>
                </w:rPr>
                <w:t>5</w:t>
              </w:r>
            </w:hyperlink>
          </w:p>
        </w:tc>
      </w:tr>
      <w:tr>
        <w:trPr/>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20e1f3d5a734e3eabbb6aa8f57c7562_2424">
              <w:r>
                <w:rPr>
                  <w:rStyle w:val="InternetLink"/>
                  <w:rFonts w:ascii="Arial;sans-serif" w:hAnsi="Arial;sans-serif"/>
                  <w:b w:val="false"/>
                  <w:color w:val="0000FF"/>
                  <w:sz w:val="16"/>
                  <w:u w:val="single"/>
                </w:rPr>
                <w:t>Condensed Consolidated Statements of Equity (Unaudited)</w:t>
              </w:r>
            </w:hyperlink>
          </w:p>
        </w:tc>
        <w:tc>
          <w:tcPr>
            <w:tcW w:w="53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20e1f3d5a734e3eabbb6aa8f57c7562_2424">
              <w:r>
                <w:rPr>
                  <w:rStyle w:val="InternetLink"/>
                  <w:rFonts w:ascii="Arial;sans-serif" w:hAnsi="Arial;sans-serif"/>
                  <w:b w:val="false"/>
                  <w:color w:val="0000FF"/>
                  <w:sz w:val="16"/>
                  <w:u w:val="single"/>
                </w:rPr>
                <w:t>6</w:t>
              </w:r>
            </w:hyperlink>
          </w:p>
        </w:tc>
      </w:tr>
      <w:tr>
        <w:trPr/>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20e1f3d5a734e3eabbb6aa8f57c7562_66">
              <w:r>
                <w:rPr>
                  <w:rStyle w:val="InternetLink"/>
                  <w:rFonts w:ascii="Arial;sans-serif" w:hAnsi="Arial;sans-serif"/>
                  <w:b w:val="false"/>
                  <w:color w:val="0000FF"/>
                  <w:sz w:val="16"/>
                  <w:u w:val="single"/>
                </w:rPr>
                <w:t>Notes to the Interim Financial Statements (Unaudited)</w:t>
              </w:r>
            </w:hyperlink>
          </w:p>
        </w:tc>
        <w:tc>
          <w:tcPr>
            <w:tcW w:w="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4"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pPr>
            <w:hyperlink w:anchor="if20e1f3d5a734e3eabbb6aa8f57c7562_69">
              <w:r>
                <w:rPr>
                  <w:rStyle w:val="InternetLink"/>
                  <w:rFonts w:ascii="Arial;sans-serif" w:hAnsi="Arial;sans-serif"/>
                  <w:b w:val="false"/>
                  <w:color w:val="0000FF"/>
                  <w:sz w:val="16"/>
                  <w:u w:val="single"/>
                </w:rPr>
                <w:t>1. Business, Basis of Presentation, and Summary of Significant Accounting Policies</w:t>
              </w:r>
            </w:hyperlink>
          </w:p>
        </w:tc>
        <w:tc>
          <w:tcPr>
            <w:tcW w:w="53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20e1f3d5a734e3eabbb6aa8f57c7562_69">
              <w:r>
                <w:rPr>
                  <w:rStyle w:val="InternetLink"/>
                  <w:rFonts w:ascii="Arial;sans-serif" w:hAnsi="Arial;sans-serif"/>
                  <w:b w:val="false"/>
                  <w:color w:val="0000FF"/>
                  <w:sz w:val="16"/>
                  <w:u w:val="single"/>
                </w:rPr>
                <w:t>8</w:t>
              </w:r>
            </w:hyperlink>
          </w:p>
        </w:tc>
      </w:tr>
      <w:tr>
        <w:trPr/>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20e1f3d5a734e3eabbb6aa8f57c7562_114">
              <w:r>
                <w:rPr>
                  <w:rStyle w:val="InternetLink"/>
                  <w:rFonts w:ascii="Arial;sans-serif" w:hAnsi="Arial;sans-serif"/>
                  <w:b w:val="false"/>
                  <w:color w:val="000080"/>
                  <w:sz w:val="16"/>
                  <w:u w:val="single"/>
                </w:rPr>
                <w:t xml:space="preserve">2. Risk Management, Derivative Instruments and Hedging </w:t>
              </w:r>
            </w:hyperlink>
            <w:hyperlink w:anchor="if20e1f3d5a734e3eabbb6aa8f57c7562_114">
              <w:r>
                <w:rPr>
                  <w:rStyle w:val="InternetLink"/>
                  <w:rFonts w:ascii="Arial;sans-serif" w:hAnsi="Arial;sans-serif"/>
                  <w:b w:val="false"/>
                  <w:color w:val="000080"/>
                  <w:sz w:val="16"/>
                  <w:u w:val="single"/>
                </w:rPr>
                <w:t>Activities</w:t>
              </w:r>
            </w:hyperlink>
          </w:p>
        </w:tc>
        <w:tc>
          <w:tcPr>
            <w:tcW w:w="53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20e1f3d5a734e3eabbb6aa8f57c7562_114">
              <w:r>
                <w:rPr>
                  <w:rStyle w:val="InternetLink"/>
                  <w:rFonts w:ascii="Arial;sans-serif" w:hAnsi="Arial;sans-serif"/>
                  <w:b w:val="false"/>
                  <w:color w:val="0000FF"/>
                  <w:sz w:val="16"/>
                  <w:u w:val="single"/>
                </w:rPr>
                <w:t>7</w:t>
              </w:r>
            </w:hyperlink>
          </w:p>
        </w:tc>
      </w:tr>
      <w:tr>
        <w:trPr/>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20e1f3d5a734e3eabbb6aa8f57c7562_123">
              <w:r>
                <w:rPr>
                  <w:rStyle w:val="InternetLink"/>
                  <w:rFonts w:ascii="Arial;sans-serif" w:hAnsi="Arial;sans-serif"/>
                  <w:b w:val="false"/>
                  <w:color w:val="0000FF"/>
                  <w:sz w:val="16"/>
                  <w:u w:val="single"/>
                </w:rPr>
                <w:t>3. Revenue</w:t>
              </w:r>
            </w:hyperlink>
          </w:p>
        </w:tc>
        <w:tc>
          <w:tcPr>
            <w:tcW w:w="53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20e1f3d5a734e3eabbb6aa8f57c7562_123">
              <w:r>
                <w:rPr>
                  <w:rStyle w:val="InternetLink"/>
                  <w:rFonts w:ascii="Arial;sans-serif" w:hAnsi="Arial;sans-serif"/>
                  <w:b w:val="false"/>
                  <w:color w:val="0000FF"/>
                  <w:sz w:val="16"/>
                  <w:u w:val="single"/>
                </w:rPr>
                <w:t>11</w:t>
              </w:r>
            </w:hyperlink>
          </w:p>
        </w:tc>
      </w:tr>
      <w:tr>
        <w:trPr/>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20e1f3d5a734e3eabbb6aa8f57c7562_138">
              <w:r>
                <w:rPr>
                  <w:rStyle w:val="InternetLink"/>
                  <w:rFonts w:ascii="Arial;sans-serif" w:hAnsi="Arial;sans-serif"/>
                  <w:b w:val="false"/>
                  <w:color w:val="0000FF"/>
                  <w:sz w:val="16"/>
                  <w:u w:val="single"/>
                </w:rPr>
                <w:t>4. Income Taxes</w:t>
              </w:r>
            </w:hyperlink>
          </w:p>
        </w:tc>
        <w:tc>
          <w:tcPr>
            <w:tcW w:w="53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20e1f3d5a734e3eabbb6aa8f57c7562_138">
              <w:r>
                <w:rPr>
                  <w:rStyle w:val="InternetLink"/>
                  <w:rFonts w:ascii="Arial;sans-serif" w:hAnsi="Arial;sans-serif"/>
                  <w:b w:val="false"/>
                  <w:color w:val="0000FF"/>
                  <w:sz w:val="16"/>
                  <w:u w:val="single"/>
                </w:rPr>
                <w:t>12</w:t>
              </w:r>
            </w:hyperlink>
          </w:p>
        </w:tc>
      </w:tr>
      <w:tr>
        <w:trPr/>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20e1f3d5a734e3eabbb6aa8f57c7562_147">
              <w:r>
                <w:rPr>
                  <w:rStyle w:val="InternetLink"/>
                  <w:rFonts w:ascii="Arial;sans-serif" w:hAnsi="Arial;sans-serif"/>
                  <w:b w:val="false"/>
                  <w:color w:val="0000FF"/>
                  <w:sz w:val="16"/>
                  <w:u w:val="single"/>
                </w:rPr>
                <w:t>5. Inventory</w:t>
              </w:r>
            </w:hyperlink>
          </w:p>
        </w:tc>
        <w:tc>
          <w:tcPr>
            <w:tcW w:w="53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20e1f3d5a734e3eabbb6aa8f57c7562_147">
              <w:r>
                <w:rPr>
                  <w:rStyle w:val="InternetLink"/>
                  <w:rFonts w:ascii="Arial;sans-serif" w:hAnsi="Arial;sans-serif"/>
                  <w:b w:val="false"/>
                  <w:color w:val="0000FF"/>
                  <w:sz w:val="16"/>
                  <w:u w:val="single"/>
                </w:rPr>
                <w:t>12</w:t>
              </w:r>
            </w:hyperlink>
          </w:p>
        </w:tc>
      </w:tr>
      <w:tr>
        <w:trPr/>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20e1f3d5a734e3eabbb6aa8f57c7562_150">
              <w:r>
                <w:rPr>
                  <w:rStyle w:val="InternetLink"/>
                  <w:rFonts w:ascii="Arial;sans-serif" w:hAnsi="Arial;sans-serif"/>
                  <w:b w:val="false"/>
                  <w:color w:val="0000FF"/>
                  <w:sz w:val="16"/>
                  <w:u w:val="single"/>
                </w:rPr>
                <w:t>6. Nuclear Decommissioning Trust Funds</w:t>
              </w:r>
            </w:hyperlink>
          </w:p>
        </w:tc>
        <w:tc>
          <w:tcPr>
            <w:tcW w:w="53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20e1f3d5a734e3eabbb6aa8f57c7562_150">
              <w:r>
                <w:rPr>
                  <w:rStyle w:val="InternetLink"/>
                  <w:rFonts w:ascii="Arial;sans-serif" w:hAnsi="Arial;sans-serif"/>
                  <w:b w:val="false"/>
                  <w:color w:val="0000FF"/>
                  <w:sz w:val="16"/>
                  <w:u w:val="single"/>
                </w:rPr>
                <w:t>12</w:t>
              </w:r>
            </w:hyperlink>
          </w:p>
        </w:tc>
      </w:tr>
      <w:tr>
        <w:trPr/>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20e1f3d5a734e3eabbb6aa8f57c7562_153">
              <w:r>
                <w:rPr>
                  <w:rStyle w:val="InternetLink"/>
                  <w:rFonts w:ascii="Arial;sans-serif" w:hAnsi="Arial;sans-serif"/>
                  <w:b w:val="false"/>
                  <w:color w:val="0000FF"/>
                  <w:sz w:val="16"/>
                  <w:u w:val="single"/>
                </w:rPr>
                <w:t>7. Property, Plant and Equipment</w:t>
              </w:r>
            </w:hyperlink>
          </w:p>
        </w:tc>
        <w:tc>
          <w:tcPr>
            <w:tcW w:w="53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20e1f3d5a734e3eabbb6aa8f57c7562_153">
              <w:r>
                <w:rPr>
                  <w:rStyle w:val="InternetLink"/>
                  <w:rFonts w:ascii="Arial;sans-serif" w:hAnsi="Arial;sans-serif"/>
                  <w:b w:val="false"/>
                  <w:color w:val="0000FF"/>
                  <w:sz w:val="16"/>
                  <w:u w:val="single"/>
                </w:rPr>
                <w:t>13</w:t>
              </w:r>
            </w:hyperlink>
          </w:p>
        </w:tc>
      </w:tr>
      <w:tr>
        <w:trPr/>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20e1f3d5a734e3eabbb6aa8f57c7562_156">
              <w:r>
                <w:rPr>
                  <w:rStyle w:val="InternetLink"/>
                  <w:rFonts w:ascii="Arial;sans-serif" w:hAnsi="Arial;sans-serif"/>
                  <w:b w:val="false"/>
                  <w:color w:val="0000FF"/>
                  <w:sz w:val="16"/>
                  <w:u w:val="single"/>
                </w:rPr>
                <w:t>8. Asset Retirement Obligations and Accrued Environmental Costs</w:t>
              </w:r>
            </w:hyperlink>
          </w:p>
        </w:tc>
        <w:tc>
          <w:tcPr>
            <w:tcW w:w="53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20e1f3d5a734e3eabbb6aa8f57c7562_156">
              <w:r>
                <w:rPr>
                  <w:rStyle w:val="InternetLink"/>
                  <w:rFonts w:ascii="Arial;sans-serif" w:hAnsi="Arial;sans-serif"/>
                  <w:b w:val="false"/>
                  <w:color w:val="0000FF"/>
                  <w:sz w:val="16"/>
                  <w:u w:val="single"/>
                </w:rPr>
                <w:t>14</w:t>
              </w:r>
            </w:hyperlink>
          </w:p>
        </w:tc>
      </w:tr>
      <w:tr>
        <w:trPr/>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20e1f3d5a734e3eabbb6aa8f57c7562_162">
              <w:r>
                <w:rPr>
                  <w:rStyle w:val="InternetLink"/>
                  <w:rFonts w:ascii="Arial;sans-serif" w:hAnsi="Arial;sans-serif"/>
                  <w:b w:val="false"/>
                  <w:color w:val="0000FF"/>
                  <w:sz w:val="16"/>
                  <w:u w:val="single"/>
                </w:rPr>
                <w:t>9. Commitments and Contingencies</w:t>
              </w:r>
            </w:hyperlink>
          </w:p>
        </w:tc>
        <w:tc>
          <w:tcPr>
            <w:tcW w:w="53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20e1f3d5a734e3eabbb6aa8f57c7562_162">
              <w:r>
                <w:rPr>
                  <w:rStyle w:val="InternetLink"/>
                  <w:rFonts w:ascii="Arial;sans-serif" w:hAnsi="Arial;sans-serif"/>
                  <w:b w:val="false"/>
                  <w:color w:val="0000FF"/>
                  <w:sz w:val="16"/>
                  <w:u w:val="single"/>
                </w:rPr>
                <w:t>15</w:t>
              </w:r>
            </w:hyperlink>
          </w:p>
        </w:tc>
      </w:tr>
      <w:tr>
        <w:trPr/>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20e1f3d5a734e3eabbb6aa8f57c7562_180">
              <w:r>
                <w:rPr>
                  <w:rStyle w:val="InternetLink"/>
                  <w:rFonts w:ascii="Arial;sans-serif" w:hAnsi="Arial;sans-serif"/>
                  <w:b w:val="false"/>
                  <w:color w:val="0000FF"/>
                  <w:sz w:val="16"/>
                  <w:u w:val="single"/>
                </w:rPr>
                <w:t>10. Long-Term Debt and Other Credit Facilities</w:t>
              </w:r>
            </w:hyperlink>
          </w:p>
        </w:tc>
        <w:tc>
          <w:tcPr>
            <w:tcW w:w="53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20e1f3d5a734e3eabbb6aa8f57c7562_180">
              <w:r>
                <w:rPr>
                  <w:rStyle w:val="InternetLink"/>
                  <w:rFonts w:ascii="Arial;sans-serif" w:hAnsi="Arial;sans-serif"/>
                  <w:b w:val="false"/>
                  <w:color w:val="0000FF"/>
                  <w:sz w:val="16"/>
                  <w:u w:val="single"/>
                </w:rPr>
                <w:t>20</w:t>
              </w:r>
            </w:hyperlink>
          </w:p>
        </w:tc>
      </w:tr>
      <w:tr>
        <w:trPr/>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20e1f3d5a734e3eabbb6aa8f57c7562_213">
              <w:r>
                <w:rPr>
                  <w:rStyle w:val="InternetLink"/>
                  <w:rFonts w:ascii="Arial;sans-serif" w:hAnsi="Arial;sans-serif"/>
                  <w:b w:val="false"/>
                  <w:color w:val="0000FF"/>
                  <w:sz w:val="16"/>
                  <w:u w:val="single"/>
                </w:rPr>
                <w:t>11. Fair Value</w:t>
              </w:r>
            </w:hyperlink>
          </w:p>
        </w:tc>
        <w:tc>
          <w:tcPr>
            <w:tcW w:w="53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20e1f3d5a734e3eabbb6aa8f57c7562_213">
              <w:r>
                <w:rPr>
                  <w:rStyle w:val="InternetLink"/>
                  <w:rFonts w:ascii="Arial;sans-serif" w:hAnsi="Arial;sans-serif"/>
                  <w:b w:val="false"/>
                  <w:color w:val="0000FF"/>
                  <w:sz w:val="16"/>
                  <w:u w:val="single"/>
                </w:rPr>
                <w:t>21</w:t>
              </w:r>
            </w:hyperlink>
          </w:p>
        </w:tc>
      </w:tr>
      <w:tr>
        <w:trPr/>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20e1f3d5a734e3eabbb6aa8f57c7562_222">
              <w:r>
                <w:rPr>
                  <w:rStyle w:val="InternetLink"/>
                  <w:rFonts w:ascii="Arial;sans-serif" w:hAnsi="Arial;sans-serif"/>
                  <w:b w:val="false"/>
                  <w:color w:val="0000FF"/>
                  <w:sz w:val="16"/>
                  <w:u w:val="single"/>
                </w:rPr>
                <w:t>12. Postretirement Benefit Obligations</w:t>
              </w:r>
            </w:hyperlink>
          </w:p>
        </w:tc>
        <w:tc>
          <w:tcPr>
            <w:tcW w:w="53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20e1f3d5a734e3eabbb6aa8f57c7562_222">
              <w:r>
                <w:rPr>
                  <w:rStyle w:val="InternetLink"/>
                  <w:rFonts w:ascii="Arial;sans-serif" w:hAnsi="Arial;sans-serif"/>
                  <w:b w:val="false"/>
                  <w:color w:val="0000FF"/>
                  <w:sz w:val="16"/>
                  <w:u w:val="single"/>
                </w:rPr>
                <w:t>22</w:t>
              </w:r>
            </w:hyperlink>
          </w:p>
        </w:tc>
      </w:tr>
      <w:tr>
        <w:trPr/>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20e1f3d5a734e3eabbb6aa8f57c7562_2532">
              <w:r>
                <w:rPr>
                  <w:rStyle w:val="InternetLink"/>
                  <w:rFonts w:ascii="Arial;sans-serif" w:hAnsi="Arial;sans-serif"/>
                  <w:b w:val="false"/>
                  <w:color w:val="0000FF"/>
                  <w:sz w:val="16"/>
                  <w:u w:val="single"/>
                </w:rPr>
                <w:t>13. Stock-Based Compensation</w:t>
              </w:r>
            </w:hyperlink>
          </w:p>
        </w:tc>
        <w:tc>
          <w:tcPr>
            <w:tcW w:w="53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20e1f3d5a734e3eabbb6aa8f57c7562_2532">
              <w:r>
                <w:rPr>
                  <w:rStyle w:val="InternetLink"/>
                  <w:rFonts w:ascii="Arial;sans-serif" w:hAnsi="Arial;sans-serif"/>
                  <w:b w:val="false"/>
                  <w:color w:val="0000FF"/>
                  <w:sz w:val="16"/>
                  <w:u w:val="single"/>
                </w:rPr>
                <w:t>22</w:t>
              </w:r>
            </w:hyperlink>
          </w:p>
        </w:tc>
      </w:tr>
      <w:tr>
        <w:trPr/>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20e1f3d5a734e3eabbb6aa8f57c7562_228">
              <w:r>
                <w:rPr>
                  <w:rStyle w:val="InternetLink"/>
                  <w:rFonts w:ascii="Arial;sans-serif" w:hAnsi="Arial;sans-serif"/>
                  <w:b w:val="false"/>
                  <w:color w:val="0000FF"/>
                  <w:sz w:val="16"/>
                  <w:u w:val="single"/>
                </w:rPr>
                <w:t>14. Earnings Per Share</w:t>
              </w:r>
            </w:hyperlink>
          </w:p>
        </w:tc>
        <w:tc>
          <w:tcPr>
            <w:tcW w:w="53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20e1f3d5a734e3eabbb6aa8f57c7562_228">
              <w:r>
                <w:rPr>
                  <w:rStyle w:val="InternetLink"/>
                  <w:rFonts w:ascii="Arial;sans-serif" w:hAnsi="Arial;sans-serif"/>
                  <w:b w:val="false"/>
                  <w:color w:val="0000FF"/>
                  <w:sz w:val="16"/>
                  <w:u w:val="single"/>
                </w:rPr>
                <w:t>24</w:t>
              </w:r>
            </w:hyperlink>
          </w:p>
        </w:tc>
      </w:tr>
      <w:tr>
        <w:trPr/>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20e1f3d5a734e3eabbb6aa8f57c7562_3713">
              <w:r>
                <w:rPr>
                  <w:rStyle w:val="InternetLink"/>
                  <w:rFonts w:ascii="Arial;sans-serif" w:hAnsi="Arial;sans-serif"/>
                  <w:b w:val="false"/>
                  <w:color w:val="0000FF"/>
                  <w:sz w:val="16"/>
                  <w:u w:val="single"/>
                </w:rPr>
                <w:t>15. Stockholders' Equity</w:t>
              </w:r>
            </w:hyperlink>
          </w:p>
        </w:tc>
        <w:tc>
          <w:tcPr>
            <w:tcW w:w="53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20e1f3d5a734e3eabbb6aa8f57c7562_3713">
              <w:r>
                <w:rPr>
                  <w:rStyle w:val="InternetLink"/>
                  <w:rFonts w:ascii="Arial;sans-serif" w:hAnsi="Arial;sans-serif"/>
                  <w:b w:val="false"/>
                  <w:color w:val="0000FF"/>
                  <w:sz w:val="16"/>
                  <w:u w:val="single"/>
                </w:rPr>
                <w:t>24</w:t>
              </w:r>
            </w:hyperlink>
          </w:p>
        </w:tc>
      </w:tr>
      <w:tr>
        <w:trPr/>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20e1f3d5a734e3eabbb6aa8f57c7562_234">
              <w:r>
                <w:rPr>
                  <w:rStyle w:val="InternetLink"/>
                  <w:rFonts w:ascii="Arial;sans-serif" w:hAnsi="Arial;sans-serif"/>
                  <w:b w:val="false"/>
                  <w:color w:val="0000FF"/>
                  <w:sz w:val="16"/>
                  <w:u w:val="single"/>
                </w:rPr>
                <w:t>16. Supplemental Cash Flow Information</w:t>
              </w:r>
            </w:hyperlink>
          </w:p>
        </w:tc>
        <w:tc>
          <w:tcPr>
            <w:tcW w:w="53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20e1f3d5a734e3eabbb6aa8f57c7562_234">
              <w:r>
                <w:rPr>
                  <w:rStyle w:val="InternetLink"/>
                  <w:rFonts w:ascii="Arial;sans-serif" w:hAnsi="Arial;sans-serif"/>
                  <w:b w:val="false"/>
                  <w:color w:val="0000FF"/>
                  <w:sz w:val="16"/>
                  <w:u w:val="single"/>
                </w:rPr>
                <w:t>26</w:t>
              </w:r>
            </w:hyperlink>
          </w:p>
        </w:tc>
      </w:tr>
      <w:tr>
        <w:trPr/>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20e1f3d5a734e3eabbb6aa8f57c7562_249">
              <w:r>
                <w:rPr>
                  <w:rStyle w:val="InternetLink"/>
                  <w:rFonts w:ascii="Arial;sans-serif" w:hAnsi="Arial;sans-serif"/>
                  <w:b w:val="false"/>
                  <w:color w:val="0000FF"/>
                  <w:sz w:val="16"/>
                  <w:u w:val="single"/>
                </w:rPr>
                <w:t>17. Acquisitions and Divestitures</w:t>
              </w:r>
            </w:hyperlink>
          </w:p>
        </w:tc>
        <w:tc>
          <w:tcPr>
            <w:tcW w:w="53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20e1f3d5a734e3eabbb6aa8f57c7562_249">
              <w:r>
                <w:rPr>
                  <w:rStyle w:val="InternetLink"/>
                  <w:rFonts w:ascii="Arial;sans-serif" w:hAnsi="Arial;sans-serif"/>
                  <w:b w:val="false"/>
                  <w:color w:val="0000FF"/>
                  <w:sz w:val="16"/>
                  <w:u w:val="single"/>
                </w:rPr>
                <w:t>27</w:t>
              </w:r>
            </w:hyperlink>
          </w:p>
        </w:tc>
      </w:tr>
      <w:tr>
        <w:trPr/>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20e1f3d5a734e3eabbb6aa8f57c7562_252">
              <w:r>
                <w:rPr>
                  <w:rStyle w:val="InternetLink"/>
                  <w:rFonts w:ascii="Arial;sans-serif" w:hAnsi="Arial;sans-serif"/>
                  <w:b w:val="false"/>
                  <w:color w:val="000080"/>
                  <w:sz w:val="16"/>
                  <w:u w:val="single"/>
                </w:rPr>
                <w:t>18. Seg</w:t>
              </w:r>
            </w:hyperlink>
            <w:hyperlink w:anchor="if20e1f3d5a734e3eabbb6aa8f57c7562_252">
              <w:r>
                <w:rPr>
                  <w:rStyle w:val="InternetLink"/>
                  <w:rFonts w:ascii="Arial;sans-serif" w:hAnsi="Arial;sans-serif"/>
                  <w:b w:val="false"/>
                  <w:color w:val="000080"/>
                  <w:sz w:val="16"/>
                  <w:u w:val="single"/>
                </w:rPr>
                <w:t>ments</w:t>
              </w:r>
            </w:hyperlink>
          </w:p>
        </w:tc>
        <w:tc>
          <w:tcPr>
            <w:tcW w:w="53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20e1f3d5a734e3eabbb6aa8f57c7562_252">
              <w:r>
                <w:rPr>
                  <w:rStyle w:val="InternetLink"/>
                  <w:rFonts w:ascii="Arial;sans-serif" w:hAnsi="Arial;sans-serif"/>
                  <w:b w:val="false"/>
                  <w:color w:val="0000FF"/>
                  <w:sz w:val="16"/>
                  <w:u w:val="single"/>
                </w:rPr>
                <w:t>27</w:t>
              </w:r>
            </w:hyperlink>
          </w:p>
        </w:tc>
      </w:tr>
      <w:tr>
        <w:trPr/>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6"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f20e1f3d5a734e3eabbb6aa8f57c7562_258">
              <w:r>
                <w:rPr>
                  <w:rStyle w:val="InternetLink"/>
                  <w:rFonts w:ascii="Arial;sans-serif" w:hAnsi="Arial;sans-serif"/>
                  <w:b w:val="false"/>
                  <w:color w:val="000080"/>
                  <w:sz w:val="16"/>
                  <w:u w:val="single"/>
                </w:rPr>
                <w:t>I</w:t>
              </w:r>
            </w:hyperlink>
            <w:hyperlink w:anchor="if20e1f3d5a734e3eabbb6aa8f57c7562_258">
              <w:r>
                <w:rPr>
                  <w:rStyle w:val="InternetLink"/>
                  <w:rFonts w:ascii="Arial;sans-serif" w:hAnsi="Arial;sans-serif"/>
                  <w:b w:val="false"/>
                  <w:color w:val="000080"/>
                  <w:sz w:val="16"/>
                  <w:u w:val="single"/>
                </w:rPr>
                <w:t xml:space="preserve">TEM </w:t>
              </w:r>
            </w:hyperlink>
            <w:hyperlink w:anchor="if20e1f3d5a734e3eabbb6aa8f57c7562_258">
              <w:r>
                <w:rPr>
                  <w:rStyle w:val="InternetLink"/>
                  <w:rFonts w:ascii="Arial;sans-serif" w:hAnsi="Arial;sans-serif"/>
                  <w:b w:val="false"/>
                  <w:color w:val="000080"/>
                  <w:sz w:val="16"/>
                  <w:u w:val="single"/>
                </w:rPr>
                <w:t>2.</w:t>
              </w:r>
            </w:hyperlink>
            <w:hyperlink w:anchor="if20e1f3d5a734e3eabbb6aa8f57c7562_258">
              <w:r>
                <w:rPr>
                  <w:rStyle w:val="InternetLink"/>
                  <w:rFonts w:ascii="Arial;sans-serif" w:hAnsi="Arial;sans-serif"/>
                  <w:b w:val="false"/>
                  <w:color w:val="000080"/>
                  <w:sz w:val="16"/>
                  <w:u w:val="single"/>
                </w:rPr>
                <w:t xml:space="preserve"> </w:t>
              </w:r>
            </w:hyperlink>
            <w:hyperlink w:anchor="if20e1f3d5a734e3eabbb6aa8f57c7562_258">
              <w:r>
                <w:rPr>
                  <w:rStyle w:val="InternetLink"/>
                  <w:rFonts w:ascii="Arial;sans-serif" w:hAnsi="Arial;sans-serif"/>
                  <w:b w:val="false"/>
                  <w:color w:val="000080"/>
                  <w:sz w:val="16"/>
                  <w:u w:val="single"/>
                </w:rPr>
                <w:t>MANAGEMENT</w:t>
              </w:r>
            </w:hyperlink>
            <w:hyperlink w:anchor="if20e1f3d5a734e3eabbb6aa8f57c7562_258">
              <w:r>
                <w:rPr>
                  <w:rStyle w:val="InternetLink"/>
                  <w:rFonts w:ascii="Arial;sans-serif" w:hAnsi="Arial;sans-serif"/>
                  <w:b w:val="false"/>
                  <w:color w:val="000080"/>
                  <w:sz w:val="16"/>
                  <w:u w:val="single"/>
                </w:rPr>
                <w:t>’</w:t>
              </w:r>
            </w:hyperlink>
            <w:hyperlink w:anchor="if20e1f3d5a734e3eabbb6aa8f57c7562_258">
              <w:r>
                <w:rPr>
                  <w:rStyle w:val="InternetLink"/>
                  <w:rFonts w:ascii="Arial;sans-serif" w:hAnsi="Arial;sans-serif"/>
                  <w:b w:val="false"/>
                  <w:color w:val="000080"/>
                  <w:sz w:val="16"/>
                  <w:u w:val="single"/>
                </w:rPr>
                <w:t>S DISCUSSION</w:t>
              </w:r>
            </w:hyperlink>
            <w:hyperlink w:anchor="if20e1f3d5a734e3eabbb6aa8f57c7562_258">
              <w:r>
                <w:rPr>
                  <w:rStyle w:val="InternetLink"/>
                  <w:rFonts w:ascii="Arial;sans-serif" w:hAnsi="Arial;sans-serif"/>
                  <w:b w:val="false"/>
                  <w:color w:val="000080"/>
                  <w:sz w:val="16"/>
                  <w:u w:val="single"/>
                </w:rPr>
                <w:t xml:space="preserve"> AND ANALYSIS OF FINANCIAL CONDITIO</w:t>
              </w:r>
            </w:hyperlink>
            <w:hyperlink w:anchor="if20e1f3d5a734e3eabbb6aa8f57c7562_258">
              <w:r>
                <w:rPr>
                  <w:rStyle w:val="InternetLink"/>
                  <w:rFonts w:ascii="Arial;sans-serif" w:hAnsi="Arial;sans-serif"/>
                  <w:b w:val="false"/>
                  <w:color w:val="000080"/>
                  <w:sz w:val="16"/>
                  <w:u w:val="single"/>
                </w:rPr>
                <w:t>N A</w:t>
              </w:r>
            </w:hyperlink>
            <w:hyperlink w:anchor="if20e1f3d5a734e3eabbb6aa8f57c7562_258">
              <w:r>
                <w:rPr>
                  <w:rStyle w:val="InternetLink"/>
                  <w:rFonts w:ascii="Arial;sans-serif" w:hAnsi="Arial;sans-serif"/>
                  <w:b w:val="false"/>
                  <w:color w:val="000080"/>
                  <w:sz w:val="16"/>
                  <w:u w:val="single"/>
                </w:rPr>
                <w:t>ND RESULTS OF OPERATION</w:t>
              </w:r>
            </w:hyperlink>
            <w:hyperlink w:anchor="if20e1f3d5a734e3eabbb6aa8f57c7562_258">
              <w:r>
                <w:rPr>
                  <w:rStyle w:val="InternetLink"/>
                  <w:rFonts w:ascii="Arial;sans-serif" w:hAnsi="Arial;sans-serif"/>
                  <w:b w:val="false"/>
                  <w:color w:val="000080"/>
                  <w:sz w:val="16"/>
                  <w:u w:val="single"/>
                </w:rPr>
                <w:t>S</w:t>
              </w:r>
            </w:hyperlink>
          </w:p>
        </w:tc>
        <w:tc>
          <w:tcPr>
            <w:tcW w:w="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20e1f3d5a734e3eabbb6aa8f57c7562_3384">
              <w:r>
                <w:rPr>
                  <w:rStyle w:val="InternetLink"/>
                  <w:rFonts w:ascii="Arial;sans-serif" w:hAnsi="Arial;sans-serif"/>
                  <w:b w:val="false"/>
                  <w:color w:val="000080"/>
                  <w:sz w:val="16"/>
                  <w:u w:val="single"/>
                </w:rPr>
                <w:t>R</w:t>
              </w:r>
            </w:hyperlink>
            <w:hyperlink w:anchor="if20e1f3d5a734e3eabbb6aa8f57c7562_3384">
              <w:r>
                <w:rPr>
                  <w:rStyle w:val="InternetLink"/>
                  <w:rFonts w:ascii="Arial;sans-serif" w:hAnsi="Arial;sans-serif"/>
                  <w:b w:val="false"/>
                  <w:color w:val="000080"/>
                  <w:sz w:val="16"/>
                  <w:u w:val="single"/>
                </w:rPr>
                <w:t>ece</w:t>
              </w:r>
            </w:hyperlink>
            <w:hyperlink w:anchor="if20e1f3d5a734e3eabbb6aa8f57c7562_3384">
              <w:r>
                <w:rPr>
                  <w:rStyle w:val="InternetLink"/>
                  <w:rFonts w:ascii="Arial;sans-serif" w:hAnsi="Arial;sans-serif"/>
                  <w:b w:val="false"/>
                  <w:color w:val="000080"/>
                  <w:sz w:val="16"/>
                  <w:u w:val="single"/>
                </w:rPr>
                <w:t>nt Deve</w:t>
              </w:r>
            </w:hyperlink>
            <w:hyperlink w:anchor="if20e1f3d5a734e3eabbb6aa8f57c7562_3384">
              <w:r>
                <w:rPr>
                  <w:rStyle w:val="InternetLink"/>
                  <w:rFonts w:ascii="Arial;sans-serif" w:hAnsi="Arial;sans-serif"/>
                  <w:b w:val="false"/>
                  <w:color w:val="000080"/>
                  <w:sz w:val="16"/>
                  <w:u w:val="single"/>
                </w:rPr>
                <w:t>lopment</w:t>
              </w:r>
            </w:hyperlink>
            <w:r>
              <w:rPr>
                <w:rFonts w:ascii="Arial;sans-serif" w:hAnsi="Arial;sans-serif"/>
                <w:b w:val="false"/>
                <w:color w:val="0E32E1"/>
                <w:sz w:val="16"/>
                <w:u w:val="single"/>
              </w:rPr>
              <w:t>s</w:t>
            </w:r>
          </w:p>
        </w:tc>
        <w:tc>
          <w:tcPr>
            <w:tcW w:w="53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20e1f3d5a734e3eabbb6aa8f57c7562_3384">
              <w:r>
                <w:rPr>
                  <w:rStyle w:val="InternetLink"/>
                  <w:rFonts w:ascii="Arial;sans-serif" w:hAnsi="Arial;sans-serif"/>
                  <w:b w:val="false"/>
                  <w:color w:val="0E32E1"/>
                  <w:sz w:val="16"/>
                  <w:u w:val="single"/>
                </w:rPr>
                <w:t>28</w:t>
              </w:r>
            </w:hyperlink>
          </w:p>
        </w:tc>
      </w:tr>
      <w:tr>
        <w:trPr/>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20e1f3d5a734e3eabbb6aa8f57c7562_279">
              <w:r>
                <w:rPr>
                  <w:rStyle w:val="InternetLink"/>
                  <w:rFonts w:ascii="Arial;sans-serif" w:hAnsi="Arial;sans-serif"/>
                  <w:b w:val="false"/>
                  <w:color w:val="0000FF"/>
                  <w:sz w:val="16"/>
                  <w:u w:val="single"/>
                </w:rPr>
                <w:t>Factors Affecting Our Financial Condition and Results of Operations</w:t>
              </w:r>
            </w:hyperlink>
          </w:p>
        </w:tc>
        <w:tc>
          <w:tcPr>
            <w:tcW w:w="53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20e1f3d5a734e3eabbb6aa8f57c7562_279">
              <w:r>
                <w:rPr>
                  <w:rStyle w:val="InternetLink"/>
                  <w:rFonts w:ascii="Arial;sans-serif" w:hAnsi="Arial;sans-serif"/>
                  <w:b w:val="false"/>
                  <w:color w:val="0E32E1"/>
                  <w:sz w:val="16"/>
                  <w:u w:val="single"/>
                </w:rPr>
                <w:t>29</w:t>
              </w:r>
            </w:hyperlink>
          </w:p>
        </w:tc>
      </w:tr>
      <w:tr>
        <w:trPr/>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20e1f3d5a734e3eabbb6aa8f57c7562_312">
              <w:r>
                <w:rPr>
                  <w:rStyle w:val="InternetLink"/>
                  <w:rFonts w:ascii="Arial;sans-serif" w:hAnsi="Arial;sans-serif"/>
                  <w:b w:val="false"/>
                  <w:color w:val="0000FF"/>
                  <w:sz w:val="16"/>
                  <w:u w:val="single"/>
                </w:rPr>
                <w:t>Results of Operations</w:t>
              </w:r>
            </w:hyperlink>
          </w:p>
        </w:tc>
        <w:tc>
          <w:tcPr>
            <w:tcW w:w="53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20e1f3d5a734e3eabbb6aa8f57c7562_312">
              <w:r>
                <w:rPr>
                  <w:rStyle w:val="InternetLink"/>
                  <w:rFonts w:ascii="Arial;sans-serif" w:hAnsi="Arial;sans-serif"/>
                  <w:b w:val="false"/>
                  <w:color w:val="0000FF"/>
                  <w:sz w:val="16"/>
                  <w:u w:val="single"/>
                </w:rPr>
                <w:t>31</w:t>
              </w:r>
            </w:hyperlink>
          </w:p>
        </w:tc>
      </w:tr>
      <w:tr>
        <w:trPr/>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20e1f3d5a734e3eabbb6aa8f57c7562_333">
              <w:r>
                <w:rPr>
                  <w:rStyle w:val="InternetLink"/>
                  <w:rFonts w:ascii="Arial;sans-serif" w:hAnsi="Arial;sans-serif"/>
                  <w:b w:val="false"/>
                  <w:color w:val="0000FF"/>
                  <w:sz w:val="16"/>
                  <w:u w:val="single"/>
                </w:rPr>
                <w:t>Liquidity and Capital Resources</w:t>
              </w:r>
            </w:hyperlink>
          </w:p>
        </w:tc>
        <w:tc>
          <w:tcPr>
            <w:tcW w:w="53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20e1f3d5a734e3eabbb6aa8f57c7562_333">
              <w:r>
                <w:rPr>
                  <w:rStyle w:val="InternetLink"/>
                  <w:rFonts w:ascii="Arial;sans-serif" w:hAnsi="Arial;sans-serif"/>
                  <w:b w:val="false"/>
                  <w:color w:val="0E32E1"/>
                  <w:sz w:val="16"/>
                  <w:u w:val="single"/>
                </w:rPr>
                <w:t>32</w:t>
              </w:r>
            </w:hyperlink>
          </w:p>
        </w:tc>
      </w:tr>
      <w:tr>
        <w:trPr/>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20e1f3d5a734e3eabbb6aa8f57c7562_351">
              <w:r>
                <w:rPr>
                  <w:rStyle w:val="InternetLink"/>
                  <w:rFonts w:ascii="Arial;sans-serif" w:hAnsi="Arial;sans-serif"/>
                  <w:b w:val="false"/>
                  <w:color w:val="0000FF"/>
                  <w:sz w:val="16"/>
                  <w:u w:val="single"/>
                </w:rPr>
                <w:t>Cash Flow Activities</w:t>
              </w:r>
            </w:hyperlink>
          </w:p>
        </w:tc>
        <w:tc>
          <w:tcPr>
            <w:tcW w:w="53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20e1f3d5a734e3eabbb6aa8f57c7562_351">
              <w:r>
                <w:rPr>
                  <w:rStyle w:val="InternetLink"/>
                  <w:rFonts w:ascii="Arial;sans-serif" w:hAnsi="Arial;sans-serif"/>
                  <w:b w:val="false"/>
                  <w:color w:val="0000FF"/>
                  <w:sz w:val="16"/>
                  <w:u w:val="single"/>
                </w:rPr>
                <w:t>33</w:t>
              </w:r>
            </w:hyperlink>
          </w:p>
        </w:tc>
      </w:tr>
      <w:tr>
        <w:trPr/>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20e1f3d5a734e3eabbb6aa8f57c7562_12707">
              <w:r>
                <w:rPr>
                  <w:rStyle w:val="InternetLink"/>
                  <w:rFonts w:ascii="Arial;sans-serif" w:hAnsi="Arial;sans-serif"/>
                  <w:b w:val="false"/>
                  <w:color w:val="0000FF"/>
                  <w:sz w:val="16"/>
                  <w:u w:val="single"/>
                </w:rPr>
                <w:t>Contractual Obligations and Commitments</w:t>
              </w:r>
            </w:hyperlink>
          </w:p>
        </w:tc>
        <w:tc>
          <w:tcPr>
            <w:tcW w:w="53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20e1f3d5a734e3eabbb6aa8f57c7562_12707">
              <w:r>
                <w:rPr>
                  <w:rStyle w:val="InternetLink"/>
                  <w:rFonts w:ascii="Arial;sans-serif" w:hAnsi="Arial;sans-serif"/>
                  <w:b w:val="false"/>
                  <w:color w:val="0000FF"/>
                  <w:sz w:val="16"/>
                  <w:u w:val="single"/>
                </w:rPr>
                <w:t>33</w:t>
              </w:r>
            </w:hyperlink>
          </w:p>
        </w:tc>
      </w:tr>
      <w:tr>
        <w:trPr/>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20e1f3d5a734e3eabbb6aa8f57c7562_360">
              <w:r>
                <w:rPr>
                  <w:rStyle w:val="InternetLink"/>
                  <w:rFonts w:ascii="Arial;sans-serif" w:hAnsi="Arial;sans-serif"/>
                  <w:b w:val="false"/>
                  <w:color w:val="0000FF"/>
                  <w:sz w:val="16"/>
                  <w:u w:val="single"/>
                </w:rPr>
                <w:t>Non-GAAP Financial Measure</w:t>
              </w:r>
            </w:hyperlink>
          </w:p>
        </w:tc>
        <w:tc>
          <w:tcPr>
            <w:tcW w:w="53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20e1f3d5a734e3eabbb6aa8f57c7562_360">
              <w:r>
                <w:rPr>
                  <w:rStyle w:val="InternetLink"/>
                  <w:rFonts w:ascii="Arial;sans-serif" w:hAnsi="Arial;sans-serif"/>
                  <w:b w:val="false"/>
                  <w:color w:val="0000FF"/>
                  <w:sz w:val="16"/>
                  <w:u w:val="single"/>
                </w:rPr>
                <w:t>33</w:t>
              </w:r>
            </w:hyperlink>
          </w:p>
        </w:tc>
      </w:tr>
      <w:tr>
        <w:trPr/>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20e1f3d5a734e3eabbb6aa8f57c7562_9231">
              <w:r>
                <w:rPr>
                  <w:rStyle w:val="InternetLink"/>
                  <w:rFonts w:ascii="Arial;sans-serif" w:hAnsi="Arial;sans-serif"/>
                  <w:b w:val="false"/>
                  <w:color w:val="0000FF"/>
                  <w:sz w:val="16"/>
                  <w:u w:val="single"/>
                </w:rPr>
                <w:t>Critical Accounting Policies and Estimates</w:t>
              </w:r>
            </w:hyperlink>
          </w:p>
        </w:tc>
        <w:tc>
          <w:tcPr>
            <w:tcW w:w="53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20e1f3d5a734e3eabbb6aa8f57c7562_9231">
              <w:r>
                <w:rPr>
                  <w:rStyle w:val="InternetLink"/>
                  <w:rFonts w:ascii="Arial;sans-serif" w:hAnsi="Arial;sans-serif"/>
                  <w:b w:val="false"/>
                  <w:color w:val="0000FF"/>
                  <w:sz w:val="16"/>
                  <w:u w:val="single"/>
                </w:rPr>
                <w:t>34</w:t>
              </w:r>
            </w:hyperlink>
          </w:p>
        </w:tc>
      </w:tr>
      <w:tr>
        <w:trPr/>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6"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f20e1f3d5a734e3eabbb6aa8f57c7562_8724">
              <w:r>
                <w:rPr>
                  <w:rStyle w:val="InternetLink"/>
                  <w:rFonts w:ascii="Arial;sans-serif" w:hAnsi="Arial;sans-serif"/>
                  <w:b w:val="false"/>
                  <w:color w:val="000080"/>
                  <w:sz w:val="16"/>
                  <w:u w:val="single"/>
                </w:rPr>
                <w:t>ITEM</w:t>
              </w:r>
            </w:hyperlink>
            <w:hyperlink w:anchor="if20e1f3d5a734e3eabbb6aa8f57c7562_8724">
              <w:r>
                <w:rPr>
                  <w:rStyle w:val="InternetLink"/>
                  <w:rFonts w:ascii="Arial;sans-serif" w:hAnsi="Arial;sans-serif"/>
                  <w:b w:val="false"/>
                  <w:color w:val="000080"/>
                  <w:sz w:val="16"/>
                  <w:u w:val="single"/>
                </w:rPr>
                <w:t xml:space="preserve"> 3. </w:t>
              </w:r>
            </w:hyperlink>
            <w:hyperlink w:anchor="if20e1f3d5a734e3eabbb6aa8f57c7562_8724">
              <w:r>
                <w:rPr>
                  <w:rStyle w:val="InternetLink"/>
                  <w:rFonts w:ascii="Arial;sans-serif" w:hAnsi="Arial;sans-serif"/>
                  <w:b w:val="false"/>
                  <w:color w:val="000080"/>
                  <w:sz w:val="16"/>
                  <w:u w:val="single"/>
                </w:rPr>
                <w:t>QUA</w:t>
              </w:r>
            </w:hyperlink>
            <w:hyperlink w:anchor="if20e1f3d5a734e3eabbb6aa8f57c7562_8724">
              <w:r>
                <w:rPr>
                  <w:rStyle w:val="InternetLink"/>
                  <w:rFonts w:ascii="Arial;sans-serif" w:hAnsi="Arial;sans-serif"/>
                  <w:b w:val="false"/>
                  <w:color w:val="000080"/>
                  <w:sz w:val="16"/>
                  <w:u w:val="single"/>
                </w:rPr>
                <w:t>NTITATIVE AND QUALITATIVE DISCLO</w:t>
              </w:r>
            </w:hyperlink>
            <w:hyperlink w:anchor="if20e1f3d5a734e3eabbb6aa8f57c7562_8724">
              <w:r>
                <w:rPr>
                  <w:rStyle w:val="InternetLink"/>
                  <w:rFonts w:ascii="Arial;sans-serif" w:hAnsi="Arial;sans-serif"/>
                  <w:b w:val="false"/>
                  <w:color w:val="000080"/>
                  <w:sz w:val="16"/>
                  <w:u w:val="single"/>
                </w:rPr>
                <w:t>SURES ABOUT MARKET RISK</w:t>
              </w:r>
            </w:hyperlink>
          </w:p>
        </w:tc>
        <w:tc>
          <w:tcPr>
            <w:tcW w:w="53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20e1f3d5a734e3eabbb6aa8f57c7562_8724">
              <w:r>
                <w:rPr>
                  <w:rStyle w:val="InternetLink"/>
                  <w:rFonts w:ascii="Arial;sans-serif" w:hAnsi="Arial;sans-serif"/>
                  <w:b w:val="false"/>
                  <w:color w:val="0000FF"/>
                  <w:sz w:val="16"/>
                  <w:u w:val="single"/>
                </w:rPr>
                <w:t>34</w:t>
              </w:r>
            </w:hyperlink>
          </w:p>
        </w:tc>
      </w:tr>
      <w:tr>
        <w:trPr/>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6"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b4f82f200d17434a9b8b42cd0b95952c_5906">
              <w:r>
                <w:rPr>
                  <w:rStyle w:val="InternetLink"/>
                  <w:rFonts w:ascii="Arial;sans-serif" w:hAnsi="Arial;sans-serif"/>
                  <w:b w:val="false"/>
                  <w:color w:val="0000FF"/>
                  <w:sz w:val="16"/>
                  <w:u w:val="single"/>
                </w:rPr>
                <w:t>ITEM 4. CONTROLS AND PROCEDURES</w:t>
              </w:r>
            </w:hyperlink>
          </w:p>
        </w:tc>
        <w:tc>
          <w:tcPr>
            <w:tcW w:w="53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20e1f3d5a734e3eabbb6aa8f57c7562_3745">
              <w:r>
                <w:rPr>
                  <w:rStyle w:val="InternetLink"/>
                  <w:rFonts w:ascii="Arial;sans-serif" w:hAnsi="Arial;sans-serif"/>
                  <w:b w:val="false"/>
                  <w:color w:val="0000FF"/>
                  <w:sz w:val="16"/>
                  <w:u w:val="single"/>
                </w:rPr>
                <w:t>34</w:t>
              </w:r>
            </w:hyperlink>
          </w:p>
        </w:tc>
      </w:tr>
      <w:tr>
        <w:trPr/>
        <w:tc>
          <w:tcPr>
            <w:tcW w:w="9675" w:type="dxa"/>
            <w:gridSpan w:val="9"/>
            <w:tcBorders/>
            <w:tcMar>
              <w:top w:w="0" w:type="dxa"/>
              <w:left w:w="0" w:type="dxa"/>
              <w:bottom w:w="0" w:type="dxa"/>
              <w:right w:w="0" w:type="dxa"/>
            </w:tcMar>
            <w:vAlign w:val="center"/>
          </w:tcPr>
          <w:p>
            <w:pPr>
              <w:pStyle w:val="TableContents"/>
              <w:bidi w:val="0"/>
              <w:spacing w:lineRule="auto" w:line="240" w:before="0" w:after="0"/>
              <w:jc w:val="left"/>
              <w:rPr/>
            </w:pPr>
            <w:hyperlink w:anchor="if20e1f3d5a734e3eabbb6aa8f57c7562_8344">
              <w:r>
                <w:rPr>
                  <w:rStyle w:val="InternetLink"/>
                  <w:rFonts w:ascii="Arial;sans-serif" w:hAnsi="Arial;sans-serif"/>
                  <w:b w:val="false"/>
                  <w:color w:val="000080"/>
                  <w:sz w:val="16"/>
                  <w:u w:val="single"/>
                </w:rPr>
                <w:t>P</w:t>
              </w:r>
            </w:hyperlink>
            <w:hyperlink w:anchor="if20e1f3d5a734e3eabbb6aa8f57c7562_8344">
              <w:r>
                <w:rPr>
                  <w:rStyle w:val="InternetLink"/>
                  <w:rFonts w:ascii="Arial;sans-serif" w:hAnsi="Arial;sans-serif"/>
                  <w:b w:val="false"/>
                  <w:color w:val="000080"/>
                  <w:sz w:val="16"/>
                  <w:u w:val="single"/>
                </w:rPr>
                <w:t>ART</w:t>
              </w:r>
            </w:hyperlink>
            <w:hyperlink w:anchor="if20e1f3d5a734e3eabbb6aa8f57c7562_8344">
              <w:r>
                <w:rPr>
                  <w:rStyle w:val="InternetLink"/>
                  <w:rFonts w:ascii="Arial;sans-serif" w:hAnsi="Arial;sans-serif"/>
                  <w:b w:val="false"/>
                  <w:color w:val="000080"/>
                  <w:sz w:val="16"/>
                  <w:u w:val="single"/>
                </w:rPr>
                <w:t xml:space="preserve"> II. OTHER INFORMATION</w:t>
              </w:r>
            </w:hyperlink>
          </w:p>
        </w:tc>
        <w:tc>
          <w:tcPr>
            <w:tcW w:w="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6"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f20e1f3d5a734e3eabbb6aa8f57c7562_5425">
              <w:r>
                <w:rPr>
                  <w:rStyle w:val="InternetLink"/>
                  <w:rFonts w:ascii="Arial;sans-serif" w:hAnsi="Arial;sans-serif"/>
                  <w:b w:val="false"/>
                  <w:color w:val="000080"/>
                  <w:sz w:val="16"/>
                  <w:u w:val="single"/>
                </w:rPr>
                <w:t>IT</w:t>
              </w:r>
            </w:hyperlink>
            <w:hyperlink w:anchor="if20e1f3d5a734e3eabbb6aa8f57c7562_5425">
              <w:r>
                <w:rPr>
                  <w:rStyle w:val="InternetLink"/>
                  <w:rFonts w:ascii="Arial;sans-serif" w:hAnsi="Arial;sans-serif"/>
                  <w:b w:val="false"/>
                  <w:color w:val="000080"/>
                  <w:sz w:val="16"/>
                  <w:u w:val="single"/>
                </w:rPr>
                <w:t>EM</w:t>
              </w:r>
            </w:hyperlink>
            <w:hyperlink w:anchor="if20e1f3d5a734e3eabbb6aa8f57c7562_5425">
              <w:r>
                <w:rPr>
                  <w:rStyle w:val="InternetLink"/>
                  <w:rFonts w:ascii="Arial;sans-serif" w:hAnsi="Arial;sans-serif"/>
                  <w:b w:val="false"/>
                  <w:color w:val="000080"/>
                  <w:sz w:val="16"/>
                  <w:u w:val="single"/>
                </w:rPr>
                <w:t xml:space="preserve"> 1. </w:t>
              </w:r>
            </w:hyperlink>
            <w:hyperlink w:anchor="if20e1f3d5a734e3eabbb6aa8f57c7562_5425">
              <w:r>
                <w:rPr>
                  <w:rStyle w:val="InternetLink"/>
                  <w:rFonts w:ascii="Arial;sans-serif" w:hAnsi="Arial;sans-serif"/>
                  <w:b w:val="false"/>
                  <w:color w:val="000080"/>
                  <w:sz w:val="16"/>
                  <w:u w:val="single"/>
                </w:rPr>
                <w:t>L</w:t>
              </w:r>
            </w:hyperlink>
            <w:hyperlink w:anchor="if20e1f3d5a734e3eabbb6aa8f57c7562_5425">
              <w:r>
                <w:rPr>
                  <w:rStyle w:val="InternetLink"/>
                  <w:rFonts w:ascii="Arial;sans-serif" w:hAnsi="Arial;sans-serif"/>
                  <w:b w:val="false"/>
                  <w:color w:val="000080"/>
                  <w:sz w:val="16"/>
                  <w:u w:val="single"/>
                </w:rPr>
                <w:t>EGAL PROCEEDINGS</w:t>
              </w:r>
            </w:hyperlink>
          </w:p>
        </w:tc>
        <w:tc>
          <w:tcPr>
            <w:tcW w:w="53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20e1f3d5a734e3eabbb6aa8f57c7562_5425">
              <w:r>
                <w:rPr>
                  <w:rStyle w:val="InternetLink"/>
                  <w:rFonts w:ascii="Arial;sans-serif" w:hAnsi="Arial;sans-serif"/>
                  <w:b w:val="false"/>
                  <w:color w:val="0000FF"/>
                  <w:sz w:val="16"/>
                  <w:u w:val="single"/>
                </w:rPr>
                <w:t>35</w:t>
              </w:r>
            </w:hyperlink>
          </w:p>
        </w:tc>
      </w:tr>
      <w:tr>
        <w:trPr/>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6"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f20e1f3d5a734e3eabbb6aa8f57c7562_9190">
              <w:r>
                <w:rPr>
                  <w:rStyle w:val="InternetLink"/>
                  <w:rFonts w:ascii="Arial;sans-serif" w:hAnsi="Arial;sans-serif"/>
                  <w:b w:val="false"/>
                  <w:color w:val="000080"/>
                  <w:sz w:val="16"/>
                  <w:u w:val="single"/>
                </w:rPr>
                <w:t>I</w:t>
              </w:r>
            </w:hyperlink>
            <w:hyperlink w:anchor="if20e1f3d5a734e3eabbb6aa8f57c7562_9190">
              <w:r>
                <w:rPr>
                  <w:rStyle w:val="InternetLink"/>
                  <w:rFonts w:ascii="Arial;sans-serif" w:hAnsi="Arial;sans-serif"/>
                  <w:b w:val="false"/>
                  <w:color w:val="000080"/>
                  <w:sz w:val="16"/>
                  <w:u w:val="single"/>
                </w:rPr>
                <w:t>TEM</w:t>
              </w:r>
            </w:hyperlink>
            <w:hyperlink w:anchor="if20e1f3d5a734e3eabbb6aa8f57c7562_9190">
              <w:r>
                <w:rPr>
                  <w:rStyle w:val="InternetLink"/>
                  <w:rFonts w:ascii="Arial;sans-serif" w:hAnsi="Arial;sans-serif"/>
                  <w:b w:val="false"/>
                  <w:color w:val="000080"/>
                  <w:sz w:val="16"/>
                  <w:u w:val="single"/>
                </w:rPr>
                <w:t xml:space="preserve"> 1A. </w:t>
              </w:r>
            </w:hyperlink>
            <w:hyperlink w:anchor="if20e1f3d5a734e3eabbb6aa8f57c7562_9190">
              <w:r>
                <w:rPr>
                  <w:rStyle w:val="InternetLink"/>
                  <w:rFonts w:ascii="Arial;sans-serif" w:hAnsi="Arial;sans-serif"/>
                  <w:b w:val="false"/>
                  <w:color w:val="000080"/>
                  <w:sz w:val="16"/>
                  <w:u w:val="single"/>
                </w:rPr>
                <w:t>R</w:t>
              </w:r>
            </w:hyperlink>
            <w:hyperlink w:anchor="if20e1f3d5a734e3eabbb6aa8f57c7562_9190">
              <w:r>
                <w:rPr>
                  <w:rStyle w:val="InternetLink"/>
                  <w:rFonts w:ascii="Arial;sans-serif" w:hAnsi="Arial;sans-serif"/>
                  <w:b w:val="false"/>
                  <w:color w:val="000080"/>
                  <w:sz w:val="16"/>
                  <w:u w:val="single"/>
                </w:rPr>
                <w:t>ISK FACTORS</w:t>
              </w:r>
            </w:hyperlink>
          </w:p>
        </w:tc>
        <w:tc>
          <w:tcPr>
            <w:tcW w:w="53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20e1f3d5a734e3eabbb6aa8f57c7562_9190">
              <w:r>
                <w:rPr>
                  <w:rStyle w:val="InternetLink"/>
                  <w:rFonts w:ascii="Arial;sans-serif" w:hAnsi="Arial;sans-serif"/>
                  <w:b w:val="false"/>
                  <w:color w:val="0000FF"/>
                  <w:sz w:val="16"/>
                  <w:u w:val="single"/>
                </w:rPr>
                <w:t>35</w:t>
              </w:r>
            </w:hyperlink>
          </w:p>
        </w:tc>
      </w:tr>
      <w:tr>
        <w:trPr/>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6"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f20e1f3d5a734e3eabbb6aa8f57c7562_6441">
              <w:r>
                <w:rPr>
                  <w:rStyle w:val="InternetLink"/>
                  <w:rFonts w:ascii="Arial;sans-serif" w:hAnsi="Arial;sans-serif"/>
                  <w:b w:val="false"/>
                  <w:color w:val="0000FF"/>
                  <w:sz w:val="16"/>
                  <w:u w:val="single"/>
                </w:rPr>
                <w:t>ITEM 2. UNREGISTERED SALES OF EQUITY SECURITIES AND USE OF PROCEEDS</w:t>
              </w:r>
            </w:hyperlink>
          </w:p>
        </w:tc>
        <w:tc>
          <w:tcPr>
            <w:tcW w:w="53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20e1f3d5a734e3eabbb6aa8f57c7562_6441">
              <w:r>
                <w:rPr>
                  <w:rStyle w:val="InternetLink"/>
                  <w:rFonts w:ascii="Arial;sans-serif" w:hAnsi="Arial;sans-serif"/>
                  <w:b w:val="false"/>
                  <w:color w:val="0000FF"/>
                  <w:sz w:val="16"/>
                  <w:u w:val="single"/>
                </w:rPr>
                <w:t>35</w:t>
              </w:r>
            </w:hyperlink>
          </w:p>
        </w:tc>
      </w:tr>
      <w:tr>
        <w:trPr/>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6"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f20e1f3d5a734e3eabbb6aa8f57c7562_9199">
              <w:r>
                <w:rPr>
                  <w:rStyle w:val="InternetLink"/>
                  <w:rFonts w:ascii="Arial;sans-serif" w:hAnsi="Arial;sans-serif"/>
                  <w:b w:val="false"/>
                  <w:color w:val="000080"/>
                  <w:sz w:val="16"/>
                  <w:u w:val="single"/>
                </w:rPr>
                <w:t>ITEM</w:t>
              </w:r>
            </w:hyperlink>
            <w:hyperlink w:anchor="if20e1f3d5a734e3eabbb6aa8f57c7562_9199">
              <w:r>
                <w:rPr>
                  <w:rStyle w:val="InternetLink"/>
                  <w:rFonts w:ascii="Arial;sans-serif" w:hAnsi="Arial;sans-serif"/>
                  <w:b w:val="false"/>
                  <w:color w:val="000080"/>
                  <w:sz w:val="16"/>
                  <w:u w:val="single"/>
                </w:rPr>
                <w:t xml:space="preserve"> 3. </w:t>
              </w:r>
            </w:hyperlink>
            <w:hyperlink w:anchor="if20e1f3d5a734e3eabbb6aa8f57c7562_9199">
              <w:r>
                <w:rPr>
                  <w:rStyle w:val="InternetLink"/>
                  <w:rFonts w:ascii="Arial;sans-serif" w:hAnsi="Arial;sans-serif"/>
                  <w:b w:val="false"/>
                  <w:color w:val="000080"/>
                  <w:sz w:val="16"/>
                  <w:u w:val="single"/>
                </w:rPr>
                <w:t>D</w:t>
              </w:r>
            </w:hyperlink>
            <w:hyperlink w:anchor="if20e1f3d5a734e3eabbb6aa8f57c7562_9199">
              <w:r>
                <w:rPr>
                  <w:rStyle w:val="InternetLink"/>
                  <w:rFonts w:ascii="Arial;sans-serif" w:hAnsi="Arial;sans-serif"/>
                  <w:b w:val="false"/>
                  <w:color w:val="000080"/>
                  <w:sz w:val="16"/>
                  <w:u w:val="single"/>
                </w:rPr>
                <w:t>EF</w:t>
              </w:r>
            </w:hyperlink>
            <w:hyperlink w:anchor="if20e1f3d5a734e3eabbb6aa8f57c7562_9199">
              <w:r>
                <w:rPr>
                  <w:rStyle w:val="InternetLink"/>
                  <w:rFonts w:ascii="Arial;sans-serif" w:hAnsi="Arial;sans-serif"/>
                  <w:b w:val="false"/>
                  <w:color w:val="000080"/>
                  <w:sz w:val="16"/>
                  <w:u w:val="single"/>
                </w:rPr>
                <w:t>AULTS UPON SENIOR SECURITI</w:t>
              </w:r>
            </w:hyperlink>
            <w:hyperlink w:anchor="if20e1f3d5a734e3eabbb6aa8f57c7562_9199">
              <w:r>
                <w:rPr>
                  <w:rStyle w:val="InternetLink"/>
                  <w:rFonts w:ascii="Arial;sans-serif" w:hAnsi="Arial;sans-serif"/>
                  <w:b w:val="false"/>
                  <w:color w:val="000080"/>
                  <w:sz w:val="16"/>
                  <w:u w:val="single"/>
                </w:rPr>
                <w:t>ES</w:t>
              </w:r>
            </w:hyperlink>
          </w:p>
        </w:tc>
        <w:tc>
          <w:tcPr>
            <w:tcW w:w="53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20e1f3d5a734e3eabbb6aa8f57c7562_9199">
              <w:r>
                <w:rPr>
                  <w:rStyle w:val="InternetLink"/>
                  <w:rFonts w:ascii="Arial;sans-serif" w:hAnsi="Arial;sans-serif"/>
                  <w:b w:val="false"/>
                  <w:color w:val="0000FF"/>
                  <w:sz w:val="16"/>
                  <w:u w:val="single"/>
                </w:rPr>
                <w:t>35</w:t>
              </w:r>
            </w:hyperlink>
          </w:p>
        </w:tc>
      </w:tr>
      <w:tr>
        <w:trPr/>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6"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029e02ee5b44422289f62612912cfb6f_304">
              <w:r>
                <w:rPr>
                  <w:rStyle w:val="InternetLink"/>
                  <w:rFonts w:ascii="Arial;sans-serif" w:hAnsi="Arial;sans-serif"/>
                  <w:b w:val="false"/>
                  <w:color w:val="000080"/>
                  <w:sz w:val="16"/>
                  <w:u w:val="single"/>
                </w:rPr>
                <w:t>I</w:t>
              </w:r>
            </w:hyperlink>
            <w:hyperlink w:anchor="i029e02ee5b44422289f62612912cfb6f_304">
              <w:r>
                <w:rPr>
                  <w:rStyle w:val="InternetLink"/>
                  <w:rFonts w:ascii="Arial;sans-serif" w:hAnsi="Arial;sans-serif"/>
                  <w:b w:val="false"/>
                  <w:color w:val="000080"/>
                  <w:sz w:val="16"/>
                  <w:u w:val="single"/>
                </w:rPr>
                <w:t>TEM</w:t>
              </w:r>
            </w:hyperlink>
            <w:hyperlink w:anchor="i029e02ee5b44422289f62612912cfb6f_304">
              <w:r>
                <w:rPr>
                  <w:rStyle w:val="InternetLink"/>
                  <w:rFonts w:ascii="Arial;sans-serif" w:hAnsi="Arial;sans-serif"/>
                  <w:b w:val="false"/>
                  <w:color w:val="000080"/>
                  <w:sz w:val="16"/>
                  <w:u w:val="single"/>
                </w:rPr>
                <w:t xml:space="preserve"> 4. </w:t>
              </w:r>
            </w:hyperlink>
            <w:hyperlink w:anchor="i029e02ee5b44422289f62612912cfb6f_304">
              <w:r>
                <w:rPr>
                  <w:rStyle w:val="InternetLink"/>
                  <w:rFonts w:ascii="Arial;sans-serif" w:hAnsi="Arial;sans-serif"/>
                  <w:b w:val="false"/>
                  <w:color w:val="000080"/>
                  <w:sz w:val="16"/>
                  <w:u w:val="single"/>
                </w:rPr>
                <w:t>MINE S</w:t>
              </w:r>
            </w:hyperlink>
            <w:hyperlink w:anchor="i029e02ee5b44422289f62612912cfb6f_304">
              <w:r>
                <w:rPr>
                  <w:rStyle w:val="InternetLink"/>
                  <w:rFonts w:ascii="Arial;sans-serif" w:hAnsi="Arial;sans-serif"/>
                  <w:b w:val="false"/>
                  <w:color w:val="000080"/>
                  <w:sz w:val="16"/>
                  <w:u w:val="single"/>
                </w:rPr>
                <w:t>AF</w:t>
              </w:r>
            </w:hyperlink>
            <w:hyperlink w:anchor="i029e02ee5b44422289f62612912cfb6f_304">
              <w:r>
                <w:rPr>
                  <w:rStyle w:val="InternetLink"/>
                  <w:rFonts w:ascii="Arial;sans-serif" w:hAnsi="Arial;sans-serif"/>
                  <w:b w:val="false"/>
                  <w:color w:val="000080"/>
                  <w:sz w:val="16"/>
                  <w:u w:val="single"/>
                </w:rPr>
                <w:t>ET</w:t>
              </w:r>
            </w:hyperlink>
            <w:hyperlink w:anchor="i029e02ee5b44422289f62612912cfb6f_304">
              <w:r>
                <w:rPr>
                  <w:rStyle w:val="InternetLink"/>
                  <w:rFonts w:ascii="Arial;sans-serif" w:hAnsi="Arial;sans-serif"/>
                  <w:b w:val="false"/>
                  <w:color w:val="000080"/>
                  <w:sz w:val="16"/>
                  <w:u w:val="single"/>
                </w:rPr>
                <w:t>Y DISCLOSURES</w:t>
              </w:r>
            </w:hyperlink>
          </w:p>
        </w:tc>
        <w:tc>
          <w:tcPr>
            <w:tcW w:w="53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20e1f3d5a734e3eabbb6aa8f57c7562_3829">
              <w:r>
                <w:rPr>
                  <w:rStyle w:val="InternetLink"/>
                  <w:rFonts w:ascii="Arial;sans-serif" w:hAnsi="Arial;sans-serif"/>
                  <w:b w:val="false"/>
                  <w:color w:val="0000FF"/>
                  <w:sz w:val="16"/>
                  <w:u w:val="single"/>
                </w:rPr>
                <w:t>35</w:t>
              </w:r>
            </w:hyperlink>
          </w:p>
        </w:tc>
      </w:tr>
      <w:tr>
        <w:trPr/>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6"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f20e1f3d5a734e3eabbb6aa8f57c7562_5546">
              <w:r>
                <w:rPr>
                  <w:rStyle w:val="InternetLink"/>
                  <w:rFonts w:ascii="Arial;sans-serif" w:hAnsi="Arial;sans-serif"/>
                  <w:b w:val="false"/>
                  <w:color w:val="000080"/>
                  <w:sz w:val="16"/>
                  <w:u w:val="single"/>
                </w:rPr>
                <w:t>I</w:t>
              </w:r>
            </w:hyperlink>
            <w:hyperlink w:anchor="if20e1f3d5a734e3eabbb6aa8f57c7562_5546">
              <w:r>
                <w:rPr>
                  <w:rStyle w:val="InternetLink"/>
                  <w:rFonts w:ascii="Arial;sans-serif" w:hAnsi="Arial;sans-serif"/>
                  <w:b w:val="false"/>
                  <w:color w:val="000080"/>
                  <w:sz w:val="16"/>
                  <w:u w:val="single"/>
                </w:rPr>
                <w:t>TEM</w:t>
              </w:r>
            </w:hyperlink>
            <w:hyperlink w:anchor="if20e1f3d5a734e3eabbb6aa8f57c7562_5546">
              <w:r>
                <w:rPr>
                  <w:rStyle w:val="InternetLink"/>
                  <w:rFonts w:ascii="Arial;sans-serif" w:hAnsi="Arial;sans-serif"/>
                  <w:b w:val="false"/>
                  <w:color w:val="000080"/>
                  <w:sz w:val="16"/>
                  <w:u w:val="single"/>
                </w:rPr>
                <w:t xml:space="preserve"> 5. </w:t>
              </w:r>
            </w:hyperlink>
            <w:hyperlink w:anchor="if20e1f3d5a734e3eabbb6aa8f57c7562_5546">
              <w:r>
                <w:rPr>
                  <w:rStyle w:val="InternetLink"/>
                  <w:rFonts w:ascii="Arial;sans-serif" w:hAnsi="Arial;sans-serif"/>
                  <w:b w:val="false"/>
                  <w:color w:val="000080"/>
                  <w:sz w:val="16"/>
                  <w:u w:val="single"/>
                </w:rPr>
                <w:t>O</w:t>
              </w:r>
            </w:hyperlink>
            <w:hyperlink w:anchor="if20e1f3d5a734e3eabbb6aa8f57c7562_5546">
              <w:r>
                <w:rPr>
                  <w:rStyle w:val="InternetLink"/>
                  <w:rFonts w:ascii="Arial;sans-serif" w:hAnsi="Arial;sans-serif"/>
                  <w:b w:val="false"/>
                  <w:color w:val="000080"/>
                  <w:sz w:val="16"/>
                  <w:u w:val="single"/>
                </w:rPr>
                <w:t>THER IN</w:t>
              </w:r>
            </w:hyperlink>
            <w:hyperlink w:anchor="if20e1f3d5a734e3eabbb6aa8f57c7562_5546">
              <w:r>
                <w:rPr>
                  <w:rStyle w:val="InternetLink"/>
                  <w:rFonts w:ascii="Arial;sans-serif" w:hAnsi="Arial;sans-serif"/>
                  <w:b w:val="false"/>
                  <w:color w:val="000080"/>
                  <w:sz w:val="16"/>
                  <w:u w:val="single"/>
                </w:rPr>
                <w:t>FORMATION</w:t>
              </w:r>
            </w:hyperlink>
          </w:p>
        </w:tc>
        <w:tc>
          <w:tcPr>
            <w:tcW w:w="53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20e1f3d5a734e3eabbb6aa8f57c7562_5546">
              <w:r>
                <w:rPr>
                  <w:rStyle w:val="InternetLink"/>
                  <w:rFonts w:ascii="Arial;sans-serif" w:hAnsi="Arial;sans-serif"/>
                  <w:b w:val="false"/>
                  <w:color w:val="0000FF"/>
                  <w:sz w:val="16"/>
                  <w:u w:val="single"/>
                </w:rPr>
                <w:t>35</w:t>
              </w:r>
            </w:hyperlink>
          </w:p>
        </w:tc>
      </w:tr>
      <w:tr>
        <w:trPr/>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6"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f20e1f3d5a734e3eabbb6aa8f57c7562_3850">
              <w:r>
                <w:rPr>
                  <w:rStyle w:val="InternetLink"/>
                  <w:rFonts w:ascii="Arial;sans-serif" w:hAnsi="Arial;sans-serif"/>
                  <w:b w:val="false"/>
                  <w:color w:val="000080"/>
                  <w:sz w:val="16"/>
                  <w:u w:val="single"/>
                </w:rPr>
                <w:t>I</w:t>
              </w:r>
            </w:hyperlink>
            <w:hyperlink w:anchor="if20e1f3d5a734e3eabbb6aa8f57c7562_3850">
              <w:r>
                <w:rPr>
                  <w:rStyle w:val="InternetLink"/>
                  <w:rFonts w:ascii="Arial;sans-serif" w:hAnsi="Arial;sans-serif"/>
                  <w:b w:val="false"/>
                  <w:color w:val="000080"/>
                  <w:sz w:val="16"/>
                  <w:u w:val="single"/>
                </w:rPr>
                <w:t>TEM</w:t>
              </w:r>
            </w:hyperlink>
            <w:hyperlink w:anchor="if20e1f3d5a734e3eabbb6aa8f57c7562_3850">
              <w:r>
                <w:rPr>
                  <w:rStyle w:val="InternetLink"/>
                  <w:rFonts w:ascii="Arial;sans-serif" w:hAnsi="Arial;sans-serif"/>
                  <w:b w:val="false"/>
                  <w:color w:val="000080"/>
                  <w:sz w:val="16"/>
                  <w:u w:val="single"/>
                </w:rPr>
                <w:t xml:space="preserve"> 6. </w:t>
              </w:r>
            </w:hyperlink>
            <w:hyperlink w:anchor="if20e1f3d5a734e3eabbb6aa8f57c7562_3850">
              <w:r>
                <w:rPr>
                  <w:rStyle w:val="InternetLink"/>
                  <w:rFonts w:ascii="Arial;sans-serif" w:hAnsi="Arial;sans-serif"/>
                  <w:b w:val="false"/>
                  <w:color w:val="000080"/>
                  <w:sz w:val="16"/>
                  <w:u w:val="single"/>
                </w:rPr>
                <w:t>EXHIBITS</w:t>
              </w:r>
            </w:hyperlink>
          </w:p>
        </w:tc>
        <w:tc>
          <w:tcPr>
            <w:tcW w:w="53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20e1f3d5a734e3eabbb6aa8f57c7562_3850">
              <w:r>
                <w:rPr>
                  <w:rStyle w:val="InternetLink"/>
                  <w:rFonts w:ascii="Arial;sans-serif" w:hAnsi="Arial;sans-serif"/>
                  <w:b w:val="false"/>
                  <w:color w:val="0000FF"/>
                  <w:sz w:val="16"/>
                  <w:u w:val="single"/>
                </w:rPr>
                <w:t>37</w:t>
              </w:r>
            </w:hyperlink>
          </w:p>
        </w:tc>
      </w:tr>
      <w:tr>
        <w:trPr/>
        <w:tc>
          <w:tcPr>
            <w:tcW w:w="9675" w:type="dxa"/>
            <w:gridSpan w:val="9"/>
            <w:tcBorders/>
            <w:tcMar>
              <w:top w:w="0" w:type="dxa"/>
              <w:left w:w="0" w:type="dxa"/>
              <w:bottom w:w="0" w:type="dxa"/>
              <w:right w:w="0" w:type="dxa"/>
            </w:tcMar>
            <w:vAlign w:val="center"/>
          </w:tcPr>
          <w:p>
            <w:pPr>
              <w:pStyle w:val="TableContents"/>
              <w:bidi w:val="0"/>
              <w:spacing w:lineRule="auto" w:line="240" w:before="0" w:after="0"/>
              <w:jc w:val="left"/>
              <w:rPr/>
            </w:pPr>
            <w:hyperlink w:anchor="i3820191e5a5e4caaab6e50f6b441fcd8_202745">
              <w:r>
                <w:rPr>
                  <w:rStyle w:val="InternetLink"/>
                  <w:rFonts w:ascii="Arial;sans-serif" w:hAnsi="Arial;sans-serif"/>
                  <w:b w:val="false"/>
                  <w:color w:val="000080"/>
                  <w:sz w:val="16"/>
                  <w:u w:val="single"/>
                </w:rPr>
                <w:t>G</w:t>
              </w:r>
            </w:hyperlink>
            <w:hyperlink w:anchor="i3820191e5a5e4caaab6e50f6b441fcd8_202745">
              <w:r>
                <w:rPr>
                  <w:rStyle w:val="InternetLink"/>
                  <w:rFonts w:ascii="Arial;sans-serif" w:hAnsi="Arial;sans-serif"/>
                  <w:b w:val="false"/>
                  <w:color w:val="000080"/>
                  <w:sz w:val="16"/>
                  <w:u w:val="single"/>
                </w:rPr>
                <w:t>LOSSAR</w:t>
              </w:r>
            </w:hyperlink>
            <w:hyperlink w:anchor="i3820191e5a5e4caaab6e50f6b441fcd8_202745">
              <w:r>
                <w:rPr>
                  <w:rStyle w:val="InternetLink"/>
                  <w:rFonts w:ascii="Arial;sans-serif" w:hAnsi="Arial;sans-serif"/>
                  <w:b w:val="false"/>
                  <w:color w:val="000080"/>
                  <w:sz w:val="16"/>
                  <w:u w:val="single"/>
                </w:rPr>
                <w:t>Y</w:t>
              </w:r>
            </w:hyperlink>
            <w:hyperlink w:anchor="i3820191e5a5e4caaab6e50f6b441fcd8_202745">
              <w:r>
                <w:rPr>
                  <w:rStyle w:val="InternetLink"/>
                  <w:rFonts w:ascii="Arial;sans-serif" w:hAnsi="Arial;sans-serif"/>
                  <w:b w:val="false"/>
                  <w:color w:val="000080"/>
                  <w:sz w:val="16"/>
                  <w:u w:val="single"/>
                </w:rPr>
                <w:t xml:space="preserve"> OF TERMS</w:t>
              </w:r>
            </w:hyperlink>
            <w:hyperlink w:anchor="i3820191e5a5e4caaab6e50f6b441fcd8_202745">
              <w:r>
                <w:rPr>
                  <w:rStyle w:val="InternetLink"/>
                  <w:rFonts w:ascii="Arial;sans-serif" w:hAnsi="Arial;sans-serif"/>
                  <w:b w:val="false"/>
                  <w:color w:val="000080"/>
                  <w:sz w:val="16"/>
                  <w:u w:val="single"/>
                </w:rPr>
                <w:t xml:space="preserve"> AND</w:t>
              </w:r>
            </w:hyperlink>
            <w:hyperlink w:anchor="i3820191e5a5e4caaab6e50f6b441fcd8_202745">
              <w:r>
                <w:rPr>
                  <w:rStyle w:val="InternetLink"/>
                  <w:rFonts w:ascii="Arial;sans-serif" w:hAnsi="Arial;sans-serif"/>
                  <w:b w:val="false"/>
                  <w:color w:val="000080"/>
                  <w:sz w:val="16"/>
                  <w:u w:val="single"/>
                </w:rPr>
                <w:t xml:space="preserve"> </w:t>
              </w:r>
            </w:hyperlink>
            <w:hyperlink w:anchor="i3820191e5a5e4caaab6e50f6b441fcd8_202745">
              <w:r>
                <w:rPr>
                  <w:rStyle w:val="InternetLink"/>
                  <w:rFonts w:ascii="Arial;sans-serif" w:hAnsi="Arial;sans-serif"/>
                  <w:b w:val="false"/>
                  <w:color w:val="000080"/>
                  <w:sz w:val="16"/>
                  <w:u w:val="single"/>
                </w:rPr>
                <w:t>ABBREVIA</w:t>
              </w:r>
            </w:hyperlink>
            <w:hyperlink w:anchor="i3820191e5a5e4caaab6e50f6b441fcd8_202745">
              <w:r>
                <w:rPr>
                  <w:rStyle w:val="InternetLink"/>
                  <w:rFonts w:ascii="Arial;sans-serif" w:hAnsi="Arial;sans-serif"/>
                  <w:b w:val="false"/>
                  <w:color w:val="000080"/>
                  <w:sz w:val="16"/>
                  <w:u w:val="single"/>
                </w:rPr>
                <w:t>TIONS</w:t>
              </w:r>
            </w:hyperlink>
          </w:p>
        </w:tc>
        <w:tc>
          <w:tcPr>
            <w:tcW w:w="53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20e1f3d5a734e3eabbb6aa8f57c7562_381">
              <w:r>
                <w:rPr>
                  <w:rStyle w:val="InternetLink"/>
                  <w:rFonts w:ascii="Arial;sans-serif" w:hAnsi="Arial;sans-serif"/>
                  <w:b w:val="false"/>
                  <w:color w:val="0000FF"/>
                  <w:sz w:val="16"/>
                  <w:u w:val="single"/>
                </w:rPr>
                <w:t>38</w:t>
              </w:r>
            </w:hyperlink>
          </w:p>
        </w:tc>
      </w:tr>
      <w:tr>
        <w:trPr/>
        <w:tc>
          <w:tcPr>
            <w:tcW w:w="9675"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left"/>
              <w:rPr/>
            </w:pPr>
            <w:hyperlink w:anchor="if20e1f3d5a734e3eabbb6aa8f57c7562_30786325586996">
              <w:r>
                <w:rPr>
                  <w:rStyle w:val="InternetLink"/>
                  <w:rFonts w:ascii="Arial;sans-serif" w:hAnsi="Arial;sans-serif"/>
                  <w:b w:val="false"/>
                  <w:color w:val="000080"/>
                  <w:sz w:val="16"/>
                  <w:u w:val="single"/>
                </w:rPr>
                <w:t>SIGN</w:t>
              </w:r>
            </w:hyperlink>
            <w:hyperlink w:anchor="if20e1f3d5a734e3eabbb6aa8f57c7562_30786325586996">
              <w:r>
                <w:rPr>
                  <w:rStyle w:val="InternetLink"/>
                  <w:rFonts w:ascii="Arial;sans-serif" w:hAnsi="Arial;sans-serif"/>
                  <w:b w:val="false"/>
                  <w:color w:val="000080"/>
                  <w:sz w:val="16"/>
                  <w:u w:val="single"/>
                </w:rPr>
                <w:t>ATURES</w:t>
              </w:r>
            </w:hyperlink>
          </w:p>
        </w:tc>
        <w:tc>
          <w:tcPr>
            <w:tcW w:w="53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pPr>
            <w:hyperlink w:anchor="if20e1f3d5a734e3eabbb6aa8f57c7562_30786325586996">
              <w:r>
                <w:rPr>
                  <w:rStyle w:val="InternetLink"/>
                  <w:rFonts w:ascii="Arial;sans-serif" w:hAnsi="Arial;sans-serif"/>
                  <w:b w:val="false"/>
                  <w:color w:val="0000FF"/>
                  <w:sz w:val="16"/>
                  <w:u w:val="single"/>
                </w:rPr>
                <w:t>42</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ind w:left="0" w:right="0" w:firstLine="3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ind w:left="0" w:right="0" w:firstLine="360"/>
                        <w:jc w:val="left"/>
                        <w:rPr/>
                      </w:pPr>
                      <w:r>
                        <w:rPr/>
                      </w:r>
                    </w:p>
                  </w:txbxContent>
                </v:textbox>
                <w10:wrap type="none"/>
              </v:rect>
            </w:pict>
          </mc:Fallback>
        </mc:AlternateContent>
      </w:r>
    </w:p>
    <w:p>
      <w:pPr>
        <w:pStyle w:val="TextBody"/>
        <w:bidi w:val="0"/>
        <w:spacing w:lineRule="auto" w:line="288" w:before="0" w:after="180"/>
        <w:jc w:val="left"/>
        <w:rPr/>
      </w:pPr>
      <w:hyperlink w:anchor="if20e1f3d5a734e3eabbb6aa8f57c7562_45">
        <w:r>
          <w:rPr>
            <w:rStyle w:val="InternetLink"/>
            <w:rFonts w:ascii="Arial;sans-serif" w:hAnsi="Arial;sans-serif"/>
            <w:b w:val="false"/>
            <w:color w:val="0000FF"/>
            <w:sz w:val="18"/>
            <w:u w:val="single"/>
          </w:rPr>
          <w:t>Table of Contents</w:t>
        </w:r>
      </w:hyperlink>
    </w:p>
    <w:p>
      <w:pPr>
        <w:pStyle w:val="TextBody"/>
        <w:bidi w:val="0"/>
        <w:spacing w:lineRule="auto" w:line="288" w:before="0" w:after="180"/>
        <w:jc w:val="left"/>
        <w:rPr>
          <w:rFonts w:ascii="Arial;sans-serif" w:hAnsi="Arial;sans-serif"/>
          <w:b/>
          <w:color w:val="000000"/>
          <w:sz w:val="18"/>
        </w:rPr>
      </w:pPr>
      <w:bookmarkStart w:id="0" w:name="idf08d5c8772847918ea60a8749a96b52_73730"/>
      <w:bookmarkEnd w:id="0"/>
      <w:r>
        <w:rPr>
          <w:rFonts w:ascii="Arial;sans-serif" w:hAnsi="Arial;sans-serif"/>
          <w:b/>
          <w:color w:val="000000"/>
          <w:sz w:val="18"/>
        </w:rPr>
        <w:t>CAUTIONARY NOTE REGARDING FORWARD-LOOKING INFORMATION</w:t>
      </w:r>
    </w:p>
    <w:p>
      <w:pPr>
        <w:pStyle w:val="TextBody"/>
        <w:bidi w:val="0"/>
        <w:spacing w:lineRule="auto" w:line="288" w:before="0" w:after="180"/>
        <w:ind w:left="0" w:right="0" w:firstLine="360"/>
        <w:jc w:val="left"/>
        <w:rPr>
          <w:rFonts w:ascii="Arial;sans-serif" w:hAnsi="Arial;sans-serif"/>
          <w:b w:val="false"/>
          <w:color w:val="000000"/>
          <w:sz w:val="18"/>
        </w:rPr>
      </w:pPr>
      <w:r>
        <w:rPr>
          <w:rFonts w:ascii="Arial;sans-serif" w:hAnsi="Arial;sans-serif"/>
          <w:b w:val="false"/>
          <w:color w:val="000000"/>
          <w:sz w:val="18"/>
        </w:rPr>
        <w:t xml:space="preserve">This Quarterly Report on Form 10-Q (this “Report”) contains forward-looking statements concerning expectations, beliefs, plans, objectives, goals, strategies, and (or) future performance or other events, as well as underlying assumptions and other statements, that are not statements of historical fact. These statements often include words such as “believe,” “expect,” “anticipate,” “intend,” “plan,” “estimate,” “target,” “project,” “forecast,” “seek,” “will,” “may,” “should,” “could,” “would,” or similar expressions. Although we believe that the expectations and assumptions reflected in these forward-looking statements are reasonable, there can be no assurance that these expectations and assumptions will prove to be correct. Forward-looking statements are subject to many risks and uncertainties. The results, events, or circumstances reflected in forward-looking statements may not be achieved or occur, and actual results, events, or circumstances may differ materially from those discussed in forward-looking statements. </w:t>
      </w:r>
    </w:p>
    <w:p>
      <w:pPr>
        <w:pStyle w:val="TextBody"/>
        <w:bidi w:val="0"/>
        <w:spacing w:lineRule="auto" w:line="288" w:before="0" w:after="180"/>
        <w:ind w:left="0" w:right="0" w:firstLine="360"/>
        <w:jc w:val="left"/>
        <w:rPr>
          <w:rFonts w:ascii="Arial;sans-serif" w:hAnsi="Arial;sans-serif"/>
          <w:b w:val="false"/>
          <w:color w:val="000000"/>
          <w:sz w:val="18"/>
        </w:rPr>
      </w:pPr>
      <w:r>
        <w:rPr>
          <w:rFonts w:ascii="Arial;sans-serif" w:hAnsi="Arial;sans-serif"/>
          <w:b w:val="false"/>
          <w:color w:val="000000"/>
          <w:sz w:val="18"/>
        </w:rPr>
        <w:t>The risks, uncertainties, and other factors that could cause actual results to differ materially from the forward-looking statements made by us include those discussed in this Report, including but not limited to “Item 1A. Risk Factors” in this Report and our most recent Annual Report on Form 10-K for the year ended December 31, 2025 (our “2025 Annual Report”). Moreover, we operate in a very competitive and rapidly changing environment. New risks and uncertainties emerge from time to time, and it is not possible for us to predict all risks and uncertainties that could have an impact on the forward-looking statements contained in this Report.</w:t>
      </w:r>
    </w:p>
    <w:p>
      <w:pPr>
        <w:pStyle w:val="TextBody"/>
        <w:bidi w:val="0"/>
        <w:spacing w:lineRule="auto" w:line="288" w:before="0" w:after="180"/>
        <w:ind w:left="0" w:right="0" w:firstLine="360"/>
        <w:jc w:val="left"/>
        <w:rPr>
          <w:rFonts w:ascii="Arial;sans-serif" w:hAnsi="Arial;sans-serif"/>
          <w:b w:val="false"/>
          <w:color w:val="000000"/>
          <w:sz w:val="18"/>
        </w:rPr>
      </w:pPr>
      <w:r>
        <w:rPr>
          <w:rFonts w:ascii="Arial;sans-serif" w:hAnsi="Arial;sans-serif"/>
          <w:b w:val="false"/>
          <w:color w:val="000000"/>
          <w:sz w:val="18"/>
        </w:rPr>
        <w:t>You should not rely on forward-looking statements as predictions of future events. We have based the forward-looking statements contained in this Report primarily on our current expectations and assumptions about future events. Furthermore, statements such as “we believe” and similar statements reflect our beliefs and opinions on the relevant subject. These statements are based on information available to us as of the date of this Report. While we believe such information provides a reasonable basis for these statements, such information may be limited or incomplete, and there can be no assurance that any expectations, assumptions, beliefs, or opinions will prove to be correct. Our statements should not be read to indicate that we have conducted an exhaustive inquiry into, or review of, all relevant information. These statements are inherently uncertain, and readers are cautioned not to unduly rely on these statements.</w:t>
      </w:r>
    </w:p>
    <w:p>
      <w:pPr>
        <w:pStyle w:val="TextBody"/>
        <w:bidi w:val="0"/>
        <w:spacing w:lineRule="auto" w:line="288" w:before="0" w:after="180"/>
        <w:ind w:left="0" w:right="0" w:firstLine="360"/>
        <w:jc w:val="left"/>
        <w:rPr>
          <w:rFonts w:ascii="Arial;sans-serif" w:hAnsi="Arial;sans-serif"/>
          <w:b w:val="false"/>
          <w:color w:val="000000"/>
          <w:sz w:val="18"/>
        </w:rPr>
      </w:pPr>
      <w:r>
        <w:rPr>
          <w:rFonts w:ascii="Arial;sans-serif" w:hAnsi="Arial;sans-serif"/>
          <w:b w:val="false"/>
          <w:color w:val="000000"/>
          <w:sz w:val="18"/>
        </w:rPr>
        <w:t>The forward-looking statements made in this Report relate only to events as of the date on which the statements are made. We undertake no obligation to update any forward-looking statements made in this Report to reflect events or circumstances after the date of this Report or to reflect new information, actual results, revised expectations, or the occurrence of unanticipated events, except as required by law. We may not actually achieve the plans, intentions, or expectations described in our forward-looking statements, and you should not place undue reliance on our forward-looking statements. Our forward-looking statements do not reflect the potential impact of any future acquisitions, mergers, dispositions, joint ventures, or investments.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0000"/>
          <w:sz w:val="18"/>
        </w:rPr>
      </w:pPr>
      <w:r>
        <w:rPr>
          <w:rFonts w:ascii="Arial;sans-serif" w:hAnsi="Arial;sans-serif"/>
          <w:b/>
          <w:color w:val="000000"/>
          <w:sz w:val="18"/>
        </w:rPr>
        <w:t>MARKET AND INDUSTRY DATA</w:t>
      </w:r>
    </w:p>
    <w:p>
      <w:pPr>
        <w:pStyle w:val="TextBody"/>
        <w:bidi w:val="0"/>
        <w:spacing w:lineRule="auto" w:line="288" w:before="0" w:after="180"/>
        <w:ind w:left="0" w:right="0" w:firstLine="360"/>
        <w:jc w:val="left"/>
        <w:rPr>
          <w:rFonts w:ascii="Arial;sans-serif" w:hAnsi="Arial;sans-serif"/>
          <w:b w:val="false"/>
          <w:color w:val="000000"/>
          <w:sz w:val="18"/>
        </w:rPr>
      </w:pPr>
      <w:r>
        <w:rPr>
          <w:rFonts w:ascii="Arial;sans-serif" w:hAnsi="Arial;sans-serif"/>
          <w:b w:val="false"/>
          <w:color w:val="000000"/>
          <w:sz w:val="18"/>
        </w:rPr>
        <w:t>This Report includes estimates regarding market and industry data. Unless otherwise indicated, information concerning our industry and the markets in which we operate, including our general expectations, market position, market opportunity, and market size, are based on our management’s knowledge and experience in the markets in which we operate, together with currently available information obtained from various sources, including publicly available information, industry reports and publications, surveys, our customers, trade and business organizations, and other contacts in the markets in which we operate. Certain information is based on management estimates, which have been derived from third-party sources, as well as data from our internal research.</w:t>
      </w:r>
    </w:p>
    <w:p>
      <w:pPr>
        <w:pStyle w:val="TextBody"/>
        <w:bidi w:val="0"/>
        <w:spacing w:lineRule="auto" w:line="288" w:before="0" w:after="180"/>
        <w:ind w:left="0" w:right="0" w:firstLine="360"/>
        <w:jc w:val="left"/>
        <w:rPr>
          <w:rFonts w:ascii="Arial;sans-serif" w:hAnsi="Arial;sans-serif"/>
          <w:b w:val="false"/>
          <w:color w:val="000000"/>
          <w:sz w:val="18"/>
        </w:rPr>
      </w:pPr>
      <w:r>
        <w:rPr>
          <w:rFonts w:ascii="Arial;sans-serif" w:hAnsi="Arial;sans-serif"/>
          <w:b w:val="false"/>
          <w:color w:val="000000"/>
          <w:sz w:val="18"/>
        </w:rPr>
        <w:t>In presenting this information, we have made certain assumptions that we believe to be reasonable based on such data and other similar sources and on our knowledge of, and our experience to date in, the markets in which we operate. While we believe the estimated market and industry data included in this Report is generally reliable, such information is inherently uncertain and imprecise. Market and industry data is subject to change and may be limited by the availability of raw data, the voluntary nature of the data gathering process, and other limitations inherent in any statistical survey of such data. In addition, projections, assumptions, and estimates of the future performance of the markets in which we operate are necessarily subject to uncertainty and risk due to a variety of factors, including those described in “Cautionary Note Regarding Forward-Looking Information” and “Item 1A. Risk Factors” of this Report, and our 2025 Annual Report. These and other factors could cause results to differ materially from those expressed in the estimates made by third parties and by us. Accordingly, you are cautioned not to place undue reliance on such market and industry data or any other such estimates.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16840"/>
                <wp:effectExtent l="0" t="0" r="0" b="0"/>
                <wp:wrapNone/>
                <wp:docPr id="3" name="Frame3"/>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1</w:t>
                      </w:r>
                    </w:p>
                  </w:txbxContent>
                </v:textbox>
                <w10:wrap type="none"/>
              </v:rect>
            </w:pict>
          </mc:Fallback>
        </mc:AlternateContent>
      </w:r>
    </w:p>
    <w:p>
      <w:pPr>
        <w:pStyle w:val="TextBody"/>
        <w:bidi w:val="0"/>
        <w:spacing w:lineRule="auto" w:line="288" w:before="0" w:after="180"/>
        <w:jc w:val="left"/>
        <w:rPr/>
      </w:pPr>
      <w:hyperlink w:anchor="if20e1f3d5a734e3eabbb6aa8f57c7562_45">
        <w:r>
          <w:rPr>
            <w:rStyle w:val="InternetLink"/>
            <w:rFonts w:ascii="Arial;sans-serif" w:hAnsi="Arial;sans-serif"/>
            <w:b w:val="false"/>
            <w:color w:val="0000FF"/>
            <w:sz w:val="18"/>
            <w:u w:val="single"/>
          </w:rPr>
          <w:t>Table of Contents</w:t>
        </w:r>
      </w:hyperlink>
    </w:p>
    <w:p>
      <w:pPr>
        <w:pStyle w:val="TextBody"/>
        <w:bidi w:val="0"/>
        <w:spacing w:lineRule="auto" w:line="288" w:before="0" w:after="180"/>
        <w:jc w:val="left"/>
        <w:rPr>
          <w:rFonts w:ascii="Arial;sans-serif" w:hAnsi="Arial;sans-serif"/>
          <w:b/>
          <w:color w:val="000000"/>
          <w:sz w:val="18"/>
        </w:rPr>
      </w:pPr>
      <w:r>
        <w:rPr>
          <w:rFonts w:ascii="Arial;sans-serif" w:hAnsi="Arial;sans-serif"/>
          <w:b/>
          <w:color w:val="000000"/>
          <w:sz w:val="18"/>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0000"/>
          <w:sz w:val="18"/>
        </w:rPr>
      </w:pPr>
      <w:r>
        <w:rPr>
          <w:rFonts w:ascii="Arial;sans-serif" w:hAnsi="Arial;sans-serif"/>
          <w:b/>
          <w:color w:val="000000"/>
          <w:sz w:val="18"/>
        </w:rPr>
        <w:t>ITEM</w:t>
      </w:r>
      <w:bookmarkStart w:id="1" w:name="ib79423336b454da184714a9aed1bb7d2_92"/>
      <w:bookmarkEnd w:id="1"/>
      <w:r>
        <w:rPr>
          <w:rFonts w:ascii="Arial;sans-serif" w:hAnsi="Arial;sans-serif"/>
          <w:b/>
          <w:color w:val="000000"/>
          <w:sz w:val="18"/>
        </w:rPr>
        <w:t xml:space="preserve">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center"/>
        <w:rPr>
          <w:rFonts w:ascii="Arial;sans-serif" w:hAnsi="Arial;sans-serif"/>
          <w:b/>
          <w:color w:val="000000"/>
          <w:sz w:val="18"/>
        </w:rPr>
      </w:pPr>
      <w:r>
        <w:rPr>
          <w:rFonts w:ascii="Arial;sans-serif" w:hAnsi="Arial;sans-serif"/>
          <w:b/>
          <w:color w:val="000000"/>
          <w:sz w:val="18"/>
        </w:rPr>
        <w:t>TALEN ENERGY CORPORATION AND SUBSIDIARIES</w:t>
      </w:r>
    </w:p>
    <w:p>
      <w:pPr>
        <w:pStyle w:val="TextBody"/>
        <w:bidi w:val="0"/>
        <w:spacing w:lineRule="auto" w:line="288" w:before="0" w:after="180"/>
        <w:jc w:val="center"/>
        <w:rPr>
          <w:rFonts w:ascii="Arial;sans-serif" w:hAnsi="Arial;sans-serif"/>
          <w:b/>
          <w:color w:val="000000"/>
          <w:sz w:val="18"/>
        </w:rPr>
      </w:pPr>
      <w:r>
        <w:rPr>
          <w:rFonts w:ascii="Arial;sans-serif" w:hAnsi="Arial;sans-serif"/>
          <w:b/>
          <w:color w:val="000000"/>
          <w:sz w:val="18"/>
        </w:rPr>
        <w:t>CONDENSED CONSOLIDATED STATEMENTS OF OPERATIONS (UNAUDITED)</w:t>
      </w:r>
    </w:p>
    <w:tbl>
      <w:tblPr>
        <w:tblW w:w="10205" w:type="dxa"/>
        <w:jc w:val="left"/>
        <w:tblInd w:w="0" w:type="dxa"/>
        <w:tblLayout w:type="fixed"/>
        <w:tblCellMar>
          <w:top w:w="28" w:type="dxa"/>
          <w:left w:w="28" w:type="dxa"/>
          <w:bottom w:w="28" w:type="dxa"/>
          <w:right w:w="28" w:type="dxa"/>
        </w:tblCellMar>
      </w:tblPr>
      <w:tblGrid>
        <w:gridCol w:w="2160"/>
        <w:gridCol w:w="1742"/>
        <w:gridCol w:w="1762"/>
        <w:gridCol w:w="109"/>
        <w:gridCol w:w="109"/>
        <w:gridCol w:w="109"/>
        <w:gridCol w:w="109"/>
        <w:gridCol w:w="109"/>
        <w:gridCol w:w="226"/>
        <w:gridCol w:w="226"/>
        <w:gridCol w:w="407"/>
        <w:gridCol w:w="1156"/>
        <w:gridCol w:w="226"/>
        <w:gridCol w:w="109"/>
        <w:gridCol w:w="109"/>
        <w:gridCol w:w="109"/>
        <w:gridCol w:w="196"/>
        <w:gridCol w:w="528"/>
        <w:gridCol w:w="109"/>
        <w:gridCol w:w="109"/>
        <w:gridCol w:w="109"/>
        <w:gridCol w:w="109"/>
        <w:gridCol w:w="109"/>
        <w:gridCol w:w="159"/>
      </w:tblGrid>
      <w:tr>
        <w:trPr/>
        <w:tc>
          <w:tcPr>
            <w:tcW w:w="2160" w:type="dxa"/>
            <w:tcBorders/>
            <w:vAlign w:val="center"/>
          </w:tcPr>
          <w:p>
            <w:pPr>
              <w:pStyle w:val="TableContents"/>
              <w:bidi w:val="0"/>
              <w:spacing w:before="0" w:after="283"/>
              <w:jc w:val="left"/>
              <w:rPr>
                <w:sz w:val="4"/>
                <w:szCs w:val="4"/>
              </w:rPr>
            </w:pPr>
            <w:r>
              <w:rPr>
                <w:sz w:val="4"/>
                <w:szCs w:val="4"/>
              </w:rPr>
            </w:r>
          </w:p>
        </w:tc>
        <w:tc>
          <w:tcPr>
            <w:tcW w:w="1742" w:type="dxa"/>
            <w:tcBorders/>
            <w:vAlign w:val="center"/>
          </w:tcPr>
          <w:p>
            <w:pPr>
              <w:pStyle w:val="TableContents"/>
              <w:bidi w:val="0"/>
              <w:spacing w:before="0" w:after="283"/>
              <w:jc w:val="left"/>
              <w:rPr>
                <w:sz w:val="4"/>
                <w:szCs w:val="4"/>
              </w:rPr>
            </w:pPr>
            <w:r>
              <w:rPr>
                <w:sz w:val="4"/>
                <w:szCs w:val="4"/>
              </w:rPr>
            </w:r>
          </w:p>
        </w:tc>
        <w:tc>
          <w:tcPr>
            <w:tcW w:w="17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1"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March 31,</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gridSpan w:val="2"/>
            <w:tcBorders/>
          </w:tcPr>
          <w:p>
            <w:pPr>
              <w:pStyle w:val="TableContents"/>
              <w:bidi w:val="0"/>
              <w:spacing w:before="0" w:after="283"/>
              <w:jc w:val="left"/>
              <w:rPr>
                <w:sz w:val="4"/>
                <w:szCs w:val="4"/>
              </w:rPr>
            </w:pPr>
            <w:r>
              <w:rPr>
                <w:sz w:val="4"/>
                <w:szCs w:val="4"/>
              </w:rPr>
            </w:r>
          </w:p>
        </w:tc>
      </w:tr>
      <w:tr>
        <w:trPr/>
        <w:tc>
          <w:tcPr>
            <w:tcW w:w="5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(Millions of Dollars, except share data)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78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6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7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664"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Energy and other revenues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07"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15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1,034 </w:t>
            </w:r>
          </w:p>
        </w:tc>
        <w:tc>
          <w:tcPr>
            <w:tcW w:w="226"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28"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582 </w:t>
            </w:r>
          </w:p>
        </w:tc>
        <w:tc>
          <w:tcPr>
            <w:tcW w:w="109"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ind w:left="0" w:right="0" w:hanging="90"/>
              <w:jc w:val="left"/>
              <w:rPr>
                <w:sz w:val="4"/>
                <w:szCs w:val="4"/>
              </w:rPr>
            </w:pPr>
            <w:r>
              <w:rPr>
                <w:sz w:val="4"/>
                <w:szCs w:val="4"/>
              </w:rPr>
            </w:r>
          </w:p>
        </w:tc>
      </w:tr>
      <w:tr>
        <w:trPr/>
        <w:tc>
          <w:tcPr>
            <w:tcW w:w="5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Capacity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5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207 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664"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Unrealized gain (loss) on derivative instruments (Note 2)</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563"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(112)</w:t>
            </w:r>
          </w:p>
        </w:tc>
        <w:tc>
          <w:tcPr>
            <w:tcW w:w="226"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(241)</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66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Operating Revenues (Note 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56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1,129</w:t>
            </w:r>
            <w:r>
              <w:rPr>
                <w:color w:val="000000"/>
              </w:rPr>
              <w:t>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390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ind w:left="0" w:right="0" w:hanging="90"/>
              <w:jc w:val="left"/>
              <w:rPr>
                <w:sz w:val="4"/>
                <w:szCs w:val="4"/>
              </w:rPr>
            </w:pPr>
            <w:r>
              <w:rPr>
                <w:sz w:val="4"/>
                <w:szCs w:val="4"/>
              </w:rPr>
            </w:r>
          </w:p>
        </w:tc>
      </w:tr>
      <w:tr>
        <w:trPr/>
        <w:tc>
          <w:tcPr>
            <w:tcW w:w="5664"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Fuel and energy purchases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563"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(563)</w:t>
            </w:r>
          </w:p>
        </w:tc>
        <w:tc>
          <w:tcPr>
            <w:tcW w:w="226"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(268)</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Nuclear fuel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5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664"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Unrealized gain (loss) on derivative instruments (Note 2)</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563"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w:t>
            </w:r>
          </w:p>
        </w:tc>
        <w:tc>
          <w:tcPr>
            <w:tcW w:w="226"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66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Energy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56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(629)</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(235)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664"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Operating Expenses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789"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Operation, maintenance and development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5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(165)</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664" w:type="dxa"/>
            <w:gridSpan w:val="3"/>
            <w:tcBorders/>
            <w:shd w:fill="E1E1E2"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General and administrative (Includes stock-based compensation of $1 and $(11)) (Note 13)</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563"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w:t>
            </w:r>
          </w:p>
        </w:tc>
        <w:tc>
          <w:tcPr>
            <w:tcW w:w="226"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Depreciation, amortization and accretion (Note 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5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(92)</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6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7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6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7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ind w:left="0" w:right="0" w:hanging="90"/>
              <w:jc w:val="left"/>
              <w:rPr>
                <w:sz w:val="4"/>
                <w:szCs w:val="4"/>
              </w:rPr>
            </w:pPr>
            <w:r>
              <w:rPr>
                <w:sz w:val="4"/>
                <w:szCs w:val="4"/>
              </w:rPr>
            </w:r>
          </w:p>
        </w:tc>
      </w:tr>
      <w:tr>
        <w:trPr/>
        <w:tc>
          <w:tcPr>
            <w:tcW w:w="5664"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operating income (expense), net</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563"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w:t>
            </w:r>
          </w:p>
        </w:tc>
        <w:tc>
          <w:tcPr>
            <w:tcW w:w="226"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66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 xml:space="preserve">Operating Income (Loss) </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56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210</w:t>
            </w:r>
            <w:r>
              <w:rPr>
                <w:color w:val="000000"/>
              </w:rPr>
              <w:t>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(106)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664"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Nuclear decommissioning trust funds gain (loss), net (Note 6)</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563"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w:t>
            </w:r>
          </w:p>
        </w:tc>
        <w:tc>
          <w:tcPr>
            <w:tcW w:w="226"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expense and other finance charges (Note 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5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(119)</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6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7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6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7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6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7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664"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non-operating income (expense), net</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563"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12 </w:t>
            </w:r>
          </w:p>
        </w:tc>
        <w:tc>
          <w:tcPr>
            <w:tcW w:w="226"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66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 xml:space="preserve">Income (Loss) Before Income Taxes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56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81</w:t>
            </w:r>
            <w:r>
              <w:rPr>
                <w:color w:val="000000"/>
              </w:rPr>
              <w:t>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(187)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ind w:left="0" w:right="0" w:hanging="90"/>
              <w:jc w:val="left"/>
              <w:rPr>
                <w:sz w:val="4"/>
                <w:szCs w:val="4"/>
              </w:rPr>
            </w:pPr>
            <w:r>
              <w:rPr>
                <w:sz w:val="4"/>
                <w:szCs w:val="4"/>
              </w:rPr>
            </w:r>
          </w:p>
        </w:tc>
      </w:tr>
      <w:tr>
        <w:trPr/>
        <w:tc>
          <w:tcPr>
            <w:tcW w:w="5664"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Income tax benefit (expense) (Note 4)</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563"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w:t>
            </w:r>
          </w:p>
        </w:tc>
        <w:tc>
          <w:tcPr>
            <w:tcW w:w="226"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ind w:left="0" w:right="0" w:hanging="90"/>
              <w:jc w:val="left"/>
              <w:rPr>
                <w:sz w:val="4"/>
                <w:szCs w:val="4"/>
              </w:rPr>
            </w:pPr>
            <w:r>
              <w:rPr>
                <w:sz w:val="4"/>
                <w:szCs w:val="4"/>
              </w:rPr>
            </w:r>
          </w:p>
        </w:tc>
      </w:tr>
      <w:tr>
        <w:trPr/>
        <w:tc>
          <w:tcPr>
            <w:tcW w:w="566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 xml:space="preserve">Net Income (Loss)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0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1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63</w:t>
            </w:r>
            <w:r>
              <w:rPr>
                <w:color w:val="000000"/>
              </w:rPr>
              <w:t>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(135)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6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7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6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7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ind w:left="0" w:right="0" w:hanging="90"/>
              <w:jc w:val="left"/>
              <w:rPr>
                <w:sz w:val="4"/>
                <w:szCs w:val="4"/>
              </w:rPr>
            </w:pPr>
            <w:r>
              <w:rPr>
                <w:sz w:val="4"/>
                <w:szCs w:val="4"/>
              </w:rPr>
            </w:r>
          </w:p>
        </w:tc>
      </w:tr>
      <w:tr>
        <w:trPr/>
        <w:tc>
          <w:tcPr>
            <w:tcW w:w="5664" w:type="dxa"/>
            <w:gridSpan w:val="3"/>
            <w:tcBorders>
              <w:top w:val="doub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Per Common Share</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789" w:type="dxa"/>
            <w:gridSpan w:val="3"/>
            <w:tcBorders>
              <w:top w:val="double" w:sz="8" w:space="0" w:color="000000"/>
            </w:tcBorders>
            <w:shd w:fill="E1E1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op w:val="double" w:sz="8" w:space="0" w:color="000000"/>
            </w:tcBorders>
            <w:shd w:fill="E1E1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 (Loss) Attributable to Stockholders - 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1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1.38 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664"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 (Loss) Attributable to Stockholders - Diluted</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07" w:type="dxa"/>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156" w:type="dxa"/>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1.33 </w:t>
            </w:r>
          </w:p>
        </w:tc>
        <w:tc>
          <w:tcPr>
            <w:tcW w:w="226"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28" w:type="dxa"/>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(2.94)</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Weighted-Average Number of Common Shares Outstanding - Basic (in thousands)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5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45,612 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45,849 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664" w:type="dxa"/>
            <w:gridSpan w:val="3"/>
            <w:tcBorders>
              <w:bottom w:val="single" w:sz="8" w:space="0" w:color="000000"/>
            </w:tcBorders>
            <w:shd w:fill="E1E1E2"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Weighted-Average Number of Common Shares Outstanding - Diluted (in thousands)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563" w:type="dxa"/>
            <w:gridSpan w:val="2"/>
            <w:tcBorders>
              <w:bottom w:val="single" w:sz="8" w:space="0" w:color="000000"/>
            </w:tcBorders>
            <w:shd w:fill="E1E1E2"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47,431 </w:t>
            </w:r>
          </w:p>
        </w:tc>
        <w:tc>
          <w:tcPr>
            <w:tcW w:w="226" w:type="dxa"/>
            <w:tcBorders>
              <w:bottom w:val="single" w:sz="8" w:space="0" w:color="000000"/>
            </w:tcBorders>
            <w:shd w:fill="E1E1E2"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bottom w:val="single" w:sz="8" w:space="0" w:color="000000"/>
            </w:tcBorders>
            <w:shd w:fill="E1E1E2"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45,849 </w:t>
            </w:r>
          </w:p>
        </w:tc>
        <w:tc>
          <w:tcPr>
            <w:tcW w:w="109" w:type="dxa"/>
            <w:tcBorders>
              <w:bottom w:val="single" w:sz="8" w:space="0" w:color="000000"/>
            </w:tcBorders>
            <w:shd w:fill="E1E1E2"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The accompanying Notes to the Interim Financial Statements are an integral part of the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16840"/>
                <wp:effectExtent l="0" t="0" r="0" b="0"/>
                <wp:wrapNone/>
                <wp:docPr id="4" name="Frame4"/>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2</w:t>
                      </w:r>
                    </w:p>
                  </w:txbxContent>
                </v:textbox>
                <w10:wrap type="none"/>
              </v:rect>
            </w:pict>
          </mc:Fallback>
        </mc:AlternateContent>
      </w:r>
    </w:p>
    <w:p>
      <w:pPr>
        <w:pStyle w:val="TextBody"/>
        <w:bidi w:val="0"/>
        <w:spacing w:lineRule="auto" w:line="288" w:before="0" w:after="180"/>
        <w:jc w:val="left"/>
        <w:rPr/>
      </w:pPr>
      <w:hyperlink w:anchor="if20e1f3d5a734e3eabbb6aa8f57c7562_45">
        <w:r>
          <w:rPr>
            <w:rStyle w:val="InternetLink"/>
            <w:rFonts w:ascii="Arial;sans-serif" w:hAnsi="Arial;sans-serif"/>
            <w:b w:val="false"/>
            <w:color w:val="0000FF"/>
            <w:sz w:val="18"/>
            <w:u w:val="single"/>
          </w:rPr>
          <w:t>Table of Contents</w:t>
        </w:r>
      </w:hyperlink>
    </w:p>
    <w:p>
      <w:pPr>
        <w:pStyle w:val="TextBody"/>
        <w:bidi w:val="0"/>
        <w:spacing w:lineRule="auto" w:line="288" w:before="0" w:after="180"/>
        <w:jc w:val="center"/>
        <w:rPr>
          <w:rFonts w:ascii="Arial;sans-serif" w:hAnsi="Arial;sans-serif"/>
          <w:b/>
          <w:color w:val="000000"/>
          <w:sz w:val="18"/>
        </w:rPr>
      </w:pPr>
      <w:r>
        <w:rPr>
          <w:rFonts w:ascii="Arial;sans-serif" w:hAnsi="Arial;sans-serif"/>
          <w:b/>
          <w:color w:val="000000"/>
          <w:sz w:val="18"/>
        </w:rPr>
        <w:t>TALEN ENERGY CORPORATION AND SUBSIDIARIES</w:t>
      </w:r>
    </w:p>
    <w:p>
      <w:pPr>
        <w:pStyle w:val="TextBody"/>
        <w:bidi w:val="0"/>
        <w:spacing w:lineRule="auto" w:line="288" w:before="0" w:after="180"/>
        <w:jc w:val="center"/>
        <w:rPr>
          <w:rFonts w:ascii="Arial;sans-serif" w:hAnsi="Arial;sans-serif"/>
          <w:b/>
          <w:color w:val="000000"/>
          <w:sz w:val="18"/>
        </w:rPr>
      </w:pPr>
      <w:r>
        <w:rPr>
          <w:rFonts w:ascii="Arial;sans-serif" w:hAnsi="Arial;sans-serif"/>
          <w:b/>
          <w:color w:val="000000"/>
          <w:sz w:val="18"/>
        </w:rPr>
        <w:t>CONDENSED CONSOLIDATED STATEMENTS OF COMPREHENSIVE INCOME (LOSS) (UNAUDITED)</w:t>
      </w:r>
    </w:p>
    <w:tbl>
      <w:tblPr>
        <w:tblW w:w="9310" w:type="dxa"/>
        <w:jc w:val="left"/>
        <w:tblInd w:w="0" w:type="dxa"/>
        <w:tblLayout w:type="fixed"/>
        <w:tblCellMar>
          <w:top w:w="28" w:type="dxa"/>
          <w:left w:w="28" w:type="dxa"/>
          <w:bottom w:w="28" w:type="dxa"/>
          <w:right w:w="28" w:type="dxa"/>
        </w:tblCellMar>
      </w:tblPr>
      <w:tblGrid>
        <w:gridCol w:w="1745"/>
        <w:gridCol w:w="1535"/>
        <w:gridCol w:w="1549"/>
        <w:gridCol w:w="109"/>
        <w:gridCol w:w="109"/>
        <w:gridCol w:w="109"/>
        <w:gridCol w:w="196"/>
        <w:gridCol w:w="196"/>
        <w:gridCol w:w="196"/>
        <w:gridCol w:w="196"/>
        <w:gridCol w:w="353"/>
        <w:gridCol w:w="624"/>
        <w:gridCol w:w="196"/>
        <w:gridCol w:w="196"/>
        <w:gridCol w:w="196"/>
        <w:gridCol w:w="196"/>
        <w:gridCol w:w="196"/>
        <w:gridCol w:w="496"/>
        <w:gridCol w:w="109"/>
        <w:gridCol w:w="109"/>
        <w:gridCol w:w="109"/>
        <w:gridCol w:w="109"/>
        <w:gridCol w:w="109"/>
        <w:gridCol w:w="109"/>
        <w:gridCol w:w="109"/>
        <w:gridCol w:w="154"/>
      </w:tblGrid>
      <w:tr>
        <w:trPr/>
        <w:tc>
          <w:tcPr>
            <w:tcW w:w="174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c>
          <w:tcPr>
            <w:tcW w:w="15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5" w:type="dxa"/>
            <w:gridSpan w:val="10"/>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March 31,</w:t>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ind w:left="0" w:right="0" w:hanging="90"/>
              <w:jc w:val="left"/>
              <w:rPr>
                <w:sz w:val="4"/>
                <w:szCs w:val="4"/>
              </w:rPr>
            </w:pPr>
            <w:r>
              <w:rPr>
                <w:sz w:val="4"/>
                <w:szCs w:val="4"/>
              </w:rPr>
            </w:r>
          </w:p>
        </w:tc>
        <w:tc>
          <w:tcPr>
            <w:tcW w:w="372" w:type="dxa"/>
            <w:gridSpan w:val="3"/>
            <w:tcBorders/>
          </w:tcPr>
          <w:p>
            <w:pPr>
              <w:pStyle w:val="TableContents"/>
              <w:bidi w:val="0"/>
              <w:spacing w:before="0" w:after="283"/>
              <w:jc w:val="left"/>
              <w:rPr>
                <w:sz w:val="4"/>
                <w:szCs w:val="4"/>
              </w:rPr>
            </w:pPr>
            <w:r>
              <w:rPr>
                <w:sz w:val="4"/>
                <w:szCs w:val="4"/>
              </w:rPr>
            </w:r>
          </w:p>
        </w:tc>
      </w:tr>
      <w:tr>
        <w:trPr/>
        <w:tc>
          <w:tcPr>
            <w:tcW w:w="48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(Millions of Dollars)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5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2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88"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588"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90"/>
              <w:jc w:val="left"/>
              <w:rPr>
                <w:sz w:val="4"/>
                <w:szCs w:val="4"/>
              </w:rPr>
            </w:pPr>
            <w:r>
              <w:rPr>
                <w:sz w:val="4"/>
                <w:szCs w:val="4"/>
              </w:rPr>
            </w:r>
          </w:p>
        </w:tc>
      </w:tr>
      <w:tr>
        <w:trPr/>
        <w:tc>
          <w:tcPr>
            <w:tcW w:w="4829"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88"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24"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63 </w:t>
            </w:r>
          </w:p>
        </w:tc>
        <w:tc>
          <w:tcPr>
            <w:tcW w:w="196"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9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(135)</w:t>
            </w:r>
          </w:p>
        </w:tc>
        <w:tc>
          <w:tcPr>
            <w:tcW w:w="109"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90"/>
              <w:jc w:val="left"/>
              <w:rPr>
                <w:sz w:val="4"/>
                <w:szCs w:val="4"/>
              </w:rPr>
            </w:pPr>
            <w:r>
              <w:rPr>
                <w:sz w:val="4"/>
                <w:szCs w:val="4"/>
              </w:rPr>
            </w:r>
          </w:p>
        </w:tc>
      </w:tr>
      <w:tr>
        <w:trPr/>
        <w:tc>
          <w:tcPr>
            <w:tcW w:w="48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Other Comprehensive Income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90"/>
              <w:jc w:val="left"/>
              <w:rPr>
                <w:sz w:val="4"/>
                <w:szCs w:val="4"/>
              </w:rPr>
            </w:pPr>
            <w:r>
              <w:rPr>
                <w:sz w:val="4"/>
                <w:szCs w:val="4"/>
              </w:rPr>
            </w:r>
          </w:p>
        </w:tc>
      </w:tr>
      <w:tr>
        <w:trPr/>
        <w:tc>
          <w:tcPr>
            <w:tcW w:w="4829"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Available-for-sale securities unrealized gain (loss), net (Note 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88"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w:t>
            </w:r>
          </w:p>
        </w:tc>
        <w:tc>
          <w:tcPr>
            <w:tcW w:w="196"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2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88"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588"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2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88"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588"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90"/>
              <w:jc w:val="left"/>
              <w:rPr>
                <w:sz w:val="4"/>
                <w:szCs w:val="4"/>
              </w:rPr>
            </w:pPr>
            <w:r>
              <w:rPr>
                <w:sz w:val="4"/>
                <w:szCs w:val="4"/>
              </w:rPr>
            </w:r>
          </w:p>
        </w:tc>
      </w:tr>
      <w:tr>
        <w:trPr/>
        <w:tc>
          <w:tcPr>
            <w:tcW w:w="48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Income tax benefit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90"/>
              <w:jc w:val="left"/>
              <w:rPr>
                <w:sz w:val="4"/>
                <w:szCs w:val="4"/>
              </w:rPr>
            </w:pPr>
            <w:r>
              <w:rPr>
                <w:sz w:val="4"/>
                <w:szCs w:val="4"/>
              </w:rPr>
            </w:r>
          </w:p>
        </w:tc>
      </w:tr>
      <w:tr>
        <w:trPr/>
        <w:tc>
          <w:tcPr>
            <w:tcW w:w="4829"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Gains (losses) arising during the period, net of tax</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88"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(6)</w:t>
            </w:r>
          </w:p>
        </w:tc>
        <w:tc>
          <w:tcPr>
            <w:tcW w:w="196"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w:t>
            </w:r>
            <w:r>
              <w:rPr>
                <w:color w:val="000000"/>
              </w:rPr>
              <w:t> </w:t>
            </w:r>
          </w:p>
        </w:tc>
        <w:tc>
          <w:tcPr>
            <w:tcW w:w="109"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90"/>
              <w:jc w:val="left"/>
              <w:rPr>
                <w:sz w:val="4"/>
                <w:szCs w:val="4"/>
              </w:rPr>
            </w:pPr>
            <w:r>
              <w:rPr>
                <w:sz w:val="4"/>
                <w:szCs w:val="4"/>
              </w:rPr>
            </w:r>
          </w:p>
        </w:tc>
      </w:tr>
      <w:tr>
        <w:trPr/>
        <w:tc>
          <w:tcPr>
            <w:tcW w:w="48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Available-for-sale securities unrealized (gain) loss, net (Note 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2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88"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588"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90"/>
              <w:jc w:val="left"/>
              <w:rPr>
                <w:sz w:val="4"/>
                <w:szCs w:val="4"/>
              </w:rPr>
            </w:pPr>
            <w:r>
              <w:rPr>
                <w:sz w:val="4"/>
                <w:szCs w:val="4"/>
              </w:rPr>
            </w:r>
          </w:p>
        </w:tc>
      </w:tr>
      <w:tr>
        <w:trPr/>
        <w:tc>
          <w:tcPr>
            <w:tcW w:w="4829"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Postretirement benefit prior service (credits) costs, net (Note 12)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88"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196"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2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88"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588"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90"/>
              <w:jc w:val="left"/>
              <w:rPr>
                <w:sz w:val="4"/>
                <w:szCs w:val="4"/>
              </w:rPr>
            </w:pPr>
            <w:r>
              <w:rPr>
                <w:sz w:val="4"/>
                <w:szCs w:val="4"/>
              </w:rPr>
            </w:r>
          </w:p>
        </w:tc>
      </w:tr>
      <w:tr>
        <w:trPr/>
        <w:tc>
          <w:tcPr>
            <w:tcW w:w="48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Income tax (benefit)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90"/>
              <w:jc w:val="left"/>
              <w:rPr>
                <w:sz w:val="4"/>
                <w:szCs w:val="4"/>
              </w:rPr>
            </w:pPr>
            <w:r>
              <w:rPr>
                <w:sz w:val="4"/>
                <w:szCs w:val="4"/>
              </w:rPr>
            </w:r>
          </w:p>
        </w:tc>
      </w:tr>
      <w:tr>
        <w:trPr/>
        <w:tc>
          <w:tcPr>
            <w:tcW w:w="4829"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Reclassifications from AOCI, net of tax</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88"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w:t>
            </w:r>
          </w:p>
        </w:tc>
        <w:tc>
          <w:tcPr>
            <w:tcW w:w="196"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w:t>
            </w:r>
          </w:p>
        </w:tc>
        <w:tc>
          <w:tcPr>
            <w:tcW w:w="109"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90"/>
              <w:jc w:val="left"/>
              <w:rPr>
                <w:sz w:val="4"/>
                <w:szCs w:val="4"/>
              </w:rPr>
            </w:pPr>
            <w:r>
              <w:rPr>
                <w:sz w:val="4"/>
                <w:szCs w:val="4"/>
              </w:rPr>
            </w:r>
          </w:p>
        </w:tc>
      </w:tr>
      <w:tr>
        <w:trPr/>
        <w:tc>
          <w:tcPr>
            <w:tcW w:w="482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Other Comprehensive Income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(7)</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90"/>
              <w:jc w:val="left"/>
              <w:rPr>
                <w:sz w:val="4"/>
                <w:szCs w:val="4"/>
              </w:rPr>
            </w:pPr>
            <w:r>
              <w:rPr>
                <w:sz w:val="4"/>
                <w:szCs w:val="4"/>
              </w:rPr>
            </w:r>
          </w:p>
        </w:tc>
      </w:tr>
      <w:tr>
        <w:trPr/>
        <w:tc>
          <w:tcPr>
            <w:tcW w:w="4829" w:type="dxa"/>
            <w:gridSpan w:val="3"/>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Comprehensive Income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88"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24"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56</w:t>
            </w:r>
            <w:r>
              <w:rPr>
                <w:color w:val="000000"/>
              </w:rPr>
              <w:t> </w:t>
            </w:r>
          </w:p>
        </w:tc>
        <w:tc>
          <w:tcPr>
            <w:tcW w:w="196"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96"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(133)</w:t>
            </w:r>
          </w:p>
        </w:tc>
        <w:tc>
          <w:tcPr>
            <w:tcW w:w="109"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2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88"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588"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2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88"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588"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The accompanying Notes to the Interim Financial Statements are an integral part of the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16840"/>
                <wp:effectExtent l="0" t="0" r="0" b="0"/>
                <wp:wrapNone/>
                <wp:docPr id="5" name="Frame5"/>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3</w:t>
                      </w:r>
                    </w:p>
                  </w:txbxContent>
                </v:textbox>
                <w10:wrap type="none"/>
              </v:rect>
            </w:pict>
          </mc:Fallback>
        </mc:AlternateContent>
      </w:r>
    </w:p>
    <w:p>
      <w:pPr>
        <w:pStyle w:val="TextBody"/>
        <w:bidi w:val="0"/>
        <w:spacing w:lineRule="auto" w:line="288" w:before="0" w:after="180"/>
        <w:jc w:val="left"/>
        <w:rPr/>
      </w:pPr>
      <w:hyperlink w:anchor="if20e1f3d5a734e3eabbb6aa8f57c7562_45">
        <w:r>
          <w:rPr>
            <w:rStyle w:val="InternetLink"/>
            <w:rFonts w:ascii="Arial;sans-serif" w:hAnsi="Arial;sans-serif"/>
            <w:b w:val="false"/>
            <w:color w:val="0000FF"/>
            <w:sz w:val="18"/>
            <w:u w:val="single"/>
          </w:rPr>
          <w:t>Table of Contents</w:t>
        </w:r>
      </w:hyperlink>
    </w:p>
    <w:p>
      <w:pPr>
        <w:pStyle w:val="TextBody"/>
        <w:bidi w:val="0"/>
        <w:spacing w:lineRule="auto" w:line="288" w:before="0" w:after="180"/>
        <w:jc w:val="center"/>
        <w:rPr>
          <w:rFonts w:ascii="Arial;sans-serif" w:hAnsi="Arial;sans-serif"/>
          <w:b/>
          <w:color w:val="000000"/>
          <w:sz w:val="18"/>
        </w:rPr>
      </w:pPr>
      <w:r>
        <w:rPr>
          <w:rFonts w:ascii="Arial;sans-serif" w:hAnsi="Arial;sans-serif"/>
          <w:b/>
          <w:color w:val="000000"/>
          <w:sz w:val="18"/>
        </w:rPr>
        <w:t>TALEN ENERGY CORPORATION AND SUBSIDIARIES</w:t>
      </w:r>
    </w:p>
    <w:p>
      <w:pPr>
        <w:pStyle w:val="TextBody"/>
        <w:bidi w:val="0"/>
        <w:spacing w:lineRule="auto" w:line="288" w:before="0" w:after="180"/>
        <w:jc w:val="center"/>
        <w:rPr>
          <w:rFonts w:ascii="Arial;sans-serif" w:hAnsi="Arial;sans-serif"/>
          <w:b/>
          <w:color w:val="000000"/>
          <w:sz w:val="18"/>
        </w:rPr>
      </w:pPr>
      <w:r>
        <w:rPr>
          <w:rFonts w:ascii="Arial;sans-serif" w:hAnsi="Arial;sans-serif"/>
          <w:b/>
          <w:color w:val="000000"/>
          <w:sz w:val="18"/>
        </w:rPr>
        <w:t>CONDENSED CONSOLIDATED BALANCE SHEETS (UNAUDITED)</w:t>
      </w:r>
    </w:p>
    <w:tbl>
      <w:tblPr>
        <w:tblW w:w="8488" w:type="dxa"/>
        <w:jc w:val="left"/>
        <w:tblInd w:w="0" w:type="dxa"/>
        <w:tblLayout w:type="fixed"/>
        <w:tblCellMar>
          <w:top w:w="28" w:type="dxa"/>
          <w:left w:w="28" w:type="dxa"/>
          <w:bottom w:w="28" w:type="dxa"/>
          <w:right w:w="28" w:type="dxa"/>
        </w:tblCellMar>
      </w:tblPr>
      <w:tblGrid>
        <w:gridCol w:w="1896"/>
        <w:gridCol w:w="1667"/>
        <w:gridCol w:w="1686"/>
        <w:gridCol w:w="109"/>
        <w:gridCol w:w="109"/>
        <w:gridCol w:w="109"/>
        <w:gridCol w:w="196"/>
        <w:gridCol w:w="661"/>
        <w:gridCol w:w="109"/>
        <w:gridCol w:w="109"/>
        <w:gridCol w:w="109"/>
        <w:gridCol w:w="109"/>
        <w:gridCol w:w="314"/>
        <w:gridCol w:w="1059"/>
        <w:gridCol w:w="246"/>
      </w:tblGrid>
      <w:tr>
        <w:trPr/>
        <w:tc>
          <w:tcPr>
            <w:tcW w:w="1896" w:type="dxa"/>
            <w:tcBorders/>
            <w:vAlign w:val="center"/>
          </w:tcPr>
          <w:p>
            <w:pPr>
              <w:pStyle w:val="TableContents"/>
              <w:bidi w:val="0"/>
              <w:spacing w:before="0" w:after="283"/>
              <w:jc w:val="left"/>
              <w:rPr>
                <w:sz w:val="4"/>
                <w:szCs w:val="4"/>
              </w:rPr>
            </w:pPr>
            <w:r>
              <w:rPr>
                <w:sz w:val="4"/>
                <w:szCs w:val="4"/>
              </w:rPr>
            </w:r>
          </w:p>
        </w:tc>
        <w:tc>
          <w:tcPr>
            <w:tcW w:w="1667" w:type="dxa"/>
            <w:tcBorders/>
            <w:vAlign w:val="center"/>
          </w:tcPr>
          <w:p>
            <w:pPr>
              <w:pStyle w:val="TableContents"/>
              <w:bidi w:val="0"/>
              <w:spacing w:before="0" w:after="283"/>
              <w:jc w:val="left"/>
              <w:rPr>
                <w:sz w:val="4"/>
                <w:szCs w:val="4"/>
              </w:rPr>
            </w:pPr>
            <w:r>
              <w:rPr>
                <w:sz w:val="4"/>
                <w:szCs w:val="4"/>
              </w:rPr>
            </w:r>
          </w:p>
        </w:tc>
        <w:tc>
          <w:tcPr>
            <w:tcW w:w="16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r>
      <w:tr>
        <w:trPr/>
        <w:tc>
          <w:tcPr>
            <w:tcW w:w="52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1946" w:type="dxa"/>
            <w:gridSpan w:val="6"/>
            <w:tcBorders/>
          </w:tcPr>
          <w:p>
            <w:pPr>
              <w:pStyle w:val="TableContents"/>
              <w:bidi w:val="0"/>
              <w:spacing w:before="0" w:after="283"/>
              <w:jc w:val="left"/>
              <w:rPr>
                <w:sz w:val="4"/>
                <w:szCs w:val="4"/>
              </w:rPr>
            </w:pPr>
            <w:r>
              <w:rPr>
                <w:sz w:val="4"/>
                <w:szCs w:val="4"/>
              </w:rPr>
            </w:r>
          </w:p>
        </w:tc>
      </w:tr>
      <w:tr>
        <w:trPr/>
        <w:tc>
          <w:tcPr>
            <w:tcW w:w="52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(Millions of Dollars, except share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March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2025</w:t>
            </w:r>
          </w:p>
        </w:tc>
      </w:tr>
      <w:tr>
        <w:trPr/>
        <w:tc>
          <w:tcPr>
            <w:tcW w:w="5249"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Assets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E1E1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000000"/>
            </w:tcBorders>
            <w:shd w:fill="E1E1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689 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9"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Restricted cash and cash equivalents (Note 16)</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63 </w:t>
            </w:r>
          </w:p>
        </w:tc>
        <w:tc>
          <w:tcPr>
            <w:tcW w:w="246"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Accounts receivable (Note 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196 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9"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Inventory, net (Note 5)</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244 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278 </w:t>
            </w:r>
          </w:p>
        </w:tc>
        <w:tc>
          <w:tcPr>
            <w:tcW w:w="246"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Derivative instruments (Notes 2 and 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r>
      <w:tr>
        <w:trPr/>
        <w:tc>
          <w:tcPr>
            <w:tcW w:w="5249"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current assets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67 </w:t>
            </w:r>
          </w:p>
        </w:tc>
        <w:tc>
          <w:tcPr>
            <w:tcW w:w="246"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1,509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1,349</w:t>
            </w:r>
            <w:r>
              <w:rPr>
                <w:color w:val="000000"/>
              </w:rPr>
              <w:t> </w:t>
            </w:r>
          </w:p>
        </w:tc>
        <w:tc>
          <w:tcPr>
            <w:tcW w:w="2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9"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Property, plant and equipment, net (Note 7)</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7,499 </w:t>
            </w:r>
          </w:p>
        </w:tc>
        <w:tc>
          <w:tcPr>
            <w:tcW w:w="109"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7,546 </w:t>
            </w:r>
          </w:p>
        </w:tc>
        <w:tc>
          <w:tcPr>
            <w:tcW w:w="246"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Nuclear decommissioning trust funds (Notes 6 and 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1,900 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9"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Derivative instruments (Notes 2 and 11)</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4 </w:t>
            </w:r>
          </w:p>
        </w:tc>
        <w:tc>
          <w:tcPr>
            <w:tcW w:w="246"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noncurrent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106 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9"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Assets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61"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10,993</w:t>
            </w:r>
            <w:r>
              <w:rPr>
                <w:color w:val="000000"/>
              </w:rPr>
              <w:t> </w:t>
            </w:r>
          </w:p>
        </w:tc>
        <w:tc>
          <w:tcPr>
            <w:tcW w:w="109"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059"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10,905</w:t>
            </w:r>
            <w:r>
              <w:rPr>
                <w:color w:val="000000"/>
              </w:rPr>
              <w:t> </w:t>
            </w:r>
          </w:p>
        </w:tc>
        <w:tc>
          <w:tcPr>
            <w:tcW w:w="246"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Liabilities and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r>
      <w:tr>
        <w:trPr/>
        <w:tc>
          <w:tcPr>
            <w:tcW w:w="52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r>
      <w:tr>
        <w:trPr/>
        <w:tc>
          <w:tcPr>
            <w:tcW w:w="5249"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Long-term debt, due within one year (Notes 10 and 11)</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1" w:type="dxa"/>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59" w:type="dxa"/>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29 </w:t>
            </w:r>
          </w:p>
        </w:tc>
        <w:tc>
          <w:tcPr>
            <w:tcW w:w="246"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r>
      <w:tr>
        <w:trPr/>
        <w:tc>
          <w:tcPr>
            <w:tcW w:w="52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r>
      <w:tr>
        <w:trPr/>
        <w:tc>
          <w:tcPr>
            <w:tcW w:w="5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Accrued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9"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Accounts payable and other accrued liabilities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248 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281 </w:t>
            </w:r>
          </w:p>
        </w:tc>
        <w:tc>
          <w:tcPr>
            <w:tcW w:w="246"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Derivative instruments (Notes 2 and 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101 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r>
      <w:tr>
        <w:trPr/>
        <w:tc>
          <w:tcPr>
            <w:tcW w:w="5249"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Stock-based compensation liabilities (Note 13)</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477 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501 </w:t>
            </w:r>
          </w:p>
        </w:tc>
        <w:tc>
          <w:tcPr>
            <w:tcW w:w="246"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78 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9"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current liabilities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1,210</w:t>
            </w:r>
            <w:r>
              <w:rPr>
                <w:color w:val="000000"/>
              </w:rPr>
              <w:t> </w:t>
            </w:r>
          </w:p>
        </w:tc>
        <w:tc>
          <w:tcPr>
            <w:tcW w:w="109"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1,050</w:t>
            </w:r>
            <w:r>
              <w:rPr>
                <w:color w:val="000000"/>
              </w:rPr>
              <w:t> </w:t>
            </w:r>
          </w:p>
        </w:tc>
        <w:tc>
          <w:tcPr>
            <w:tcW w:w="246"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Long-term debt (Notes 10 and 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6,778 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6,782 </w:t>
            </w:r>
          </w:p>
        </w:tc>
        <w:tc>
          <w:tcPr>
            <w:tcW w:w="2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r>
      <w:tr>
        <w:trPr/>
        <w:tc>
          <w:tcPr>
            <w:tcW w:w="5249"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Derivative instruments (Notes 2 and 11)</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67 </w:t>
            </w:r>
          </w:p>
        </w:tc>
        <w:tc>
          <w:tcPr>
            <w:tcW w:w="246"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Postretirement benefit obligations (Note 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229 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9"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Asset retirement obligations and accrued environmental costs (Note 8)</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496 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494 </w:t>
            </w:r>
          </w:p>
        </w:tc>
        <w:tc>
          <w:tcPr>
            <w:tcW w:w="246"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Deferred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486 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9"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Acquired fuel supply contract liabilities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633 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662 </w:t>
            </w:r>
          </w:p>
        </w:tc>
        <w:tc>
          <w:tcPr>
            <w:tcW w:w="246"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noncurrent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9"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Liabilities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61"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9,920</w:t>
            </w:r>
            <w:r>
              <w:rPr>
                <w:color w:val="000000"/>
              </w:rPr>
              <w:t> </w:t>
            </w:r>
          </w:p>
        </w:tc>
        <w:tc>
          <w:tcPr>
            <w:tcW w:w="109"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059"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9,812</w:t>
            </w:r>
            <w:r>
              <w:rPr>
                <w:color w:val="000000"/>
              </w:rPr>
              <w:t> </w:t>
            </w:r>
          </w:p>
        </w:tc>
        <w:tc>
          <w:tcPr>
            <w:tcW w:w="246"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9"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Commitments and Contingencies (Note 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9"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Stockholders' Equity (Note 15)</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r>
      <w:tr>
        <w:trPr/>
        <w:tc>
          <w:tcPr>
            <w:tcW w:w="52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Common stock ($0.001 par value, 350,000,000 shares authorized)</w:t>
            </w:r>
            <w:r>
              <w:rPr>
                <w:color w:val="000000"/>
              </w:rPr>
              <w:t xml:space="preserve"> </w:t>
            </w:r>
            <w:r>
              <w:rPr>
                <w:rFonts w:ascii="Arial;sans-serif" w:hAnsi="Arial;sans-serif"/>
                <w:b w:val="false"/>
                <w:color w:val="000000"/>
                <w:sz w:val="10"/>
              </w:rPr>
              <w:t>(a)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r>
      <w:tr>
        <w:trPr/>
        <w:tc>
          <w:tcPr>
            <w:tcW w:w="5249"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Additional paid-in capital</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1,722 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1,709 </w:t>
            </w:r>
          </w:p>
        </w:tc>
        <w:tc>
          <w:tcPr>
            <w:tcW w:w="246"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Accumulated retained earnings (deficit)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(612)</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9"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Accumulated other comprehensive income (loss)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w:t>
            </w:r>
          </w:p>
        </w:tc>
        <w:tc>
          <w:tcPr>
            <w:tcW w:w="246"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1,073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0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1,093</w:t>
            </w:r>
            <w:r>
              <w:rPr>
                <w:color w:val="000000"/>
              </w:rPr>
              <w:t> </w:t>
            </w:r>
          </w:p>
        </w:tc>
        <w:tc>
          <w:tcPr>
            <w:tcW w:w="2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r>
      <w:tr>
        <w:trPr/>
        <w:tc>
          <w:tcPr>
            <w:tcW w:w="52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r>
      <w:tr>
        <w:trPr/>
        <w:tc>
          <w:tcPr>
            <w:tcW w:w="5249" w:type="dxa"/>
            <w:gridSpan w:val="3"/>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Liabilities and Stockholders' Equity</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61"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10,993</w:t>
            </w:r>
            <w:r>
              <w:rPr>
                <w:color w:val="000000"/>
              </w:rPr>
              <w:t> </w:t>
            </w:r>
          </w:p>
        </w:tc>
        <w:tc>
          <w:tcPr>
            <w:tcW w:w="109"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059"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10,905</w:t>
            </w:r>
            <w:r>
              <w:rPr>
                <w:color w:val="000000"/>
              </w:rPr>
              <w:t> </w:t>
            </w:r>
          </w:p>
        </w:tc>
        <w:tc>
          <w:tcPr>
            <w:tcW w:w="246"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Arial;sans-serif" w:hAnsi="Arial;sans-serif"/>
          <w:b w:val="false"/>
          <w:color w:val="000000"/>
          <w:sz w:val="14"/>
        </w:rPr>
      </w:pPr>
      <w:r>
        <w:rPr>
          <w:rFonts w:ascii="Arial;sans-serif" w:hAnsi="Arial;sans-serif"/>
          <w:b w:val="false"/>
          <w:color w:val="000000"/>
          <w:sz w:val="14"/>
        </w:rPr>
        <w:t>__________________</w:t>
      </w:r>
    </w:p>
    <w:p>
      <w:pPr>
        <w:pStyle w:val="TextBody"/>
        <w:bidi w:val="0"/>
        <w:spacing w:lineRule="auto" w:line="288" w:before="0" w:after="0"/>
        <w:ind w:left="0" w:right="0" w:hanging="360"/>
        <w:jc w:val="left"/>
        <w:rPr>
          <w:rFonts w:ascii="Arial;sans-serif" w:hAnsi="Arial;sans-serif"/>
          <w:b w:val="false"/>
          <w:color w:val="000000"/>
          <w:sz w:val="14"/>
        </w:rPr>
      </w:pPr>
      <w:r>
        <w:rPr>
          <w:rFonts w:ascii="Arial;sans-serif" w:hAnsi="Arial;sans-serif"/>
          <w:b w:val="false"/>
          <w:color w:val="000000"/>
          <w:sz w:val="14"/>
        </w:rPr>
        <w:t>(a)45,395,007 and 45,687,828 shares issued and outstanding as of March 31, 2026 and December 31, 2025, respectively.</w:t>
      </w:r>
    </w:p>
    <w:p>
      <w:pPr>
        <w:pStyle w:val="TextBody"/>
        <w:bidi w:val="0"/>
        <w:spacing w:before="0" w:after="0"/>
        <w:ind w:left="0" w:right="0" w:firstLine="360"/>
        <w:jc w:val="left"/>
        <w:rPr/>
      </w:pPr>
      <w:r>
        <w:rPr/>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The accompanying Notes to the Interim Financial Statements are an integral part of the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16840"/>
                <wp:effectExtent l="0" t="0" r="0" b="0"/>
                <wp:wrapNone/>
                <wp:docPr id="6" name="Frame6"/>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4</w:t>
                      </w:r>
                    </w:p>
                  </w:txbxContent>
                </v:textbox>
                <w10:wrap type="none"/>
              </v:rect>
            </w:pict>
          </mc:Fallback>
        </mc:AlternateContent>
      </w:r>
    </w:p>
    <w:p>
      <w:pPr>
        <w:pStyle w:val="TextBody"/>
        <w:bidi w:val="0"/>
        <w:spacing w:lineRule="auto" w:line="288" w:before="0" w:after="180"/>
        <w:jc w:val="left"/>
        <w:rPr/>
      </w:pPr>
      <w:hyperlink w:anchor="if20e1f3d5a734e3eabbb6aa8f57c7562_45">
        <w:r>
          <w:rPr>
            <w:rStyle w:val="InternetLink"/>
            <w:rFonts w:ascii="Arial;sans-serif" w:hAnsi="Arial;sans-serif"/>
            <w:b w:val="false"/>
            <w:color w:val="0000FF"/>
            <w:sz w:val="18"/>
            <w:u w:val="single"/>
          </w:rPr>
          <w:t>Table of Contents</w:t>
        </w:r>
      </w:hyperlink>
    </w:p>
    <w:p>
      <w:pPr>
        <w:pStyle w:val="TextBody"/>
        <w:bidi w:val="0"/>
        <w:spacing w:lineRule="auto" w:line="288" w:before="0" w:after="180"/>
        <w:jc w:val="center"/>
        <w:rPr>
          <w:rFonts w:ascii="Arial;sans-serif" w:hAnsi="Arial;sans-serif"/>
          <w:b/>
          <w:color w:val="000000"/>
          <w:sz w:val="18"/>
        </w:rPr>
      </w:pPr>
      <w:r>
        <w:rPr>
          <w:rFonts w:ascii="Arial;sans-serif" w:hAnsi="Arial;sans-serif"/>
          <w:b/>
          <w:color w:val="000000"/>
          <w:sz w:val="18"/>
        </w:rPr>
        <w:t>TALEN ENERGY CORPORATION AND SUBSIDIARIES</w:t>
      </w:r>
    </w:p>
    <w:p>
      <w:pPr>
        <w:pStyle w:val="TextBody"/>
        <w:bidi w:val="0"/>
        <w:spacing w:lineRule="auto" w:line="288" w:before="0" w:after="180"/>
        <w:jc w:val="center"/>
        <w:rPr>
          <w:rFonts w:ascii="Arial;sans-serif" w:hAnsi="Arial;sans-serif"/>
          <w:b/>
          <w:color w:val="000000"/>
          <w:sz w:val="18"/>
        </w:rPr>
      </w:pPr>
      <w:r>
        <w:rPr>
          <w:rFonts w:ascii="Arial;sans-serif" w:hAnsi="Arial;sans-serif"/>
          <w:b/>
          <w:color w:val="000000"/>
          <w:sz w:val="18"/>
        </w:rPr>
        <w:t>CONDENSED CONSOLIDATED STATEMENTS OF CASH FLOWS (UNAUDITED)</w:t>
      </w:r>
    </w:p>
    <w:tbl>
      <w:tblPr>
        <w:tblW w:w="10205" w:type="dxa"/>
        <w:jc w:val="left"/>
        <w:tblInd w:w="0" w:type="dxa"/>
        <w:tblLayout w:type="fixed"/>
        <w:tblCellMar>
          <w:top w:w="28" w:type="dxa"/>
          <w:left w:w="28" w:type="dxa"/>
          <w:bottom w:w="28" w:type="dxa"/>
          <w:right w:w="28" w:type="dxa"/>
        </w:tblCellMar>
      </w:tblPr>
      <w:tblGrid>
        <w:gridCol w:w="2466"/>
        <w:gridCol w:w="2149"/>
        <w:gridCol w:w="2162"/>
        <w:gridCol w:w="109"/>
        <w:gridCol w:w="109"/>
        <w:gridCol w:w="109"/>
        <w:gridCol w:w="245"/>
        <w:gridCol w:w="717"/>
        <w:gridCol w:w="136"/>
        <w:gridCol w:w="136"/>
        <w:gridCol w:w="136"/>
        <w:gridCol w:w="136"/>
        <w:gridCol w:w="245"/>
        <w:gridCol w:w="619"/>
        <w:gridCol w:w="136"/>
        <w:gridCol w:w="109"/>
        <w:gridCol w:w="109"/>
        <w:gridCol w:w="109"/>
        <w:gridCol w:w="109"/>
        <w:gridCol w:w="159"/>
      </w:tblGrid>
      <w:tr>
        <w:trPr/>
        <w:tc>
          <w:tcPr>
            <w:tcW w:w="2466" w:type="dxa"/>
            <w:tcBorders/>
            <w:vAlign w:val="center"/>
          </w:tcPr>
          <w:p>
            <w:pPr>
              <w:pStyle w:val="TableContents"/>
              <w:bidi w:val="0"/>
              <w:spacing w:before="0" w:after="283"/>
              <w:jc w:val="left"/>
              <w:rPr>
                <w:sz w:val="4"/>
                <w:szCs w:val="4"/>
              </w:rPr>
            </w:pPr>
            <w:r>
              <w:rPr>
                <w:sz w:val="4"/>
                <w:szCs w:val="4"/>
              </w:rPr>
            </w:r>
          </w:p>
        </w:tc>
        <w:tc>
          <w:tcPr>
            <w:tcW w:w="2149" w:type="dxa"/>
            <w:tcBorders/>
            <w:vAlign w:val="center"/>
          </w:tcPr>
          <w:p>
            <w:pPr>
              <w:pStyle w:val="TableContents"/>
              <w:bidi w:val="0"/>
              <w:spacing w:before="0" w:after="283"/>
              <w:jc w:val="left"/>
              <w:rPr>
                <w:sz w:val="4"/>
                <w:szCs w:val="4"/>
              </w:rPr>
            </w:pPr>
            <w:r>
              <w:rPr>
                <w:sz w:val="4"/>
                <w:szCs w:val="4"/>
              </w:rPr>
            </w:r>
          </w:p>
        </w:tc>
        <w:tc>
          <w:tcPr>
            <w:tcW w:w="2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ind w:left="0" w:right="0" w:hanging="90"/>
              <w:jc w:val="left"/>
              <w:rPr>
                <w:sz w:val="4"/>
                <w:szCs w:val="4"/>
              </w:rPr>
            </w:pPr>
            <w:r>
              <w:rPr>
                <w:sz w:val="4"/>
                <w:szCs w:val="4"/>
              </w:rPr>
            </w:r>
          </w:p>
        </w:tc>
      </w:tr>
      <w:tr>
        <w:trPr/>
        <w:tc>
          <w:tcPr>
            <w:tcW w:w="67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ind w:left="0" w:right="0" w:hanging="90"/>
              <w:jc w:val="left"/>
              <w:rPr>
                <w:sz w:val="4"/>
                <w:szCs w:val="4"/>
              </w:rPr>
            </w:pPr>
            <w:r>
              <w:rPr>
                <w:sz w:val="4"/>
                <w:szCs w:val="4"/>
              </w:rPr>
            </w:r>
          </w:p>
        </w:tc>
        <w:tc>
          <w:tcPr>
            <w:tcW w:w="268" w:type="dxa"/>
            <w:gridSpan w:val="2"/>
            <w:tcBorders/>
          </w:tcPr>
          <w:p>
            <w:pPr>
              <w:pStyle w:val="TableContents"/>
              <w:bidi w:val="0"/>
              <w:spacing w:before="0" w:after="283"/>
              <w:jc w:val="left"/>
              <w:rPr>
                <w:sz w:val="4"/>
                <w:szCs w:val="4"/>
              </w:rPr>
            </w:pPr>
            <w:r>
              <w:rPr>
                <w:sz w:val="4"/>
                <w:szCs w:val="4"/>
              </w:rPr>
            </w:r>
          </w:p>
        </w:tc>
      </w:tr>
      <w:tr>
        <w:trPr/>
        <w:tc>
          <w:tcPr>
            <w:tcW w:w="677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(Millions of Dollars)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4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ind w:left="0" w:right="0" w:hanging="90"/>
              <w:jc w:val="left"/>
              <w:rPr>
                <w:sz w:val="4"/>
                <w:szCs w:val="4"/>
              </w:rPr>
            </w:pPr>
            <w:r>
              <w:rPr>
                <w:sz w:val="4"/>
                <w:szCs w:val="4"/>
              </w:rPr>
            </w:r>
          </w:p>
        </w:tc>
      </w:tr>
      <w:tr>
        <w:trPr/>
        <w:tc>
          <w:tcPr>
            <w:tcW w:w="6777"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Operating Activities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shd w:fill="E1E1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top w:val="single" w:sz="8" w:space="0" w:color="000000"/>
            </w:tcBorders>
            <w:shd w:fill="E1E1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ind w:left="0" w:right="0" w:hanging="90"/>
              <w:jc w:val="left"/>
              <w:rPr>
                <w:sz w:val="4"/>
                <w:szCs w:val="4"/>
              </w:rPr>
            </w:pPr>
            <w:r>
              <w:rPr>
                <w:sz w:val="4"/>
                <w:szCs w:val="4"/>
              </w:rPr>
            </w:r>
          </w:p>
        </w:tc>
      </w:tr>
      <w:tr>
        <w:trPr/>
        <w:tc>
          <w:tcPr>
            <w:tcW w:w="67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(135)</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ind w:left="0" w:right="0" w:hanging="90"/>
              <w:jc w:val="left"/>
              <w:rPr>
                <w:sz w:val="4"/>
                <w:szCs w:val="4"/>
              </w:rPr>
            </w:pPr>
            <w:r>
              <w:rPr>
                <w:sz w:val="4"/>
                <w:szCs w:val="4"/>
              </w:rPr>
            </w:r>
          </w:p>
        </w:tc>
      </w:tr>
      <w:tr>
        <w:trPr/>
        <w:tc>
          <w:tcPr>
            <w:tcW w:w="6777"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Non-cash reconciliation adjustments: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ind w:left="0" w:right="0" w:hanging="90"/>
              <w:jc w:val="left"/>
              <w:rPr>
                <w:sz w:val="4"/>
                <w:szCs w:val="4"/>
              </w:rPr>
            </w:pPr>
            <w:r>
              <w:rPr>
                <w:sz w:val="4"/>
                <w:szCs w:val="4"/>
              </w:rPr>
            </w:r>
          </w:p>
        </w:tc>
      </w:tr>
      <w:tr>
        <w:trPr/>
        <w:tc>
          <w:tcPr>
            <w:tcW w:w="67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Unrealized (gains) losses on derivative instruments (Note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152 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196 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ind w:left="0" w:right="0" w:hanging="90"/>
              <w:jc w:val="left"/>
              <w:rPr>
                <w:sz w:val="4"/>
                <w:szCs w:val="4"/>
              </w:rPr>
            </w:pPr>
            <w:r>
              <w:rPr>
                <w:sz w:val="4"/>
                <w:szCs w:val="4"/>
              </w:rPr>
            </w:r>
          </w:p>
        </w:tc>
      </w:tr>
      <w:tr>
        <w:trPr/>
        <w:tc>
          <w:tcPr>
            <w:tcW w:w="6777"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Depreciation, amortization and accretion (Note 16)</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66 </w:t>
            </w:r>
          </w:p>
        </w:tc>
        <w:tc>
          <w:tcPr>
            <w:tcW w:w="136"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72 </w:t>
            </w:r>
          </w:p>
        </w:tc>
        <w:tc>
          <w:tcPr>
            <w:tcW w:w="136"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ind w:left="0" w:right="0" w:hanging="90"/>
              <w:jc w:val="left"/>
              <w:rPr>
                <w:sz w:val="4"/>
                <w:szCs w:val="4"/>
              </w:rPr>
            </w:pPr>
            <w:r>
              <w:rPr>
                <w:sz w:val="4"/>
                <w:szCs w:val="4"/>
              </w:rPr>
            </w:r>
          </w:p>
        </w:tc>
      </w:tr>
      <w:tr>
        <w:trPr/>
        <w:tc>
          <w:tcPr>
            <w:tcW w:w="67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Nuclear decommissioning trust funds (gain) loss, net (excluding interest and fees) (Note 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ind w:left="0" w:right="0" w:hanging="90"/>
              <w:jc w:val="left"/>
              <w:rPr>
                <w:sz w:val="4"/>
                <w:szCs w:val="4"/>
              </w:rPr>
            </w:pPr>
            <w:r>
              <w:rPr>
                <w:sz w:val="4"/>
                <w:szCs w:val="4"/>
              </w:rPr>
            </w:r>
          </w:p>
        </w:tc>
      </w:tr>
      <w:tr>
        <w:trPr/>
        <w:tc>
          <w:tcPr>
            <w:tcW w:w="6777"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Nuclear fuel amortization (Note 7)</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24 </w:t>
            </w:r>
          </w:p>
        </w:tc>
        <w:tc>
          <w:tcPr>
            <w:tcW w:w="136"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26 </w:t>
            </w:r>
          </w:p>
        </w:tc>
        <w:tc>
          <w:tcPr>
            <w:tcW w:w="136"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ind w:left="0" w:right="0" w:hanging="90"/>
              <w:jc w:val="left"/>
              <w:rPr>
                <w:sz w:val="4"/>
                <w:szCs w:val="4"/>
              </w:rPr>
            </w:pPr>
            <w:r>
              <w:rPr>
                <w:sz w:val="4"/>
                <w:szCs w:val="4"/>
              </w:rPr>
            </w:r>
          </w:p>
        </w:tc>
      </w:tr>
      <w:tr>
        <w:trPr/>
        <w:tc>
          <w:tcPr>
            <w:tcW w:w="67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Deferred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ind w:left="0" w:right="0" w:hanging="90"/>
              <w:jc w:val="left"/>
              <w:rPr>
                <w:sz w:val="4"/>
                <w:szCs w:val="4"/>
              </w:rPr>
            </w:pPr>
            <w:r>
              <w:rPr>
                <w:sz w:val="4"/>
                <w:szCs w:val="4"/>
              </w:rPr>
            </w:r>
          </w:p>
        </w:tc>
      </w:tr>
      <w:tr>
        <w:trPr/>
        <w:tc>
          <w:tcPr>
            <w:tcW w:w="6777"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Stock-based compensation (Note 13)</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136"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11 </w:t>
            </w:r>
          </w:p>
        </w:tc>
        <w:tc>
          <w:tcPr>
            <w:tcW w:w="136"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7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0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7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0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7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0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7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0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7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0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7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0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ind w:left="0" w:right="0" w:hanging="90"/>
              <w:jc w:val="left"/>
              <w:rPr>
                <w:sz w:val="4"/>
                <w:szCs w:val="4"/>
              </w:rPr>
            </w:pPr>
            <w:r>
              <w:rPr>
                <w:sz w:val="4"/>
                <w:szCs w:val="4"/>
              </w:rPr>
            </w:r>
          </w:p>
        </w:tc>
      </w:tr>
      <w:tr>
        <w:trPr/>
        <w:tc>
          <w:tcPr>
            <w:tcW w:w="67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(Note 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ind w:left="0" w:right="0" w:hanging="90"/>
              <w:jc w:val="left"/>
              <w:rPr>
                <w:sz w:val="4"/>
                <w:szCs w:val="4"/>
              </w:rPr>
            </w:pPr>
            <w:r>
              <w:rPr>
                <w:sz w:val="4"/>
                <w:szCs w:val="4"/>
              </w:rPr>
            </w:r>
          </w:p>
        </w:tc>
      </w:tr>
      <w:tr>
        <w:trPr/>
        <w:tc>
          <w:tcPr>
            <w:tcW w:w="6777"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Changes in assets and liabilities: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ind w:left="0" w:right="0" w:hanging="90"/>
              <w:jc w:val="left"/>
              <w:rPr>
                <w:sz w:val="4"/>
                <w:szCs w:val="4"/>
              </w:rPr>
            </w:pPr>
            <w:r>
              <w:rPr>
                <w:sz w:val="4"/>
                <w:szCs w:val="4"/>
              </w:rPr>
            </w:r>
          </w:p>
        </w:tc>
      </w:tr>
      <w:tr>
        <w:trPr/>
        <w:tc>
          <w:tcPr>
            <w:tcW w:w="67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Accounts receivable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ind w:left="0" w:right="0" w:hanging="90"/>
              <w:jc w:val="left"/>
              <w:rPr>
                <w:sz w:val="4"/>
                <w:szCs w:val="4"/>
              </w:rPr>
            </w:pPr>
            <w:r>
              <w:rPr>
                <w:sz w:val="4"/>
                <w:szCs w:val="4"/>
              </w:rPr>
            </w:r>
          </w:p>
        </w:tc>
      </w:tr>
      <w:tr>
        <w:trPr/>
        <w:tc>
          <w:tcPr>
            <w:tcW w:w="6777"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Inventory, net</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34 </w:t>
            </w:r>
          </w:p>
        </w:tc>
        <w:tc>
          <w:tcPr>
            <w:tcW w:w="136"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83 </w:t>
            </w:r>
          </w:p>
        </w:tc>
        <w:tc>
          <w:tcPr>
            <w:tcW w:w="136"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ind w:left="0" w:right="0" w:hanging="90"/>
              <w:jc w:val="left"/>
              <w:rPr>
                <w:sz w:val="4"/>
                <w:szCs w:val="4"/>
              </w:rPr>
            </w:pPr>
            <w:r>
              <w:rPr>
                <w:sz w:val="4"/>
                <w:szCs w:val="4"/>
              </w:rPr>
            </w:r>
          </w:p>
        </w:tc>
      </w:tr>
      <w:tr>
        <w:trPr/>
        <w:tc>
          <w:tcPr>
            <w:tcW w:w="67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ind w:left="0" w:right="0" w:hanging="90"/>
              <w:jc w:val="left"/>
              <w:rPr>
                <w:sz w:val="4"/>
                <w:szCs w:val="4"/>
              </w:rPr>
            </w:pPr>
            <w:r>
              <w:rPr>
                <w:sz w:val="4"/>
                <w:szCs w:val="4"/>
              </w:rPr>
            </w:r>
          </w:p>
        </w:tc>
      </w:tr>
      <w:tr>
        <w:trPr/>
        <w:tc>
          <w:tcPr>
            <w:tcW w:w="6777"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Accounts payable and accrued liabilities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w:t>
            </w:r>
          </w:p>
        </w:tc>
        <w:tc>
          <w:tcPr>
            <w:tcW w:w="136"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w:t>
            </w:r>
          </w:p>
        </w:tc>
        <w:tc>
          <w:tcPr>
            <w:tcW w:w="136"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ind w:left="0" w:right="0" w:hanging="90"/>
              <w:jc w:val="left"/>
              <w:rPr>
                <w:sz w:val="4"/>
                <w:szCs w:val="4"/>
              </w:rPr>
            </w:pPr>
            <w:r>
              <w:rPr>
                <w:sz w:val="4"/>
                <w:szCs w:val="4"/>
              </w:rPr>
            </w:r>
          </w:p>
        </w:tc>
      </w:tr>
      <w:tr>
        <w:trPr/>
        <w:tc>
          <w:tcPr>
            <w:tcW w:w="67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Accrued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ind w:left="0" w:right="0" w:hanging="90"/>
              <w:jc w:val="left"/>
              <w:rPr>
                <w:sz w:val="4"/>
                <w:szCs w:val="4"/>
              </w:rPr>
            </w:pPr>
            <w:r>
              <w:rPr>
                <w:sz w:val="4"/>
                <w:szCs w:val="4"/>
              </w:rPr>
            </w:r>
          </w:p>
        </w:tc>
      </w:tr>
      <w:tr>
        <w:trPr/>
        <w:tc>
          <w:tcPr>
            <w:tcW w:w="6777"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Collateral received (posted), net</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w:t>
            </w:r>
          </w:p>
        </w:tc>
        <w:tc>
          <w:tcPr>
            <w:tcW w:w="136"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w:t>
            </w:r>
          </w:p>
        </w:tc>
        <w:tc>
          <w:tcPr>
            <w:tcW w:w="136"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ind w:left="0" w:right="0" w:hanging="90"/>
              <w:jc w:val="left"/>
              <w:rPr>
                <w:sz w:val="4"/>
                <w:szCs w:val="4"/>
              </w:rPr>
            </w:pPr>
            <w:r>
              <w:rPr>
                <w:sz w:val="4"/>
                <w:szCs w:val="4"/>
              </w:rPr>
            </w:r>
          </w:p>
        </w:tc>
      </w:tr>
      <w:tr>
        <w:trPr/>
        <w:tc>
          <w:tcPr>
            <w:tcW w:w="67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ind w:left="0" w:right="0" w:hanging="90"/>
              <w:jc w:val="left"/>
              <w:rPr>
                <w:sz w:val="4"/>
                <w:szCs w:val="4"/>
              </w:rPr>
            </w:pPr>
            <w:r>
              <w:rPr>
                <w:sz w:val="4"/>
                <w:szCs w:val="4"/>
              </w:rPr>
            </w:r>
          </w:p>
        </w:tc>
      </w:tr>
      <w:tr>
        <w:trPr/>
        <w:tc>
          <w:tcPr>
            <w:tcW w:w="6777"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cash provided by (used in) operating activities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461</w:t>
            </w:r>
            <w:r>
              <w:rPr>
                <w:color w:val="000000"/>
              </w:rPr>
              <w:t> </w:t>
            </w:r>
          </w:p>
        </w:tc>
        <w:tc>
          <w:tcPr>
            <w:tcW w:w="136"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119</w:t>
            </w:r>
            <w:r>
              <w:rPr>
                <w:color w:val="000000"/>
              </w:rPr>
              <w:t> </w:t>
            </w:r>
          </w:p>
        </w:tc>
        <w:tc>
          <w:tcPr>
            <w:tcW w:w="136"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ind w:left="0" w:right="0" w:hanging="90"/>
              <w:jc w:val="left"/>
              <w:rPr>
                <w:sz w:val="4"/>
                <w:szCs w:val="4"/>
              </w:rPr>
            </w:pPr>
            <w:r>
              <w:rPr>
                <w:sz w:val="4"/>
                <w:szCs w:val="4"/>
              </w:rPr>
            </w:r>
          </w:p>
        </w:tc>
      </w:tr>
      <w:tr>
        <w:trPr/>
        <w:tc>
          <w:tcPr>
            <w:tcW w:w="67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ind w:left="0" w:right="0" w:hanging="90"/>
              <w:jc w:val="left"/>
              <w:rPr>
                <w:sz w:val="4"/>
                <w:szCs w:val="4"/>
              </w:rPr>
            </w:pPr>
            <w:r>
              <w:rPr>
                <w:sz w:val="4"/>
                <w:szCs w:val="4"/>
              </w:rPr>
            </w:r>
          </w:p>
        </w:tc>
      </w:tr>
      <w:tr>
        <w:trPr/>
        <w:tc>
          <w:tcPr>
            <w:tcW w:w="6777"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Investing Activities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7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0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ind w:left="0" w:right="0" w:hanging="90"/>
              <w:jc w:val="left"/>
              <w:rPr>
                <w:sz w:val="4"/>
                <w:szCs w:val="4"/>
              </w:rPr>
            </w:pPr>
            <w:r>
              <w:rPr>
                <w:sz w:val="4"/>
                <w:szCs w:val="4"/>
              </w:rPr>
            </w:r>
          </w:p>
        </w:tc>
      </w:tr>
      <w:tr>
        <w:trPr/>
        <w:tc>
          <w:tcPr>
            <w:tcW w:w="67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Nuclear decommissioning trust funds investment purchases (Note 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(112)</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(592)</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ind w:left="0" w:right="0" w:hanging="90"/>
              <w:jc w:val="left"/>
              <w:rPr>
                <w:sz w:val="4"/>
                <w:szCs w:val="4"/>
              </w:rPr>
            </w:pPr>
            <w:r>
              <w:rPr>
                <w:sz w:val="4"/>
                <w:szCs w:val="4"/>
              </w:rPr>
            </w:r>
          </w:p>
        </w:tc>
      </w:tr>
      <w:tr>
        <w:trPr/>
        <w:tc>
          <w:tcPr>
            <w:tcW w:w="6777"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Nuclear decommissioning trust funds investment sale proceeds (Note 6)</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99 </w:t>
            </w:r>
          </w:p>
        </w:tc>
        <w:tc>
          <w:tcPr>
            <w:tcW w:w="136"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581 </w:t>
            </w:r>
          </w:p>
        </w:tc>
        <w:tc>
          <w:tcPr>
            <w:tcW w:w="136"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ind w:left="0" w:right="0" w:hanging="90"/>
              <w:jc w:val="left"/>
              <w:rPr>
                <w:sz w:val="4"/>
                <w:szCs w:val="4"/>
              </w:rPr>
            </w:pPr>
            <w:r>
              <w:rPr>
                <w:sz w:val="4"/>
                <w:szCs w:val="4"/>
              </w:rPr>
            </w:r>
          </w:p>
        </w:tc>
      </w:tr>
      <w:tr>
        <w:trPr/>
        <w:tc>
          <w:tcPr>
            <w:tcW w:w="67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Property, plant and equipment expenditures (Note 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ind w:left="0" w:right="0" w:hanging="90"/>
              <w:jc w:val="left"/>
              <w:rPr>
                <w:sz w:val="4"/>
                <w:szCs w:val="4"/>
              </w:rPr>
            </w:pPr>
            <w:r>
              <w:rPr>
                <w:sz w:val="4"/>
                <w:szCs w:val="4"/>
              </w:rPr>
            </w:r>
          </w:p>
        </w:tc>
      </w:tr>
      <w:tr>
        <w:trPr/>
        <w:tc>
          <w:tcPr>
            <w:tcW w:w="6777"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Nuclear fuel expenditures (Note 7)</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w:t>
            </w:r>
          </w:p>
        </w:tc>
        <w:tc>
          <w:tcPr>
            <w:tcW w:w="136"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w:t>
            </w:r>
          </w:p>
        </w:tc>
        <w:tc>
          <w:tcPr>
            <w:tcW w:w="136"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7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0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7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0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7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0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7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0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ind w:left="0" w:right="0" w:hanging="90"/>
              <w:jc w:val="left"/>
              <w:rPr>
                <w:sz w:val="4"/>
                <w:szCs w:val="4"/>
              </w:rPr>
            </w:pPr>
            <w:r>
              <w:rPr>
                <w:sz w:val="4"/>
                <w:szCs w:val="4"/>
              </w:rPr>
            </w:r>
          </w:p>
        </w:tc>
      </w:tr>
      <w:tr>
        <w:trPr/>
        <w:tc>
          <w:tcPr>
            <w:tcW w:w="67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ind w:left="0" w:right="0" w:hanging="90"/>
              <w:jc w:val="left"/>
              <w:rPr>
                <w:sz w:val="4"/>
                <w:szCs w:val="4"/>
              </w:rPr>
            </w:pPr>
            <w:r>
              <w:rPr>
                <w:sz w:val="4"/>
                <w:szCs w:val="4"/>
              </w:rPr>
            </w:r>
          </w:p>
        </w:tc>
      </w:tr>
      <w:tr>
        <w:trPr/>
        <w:tc>
          <w:tcPr>
            <w:tcW w:w="6777"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cash provided by (used in) investing activities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(72)</w:t>
            </w:r>
          </w:p>
        </w:tc>
        <w:tc>
          <w:tcPr>
            <w:tcW w:w="136"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(68)</w:t>
            </w:r>
          </w:p>
        </w:tc>
        <w:tc>
          <w:tcPr>
            <w:tcW w:w="136"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7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ind w:left="0" w:right="0" w:hanging="90"/>
              <w:jc w:val="left"/>
              <w:rPr>
                <w:sz w:val="4"/>
                <w:szCs w:val="4"/>
              </w:rPr>
            </w:pPr>
            <w:r>
              <w:rPr>
                <w:sz w:val="4"/>
                <w:szCs w:val="4"/>
              </w:rPr>
            </w:r>
          </w:p>
        </w:tc>
      </w:tr>
      <w:tr>
        <w:trPr/>
        <w:tc>
          <w:tcPr>
            <w:tcW w:w="67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Financing Activities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7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0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ind w:left="0" w:right="0" w:hanging="90"/>
              <w:jc w:val="left"/>
              <w:rPr>
                <w:sz w:val="4"/>
                <w:szCs w:val="4"/>
              </w:rPr>
            </w:pPr>
            <w:r>
              <w:rPr>
                <w:sz w:val="4"/>
                <w:szCs w:val="4"/>
              </w:rPr>
            </w:r>
          </w:p>
        </w:tc>
      </w:tr>
      <w:tr>
        <w:trPr/>
        <w:tc>
          <w:tcPr>
            <w:tcW w:w="6777"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Revolving credit facility borrowings (Note 10)</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500 </w:t>
            </w:r>
          </w:p>
        </w:tc>
        <w:tc>
          <w:tcPr>
            <w:tcW w:w="136"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ind w:left="0" w:right="0" w:hanging="90"/>
              <w:jc w:val="left"/>
              <w:rPr>
                <w:sz w:val="4"/>
                <w:szCs w:val="4"/>
              </w:rPr>
            </w:pPr>
            <w:r>
              <w:rPr>
                <w:sz w:val="4"/>
                <w:szCs w:val="4"/>
              </w:rPr>
            </w:r>
          </w:p>
        </w:tc>
      </w:tr>
      <w:tr>
        <w:trPr/>
        <w:tc>
          <w:tcPr>
            <w:tcW w:w="67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Revolving credit facility repayments (Note 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(500)</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ind w:left="0" w:right="0" w:hanging="90"/>
              <w:jc w:val="left"/>
              <w:rPr>
                <w:sz w:val="4"/>
                <w:szCs w:val="4"/>
              </w:rPr>
            </w:pPr>
            <w:r>
              <w:rPr>
                <w:sz w:val="4"/>
                <w:szCs w:val="4"/>
              </w:rPr>
            </w:r>
          </w:p>
        </w:tc>
      </w:tr>
      <w:tr>
        <w:trPr/>
        <w:tc>
          <w:tcPr>
            <w:tcW w:w="6777"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Share repurchases (Note 15)</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w:t>
            </w:r>
          </w:p>
        </w:tc>
        <w:tc>
          <w:tcPr>
            <w:tcW w:w="136"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(83)</w:t>
            </w:r>
          </w:p>
        </w:tc>
        <w:tc>
          <w:tcPr>
            <w:tcW w:w="136"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ind w:left="0" w:right="0" w:hanging="90"/>
              <w:jc w:val="left"/>
              <w:rPr>
                <w:sz w:val="4"/>
                <w:szCs w:val="4"/>
              </w:rPr>
            </w:pPr>
            <w:r>
              <w:rPr>
                <w:sz w:val="4"/>
                <w:szCs w:val="4"/>
              </w:rPr>
            </w:r>
          </w:p>
        </w:tc>
      </w:tr>
      <w:tr>
        <w:trPr/>
        <w:tc>
          <w:tcPr>
            <w:tcW w:w="67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Debt repayments (Note 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ind w:left="0" w:right="0" w:hanging="90"/>
              <w:jc w:val="left"/>
              <w:rPr>
                <w:sz w:val="4"/>
                <w:szCs w:val="4"/>
              </w:rPr>
            </w:pPr>
            <w:r>
              <w:rPr>
                <w:sz w:val="4"/>
                <w:szCs w:val="4"/>
              </w:rPr>
            </w:r>
          </w:p>
        </w:tc>
      </w:tr>
      <w:tr>
        <w:trPr/>
        <w:tc>
          <w:tcPr>
            <w:tcW w:w="6777"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Deferred financing costs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w:t>
            </w:r>
          </w:p>
        </w:tc>
        <w:tc>
          <w:tcPr>
            <w:tcW w:w="136"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w:t>
            </w:r>
          </w:p>
        </w:tc>
        <w:tc>
          <w:tcPr>
            <w:tcW w:w="136"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7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0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7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0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7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0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7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0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7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0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ind w:left="0" w:right="0" w:hanging="90"/>
              <w:jc w:val="left"/>
              <w:rPr>
                <w:sz w:val="4"/>
                <w:szCs w:val="4"/>
              </w:rPr>
            </w:pPr>
            <w:r>
              <w:rPr>
                <w:sz w:val="4"/>
                <w:szCs w:val="4"/>
              </w:rPr>
            </w:r>
          </w:p>
        </w:tc>
      </w:tr>
      <w:tr>
        <w:trPr/>
        <w:tc>
          <w:tcPr>
            <w:tcW w:w="67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ind w:left="0" w:right="0" w:hanging="90"/>
              <w:jc w:val="left"/>
              <w:rPr>
                <w:sz w:val="4"/>
                <w:szCs w:val="4"/>
              </w:rPr>
            </w:pPr>
            <w:r>
              <w:rPr>
                <w:sz w:val="4"/>
                <w:szCs w:val="4"/>
              </w:rPr>
            </w:r>
          </w:p>
        </w:tc>
      </w:tr>
      <w:tr>
        <w:trPr/>
        <w:tc>
          <w:tcPr>
            <w:tcW w:w="6777"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cash provided by (used in) financing activities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(114)</w:t>
            </w:r>
          </w:p>
        </w:tc>
        <w:tc>
          <w:tcPr>
            <w:tcW w:w="136"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(96)</w:t>
            </w:r>
          </w:p>
        </w:tc>
        <w:tc>
          <w:tcPr>
            <w:tcW w:w="136"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ind w:left="0" w:right="0" w:hanging="90"/>
              <w:jc w:val="left"/>
              <w:rPr>
                <w:sz w:val="4"/>
                <w:szCs w:val="4"/>
              </w:rPr>
            </w:pPr>
            <w:r>
              <w:rPr>
                <w:sz w:val="4"/>
                <w:szCs w:val="4"/>
              </w:rPr>
            </w:r>
          </w:p>
        </w:tc>
      </w:tr>
      <w:tr>
        <w:trPr/>
        <w:tc>
          <w:tcPr>
            <w:tcW w:w="677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increase (decrease) in cash and cash equivalents and restricted 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275 </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ind w:left="0" w:right="0" w:hanging="90"/>
              <w:jc w:val="left"/>
              <w:rPr>
                <w:sz w:val="4"/>
                <w:szCs w:val="4"/>
              </w:rPr>
            </w:pPr>
            <w:r>
              <w:rPr>
                <w:sz w:val="4"/>
                <w:szCs w:val="4"/>
              </w:rPr>
            </w:r>
          </w:p>
        </w:tc>
      </w:tr>
      <w:tr>
        <w:trPr/>
        <w:tc>
          <w:tcPr>
            <w:tcW w:w="6777"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Beginning of period cash and cash equivalents and restricted cash and cash equivalents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752 </w:t>
            </w:r>
          </w:p>
        </w:tc>
        <w:tc>
          <w:tcPr>
            <w:tcW w:w="136"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365 </w:t>
            </w:r>
          </w:p>
        </w:tc>
        <w:tc>
          <w:tcPr>
            <w:tcW w:w="136"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ind w:left="0" w:right="0" w:hanging="90"/>
              <w:jc w:val="left"/>
              <w:rPr>
                <w:sz w:val="4"/>
                <w:szCs w:val="4"/>
              </w:rPr>
            </w:pPr>
            <w:r>
              <w:rPr>
                <w:sz w:val="4"/>
                <w:szCs w:val="4"/>
              </w:rPr>
            </w:r>
          </w:p>
        </w:tc>
      </w:tr>
      <w:tr>
        <w:trPr/>
        <w:tc>
          <w:tcPr>
            <w:tcW w:w="6777"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End of period cash and cash equivalents and restricted 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1,027</w:t>
            </w:r>
            <w:r>
              <w:rPr>
                <w:color w:val="000000"/>
              </w:rPr>
              <w:t> </w:t>
            </w:r>
          </w:p>
        </w:tc>
        <w:tc>
          <w:tcPr>
            <w:tcW w:w="1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320</w:t>
            </w:r>
            <w:r>
              <w:rPr>
                <w:color w:val="000000"/>
              </w:rPr>
              <w:t> </w:t>
            </w:r>
          </w:p>
        </w:tc>
        <w:tc>
          <w:tcPr>
            <w:tcW w:w="1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 xml:space="preserve">See Note 16 for supplemental cash flow information. </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The accompanying Notes to the Interim Financial Statements are an integral part of the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16840"/>
                <wp:effectExtent l="0" t="0" r="0" b="0"/>
                <wp:wrapNone/>
                <wp:docPr id="7" name="Frame7"/>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5</w:t>
                      </w:r>
                    </w:p>
                  </w:txbxContent>
                </v:textbox>
                <w10:wrap type="none"/>
              </v:rect>
            </w:pict>
          </mc:Fallback>
        </mc:AlternateContent>
      </w:r>
    </w:p>
    <w:p>
      <w:pPr>
        <w:pStyle w:val="TextBody"/>
        <w:bidi w:val="0"/>
        <w:spacing w:lineRule="auto" w:line="288" w:before="0" w:after="180"/>
        <w:jc w:val="left"/>
        <w:rPr/>
      </w:pPr>
      <w:hyperlink w:anchor="if20e1f3d5a734e3eabbb6aa8f57c7562_45">
        <w:r>
          <w:rPr>
            <w:rStyle w:val="InternetLink"/>
            <w:rFonts w:ascii="Arial;sans-serif" w:hAnsi="Arial;sans-serif"/>
            <w:b w:val="false"/>
            <w:color w:val="0000FF"/>
            <w:sz w:val="18"/>
            <w:u w:val="single"/>
          </w:rPr>
          <w:t>Table of Contents</w:t>
        </w:r>
      </w:hyperlink>
    </w:p>
    <w:p>
      <w:pPr>
        <w:pStyle w:val="TextBody"/>
        <w:bidi w:val="0"/>
        <w:spacing w:lineRule="auto" w:line="288" w:before="0" w:after="180"/>
        <w:jc w:val="center"/>
        <w:rPr>
          <w:rFonts w:ascii="Arial;sans-serif" w:hAnsi="Arial;sans-serif"/>
          <w:b/>
          <w:color w:val="000000"/>
          <w:sz w:val="18"/>
        </w:rPr>
      </w:pPr>
      <w:r>
        <w:rPr>
          <w:rFonts w:ascii="Arial;sans-serif" w:hAnsi="Arial;sans-serif"/>
          <w:b/>
          <w:color w:val="000000"/>
          <w:sz w:val="18"/>
        </w:rPr>
        <w:t>TALEN ENERGY CORPORATION AND SUBSIDIARIES</w:t>
      </w:r>
    </w:p>
    <w:p>
      <w:pPr>
        <w:pStyle w:val="TextBody"/>
        <w:bidi w:val="0"/>
        <w:spacing w:lineRule="auto" w:line="288" w:before="0" w:after="180"/>
        <w:jc w:val="center"/>
        <w:rPr>
          <w:rFonts w:ascii="Arial;sans-serif" w:hAnsi="Arial;sans-serif"/>
          <w:b/>
          <w:color w:val="000000"/>
          <w:sz w:val="18"/>
        </w:rPr>
      </w:pPr>
      <w:r>
        <w:rPr>
          <w:rFonts w:ascii="Arial;sans-serif" w:hAnsi="Arial;sans-serif"/>
          <w:b/>
          <w:color w:val="000000"/>
          <w:sz w:val="18"/>
        </w:rPr>
        <w:t>CONDENSED CONSOLIDATED STATEMENTS OF EQUITY (UNAUDITED)</w:t>
      </w:r>
    </w:p>
    <w:tbl>
      <w:tblPr>
        <w:tblW w:w="10205" w:type="dxa"/>
        <w:jc w:val="left"/>
        <w:tblInd w:w="0" w:type="dxa"/>
        <w:tblLayout w:type="fixed"/>
        <w:tblCellMar>
          <w:top w:w="28" w:type="dxa"/>
          <w:left w:w="28" w:type="dxa"/>
          <w:bottom w:w="28" w:type="dxa"/>
          <w:right w:w="28" w:type="dxa"/>
        </w:tblCellMar>
      </w:tblPr>
      <w:tblGrid>
        <w:gridCol w:w="843"/>
        <w:gridCol w:w="369"/>
        <w:gridCol w:w="328"/>
        <w:gridCol w:w="109"/>
        <w:gridCol w:w="109"/>
        <w:gridCol w:w="109"/>
        <w:gridCol w:w="440"/>
        <w:gridCol w:w="359"/>
        <w:gridCol w:w="360"/>
        <w:gridCol w:w="109"/>
        <w:gridCol w:w="109"/>
        <w:gridCol w:w="109"/>
        <w:gridCol w:w="259"/>
        <w:gridCol w:w="755"/>
        <w:gridCol w:w="145"/>
        <w:gridCol w:w="109"/>
        <w:gridCol w:w="109"/>
        <w:gridCol w:w="109"/>
        <w:gridCol w:w="377"/>
        <w:gridCol w:w="841"/>
        <w:gridCol w:w="211"/>
        <w:gridCol w:w="109"/>
        <w:gridCol w:w="109"/>
        <w:gridCol w:w="109"/>
        <w:gridCol w:w="196"/>
        <w:gridCol w:w="357"/>
        <w:gridCol w:w="109"/>
        <w:gridCol w:w="109"/>
        <w:gridCol w:w="109"/>
        <w:gridCol w:w="109"/>
        <w:gridCol w:w="245"/>
        <w:gridCol w:w="509"/>
        <w:gridCol w:w="137"/>
        <w:gridCol w:w="109"/>
        <w:gridCol w:w="109"/>
        <w:gridCol w:w="109"/>
        <w:gridCol w:w="109"/>
        <w:gridCol w:w="109"/>
        <w:gridCol w:w="109"/>
        <w:gridCol w:w="109"/>
        <w:gridCol w:w="203"/>
        <w:gridCol w:w="594"/>
        <w:gridCol w:w="170"/>
      </w:tblGrid>
      <w:tr>
        <w:trPr/>
        <w:tc>
          <w:tcPr>
            <w:tcW w:w="843"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15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(Millions of Dollars, except share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6"/>
              </w:rPr>
              <w:t xml:space="preserve">Common stock shares </w:t>
            </w:r>
            <w:r>
              <w:rPr>
                <w:rFonts w:ascii="Arial;sans-serif" w:hAnsi="Arial;sans-serif"/>
                <w:b/>
                <w:color w:val="000000"/>
                <w:sz w:val="10"/>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Accumulated earnings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AOCI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Treasury Stock</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 Equity</w:t>
            </w:r>
          </w:p>
        </w:tc>
      </w:tr>
      <w:tr>
        <w:trPr/>
        <w:tc>
          <w:tcPr>
            <w:tcW w:w="15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r>
      <w:tr>
        <w:trPr/>
        <w:tc>
          <w:tcPr>
            <w:tcW w:w="15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r>
      <w:tr>
        <w:trPr/>
        <w:tc>
          <w:tcPr>
            <w:tcW w:w="15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r>
      <w:tr>
        <w:trPr/>
        <w:tc>
          <w:tcPr>
            <w:tcW w:w="15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r>
      <w:tr>
        <w:trPr/>
        <w:tc>
          <w:tcPr>
            <w:tcW w:w="15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r>
      <w:tr>
        <w:trPr/>
        <w:tc>
          <w:tcPr>
            <w:tcW w:w="15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r>
      <w:tr>
        <w:trPr/>
        <w:tc>
          <w:tcPr>
            <w:tcW w:w="15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r>
      <w:tr>
        <w:trPr/>
        <w:tc>
          <w:tcPr>
            <w:tcW w:w="15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r>
      <w:tr>
        <w:trPr/>
        <w:tc>
          <w:tcPr>
            <w:tcW w:w="15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r>
      <w:tr>
        <w:trPr/>
        <w:tc>
          <w:tcPr>
            <w:tcW w:w="15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r>
      <w:tr>
        <w:trPr/>
        <w:tc>
          <w:tcPr>
            <w:tcW w:w="15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r>
      <w:tr>
        <w:trPr/>
        <w:tc>
          <w:tcPr>
            <w:tcW w:w="15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r>
      <w:tr>
        <w:trPr/>
        <w:tc>
          <w:tcPr>
            <w:tcW w:w="15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r>
      <w:tr>
        <w:trPr/>
        <w:tc>
          <w:tcPr>
            <w:tcW w:w="15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r>
      <w:tr>
        <w:trPr/>
        <w:tc>
          <w:tcPr>
            <w:tcW w:w="15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r>
      <w:tr>
        <w:trPr/>
        <w:tc>
          <w:tcPr>
            <w:tcW w:w="15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r>
      <w:tr>
        <w:trPr/>
        <w:tc>
          <w:tcPr>
            <w:tcW w:w="15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r>
      <w:tr>
        <w:trPr/>
        <w:tc>
          <w:tcPr>
            <w:tcW w:w="15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r>
      <w:tr>
        <w:trPr/>
        <w:tc>
          <w:tcPr>
            <w:tcW w:w="15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r>
      <w:tr>
        <w:trPr/>
        <w:tc>
          <w:tcPr>
            <w:tcW w:w="15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r>
      <w:tr>
        <w:trPr/>
        <w:tc>
          <w:tcPr>
            <w:tcW w:w="15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r>
      <w:tr>
        <w:trPr/>
        <w:tc>
          <w:tcPr>
            <w:tcW w:w="15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r>
      <w:tr>
        <w:trPr/>
        <w:tc>
          <w:tcPr>
            <w:tcW w:w="15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r>
      <w:tr>
        <w:trPr/>
        <w:tc>
          <w:tcPr>
            <w:tcW w:w="15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r>
      <w:tr>
        <w:trPr/>
        <w:tc>
          <w:tcPr>
            <w:tcW w:w="15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r>
      <w:tr>
        <w:trPr/>
        <w:tc>
          <w:tcPr>
            <w:tcW w:w="15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r>
      <w:tr>
        <w:trPr/>
        <w:tc>
          <w:tcPr>
            <w:tcW w:w="15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r>
      <w:tr>
        <w:trPr/>
        <w:tc>
          <w:tcPr>
            <w:tcW w:w="15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r>
      <w:tr>
        <w:trPr/>
        <w:tc>
          <w:tcPr>
            <w:tcW w:w="15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r>
      <w:tr>
        <w:trPr/>
        <w:tc>
          <w:tcPr>
            <w:tcW w:w="15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r>
      <w:tr>
        <w:trPr/>
        <w:tc>
          <w:tcPr>
            <w:tcW w:w="15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r>
      <w:tr>
        <w:trPr/>
        <w:tc>
          <w:tcPr>
            <w:tcW w:w="15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r>
      <w:tr>
        <w:trPr/>
        <w:tc>
          <w:tcPr>
            <w:tcW w:w="15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r>
      <w:tr>
        <w:trPr/>
        <w:tc>
          <w:tcPr>
            <w:tcW w:w="15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r>
      <w:tr>
        <w:trPr/>
        <w:tc>
          <w:tcPr>
            <w:tcW w:w="15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r>
      <w:tr>
        <w:trPr/>
        <w:tc>
          <w:tcPr>
            <w:tcW w:w="15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r>
      <w:tr>
        <w:trPr/>
        <w:tc>
          <w:tcPr>
            <w:tcW w:w="15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r>
      <w:tr>
        <w:trPr/>
        <w:tc>
          <w:tcPr>
            <w:tcW w:w="15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r>
      <w:tr>
        <w:trPr/>
        <w:tc>
          <w:tcPr>
            <w:tcW w:w="1540"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December 31, 2025</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45,688</w:t>
            </w:r>
            <w:r>
              <w:rPr>
                <w:color w:val="000000"/>
              </w:rPr>
              <w:t> </w:t>
            </w:r>
          </w:p>
        </w:tc>
        <w:tc>
          <w:tcPr>
            <w:tcW w:w="360"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5"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1,709</w:t>
            </w:r>
            <w:r>
              <w:rPr>
                <w:color w:val="000000"/>
              </w:rPr>
              <w:t> </w:t>
            </w:r>
          </w:p>
        </w:tc>
        <w:tc>
          <w:tcPr>
            <w:tcW w:w="145"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41"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(612)</w:t>
            </w:r>
          </w:p>
        </w:tc>
        <w:tc>
          <w:tcPr>
            <w:tcW w:w="211"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357"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(4)</w:t>
            </w:r>
          </w:p>
        </w:tc>
        <w:tc>
          <w:tcPr>
            <w:tcW w:w="109"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09"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94"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1,093</w:t>
            </w:r>
            <w:r>
              <w:rPr>
                <w:color w:val="000000"/>
              </w:rPr>
              <w:t> </w:t>
            </w:r>
          </w:p>
        </w:tc>
        <w:tc>
          <w:tcPr>
            <w:tcW w:w="170"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0"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comprehensive income (loss)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0"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w:t>
            </w:r>
          </w:p>
        </w:tc>
        <w:tc>
          <w:tcPr>
            <w:tcW w:w="170"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Share repurchases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(300)</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(101)</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(101)</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0"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Retirement of treasury stock</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0"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w:t>
            </w:r>
          </w:p>
        </w:tc>
        <w:tc>
          <w:tcPr>
            <w:tcW w:w="145"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(89)</w:t>
            </w:r>
          </w:p>
        </w:tc>
        <w:tc>
          <w:tcPr>
            <w:tcW w:w="211"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101 </w:t>
            </w:r>
          </w:p>
        </w:tc>
        <w:tc>
          <w:tcPr>
            <w:tcW w:w="137"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r>
      <w:tr>
        <w:trPr/>
        <w:tc>
          <w:tcPr>
            <w:tcW w:w="15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r>
      <w:tr>
        <w:trPr/>
        <w:tc>
          <w:tcPr>
            <w:tcW w:w="15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r>
      <w:tr>
        <w:trPr/>
        <w:tc>
          <w:tcPr>
            <w:tcW w:w="15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r>
      <w:tr>
        <w:trPr/>
        <w:tc>
          <w:tcPr>
            <w:tcW w:w="15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r>
      <w:tr>
        <w:trPr/>
        <w:tc>
          <w:tcPr>
            <w:tcW w:w="1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Equity incentive plans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7 </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0" w:type="dxa"/>
            <w:gridSpan w:val="3"/>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March 31, 2026</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45,395</w:t>
            </w:r>
            <w:r>
              <w:rPr>
                <w:color w:val="000000"/>
              </w:rPr>
              <w:t> </w:t>
            </w:r>
          </w:p>
        </w:tc>
        <w:tc>
          <w:tcPr>
            <w:tcW w:w="360"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5"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1,722</w:t>
            </w:r>
            <w:r>
              <w:rPr>
                <w:color w:val="000000"/>
              </w:rPr>
              <w:t> </w:t>
            </w:r>
          </w:p>
        </w:tc>
        <w:tc>
          <w:tcPr>
            <w:tcW w:w="145"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41"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(638)</w:t>
            </w:r>
          </w:p>
        </w:tc>
        <w:tc>
          <w:tcPr>
            <w:tcW w:w="211"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357"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(11)</w:t>
            </w:r>
          </w:p>
        </w:tc>
        <w:tc>
          <w:tcPr>
            <w:tcW w:w="109"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09"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94"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1,073</w:t>
            </w:r>
            <w:r>
              <w:rPr>
                <w:color w:val="000000"/>
              </w:rPr>
              <w:t> </w:t>
            </w:r>
          </w:p>
        </w:tc>
        <w:tc>
          <w:tcPr>
            <w:tcW w:w="170"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9714" w:type="dxa"/>
        <w:jc w:val="left"/>
        <w:tblInd w:w="0" w:type="dxa"/>
        <w:tblLayout w:type="fixed"/>
        <w:tblCellMar>
          <w:top w:w="28" w:type="dxa"/>
          <w:left w:w="28" w:type="dxa"/>
          <w:bottom w:w="28" w:type="dxa"/>
          <w:right w:w="28" w:type="dxa"/>
        </w:tblCellMar>
      </w:tblPr>
      <w:tblGrid>
        <w:gridCol w:w="995"/>
        <w:gridCol w:w="872"/>
        <w:gridCol w:w="877"/>
        <w:gridCol w:w="109"/>
        <w:gridCol w:w="109"/>
        <w:gridCol w:w="109"/>
        <w:gridCol w:w="330"/>
        <w:gridCol w:w="331"/>
        <w:gridCol w:w="109"/>
        <w:gridCol w:w="109"/>
        <w:gridCol w:w="109"/>
        <w:gridCol w:w="109"/>
        <w:gridCol w:w="196"/>
        <w:gridCol w:w="571"/>
        <w:gridCol w:w="109"/>
        <w:gridCol w:w="109"/>
        <w:gridCol w:w="109"/>
        <w:gridCol w:w="109"/>
        <w:gridCol w:w="196"/>
        <w:gridCol w:w="496"/>
        <w:gridCol w:w="109"/>
        <w:gridCol w:w="109"/>
        <w:gridCol w:w="109"/>
        <w:gridCol w:w="109"/>
        <w:gridCol w:w="196"/>
        <w:gridCol w:w="406"/>
        <w:gridCol w:w="109"/>
        <w:gridCol w:w="109"/>
        <w:gridCol w:w="109"/>
        <w:gridCol w:w="109"/>
        <w:gridCol w:w="196"/>
        <w:gridCol w:w="406"/>
        <w:gridCol w:w="109"/>
        <w:gridCol w:w="109"/>
        <w:gridCol w:w="109"/>
        <w:gridCol w:w="109"/>
        <w:gridCol w:w="109"/>
        <w:gridCol w:w="109"/>
        <w:gridCol w:w="196"/>
        <w:gridCol w:w="571"/>
        <w:gridCol w:w="154"/>
      </w:tblGrid>
      <w:tr>
        <w:trPr/>
        <w:tc>
          <w:tcPr>
            <w:tcW w:w="995"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r>
      <w:tr>
        <w:trPr/>
        <w:tc>
          <w:tcPr>
            <w:tcW w:w="27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45,962</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1,725</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9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(326)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0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06"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1,387</w:t>
            </w: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 (loss)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(135)</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(135)</w:t>
            </w:r>
          </w:p>
        </w:tc>
        <w:tc>
          <w:tcPr>
            <w:tcW w:w="15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comprehensive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shd w:fill="E1E1E2"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Share repurchases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(452)</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(85)</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(85)</w:t>
            </w:r>
          </w:p>
        </w:tc>
        <w:tc>
          <w:tcPr>
            <w:tcW w:w="15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Retirement of treasury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r>
      <w:tr>
        <w:trPr/>
        <w:tc>
          <w:tcPr>
            <w:tcW w:w="27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r>
      <w:tr>
        <w:trPr/>
        <w:tc>
          <w:tcPr>
            <w:tcW w:w="27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r>
      <w:tr>
        <w:trPr/>
        <w:tc>
          <w:tcPr>
            <w:tcW w:w="27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r>
      <w:tr>
        <w:trPr/>
        <w:tc>
          <w:tcPr>
            <w:tcW w:w="27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r>
      <w:tr>
        <w:trPr/>
        <w:tc>
          <w:tcPr>
            <w:tcW w:w="2744"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Equity incentive plans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11 </w:t>
            </w:r>
          </w:p>
        </w:tc>
        <w:tc>
          <w:tcPr>
            <w:tcW w:w="15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March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45,510</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1,718</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(528)</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1,180</w:t>
            </w: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r>
      <w:tr>
        <w:trPr/>
        <w:tc>
          <w:tcPr>
            <w:tcW w:w="27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r>
      <w:tr>
        <w:trPr/>
        <w:tc>
          <w:tcPr>
            <w:tcW w:w="27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r>
      <w:tr>
        <w:trPr/>
        <w:tc>
          <w:tcPr>
            <w:tcW w:w="27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r>
      <w:tr>
        <w:trPr/>
        <w:tc>
          <w:tcPr>
            <w:tcW w:w="27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r>
      <w:tr>
        <w:trPr/>
        <w:tc>
          <w:tcPr>
            <w:tcW w:w="27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r>
      <w:tr>
        <w:trPr/>
        <w:tc>
          <w:tcPr>
            <w:tcW w:w="27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r>
      <w:tr>
        <w:trPr/>
        <w:tc>
          <w:tcPr>
            <w:tcW w:w="27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r>
      <w:tr>
        <w:trPr/>
        <w:tc>
          <w:tcPr>
            <w:tcW w:w="27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r>
      <w:tr>
        <w:trPr/>
        <w:tc>
          <w:tcPr>
            <w:tcW w:w="27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r>
      <w:tr>
        <w:trPr/>
        <w:tc>
          <w:tcPr>
            <w:tcW w:w="27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r>
      <w:tr>
        <w:trPr/>
        <w:tc>
          <w:tcPr>
            <w:tcW w:w="27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r>
      <w:tr>
        <w:trPr/>
        <w:tc>
          <w:tcPr>
            <w:tcW w:w="27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r>
      <w:tr>
        <w:trPr/>
        <w:tc>
          <w:tcPr>
            <w:tcW w:w="27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r>
      <w:tr>
        <w:trPr/>
        <w:tc>
          <w:tcPr>
            <w:tcW w:w="27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r>
      <w:tr>
        <w:trPr/>
        <w:tc>
          <w:tcPr>
            <w:tcW w:w="27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r>
      <w:tr>
        <w:trPr/>
        <w:tc>
          <w:tcPr>
            <w:tcW w:w="27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r>
      <w:tr>
        <w:trPr/>
        <w:tc>
          <w:tcPr>
            <w:tcW w:w="27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r>
      <w:tr>
        <w:trPr/>
        <w:tc>
          <w:tcPr>
            <w:tcW w:w="27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r>
      <w:tr>
        <w:trPr/>
        <w:tc>
          <w:tcPr>
            <w:tcW w:w="27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r>
      <w:tr>
        <w:trPr/>
        <w:tc>
          <w:tcPr>
            <w:tcW w:w="27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r>
      <w:tr>
        <w:trPr/>
        <w:tc>
          <w:tcPr>
            <w:tcW w:w="27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r>
      <w:tr>
        <w:trPr/>
        <w:tc>
          <w:tcPr>
            <w:tcW w:w="27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r>
      <w:tr>
        <w:trPr/>
        <w:tc>
          <w:tcPr>
            <w:tcW w:w="27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r>
      <w:tr>
        <w:trPr/>
        <w:tc>
          <w:tcPr>
            <w:tcW w:w="27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r>
      <w:tr>
        <w:trPr/>
        <w:tc>
          <w:tcPr>
            <w:tcW w:w="27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r>
      <w:tr>
        <w:trPr/>
        <w:tc>
          <w:tcPr>
            <w:tcW w:w="27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r>
      <w:tr>
        <w:trPr/>
        <w:tc>
          <w:tcPr>
            <w:tcW w:w="27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r>
      <w:tr>
        <w:trPr/>
        <w:tc>
          <w:tcPr>
            <w:tcW w:w="27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r>
      <w:tr>
        <w:trPr/>
        <w:tc>
          <w:tcPr>
            <w:tcW w:w="27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r>
      <w:tr>
        <w:trPr/>
        <w:tc>
          <w:tcPr>
            <w:tcW w:w="27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r>
      <w:tr>
        <w:trPr/>
        <w:tc>
          <w:tcPr>
            <w:tcW w:w="27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r>
      <w:tr>
        <w:trPr/>
        <w:tc>
          <w:tcPr>
            <w:tcW w:w="27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r>
      <w:tr>
        <w:trPr/>
        <w:tc>
          <w:tcPr>
            <w:tcW w:w="27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r>
      <w:tr>
        <w:trPr/>
        <w:tc>
          <w:tcPr>
            <w:tcW w:w="27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r>
      <w:tr>
        <w:trPr/>
        <w:tc>
          <w:tcPr>
            <w:tcW w:w="27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__________________</w:t>
      </w:r>
    </w:p>
    <w:p>
      <w:pPr>
        <w:pStyle w:val="TextBody"/>
        <w:bidi w:val="0"/>
        <w:spacing w:lineRule="auto" w:line="288" w:before="0" w:after="0"/>
        <w:ind w:left="0" w:right="0" w:hanging="360"/>
        <w:jc w:val="left"/>
        <w:rPr>
          <w:rFonts w:ascii="Arial;sans-serif" w:hAnsi="Arial;sans-serif"/>
          <w:b w:val="false"/>
          <w:color w:val="000000"/>
          <w:sz w:val="14"/>
        </w:rPr>
      </w:pPr>
      <w:r>
        <w:rPr>
          <w:rFonts w:ascii="Arial;sans-serif" w:hAnsi="Arial;sans-serif"/>
          <w:b w:val="false"/>
          <w:color w:val="000000"/>
          <w:sz w:val="14"/>
        </w:rPr>
        <w:t>(a)Shares in thousands.</w:t>
      </w:r>
    </w:p>
    <w:p>
      <w:pPr>
        <w:pStyle w:val="TextBody"/>
        <w:bidi w:val="0"/>
        <w:spacing w:before="0" w:after="0"/>
        <w:ind w:left="0" w:right="0" w:firstLine="360"/>
        <w:jc w:val="left"/>
        <w:rPr/>
      </w:pPr>
      <w:r>
        <w:rPr/>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The accompanying Notes to the Interim Financial Statements are an integral part of the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16840"/>
                <wp:effectExtent l="0" t="0" r="0" b="0"/>
                <wp:wrapNone/>
                <wp:docPr id="8" name="Frame8"/>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6</w:t>
                      </w:r>
                    </w:p>
                  </w:txbxContent>
                </v:textbox>
                <w10:wrap type="none"/>
              </v:rect>
            </w:pict>
          </mc:Fallback>
        </mc:AlternateContent>
      </w:r>
    </w:p>
    <w:p>
      <w:pPr>
        <w:pStyle w:val="TextBody"/>
        <w:bidi w:val="0"/>
        <w:spacing w:lineRule="auto" w:line="288" w:before="0" w:after="180"/>
        <w:jc w:val="left"/>
        <w:rPr/>
      </w:pPr>
      <w:hyperlink w:anchor="if20e1f3d5a734e3eabbb6aa8f57c7562_45">
        <w:r>
          <w:rPr>
            <w:rStyle w:val="InternetLink"/>
            <w:rFonts w:ascii="Arial;sans-serif" w:hAnsi="Arial;sans-serif"/>
            <w:b w:val="false"/>
            <w:color w:val="0000FF"/>
            <w:sz w:val="18"/>
            <w:u w:val="single"/>
          </w:rPr>
          <w:t>Table of Contents</w:t>
        </w:r>
      </w:hyperlink>
    </w:p>
    <w:p>
      <w:pPr>
        <w:pStyle w:val="TextBody"/>
        <w:bidi w:val="0"/>
        <w:spacing w:lineRule="auto" w:line="288" w:before="0" w:after="180"/>
        <w:jc w:val="center"/>
        <w:rPr>
          <w:rFonts w:ascii="Arial;sans-serif" w:hAnsi="Arial;sans-serif"/>
          <w:b/>
          <w:color w:val="000000"/>
          <w:sz w:val="18"/>
        </w:rPr>
      </w:pPr>
      <w:r>
        <w:rPr>
          <w:rFonts w:ascii="Arial;sans-serif" w:hAnsi="Arial;sans-serif"/>
          <w:b/>
          <w:color w:val="000000"/>
          <w:sz w:val="18"/>
        </w:rPr>
        <w:t>TALEN ENERGY CORPORATION AND SUBSIDIARIES</w:t>
      </w:r>
    </w:p>
    <w:p>
      <w:pPr>
        <w:pStyle w:val="TextBody"/>
        <w:bidi w:val="0"/>
        <w:spacing w:lineRule="auto" w:line="288" w:before="0" w:after="180"/>
        <w:jc w:val="center"/>
        <w:rPr>
          <w:rFonts w:ascii="Arial;sans-serif" w:hAnsi="Arial;sans-serif"/>
          <w:b/>
          <w:color w:val="000000"/>
          <w:sz w:val="18"/>
        </w:rPr>
      </w:pPr>
      <w:r>
        <w:rPr>
          <w:rFonts w:ascii="Arial;sans-serif" w:hAnsi="Arial;sans-serif"/>
          <w:b/>
          <w:color w:val="000000"/>
          <w:sz w:val="18"/>
        </w:rPr>
        <w:t>NOTES TO THE INTERIM FINANCIAL STATEMENTS</w:t>
      </w:r>
    </w:p>
    <w:p>
      <w:pPr>
        <w:pStyle w:val="TextBody"/>
        <w:bidi w:val="0"/>
        <w:spacing w:lineRule="auto" w:line="288" w:before="0" w:after="180"/>
        <w:ind w:left="0" w:right="0" w:firstLine="360"/>
        <w:jc w:val="left"/>
        <w:rPr>
          <w:rFonts w:ascii="Arial;sans-serif" w:hAnsi="Arial;sans-serif"/>
          <w:b w:val="false"/>
          <w:color w:val="000000"/>
          <w:sz w:val="18"/>
        </w:rPr>
      </w:pPr>
      <w:r>
        <w:rPr>
          <w:rFonts w:ascii="Arial;sans-serif" w:hAnsi="Arial;sans-serif"/>
          <w:b w:val="false"/>
          <w:color w:val="000000"/>
          <w:sz w:val="18"/>
        </w:rPr>
        <w:t>Capitalized terms and abbreviations appearing in these notes to the Interim Financial Statements are defined in the glossary. Dollars are in millions, unless otherwise noted.</w:t>
      </w:r>
    </w:p>
    <w:p>
      <w:pPr>
        <w:pStyle w:val="TextBody"/>
        <w:bidi w:val="0"/>
        <w:spacing w:lineRule="auto" w:line="288" w:before="0" w:after="180"/>
        <w:ind w:left="0" w:right="0" w:firstLine="360"/>
        <w:jc w:val="left"/>
        <w:rPr>
          <w:color w:val="000000"/>
        </w:rPr>
      </w:pPr>
      <w:r>
        <w:rPr>
          <w:color w:val="000000"/>
        </w:rPr>
        <w:t>“</w:t>
      </w:r>
      <w:r>
        <w:rPr>
          <w:rFonts w:ascii="Arial;sans-serif" w:hAnsi="Arial;sans-serif"/>
          <w:b w:val="false"/>
          <w:color w:val="000000"/>
          <w:sz w:val="18"/>
        </w:rPr>
        <w:t xml:space="preserve">TEC” refers to Talen Energy Corporation. “TES” refers to Talen Energy Supply, LLC. The terms “Talen,” the “Company,” “we,” “us,” and “our” refer to TEC and its consolidated subsidiaries (including TES), unless the context clearly indicates otherwise. This presentation has been applied where identification of subsidiaries is not material to the matter being disclosed, and to conform narrative disclosures to the presentation of financial information on a consolidated basis. When identification of a subsidiary is considered important to understanding the matter being disclosed, the specific entity’s name is used. Each disclosure referring to a subsidiary also applies to TEC insofar as such subsidiary’s financial information is included in TEC’s consolidated financial information. TEC and each of its subsidiaries and affiliates are separate legal entities and, except by operation of law, are not liable for the debts or obligations of one another absent an express contractual undertaking to the contrary.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0000"/>
          <w:sz w:val="18"/>
        </w:rPr>
      </w:pPr>
      <w:r>
        <w:rPr>
          <w:rFonts w:ascii="Arial;sans-serif" w:hAnsi="Arial;sans-serif"/>
          <w:b/>
          <w:color w:val="000000"/>
          <w:sz w:val="18"/>
        </w:rPr>
        <w:t>1. Business, Basis of Presentation, and Summary of Significant Accounting Policies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ind w:left="0" w:right="0" w:firstLine="360"/>
        <w:jc w:val="left"/>
        <w:rPr>
          <w:rFonts w:ascii="Arial;sans-serif" w:hAnsi="Arial;sans-serif"/>
          <w:b/>
          <w:i/>
          <w:color w:val="000000"/>
          <w:sz w:val="18"/>
        </w:rPr>
      </w:pPr>
      <w:r>
        <w:rPr>
          <w:rFonts w:ascii="Arial;sans-serif" w:hAnsi="Arial;sans-serif"/>
          <w:b/>
          <w:i/>
          <w:color w:val="000000"/>
          <w:sz w:val="18"/>
        </w:rPr>
        <w:t>Organization and Operations</w:t>
      </w:r>
    </w:p>
    <w:p>
      <w:pPr>
        <w:pStyle w:val="TextBody"/>
        <w:bidi w:val="0"/>
        <w:spacing w:lineRule="auto" w:line="288" w:before="0" w:after="180"/>
        <w:ind w:left="0" w:right="0" w:firstLine="360"/>
        <w:jc w:val="left"/>
        <w:rPr>
          <w:rFonts w:ascii="Arial;sans-serif" w:hAnsi="Arial;sans-serif"/>
          <w:b w:val="false"/>
          <w:color w:val="000000"/>
          <w:sz w:val="18"/>
        </w:rPr>
      </w:pPr>
      <w:r>
        <w:rPr>
          <w:rFonts w:ascii="Arial;sans-serif" w:hAnsi="Arial;sans-serif"/>
          <w:b w:val="false"/>
          <w:color w:val="000000"/>
          <w:sz w:val="18"/>
        </w:rPr>
        <w:t>Talen is a leading independent power producer and energy infrastructure company dedicated to powering the future. We own and operate approximately 13.1 GW of power infrastructure in the United States, including 2.2 GW of nuclear power and a significant dispatchable fossil fleet. We produce and sell electricity, capacity, and ancillary services into wholesale U.S. power markets, with our generation fleet principally located in the Mid-Atlantic, Ohio, and Montana. Talen is headquartered in Houston, Texas.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ind w:left="0" w:right="0" w:firstLine="360"/>
        <w:jc w:val="left"/>
        <w:rPr>
          <w:rFonts w:ascii="Arial;sans-serif" w:hAnsi="Arial;sans-serif"/>
          <w:b/>
          <w:i/>
          <w:color w:val="000000"/>
          <w:sz w:val="18"/>
        </w:rPr>
      </w:pPr>
      <w:r>
        <w:rPr>
          <w:rFonts w:ascii="Arial;sans-serif" w:hAnsi="Arial;sans-serif"/>
          <w:b/>
          <w:i/>
          <w:color w:val="000000"/>
          <w:sz w:val="18"/>
        </w:rPr>
        <w:t>Basis of Presentation and Principles of Consolidation</w:t>
      </w:r>
    </w:p>
    <w:p>
      <w:pPr>
        <w:pStyle w:val="TextBody"/>
        <w:bidi w:val="0"/>
        <w:spacing w:lineRule="auto" w:line="288" w:before="0" w:after="180"/>
        <w:ind w:left="0" w:right="0" w:firstLine="360"/>
        <w:jc w:val="left"/>
        <w:rPr>
          <w:rFonts w:ascii="Arial;sans-serif" w:hAnsi="Arial;sans-serif"/>
          <w:b w:val="false"/>
          <w:color w:val="000000"/>
          <w:sz w:val="18"/>
        </w:rPr>
      </w:pPr>
      <w:r>
        <w:rPr>
          <w:rFonts w:ascii="Arial;sans-serif" w:hAnsi="Arial;sans-serif"/>
          <w:b w:val="false"/>
          <w:color w:val="000000"/>
          <w:sz w:val="18"/>
        </w:rPr>
        <w:t>These Interim Financial Statements, which are prepared in accordance with GAAP and pursuant to the rules and regulations of the U.S. Securities and Exchange Commission (the “SEC”) for Quarterly Reports on Form 10-Q, include: (i) the accounts of all controlled subsidiaries; (ii) elimination adjustments for intercompany transactions between controlled subsidiaries; (iii) any undivided interests in jointly owned facilities consolidated on a proportionate basis; and (iv) all adjustments considered necessary for a fair statement of the information set forth. All adjustments are of a normal recurring nature except as otherwise disclosed. Certain information and note disclosures have been condensed or omitted from the Interim Financial Statements in accordance with GAAP. These Interim Financial Statements and Notes thereto should be read in conjunction with the Annual Financial Statements and Notes thereto. The results of operations presented in our Interim Financial Statements are not necessarily indicative of the results to be expected for the full year or for other future periods because interim period results can be disproportionately influenced by operational developments, seasonality, and various other factors.</w:t>
      </w:r>
    </w:p>
    <w:p>
      <w:pPr>
        <w:pStyle w:val="TextBody"/>
        <w:bidi w:val="0"/>
        <w:spacing w:lineRule="auto" w:line="288" w:before="0" w:after="180"/>
        <w:ind w:left="0" w:right="0" w:firstLine="360"/>
        <w:jc w:val="left"/>
        <w:rPr/>
      </w:pPr>
      <w:r>
        <w:rPr>
          <w:rFonts w:ascii="Arial;sans-serif" w:hAnsi="Arial;sans-serif"/>
          <w:b w:val="false"/>
          <w:i/>
          <w:color w:val="000000"/>
          <w:sz w:val="18"/>
        </w:rPr>
        <w:t>Reclassifications.</w:t>
      </w:r>
      <w:r>
        <w:rPr>
          <w:color w:val="000000"/>
        </w:rPr>
        <w:t xml:space="preserve"> </w:t>
      </w:r>
      <w:r>
        <w:rPr>
          <w:rFonts w:ascii="Arial;sans-serif" w:hAnsi="Arial;sans-serif"/>
          <w:b w:val="false"/>
          <w:color w:val="000000"/>
          <w:sz w:val="18"/>
        </w:rPr>
        <w:t xml:space="preserve">Certain amounts in the prior period financial statements were reclassified to conform to the current period’s presentation. The reclassifications did not affect operating income, net income, total assets, total liabilities, net equity, or cash flows. </w:t>
      </w:r>
    </w:p>
    <w:p>
      <w:pPr>
        <w:pStyle w:val="TextBody"/>
        <w:bidi w:val="0"/>
        <w:spacing w:lineRule="auto" w:line="288" w:before="0" w:after="180"/>
        <w:ind w:left="0" w:right="0" w:firstLine="360"/>
        <w:jc w:val="left"/>
        <w:rPr/>
      </w:pPr>
      <w:r>
        <w:rPr>
          <w:rFonts w:ascii="Arial;sans-serif" w:hAnsi="Arial;sans-serif"/>
          <w:b w:val="false"/>
          <w:i/>
          <w:color w:val="000000"/>
          <w:sz w:val="18"/>
        </w:rPr>
        <w:t>Use of Estimates.</w:t>
      </w:r>
      <w:r>
        <w:rPr>
          <w:color w:val="000000"/>
        </w:rPr>
        <w:t xml:space="preserve"> </w:t>
      </w:r>
      <w:r>
        <w:rPr>
          <w:rFonts w:ascii="Arial;sans-serif" w:hAnsi="Arial;sans-serif"/>
          <w:b w:val="false"/>
          <w:color w:val="000000"/>
          <w:sz w:val="18"/>
        </w:rPr>
        <w:t>The preparation of financial statements in conformity with GAAP requires management to make estimates and assumptions that affect the reported amounts of assets and liabilities, the disclosure of contingent liabilities at the date of the financial statements, and the reported amounts of revenues and expenses during the reporting period. Actual results could differ from those estimates.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ind w:left="0" w:right="0" w:firstLine="360"/>
        <w:jc w:val="left"/>
        <w:rPr>
          <w:rFonts w:ascii="Arial;sans-serif" w:hAnsi="Arial;sans-serif"/>
          <w:b/>
          <w:i/>
          <w:color w:val="000000"/>
          <w:sz w:val="18"/>
        </w:rPr>
      </w:pPr>
      <w:r>
        <w:rPr>
          <w:rFonts w:ascii="Arial;sans-serif" w:hAnsi="Arial;sans-serif"/>
          <w:b/>
          <w:i/>
          <w:color w:val="000000"/>
          <w:sz w:val="18"/>
        </w:rPr>
        <w:t>Summary of Significant Accounting Policies</w:t>
      </w:r>
    </w:p>
    <w:p>
      <w:pPr>
        <w:pStyle w:val="TextBody"/>
        <w:bidi w:val="0"/>
        <w:spacing w:lineRule="auto" w:line="288" w:before="0" w:after="180"/>
        <w:ind w:left="0" w:right="0" w:firstLine="360"/>
        <w:jc w:val="left"/>
        <w:rPr>
          <w:rFonts w:ascii="Arial;sans-serif" w:hAnsi="Arial;sans-serif"/>
          <w:b w:val="false"/>
          <w:color w:val="000000"/>
          <w:sz w:val="18"/>
        </w:rPr>
      </w:pPr>
      <w:r>
        <w:rPr>
          <w:rFonts w:ascii="Arial;sans-serif" w:hAnsi="Arial;sans-serif"/>
          <w:b w:val="false"/>
          <w:color w:val="000000"/>
          <w:sz w:val="18"/>
        </w:rPr>
        <w:t>See Note 1 to the Annual Financial Statements for additional information on significant accounting policies.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0000"/>
          <w:sz w:val="18"/>
        </w:rPr>
      </w:pPr>
      <w:r>
        <w:rPr>
          <w:rFonts w:ascii="Arial;sans-serif" w:hAnsi="Arial;sans-serif"/>
          <w:b/>
          <w:color w:val="000000"/>
          <w:sz w:val="18"/>
        </w:rPr>
        <w:t>2. Risk Management, Derivative Instruments and Hedging Activities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ind w:left="0" w:right="0" w:firstLine="360"/>
        <w:jc w:val="left"/>
        <w:rPr>
          <w:rFonts w:ascii="Arial;sans-serif" w:hAnsi="Arial;sans-serif"/>
          <w:b/>
          <w:i/>
          <w:color w:val="000000"/>
          <w:sz w:val="18"/>
        </w:rPr>
      </w:pPr>
      <w:r>
        <w:rPr>
          <w:rFonts w:ascii="Arial;sans-serif" w:hAnsi="Arial;sans-serif"/>
          <w:b/>
          <w:i/>
          <w:color w:val="000000"/>
          <w:sz w:val="18"/>
        </w:rPr>
        <w:t>Risk Management Objectives</w:t>
      </w:r>
    </w:p>
    <w:p>
      <w:pPr>
        <w:pStyle w:val="TextBody"/>
        <w:bidi w:val="0"/>
        <w:spacing w:lineRule="auto" w:line="288" w:before="0" w:after="180"/>
        <w:ind w:left="0" w:right="0" w:firstLine="360"/>
        <w:jc w:val="left"/>
        <w:rPr>
          <w:rFonts w:ascii="Arial;sans-serif" w:hAnsi="Arial;sans-serif"/>
          <w:b w:val="false"/>
          <w:color w:val="000000"/>
          <w:sz w:val="18"/>
        </w:rPr>
      </w:pPr>
      <w:r>
        <w:rPr>
          <w:rFonts w:ascii="Arial;sans-serif" w:hAnsi="Arial;sans-serif"/>
          <w:b w:val="false"/>
          <w:color w:val="000000"/>
          <w:sz w:val="18"/>
        </w:rPr>
        <w:t>We are exposed to risks arising from our business, including but not limited to market and commodity price risk, credit and liquidity risk, and interest rate risk. The hedging strategies deployed by our commercial and treasury organizations manage and (or) balance these risks within a structured risk management program in order to minimize near-term future cash flow volatility. Our risk management committee, comprised of certain senior management members across the organization, oversees the management of these risks in accordance with our risk policy. In turn, the risk management committee is overseen by the risk committee of the Board of Directors.</w:t>
      </w:r>
    </w:p>
    <w:p>
      <w:pPr>
        <w:pStyle w:val="TextBody"/>
        <w:bidi w:val="0"/>
        <w:spacing w:lineRule="auto" w:line="288" w:before="0" w:after="180"/>
        <w:ind w:left="0" w:right="0" w:firstLine="360"/>
        <w:jc w:val="left"/>
        <w:rPr>
          <w:rFonts w:ascii="Arial;sans-serif" w:hAnsi="Arial;sans-serif"/>
          <w:b w:val="false"/>
          <w:color w:val="000000"/>
          <w:sz w:val="18"/>
        </w:rPr>
      </w:pPr>
      <w:r>
        <w:rPr>
          <w:rFonts w:ascii="Arial;sans-serif" w:hAnsi="Arial;sans-serif"/>
          <w:b w:val="false"/>
          <w:color w:val="000000"/>
          <w:sz w:val="18"/>
        </w:rPr>
        <w:t>The Board of Directors, including the risk committee, and management have established procedures to monitor, measure, and manage hedging activities and credit risk in accordance with the risk policy.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16840"/>
                <wp:effectExtent l="0" t="0" r="0" b="0"/>
                <wp:wrapNone/>
                <wp:docPr id="9" name="Frame9"/>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7</w:t>
                      </w:r>
                    </w:p>
                  </w:txbxContent>
                </v:textbox>
                <w10:wrap type="none"/>
              </v:rect>
            </w:pict>
          </mc:Fallback>
        </mc:AlternateContent>
      </w:r>
    </w:p>
    <w:p>
      <w:pPr>
        <w:pStyle w:val="TextBody"/>
        <w:bidi w:val="0"/>
        <w:spacing w:lineRule="auto" w:line="288" w:before="0" w:after="180"/>
        <w:jc w:val="left"/>
        <w:rPr/>
      </w:pPr>
      <w:hyperlink w:anchor="if20e1f3d5a734e3eabbb6aa8f57c7562_45">
        <w:r>
          <w:rPr>
            <w:rStyle w:val="InternetLink"/>
            <w:rFonts w:ascii="Arial;sans-serif" w:hAnsi="Arial;sans-serif"/>
            <w:b w:val="false"/>
            <w:color w:val="0000FF"/>
            <w:sz w:val="18"/>
            <w:u w:val="single"/>
          </w:rPr>
          <w:t>Table of Contents</w:t>
        </w:r>
      </w:hyperlink>
    </w:p>
    <w:p>
      <w:pPr>
        <w:pStyle w:val="TextBody"/>
        <w:bidi w:val="0"/>
        <w:spacing w:lineRule="auto" w:line="288" w:before="0" w:after="180"/>
        <w:ind w:left="0" w:right="0" w:firstLine="360"/>
        <w:jc w:val="left"/>
        <w:rPr>
          <w:rFonts w:ascii="Arial;sans-serif" w:hAnsi="Arial;sans-serif"/>
          <w:b w:val="false"/>
          <w:color w:val="000000"/>
          <w:sz w:val="18"/>
        </w:rPr>
      </w:pPr>
      <w:r>
        <w:rPr>
          <w:rFonts w:ascii="Arial;sans-serif" w:hAnsi="Arial;sans-serif"/>
          <w:b w:val="false"/>
          <w:color w:val="000000"/>
          <w:sz w:val="18"/>
        </w:rPr>
        <w:t>Key risk control activities, which are designed to ensure compliance with the risk policy, include, among other activities, credit review and approval, validation of transactions and market prices, verification of risk and transaction limits, portfolio stress tests, analysis and monitoring of margin at risk, and daily portfolio reporting.</w:t>
      </w:r>
    </w:p>
    <w:p>
      <w:pPr>
        <w:pStyle w:val="TextBody"/>
        <w:bidi w:val="0"/>
        <w:spacing w:lineRule="auto" w:line="288" w:before="0" w:after="180"/>
        <w:ind w:left="0" w:right="0" w:firstLine="360"/>
        <w:jc w:val="left"/>
        <w:rPr/>
      </w:pPr>
      <w:r>
        <w:rPr>
          <w:rFonts w:ascii="Arial;sans-serif" w:hAnsi="Arial;sans-serif"/>
          <w:b w:val="false"/>
          <w:i/>
          <w:color w:val="000000"/>
          <w:sz w:val="18"/>
        </w:rPr>
        <w:t>Market and Commodity Price Risk.</w:t>
      </w:r>
      <w:r>
        <w:rPr>
          <w:color w:val="000000"/>
        </w:rPr>
        <w:t xml:space="preserve"> </w:t>
      </w:r>
      <w:r>
        <w:rPr>
          <w:rFonts w:ascii="Arial;sans-serif" w:hAnsi="Arial;sans-serif"/>
          <w:b w:val="false"/>
          <w:color w:val="000000"/>
          <w:sz w:val="18"/>
        </w:rPr>
        <w:t>Volatility in the wholesale power markets provides uncertainty in the future earnings and cash flows of the business. The price risk Talen is exposed to includes the price variability associated with future sales and (or) purchases of power, natural gas, coal, uranium, oil products, environmental products, and other energy commodities in competitive wholesale markets. Several factors influence price volatility, including: (i) seasonal changes in demand; (ii) weather conditions; (iii) available regional load-serving supply; (iv) regional transportation and (or) transmission availability; (v) market liquidity; and (vi) federal, regional, and state regulations.</w:t>
      </w:r>
    </w:p>
    <w:p>
      <w:pPr>
        <w:pStyle w:val="TextBody"/>
        <w:bidi w:val="0"/>
        <w:spacing w:lineRule="auto" w:line="288" w:before="0" w:after="180"/>
        <w:ind w:left="0" w:right="0" w:firstLine="360"/>
        <w:jc w:val="left"/>
        <w:rPr>
          <w:rFonts w:ascii="Arial;sans-serif" w:hAnsi="Arial;sans-serif"/>
          <w:b w:val="false"/>
          <w:color w:val="000000"/>
          <w:sz w:val="18"/>
        </w:rPr>
      </w:pPr>
      <w:r>
        <w:rPr>
          <w:rFonts w:ascii="Arial;sans-serif" w:hAnsi="Arial;sans-serif"/>
          <w:b w:val="false"/>
          <w:color w:val="000000"/>
          <w:sz w:val="18"/>
        </w:rPr>
        <w:t xml:space="preserve">Within the parameters of our risk policy, we generally utilize exchange-traded and over-the-counter traded derivative instruments and, in certain instances, structured products, to economically hedge the commodity price risk of the forecasted future sales and purchases of commodities associated with our generation portfolio. </w:t>
      </w:r>
    </w:p>
    <w:p>
      <w:pPr>
        <w:pStyle w:val="TextBody"/>
        <w:bidi w:val="0"/>
        <w:spacing w:lineRule="auto" w:line="288" w:before="0" w:after="180"/>
        <w:ind w:left="0" w:right="0" w:firstLine="360"/>
        <w:jc w:val="left"/>
        <w:rPr>
          <w:rFonts w:ascii="Arial;sans-serif" w:hAnsi="Arial;sans-serif"/>
          <w:b w:val="false"/>
          <w:color w:val="000000"/>
          <w:sz w:val="18"/>
        </w:rPr>
      </w:pPr>
      <w:r>
        <w:rPr>
          <w:rFonts w:ascii="Arial;sans-serif" w:hAnsi="Arial;sans-serif"/>
          <w:b w:val="false"/>
          <w:color w:val="000000"/>
          <w:sz w:val="18"/>
        </w:rPr>
        <w:t>Open commodity purchase (sales) derivatives range in maturity through 2027. The net notional volumes of commodity derivatives were:</w:t>
      </w:r>
    </w:p>
    <w:tbl>
      <w:tblPr>
        <w:tblW w:w="5694" w:type="dxa"/>
        <w:jc w:val="left"/>
        <w:tblInd w:w="0" w:type="dxa"/>
        <w:tblLayout w:type="fixed"/>
        <w:tblCellMar>
          <w:top w:w="28" w:type="dxa"/>
          <w:left w:w="28" w:type="dxa"/>
          <w:bottom w:w="28" w:type="dxa"/>
          <w:right w:w="28" w:type="dxa"/>
        </w:tblCellMar>
      </w:tblPr>
      <w:tblGrid>
        <w:gridCol w:w="765"/>
        <w:gridCol w:w="672"/>
        <w:gridCol w:w="678"/>
        <w:gridCol w:w="109"/>
        <w:gridCol w:w="109"/>
        <w:gridCol w:w="109"/>
        <w:gridCol w:w="525"/>
        <w:gridCol w:w="526"/>
        <w:gridCol w:w="301"/>
        <w:gridCol w:w="109"/>
        <w:gridCol w:w="109"/>
        <w:gridCol w:w="109"/>
        <w:gridCol w:w="525"/>
        <w:gridCol w:w="526"/>
        <w:gridCol w:w="522"/>
      </w:tblGrid>
      <w:tr>
        <w:trPr/>
        <w:tc>
          <w:tcPr>
            <w:tcW w:w="765"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r>
      <w:tr>
        <w:trPr/>
        <w:tc>
          <w:tcPr>
            <w:tcW w:w="2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2" w:type="dxa"/>
            <w:gridSpan w:val="3"/>
            <w:tcBorders/>
            <w:vAlign w:val="center"/>
          </w:tcPr>
          <w:p>
            <w:pPr>
              <w:pStyle w:val="TableContents"/>
              <w:bidi w:val="0"/>
              <w:spacing w:before="0" w:after="283"/>
              <w:jc w:val="left"/>
              <w:rPr>
                <w:sz w:val="4"/>
                <w:szCs w:val="4"/>
              </w:rPr>
            </w:pPr>
            <w:r>
              <w:rPr>
                <w:sz w:val="4"/>
                <w:szCs w:val="4"/>
              </w:rPr>
            </w:r>
          </w:p>
        </w:tc>
        <w:tc>
          <w:tcPr>
            <w:tcW w:w="1900" w:type="dxa"/>
            <w:gridSpan w:val="6"/>
            <w:tcBorders/>
          </w:tcPr>
          <w:p>
            <w:pPr>
              <w:pStyle w:val="TableContents"/>
              <w:bidi w:val="0"/>
              <w:spacing w:before="0" w:after="283"/>
              <w:jc w:val="left"/>
              <w:rPr>
                <w:sz w:val="4"/>
                <w:szCs w:val="4"/>
              </w:rPr>
            </w:pPr>
            <w:r>
              <w:rPr>
                <w:sz w:val="4"/>
                <w:szCs w:val="4"/>
              </w:rPr>
            </w:r>
          </w:p>
        </w:tc>
      </w:tr>
      <w:tr>
        <w:trPr/>
        <w:tc>
          <w:tcPr>
            <w:tcW w:w="2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 xml:space="preserve">March 31, </w:t>
            </w:r>
          </w:p>
          <w:p>
            <w:pPr>
              <w:pStyle w:val="TableContents"/>
              <w:bidi w:val="0"/>
              <w:spacing w:lineRule="auto" w:line="240" w:before="0" w:after="0"/>
              <w:jc w:val="center"/>
              <w:rPr/>
            </w:pPr>
            <w:r>
              <w:rPr>
                <w:rFonts w:ascii="Arial;sans-serif" w:hAnsi="Arial;sans-serif"/>
                <w:b/>
                <w:color w:val="000000"/>
                <w:sz w:val="16"/>
              </w:rPr>
              <w:t xml:space="preserve">2026 </w:t>
            </w:r>
            <w:r>
              <w:rPr>
                <w:rFonts w:ascii="Arial;sans-serif" w:hAnsi="Arial;sans-serif"/>
                <w:b/>
                <w:color w:val="000000"/>
                <w:sz w:val="10"/>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 xml:space="preserve">December 31, </w:t>
            </w:r>
          </w:p>
          <w:p>
            <w:pPr>
              <w:pStyle w:val="TableContents"/>
              <w:bidi w:val="0"/>
              <w:spacing w:lineRule="auto" w:line="240" w:before="0" w:after="0"/>
              <w:jc w:val="center"/>
              <w:rPr/>
            </w:pPr>
            <w:r>
              <w:rPr>
                <w:rFonts w:ascii="Arial;sans-serif" w:hAnsi="Arial;sans-serif"/>
                <w:b/>
                <w:color w:val="000000"/>
                <w:sz w:val="16"/>
              </w:rPr>
              <w:t xml:space="preserve">2025 </w:t>
            </w:r>
            <w:r>
              <w:rPr>
                <w:rFonts w:ascii="Arial;sans-serif" w:hAnsi="Arial;sans-serif"/>
                <w:b/>
                <w:color w:val="000000"/>
                <w:sz w:val="10"/>
              </w:rPr>
              <w:t>(a)</w:t>
            </w:r>
          </w:p>
        </w:tc>
      </w:tr>
      <w:tr>
        <w:trPr/>
        <w:tc>
          <w:tcPr>
            <w:tcW w:w="2115"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Power (MWh)</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(66,143,342)</w:t>
            </w:r>
          </w:p>
        </w:tc>
        <w:tc>
          <w:tcPr>
            <w:tcW w:w="301"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(59,634,723)</w:t>
            </w:r>
          </w:p>
        </w:tc>
        <w:tc>
          <w:tcPr>
            <w:tcW w:w="522"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Natural gas (MMBtu)</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189,897,762 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169,209,022 </w:t>
            </w:r>
          </w:p>
        </w:tc>
        <w:tc>
          <w:tcPr>
            <w:tcW w:w="5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bottom w:val="single" w:sz="8" w:space="0" w:color="000000"/>
            </w:tcBorders>
            <w:shd w:fill="E1E1E2"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Emission allowances (tons)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bottom w:val="single" w:sz="8" w:space="0" w:color="000000"/>
            </w:tcBorders>
            <w:shd w:fill="E1E1E2"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bottom w:val="single" w:sz="8" w:space="0" w:color="000000"/>
            </w:tcBorders>
            <w:shd w:fill="E1E1E2"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bottom w:val="single" w:sz="8" w:space="0" w:color="000000"/>
            </w:tcBorders>
            <w:shd w:fill="E1E1E2"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522" w:type="dxa"/>
            <w:tcBorders>
              <w:bottom w:val="single" w:sz="8" w:space="0" w:color="000000"/>
            </w:tcBorders>
            <w:shd w:fill="E1E1E2"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Arial;sans-serif" w:hAnsi="Arial;sans-serif"/>
          <w:b w:val="false"/>
          <w:color w:val="000000"/>
          <w:sz w:val="14"/>
        </w:rPr>
      </w:pPr>
      <w:r>
        <w:rPr>
          <w:rFonts w:ascii="Arial;sans-serif" w:hAnsi="Arial;sans-serif"/>
          <w:b w:val="false"/>
          <w:color w:val="000000"/>
          <w:sz w:val="14"/>
        </w:rPr>
        <w:t>__________________</w:t>
      </w:r>
    </w:p>
    <w:p>
      <w:pPr>
        <w:pStyle w:val="TextBody"/>
        <w:bidi w:val="0"/>
        <w:spacing w:lineRule="auto" w:line="288" w:before="0" w:after="180"/>
        <w:ind w:left="0" w:right="0" w:hanging="360"/>
        <w:jc w:val="left"/>
        <w:rPr>
          <w:rFonts w:ascii="Arial;sans-serif" w:hAnsi="Arial;sans-serif"/>
          <w:b w:val="false"/>
          <w:color w:val="000000"/>
          <w:sz w:val="14"/>
        </w:rPr>
      </w:pPr>
      <w:r>
        <w:rPr>
          <w:rFonts w:ascii="Arial;sans-serif" w:hAnsi="Arial;sans-serif"/>
          <w:b w:val="false"/>
          <w:color w:val="000000"/>
          <w:sz w:val="14"/>
        </w:rPr>
        <w:t>(a)The volumes may be different than the contractual volumes, as the probability that option contracts will be exercised is considered in the volumes displayed.</w:t>
      </w:r>
    </w:p>
    <w:p>
      <w:pPr>
        <w:pStyle w:val="TextBody"/>
        <w:bidi w:val="0"/>
        <w:spacing w:lineRule="auto" w:line="288" w:before="0" w:after="180"/>
        <w:ind w:left="0" w:right="0" w:firstLine="360"/>
        <w:jc w:val="left"/>
        <w:rPr/>
      </w:pPr>
      <w:bookmarkStart w:id="2" w:name="i748737f89406458dba2aa04e529db9a9_28625"/>
      <w:bookmarkEnd w:id="2"/>
      <w:r>
        <w:rPr>
          <w:rFonts w:ascii="Arial;sans-serif" w:hAnsi="Arial;sans-serif"/>
          <w:b w:val="false"/>
          <w:i/>
          <w:color w:val="000000"/>
          <w:sz w:val="18"/>
        </w:rPr>
        <w:t>Interest Rate Risk.</w:t>
      </w:r>
      <w:r>
        <w:rPr>
          <w:color w:val="000000"/>
        </w:rPr>
        <w:t xml:space="preserve"> </w:t>
      </w:r>
      <w:r>
        <w:rPr>
          <w:rFonts w:ascii="Arial;sans-serif" w:hAnsi="Arial;sans-serif"/>
          <w:b w:val="false"/>
          <w:color w:val="000000"/>
          <w:sz w:val="18"/>
        </w:rPr>
        <w:t xml:space="preserve">Talen is exposed to interest rate risk from the possibility that changes in interest rates will affect future cash flows associated with existing floating rate debt issuances. To reduce interest rate risk, derivative instruments are utilized to economically hedge the interest rates for a predetermined contractual notional amount, which results in a cash settlement between counterparties. To the extent possible, first lien interest rate fixed-for-floating swaps are utilized to hedge this risk. </w:t>
      </w:r>
    </w:p>
    <w:p>
      <w:pPr>
        <w:pStyle w:val="TextBody"/>
        <w:bidi w:val="0"/>
        <w:spacing w:lineRule="auto" w:line="288" w:before="0" w:after="180"/>
        <w:ind w:left="0" w:right="0" w:firstLine="360"/>
        <w:jc w:val="left"/>
        <w:rPr>
          <w:rFonts w:ascii="Arial;sans-serif" w:hAnsi="Arial;sans-serif"/>
          <w:b w:val="false"/>
          <w:color w:val="000000"/>
          <w:sz w:val="18"/>
        </w:rPr>
      </w:pPr>
      <w:r>
        <w:rPr>
          <w:rFonts w:ascii="Arial;sans-serif" w:hAnsi="Arial;sans-serif"/>
          <w:b w:val="false"/>
          <w:color w:val="000000"/>
          <w:sz w:val="18"/>
        </w:rPr>
        <w:t>Open interest rate derivatives range in maturity through 2029. The net notional volumes of open interest rate derivatives were:</w:t>
      </w:r>
    </w:p>
    <w:tbl>
      <w:tblPr>
        <w:tblW w:w="4583" w:type="dxa"/>
        <w:jc w:val="left"/>
        <w:tblInd w:w="0" w:type="dxa"/>
        <w:tblLayout w:type="fixed"/>
        <w:tblCellMar>
          <w:top w:w="28" w:type="dxa"/>
          <w:left w:w="28" w:type="dxa"/>
          <w:bottom w:w="28" w:type="dxa"/>
          <w:right w:w="28" w:type="dxa"/>
        </w:tblCellMar>
      </w:tblPr>
      <w:tblGrid>
        <w:gridCol w:w="674"/>
        <w:gridCol w:w="591"/>
        <w:gridCol w:w="594"/>
        <w:gridCol w:w="109"/>
        <w:gridCol w:w="109"/>
        <w:gridCol w:w="109"/>
        <w:gridCol w:w="231"/>
        <w:gridCol w:w="496"/>
        <w:gridCol w:w="128"/>
        <w:gridCol w:w="109"/>
        <w:gridCol w:w="109"/>
        <w:gridCol w:w="109"/>
        <w:gridCol w:w="308"/>
        <w:gridCol w:w="663"/>
        <w:gridCol w:w="244"/>
      </w:tblGrid>
      <w:tr>
        <w:trPr/>
        <w:tc>
          <w:tcPr>
            <w:tcW w:w="674"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r>
      <w:tr>
        <w:trPr/>
        <w:tc>
          <w:tcPr>
            <w:tcW w:w="18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5" w:type="dxa"/>
            <w:gridSpan w:val="3"/>
            <w:tcBorders/>
            <w:vAlign w:val="center"/>
          </w:tcPr>
          <w:p>
            <w:pPr>
              <w:pStyle w:val="TableContents"/>
              <w:bidi w:val="0"/>
              <w:spacing w:before="0" w:after="283"/>
              <w:jc w:val="left"/>
              <w:rPr>
                <w:sz w:val="4"/>
                <w:szCs w:val="4"/>
              </w:rPr>
            </w:pPr>
            <w:r>
              <w:rPr>
                <w:sz w:val="4"/>
                <w:szCs w:val="4"/>
              </w:rPr>
            </w:r>
          </w:p>
        </w:tc>
        <w:tc>
          <w:tcPr>
            <w:tcW w:w="1542" w:type="dxa"/>
            <w:gridSpan w:val="6"/>
            <w:tcBorders/>
          </w:tcPr>
          <w:p>
            <w:pPr>
              <w:pStyle w:val="TableContents"/>
              <w:bidi w:val="0"/>
              <w:spacing w:before="0" w:after="283"/>
              <w:jc w:val="left"/>
              <w:rPr>
                <w:sz w:val="4"/>
                <w:szCs w:val="4"/>
              </w:rPr>
            </w:pPr>
            <w:r>
              <w:rPr>
                <w:sz w:val="4"/>
                <w:szCs w:val="4"/>
              </w:rPr>
            </w:r>
          </w:p>
        </w:tc>
      </w:tr>
      <w:tr>
        <w:trPr/>
        <w:tc>
          <w:tcPr>
            <w:tcW w:w="1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March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w:t>
              <w:br/>
              <w:t>2025</w:t>
            </w:r>
          </w:p>
        </w:tc>
      </w:tr>
      <w:tr>
        <w:trPr/>
        <w:tc>
          <w:tcPr>
            <w:tcW w:w="1859" w:type="dxa"/>
            <w:gridSpan w:val="3"/>
            <w:tcBorders>
              <w:top w:val="single" w:sz="8" w:space="0" w:color="000000"/>
              <w:bottom w:val="single" w:sz="8" w:space="0" w:color="000000"/>
            </w:tcBorders>
            <w:shd w:fill="E1E1E2" w:val="clear"/>
            <w:tcMar>
              <w:top w:w="30" w:type="dxa"/>
              <w:left w:w="0" w:type="dxa"/>
              <w:bottom w:w="3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Interest rate (in millions)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sing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96" w:type="dxa"/>
            <w:tcBorders>
              <w:top w:val="single" w:sz="8" w:space="0" w:color="000000"/>
              <w:bottom w:val="sing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bookmarkStart w:id="3" w:name="ibc713f1061b443f2b82d06c36e945af3_2-1-1-"/>
            <w:bookmarkEnd w:id="3"/>
            <w:r>
              <w:rPr>
                <w:rFonts w:ascii="Arial;sans-serif" w:hAnsi="Arial;sans-serif"/>
                <w:b w:val="false"/>
                <w:color w:val="000000"/>
                <w:sz w:val="16"/>
              </w:rPr>
              <w:t>990 </w:t>
            </w:r>
          </w:p>
        </w:tc>
        <w:tc>
          <w:tcPr>
            <w:tcW w:w="128" w:type="dxa"/>
            <w:tcBorders>
              <w:top w:val="single" w:sz="8" w:space="0" w:color="000000"/>
              <w:bottom w:val="single" w:sz="8" w:space="0" w:color="000000"/>
            </w:tcBorders>
            <w:shd w:fill="E1E1E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bottom w:val="sing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3" w:type="dxa"/>
            <w:tcBorders>
              <w:top w:val="single" w:sz="8" w:space="0" w:color="000000"/>
              <w:bottom w:val="sing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990 </w:t>
            </w:r>
          </w:p>
        </w:tc>
        <w:tc>
          <w:tcPr>
            <w:tcW w:w="244" w:type="dxa"/>
            <w:tcBorders>
              <w:top w:val="single" w:sz="8" w:space="0" w:color="000000"/>
              <w:bottom w:val="single" w:sz="8" w:space="0" w:color="000000"/>
            </w:tcBorders>
            <w:shd w:fill="E1E1E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pPr>
      <w:r>
        <w:rPr>
          <w:rFonts w:ascii="Arial;sans-serif" w:hAnsi="Arial;sans-serif"/>
          <w:b w:val="false"/>
          <w:i/>
          <w:color w:val="000000"/>
          <w:sz w:val="18"/>
        </w:rPr>
        <w:t>Credit Risk.</w:t>
      </w:r>
      <w:r>
        <w:rPr>
          <w:color w:val="000000"/>
        </w:rPr>
        <w:t xml:space="preserve"> </w:t>
      </w:r>
      <w:r>
        <w:rPr>
          <w:rFonts w:ascii="Arial;sans-serif" w:hAnsi="Arial;sans-serif"/>
          <w:b w:val="false"/>
          <w:color w:val="000000"/>
          <w:sz w:val="18"/>
        </w:rPr>
        <w:t>Credit risk, which is the risk of financial loss if a customer, counterparty, or financial institution is unable to perform or pay amounts due, is applicable to cash and cash equivalents, restricted cash and cash equivalents, accounts receivable, and derivative instruments. The maximum amount of credit exposure associated with financial assets is equal to the carrying value of such assets. Credit risk, which cannot be completely eliminated, is managed through a number of practices such as ongoing reviews of counterparty creditworthiness, prepayment, inclusion of termination rights in contracts which are triggered by certain events of default, and executing master netting arrangements that permit amounts between parties to be offset. Additionally, credit enhancements such as cash deposits, LCs, and credit insurance may be employed to mitigate credit risk.</w:t>
      </w:r>
    </w:p>
    <w:p>
      <w:pPr>
        <w:pStyle w:val="TextBody"/>
        <w:bidi w:val="0"/>
        <w:spacing w:lineRule="auto" w:line="288" w:before="0" w:after="180"/>
        <w:ind w:left="0" w:right="0" w:firstLine="360"/>
        <w:jc w:val="left"/>
        <w:rPr>
          <w:rFonts w:ascii="Arial;sans-serif" w:hAnsi="Arial;sans-serif"/>
          <w:b w:val="false"/>
          <w:color w:val="000000"/>
          <w:sz w:val="18"/>
        </w:rPr>
      </w:pPr>
      <w:r>
        <w:rPr>
          <w:rFonts w:ascii="Arial;sans-serif" w:hAnsi="Arial;sans-serif"/>
          <w:b w:val="false"/>
          <w:color w:val="000000"/>
          <w:sz w:val="18"/>
        </w:rPr>
        <w:t>Cash and cash equivalents are placed in depository accounts or high-quality, short-term investments with major international banks and financial institutions. Individual counterparty exposure from over-the-counter derivative instruments is managed within predetermined credit limits and includes the use of master netting arrangements and cash-call margins, when appropriate, to reduce credit risk. Exchange-traded commodity contracts, which are executed through futures commission merchants, have minimal credit risk because they are subject to mandatory margin requirements and are cleared with an exchange. However, Talen is exposed to the credit risk of the futures commission merchants arising from daily variation margin cash calls. Restricted cash and cash equivalents deposited to meet initial margin requirements are held by futures commission merchants in segregated accounts for the benefit of Talen.</w:t>
      </w:r>
    </w:p>
    <w:p>
      <w:pPr>
        <w:pStyle w:val="TextBody"/>
        <w:bidi w:val="0"/>
        <w:spacing w:lineRule="auto" w:line="288" w:before="0" w:after="180"/>
        <w:ind w:left="0" w:right="0" w:firstLine="360"/>
        <w:jc w:val="left"/>
        <w:rPr>
          <w:rFonts w:ascii="Arial;sans-serif" w:hAnsi="Arial;sans-serif"/>
          <w:b w:val="false"/>
          <w:color w:val="000000"/>
          <w:sz w:val="18"/>
        </w:rPr>
      </w:pPr>
      <w:r>
        <w:rPr>
          <w:rFonts w:ascii="Arial;sans-serif" w:hAnsi="Arial;sans-serif"/>
          <w:b w:val="false"/>
          <w:color w:val="000000"/>
          <w:sz w:val="18"/>
        </w:rPr>
        <w:t>Outstanding accounts receivable include those from sales of capacity, generated electricity, and ancillary services through contracts directly with ISOs and RTOs and realized settlements of physical and financial derivative instruments with commodity marketers. Additionally, Talen carries accounts receivable due from joint owners for their portion of operating and capital costs for certain jointly owned facilities that are operated by the Company. The majority of outstanding receivables, which are continually monitored, have customary payment terms. The allowance for doubtful accounts was a non-material amount as of March 31, 2026 and December 31, 2025.</w:t>
      </w:r>
    </w:p>
    <w:p>
      <w:pPr>
        <w:pStyle w:val="TextBody"/>
        <w:bidi w:val="0"/>
        <w:spacing w:lineRule="auto" w:line="288" w:before="0" w:after="180"/>
        <w:ind w:left="0" w:right="0" w:firstLine="360"/>
        <w:jc w:val="left"/>
        <w:rPr>
          <w:rFonts w:ascii="Arial;sans-serif" w:hAnsi="Arial;sans-serif"/>
          <w:b w:val="false"/>
          <w:color w:val="000000"/>
          <w:sz w:val="18"/>
        </w:rPr>
      </w:pPr>
      <w:r>
        <w:rPr>
          <w:rFonts w:ascii="Arial;sans-serif" w:hAnsi="Arial;sans-serif"/>
          <w:b w:val="false"/>
          <w:color w:val="000000"/>
          <w:sz w:val="18"/>
        </w:rPr>
        <w:t>As of March 31, 2026, Talen’s aggregate credit exposure, which excludes the effects of netting arrangements, cash collateral, LCs, and any allowances for doubtful collections, was $767 million and its credit exposure including such netting effects was $42 million. Excluding ISO and RTO counterparties, whose accounts receivable settlements and congestion products are subject to applicable market controls, the ten largest single net credit exposures account for 81% of Talen’s total net credit exposure, which are primarily with entities assigned investment grade credit ratings.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16840"/>
                <wp:effectExtent l="0" t="0" r="0" b="0"/>
                <wp:wrapNone/>
                <wp:docPr id="10" name="Frame10"/>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8</w:t>
                      </w:r>
                    </w:p>
                  </w:txbxContent>
                </v:textbox>
                <w10:wrap type="none"/>
              </v:rect>
            </w:pict>
          </mc:Fallback>
        </mc:AlternateContent>
      </w:r>
    </w:p>
    <w:p>
      <w:pPr>
        <w:pStyle w:val="TextBody"/>
        <w:bidi w:val="0"/>
        <w:spacing w:lineRule="auto" w:line="288" w:before="0" w:after="180"/>
        <w:jc w:val="left"/>
        <w:rPr/>
      </w:pPr>
      <w:hyperlink w:anchor="if20e1f3d5a734e3eabbb6aa8f57c7562_45">
        <w:r>
          <w:rPr>
            <w:rStyle w:val="InternetLink"/>
            <w:rFonts w:ascii="Arial;sans-serif" w:hAnsi="Arial;sans-serif"/>
            <w:b w:val="false"/>
            <w:color w:val="0000FF"/>
            <w:sz w:val="18"/>
            <w:u w:val="single"/>
          </w:rPr>
          <w:t>Table of Contents</w:t>
        </w:r>
      </w:hyperlink>
    </w:p>
    <w:p>
      <w:pPr>
        <w:pStyle w:val="TextBody"/>
        <w:bidi w:val="0"/>
        <w:spacing w:lineRule="auto" w:line="288" w:before="0" w:after="180"/>
        <w:ind w:left="0" w:right="0" w:firstLine="360"/>
        <w:jc w:val="left"/>
        <w:rPr>
          <w:rFonts w:ascii="Arial;sans-serif" w:hAnsi="Arial;sans-serif"/>
          <w:b w:val="false"/>
          <w:color w:val="000000"/>
          <w:sz w:val="18"/>
        </w:rPr>
      </w:pPr>
      <w:r>
        <w:rPr>
          <w:rFonts w:ascii="Arial;sans-serif" w:hAnsi="Arial;sans-serif"/>
          <w:b w:val="false"/>
          <w:color w:val="000000"/>
          <w:sz w:val="18"/>
        </w:rPr>
        <w:t xml:space="preserve">Certain derivative instruments contain credit risk-related contingent features, which may require us to provide cash collateral, LCs, or guarantees from a creditworthy entity if the fair value of a liability eclipses a certain threshold or upon a decline in Talen’s credit rating. The fair values of derivative instruments in a net liability position, and that contain credit risk-related contingent features, were non-material as of March 31, 2026 and December 31, 2025.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ind w:left="0" w:right="0" w:firstLine="360"/>
        <w:jc w:val="left"/>
        <w:rPr>
          <w:rFonts w:ascii="Arial;sans-serif" w:hAnsi="Arial;sans-serif"/>
          <w:b/>
          <w:i/>
          <w:color w:val="000000"/>
          <w:sz w:val="18"/>
        </w:rPr>
      </w:pPr>
      <w:r>
        <w:rPr>
          <w:rFonts w:ascii="Arial;sans-serif" w:hAnsi="Arial;sans-serif"/>
          <w:b/>
          <w:i/>
          <w:color w:val="000000"/>
          <w:sz w:val="18"/>
        </w:rPr>
        <w:t xml:space="preserve">Derivative Instrument Presentation </w:t>
      </w:r>
    </w:p>
    <w:p>
      <w:pPr>
        <w:pStyle w:val="TextBody"/>
        <w:bidi w:val="0"/>
        <w:spacing w:lineRule="auto" w:line="288" w:before="0" w:after="180"/>
        <w:ind w:left="0" w:right="0" w:firstLine="360"/>
        <w:jc w:val="left"/>
        <w:rPr/>
      </w:pPr>
      <w:r>
        <w:rPr>
          <w:rFonts w:ascii="Arial;sans-serif" w:hAnsi="Arial;sans-serif"/>
          <w:b w:val="false"/>
          <w:i/>
          <w:color w:val="000000"/>
          <w:sz w:val="18"/>
        </w:rPr>
        <w:t xml:space="preserve">Balance Sheets Presentation. </w:t>
      </w:r>
      <w:r>
        <w:rPr>
          <w:rFonts w:ascii="Arial;sans-serif" w:hAnsi="Arial;sans-serif"/>
          <w:b w:val="false"/>
          <w:color w:val="000000"/>
          <w:sz w:val="18"/>
        </w:rPr>
        <w:t>The fair value of derivative instruments presented within assets and liabilities on the Consolidated Balance Sheets were:</w:t>
      </w:r>
    </w:p>
    <w:tbl>
      <w:tblPr>
        <w:tblW w:w="7722" w:type="dxa"/>
        <w:jc w:val="left"/>
        <w:tblInd w:w="0" w:type="dxa"/>
        <w:tblLayout w:type="fixed"/>
        <w:tblCellMar>
          <w:top w:w="28" w:type="dxa"/>
          <w:left w:w="28" w:type="dxa"/>
          <w:bottom w:w="28" w:type="dxa"/>
          <w:right w:w="28" w:type="dxa"/>
        </w:tblCellMar>
      </w:tblPr>
      <w:tblGrid>
        <w:gridCol w:w="1205"/>
        <w:gridCol w:w="1059"/>
        <w:gridCol w:w="1066"/>
        <w:gridCol w:w="109"/>
        <w:gridCol w:w="109"/>
        <w:gridCol w:w="109"/>
        <w:gridCol w:w="196"/>
        <w:gridCol w:w="346"/>
        <w:gridCol w:w="109"/>
        <w:gridCol w:w="109"/>
        <w:gridCol w:w="109"/>
        <w:gridCol w:w="109"/>
        <w:gridCol w:w="235"/>
        <w:gridCol w:w="505"/>
        <w:gridCol w:w="131"/>
        <w:gridCol w:w="109"/>
        <w:gridCol w:w="109"/>
        <w:gridCol w:w="109"/>
        <w:gridCol w:w="199"/>
        <w:gridCol w:w="336"/>
        <w:gridCol w:w="111"/>
        <w:gridCol w:w="109"/>
        <w:gridCol w:w="109"/>
        <w:gridCol w:w="109"/>
        <w:gridCol w:w="257"/>
        <w:gridCol w:w="455"/>
        <w:gridCol w:w="204"/>
      </w:tblGrid>
      <w:tr>
        <w:trPr/>
        <w:tc>
          <w:tcPr>
            <w:tcW w:w="1205"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r>
      <w:tr>
        <w:trPr/>
        <w:tc>
          <w:tcPr>
            <w:tcW w:w="33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414" w:type="dxa"/>
            <w:gridSpan w:val="18"/>
            <w:tcBorders/>
          </w:tcPr>
          <w:p>
            <w:pPr>
              <w:pStyle w:val="TableContents"/>
              <w:bidi w:val="0"/>
              <w:spacing w:before="0" w:after="283"/>
              <w:jc w:val="left"/>
              <w:rPr>
                <w:sz w:val="4"/>
                <w:szCs w:val="4"/>
              </w:rPr>
            </w:pPr>
            <w:r>
              <w:rPr>
                <w:sz w:val="4"/>
                <w:szCs w:val="4"/>
              </w:rPr>
            </w:r>
          </w:p>
        </w:tc>
      </w:tr>
      <w:tr>
        <w:trPr/>
        <w:tc>
          <w:tcPr>
            <w:tcW w:w="3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2025</w:t>
            </w:r>
          </w:p>
        </w:tc>
      </w:tr>
      <w:tr>
        <w:trPr/>
        <w:tc>
          <w:tcPr>
            <w:tcW w:w="3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Assets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Assets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Liabilities</w:t>
            </w:r>
          </w:p>
        </w:tc>
      </w:tr>
      <w:tr>
        <w:trPr/>
        <w:tc>
          <w:tcPr>
            <w:tcW w:w="3330"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Commodity contracts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4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32 </w:t>
            </w:r>
          </w:p>
        </w:tc>
        <w:tc>
          <w:tcPr>
            <w:tcW w:w="109"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05"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248 </w:t>
            </w:r>
          </w:p>
        </w:tc>
        <w:tc>
          <w:tcPr>
            <w:tcW w:w="131"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3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56 </w:t>
            </w:r>
          </w:p>
        </w:tc>
        <w:tc>
          <w:tcPr>
            <w:tcW w:w="111"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55"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97 </w:t>
            </w:r>
          </w:p>
        </w:tc>
        <w:tc>
          <w:tcPr>
            <w:tcW w:w="204"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rate contracts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r>
      <w:tr>
        <w:trPr/>
        <w:tc>
          <w:tcPr>
            <w:tcW w:w="3330"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current derivative instruments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33</w:t>
            </w:r>
            <w:r>
              <w:rPr>
                <w:color w:val="000000"/>
              </w:rPr>
              <w:t> </w:t>
            </w:r>
          </w:p>
        </w:tc>
        <w:tc>
          <w:tcPr>
            <w:tcW w:w="109"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250</w:t>
            </w:r>
            <w:r>
              <w:rPr>
                <w:color w:val="000000"/>
              </w:rPr>
              <w:t> </w:t>
            </w:r>
          </w:p>
        </w:tc>
        <w:tc>
          <w:tcPr>
            <w:tcW w:w="131"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 w:type="dxa"/>
            <w:gridSpan w:val="2"/>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56</w:t>
            </w:r>
            <w:r>
              <w:rPr>
                <w:color w:val="000000"/>
              </w:rPr>
              <w:t> </w:t>
            </w:r>
          </w:p>
        </w:tc>
        <w:tc>
          <w:tcPr>
            <w:tcW w:w="111"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2"/>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101</w:t>
            </w:r>
            <w:r>
              <w:rPr>
                <w:color w:val="000000"/>
              </w:rPr>
              <w:t> </w:t>
            </w:r>
          </w:p>
        </w:tc>
        <w:tc>
          <w:tcPr>
            <w:tcW w:w="204"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Commodity contracts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rate contracts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9 </w:t>
            </w:r>
          </w:p>
        </w:tc>
        <w:tc>
          <w:tcPr>
            <w:tcW w:w="131"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8 </w:t>
            </w:r>
          </w:p>
        </w:tc>
        <w:tc>
          <w:tcPr>
            <w:tcW w:w="20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non-current derivative instruments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3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49</w:t>
            </w:r>
            <w:r>
              <w:rPr>
                <w:color w:val="000000"/>
              </w:rPr>
              <w:t> </w:t>
            </w:r>
          </w:p>
        </w:tc>
        <w:tc>
          <w:tcPr>
            <w:tcW w:w="1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3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w:t>
            </w:r>
            <w:r>
              <w:rPr>
                <w:color w:val="000000"/>
              </w:rPr>
              <w:t> </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67</w:t>
            </w:r>
            <w:r>
              <w:rPr>
                <w:color w:val="000000"/>
              </w:rPr>
              <w:t> </w:t>
            </w:r>
          </w:p>
        </w:tc>
        <w:tc>
          <w:tcPr>
            <w:tcW w:w="2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360"/>
        <w:jc w:val="left"/>
        <w:rPr/>
      </w:pPr>
      <w:r>
        <w:rPr/>
      </w:r>
    </w:p>
    <w:p>
      <w:pPr>
        <w:pStyle w:val="TextBody"/>
        <w:bidi w:val="0"/>
        <w:spacing w:lineRule="auto" w:line="288" w:before="0" w:after="180"/>
        <w:ind w:left="0" w:right="0" w:firstLine="360"/>
        <w:jc w:val="left"/>
        <w:rPr>
          <w:rFonts w:ascii="Arial;sans-serif" w:hAnsi="Arial;sans-serif"/>
          <w:b w:val="false"/>
          <w:color w:val="000000"/>
          <w:sz w:val="18"/>
        </w:rPr>
      </w:pPr>
      <w:r>
        <w:rPr>
          <w:rFonts w:ascii="Arial;sans-serif" w:hAnsi="Arial;sans-serif"/>
          <w:b w:val="false"/>
          <w:color w:val="000000"/>
          <w:sz w:val="18"/>
        </w:rPr>
        <w:t xml:space="preserve">All commodity and interest rate derivatives are economic hedges where the changes in fair value are presented immediately in income as unrealized gains and losses. Changes in the fair value and realized settlements on commodity derivative instruments are presented as separate components of “Energy and other revenues” and “Fuel and energy purchases” on the Consolidated Statements of Operations. Changes in the fair value and realized settlements on interest rate derivative instruments are presented as “Interest expense and other finance charges” on the Consolidated Statements of Operations. See Note 11 for additional information on fair value of commodity and interest rate derivatives. </w:t>
      </w:r>
    </w:p>
    <w:p>
      <w:pPr>
        <w:pStyle w:val="TextBody"/>
        <w:bidi w:val="0"/>
        <w:spacing w:lineRule="auto" w:line="288" w:before="0" w:after="180"/>
        <w:ind w:left="0" w:right="0" w:firstLine="360"/>
        <w:jc w:val="left"/>
        <w:rPr/>
      </w:pPr>
      <w:r>
        <w:rPr>
          <w:rFonts w:ascii="Arial;sans-serif" w:hAnsi="Arial;sans-serif"/>
          <w:b w:val="false"/>
          <w:i/>
          <w:color w:val="000000"/>
          <w:sz w:val="18"/>
        </w:rPr>
        <w:t>Effect of Netting.</w:t>
      </w:r>
      <w:r>
        <w:rPr>
          <w:color w:val="000000"/>
        </w:rPr>
        <w:t xml:space="preserve"> </w:t>
      </w:r>
      <w:r>
        <w:rPr>
          <w:rFonts w:ascii="Arial;sans-serif" w:hAnsi="Arial;sans-serif"/>
          <w:b w:val="false"/>
          <w:color w:val="000000"/>
          <w:sz w:val="18"/>
        </w:rPr>
        <w:t xml:space="preserve">Generally, the right of setoff within master netting arrangements permits the fair value of derivative assets to be offset with derivative liabilities. As an election, derivative assets and derivative liabilities are presented on the Consolidated Balance Sheets with the effect of such permitted netting as of March 31, 2026 and December 31, 2025. </w:t>
      </w:r>
    </w:p>
    <w:p>
      <w:pPr>
        <w:pStyle w:val="TextBody"/>
        <w:bidi w:val="0"/>
        <w:spacing w:lineRule="auto" w:line="288" w:before="0" w:after="180"/>
        <w:ind w:left="0" w:right="0" w:firstLine="360"/>
        <w:jc w:val="left"/>
        <w:rPr>
          <w:rFonts w:ascii="Arial;sans-serif" w:hAnsi="Arial;sans-serif"/>
          <w:b w:val="false"/>
          <w:color w:val="000000"/>
          <w:sz w:val="18"/>
        </w:rPr>
      </w:pPr>
      <w:r>
        <w:rPr>
          <w:rFonts w:ascii="Arial;sans-serif" w:hAnsi="Arial;sans-serif"/>
          <w:b w:val="false"/>
          <w:color w:val="000000"/>
          <w:sz w:val="18"/>
        </w:rPr>
        <w:t>The net amounts of “Derivative instruments” presented as assets and liabilities on the Consolidated Balance Sheets considering the effect of permitted netting and where cash collateral is pledged in accordance with the underlying agreement were:</w:t>
      </w:r>
    </w:p>
    <w:tbl>
      <w:tblPr>
        <w:tblW w:w="10205" w:type="dxa"/>
        <w:jc w:val="left"/>
        <w:tblInd w:w="0" w:type="dxa"/>
        <w:tblLayout w:type="fixed"/>
        <w:tblCellMar>
          <w:top w:w="28" w:type="dxa"/>
          <w:left w:w="28" w:type="dxa"/>
          <w:bottom w:w="28" w:type="dxa"/>
          <w:right w:w="28" w:type="dxa"/>
        </w:tblCellMar>
      </w:tblPr>
      <w:tblGrid>
        <w:gridCol w:w="516"/>
        <w:gridCol w:w="382"/>
        <w:gridCol w:w="349"/>
        <w:gridCol w:w="109"/>
        <w:gridCol w:w="109"/>
        <w:gridCol w:w="109"/>
        <w:gridCol w:w="466"/>
        <w:gridCol w:w="1004"/>
        <w:gridCol w:w="261"/>
        <w:gridCol w:w="109"/>
        <w:gridCol w:w="109"/>
        <w:gridCol w:w="109"/>
        <w:gridCol w:w="280"/>
        <w:gridCol w:w="679"/>
        <w:gridCol w:w="155"/>
        <w:gridCol w:w="109"/>
        <w:gridCol w:w="109"/>
        <w:gridCol w:w="109"/>
        <w:gridCol w:w="109"/>
        <w:gridCol w:w="109"/>
        <w:gridCol w:w="500"/>
        <w:gridCol w:w="846"/>
        <w:gridCol w:w="280"/>
        <w:gridCol w:w="109"/>
        <w:gridCol w:w="109"/>
        <w:gridCol w:w="109"/>
        <w:gridCol w:w="435"/>
        <w:gridCol w:w="905"/>
        <w:gridCol w:w="246"/>
        <w:gridCol w:w="109"/>
        <w:gridCol w:w="109"/>
        <w:gridCol w:w="109"/>
        <w:gridCol w:w="299"/>
        <w:gridCol w:w="505"/>
        <w:gridCol w:w="244"/>
      </w:tblGrid>
      <w:tr>
        <w:trPr/>
        <w:tc>
          <w:tcPr>
            <w:tcW w:w="516"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r>
      <w:tr>
        <w:trPr/>
        <w:tc>
          <w:tcPr>
            <w:tcW w:w="12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Gross Derivative Instruments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Eligible for Offset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Net Derivative Instruments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Collateral (Posted) Received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Net Amounts</w:t>
            </w:r>
          </w:p>
        </w:tc>
      </w:tr>
      <w:tr>
        <w:trPr/>
        <w:tc>
          <w:tcPr>
            <w:tcW w:w="1247"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March 31, 2026</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1" w:type="dxa"/>
            <w:gridSpan w:val="3"/>
            <w:tcBorders>
              <w:top w:val="single" w:sz="8" w:space="0" w:color="000000"/>
            </w:tcBorders>
            <w:shd w:fill="E1E1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single" w:sz="8" w:space="0" w:color="000000"/>
            </w:tcBorders>
            <w:shd w:fill="E1E1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6" w:type="dxa"/>
            <w:gridSpan w:val="3"/>
            <w:tcBorders>
              <w:top w:val="single" w:sz="8" w:space="0" w:color="000000"/>
            </w:tcBorders>
            <w:shd w:fill="E1E1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6" w:type="dxa"/>
            <w:gridSpan w:val="3"/>
            <w:tcBorders>
              <w:top w:val="single" w:sz="8" w:space="0" w:color="000000"/>
            </w:tcBorders>
            <w:shd w:fill="E1E1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op w:val="single" w:sz="8" w:space="0" w:color="000000"/>
            </w:tcBorders>
            <w:shd w:fill="E1E1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610 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(552)</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7"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Liabilities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917 </w:t>
            </w:r>
          </w:p>
        </w:tc>
        <w:tc>
          <w:tcPr>
            <w:tcW w:w="261"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(552)</w:t>
            </w:r>
          </w:p>
        </w:tc>
        <w:tc>
          <w:tcPr>
            <w:tcW w:w="155"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6"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365 </w:t>
            </w:r>
          </w:p>
        </w:tc>
        <w:tc>
          <w:tcPr>
            <w:tcW w:w="280"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w:t>
            </w:r>
          </w:p>
        </w:tc>
        <w:tc>
          <w:tcPr>
            <w:tcW w:w="246"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299 </w:t>
            </w:r>
          </w:p>
        </w:tc>
        <w:tc>
          <w:tcPr>
            <w:tcW w:w="24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December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7"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Assets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04" w:type="dxa"/>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456 </w:t>
            </w:r>
          </w:p>
        </w:tc>
        <w:tc>
          <w:tcPr>
            <w:tcW w:w="261"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79" w:type="dxa"/>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(396)</w:t>
            </w:r>
          </w:p>
        </w:tc>
        <w:tc>
          <w:tcPr>
            <w:tcW w:w="155"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0" w:type="dxa"/>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46" w:type="dxa"/>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60 </w:t>
            </w:r>
          </w:p>
        </w:tc>
        <w:tc>
          <w:tcPr>
            <w:tcW w:w="280"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05" w:type="dxa"/>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05" w:type="dxa"/>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60 </w:t>
            </w:r>
          </w:p>
        </w:tc>
        <w:tc>
          <w:tcPr>
            <w:tcW w:w="24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7"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608 </w:t>
            </w:r>
          </w:p>
        </w:tc>
        <w:tc>
          <w:tcPr>
            <w:tcW w:w="261"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(396)</w:t>
            </w:r>
          </w:p>
        </w:tc>
        <w:tc>
          <w:tcPr>
            <w:tcW w:w="155"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6"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212 </w:t>
            </w:r>
          </w:p>
        </w:tc>
        <w:tc>
          <w:tcPr>
            <w:tcW w:w="280"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w:t>
            </w:r>
          </w:p>
        </w:tc>
        <w:tc>
          <w:tcPr>
            <w:tcW w:w="246"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168 </w:t>
            </w:r>
          </w:p>
        </w:tc>
        <w:tc>
          <w:tcPr>
            <w:tcW w:w="244"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360"/>
        <w:jc w:val="left"/>
        <w:rPr/>
      </w:pPr>
      <w:r>
        <w:rPr/>
      </w:r>
    </w:p>
    <w:p>
      <w:pPr>
        <w:pStyle w:val="TextBody"/>
        <w:bidi w:val="0"/>
        <w:spacing w:lineRule="auto" w:line="288" w:before="0" w:after="180"/>
        <w:ind w:left="0" w:right="0" w:firstLine="360"/>
        <w:jc w:val="left"/>
        <w:rPr/>
      </w:pPr>
      <w:r>
        <w:rPr>
          <w:rFonts w:ascii="Arial;sans-serif" w:hAnsi="Arial;sans-serif"/>
          <w:b w:val="false"/>
          <w:i/>
          <w:color w:val="000000"/>
          <w:sz w:val="18"/>
        </w:rPr>
        <w:t>Statements of Operations Presentation.</w:t>
      </w:r>
      <w:r>
        <w:rPr>
          <w:color w:val="000000"/>
        </w:rPr>
        <w:t xml:space="preserve"> </w:t>
      </w:r>
      <w:r>
        <w:rPr>
          <w:rFonts w:ascii="Arial;sans-serif" w:hAnsi="Arial;sans-serif"/>
          <w:b w:val="false"/>
          <w:color w:val="000000"/>
          <w:sz w:val="18"/>
        </w:rPr>
        <w:t>The location and pre-tax effect of “Derivative instruments” presented on the Consolidated Statements of Operations for the periods were:</w:t>
      </w:r>
    </w:p>
    <w:tbl>
      <w:tblPr>
        <w:tblW w:w="9436" w:type="dxa"/>
        <w:jc w:val="left"/>
        <w:tblInd w:w="0" w:type="dxa"/>
        <w:tblLayout w:type="fixed"/>
        <w:tblCellMar>
          <w:top w:w="28" w:type="dxa"/>
          <w:left w:w="28" w:type="dxa"/>
          <w:bottom w:w="28" w:type="dxa"/>
          <w:right w:w="28" w:type="dxa"/>
        </w:tblCellMar>
      </w:tblPr>
      <w:tblGrid>
        <w:gridCol w:w="1789"/>
        <w:gridCol w:w="1571"/>
        <w:gridCol w:w="1575"/>
        <w:gridCol w:w="109"/>
        <w:gridCol w:w="109"/>
        <w:gridCol w:w="109"/>
        <w:gridCol w:w="224"/>
        <w:gridCol w:w="224"/>
        <w:gridCol w:w="224"/>
        <w:gridCol w:w="224"/>
        <w:gridCol w:w="404"/>
        <w:gridCol w:w="1022"/>
        <w:gridCol w:w="224"/>
        <w:gridCol w:w="109"/>
        <w:gridCol w:w="109"/>
        <w:gridCol w:w="109"/>
        <w:gridCol w:w="196"/>
        <w:gridCol w:w="406"/>
        <w:gridCol w:w="109"/>
        <w:gridCol w:w="109"/>
        <w:gridCol w:w="109"/>
        <w:gridCol w:w="109"/>
        <w:gridCol w:w="109"/>
        <w:gridCol w:w="154"/>
      </w:tblGrid>
      <w:tr>
        <w:trPr/>
        <w:tc>
          <w:tcPr>
            <w:tcW w:w="1789" w:type="dxa"/>
            <w:tcBorders/>
            <w:vAlign w:val="center"/>
          </w:tcPr>
          <w:p>
            <w:pPr>
              <w:pStyle w:val="TableContents"/>
              <w:bidi w:val="0"/>
              <w:spacing w:before="0" w:after="283"/>
              <w:jc w:val="left"/>
              <w:rPr>
                <w:sz w:val="4"/>
                <w:szCs w:val="4"/>
              </w:rPr>
            </w:pPr>
            <w:r>
              <w:rPr>
                <w:sz w:val="4"/>
                <w:szCs w:val="4"/>
              </w:rPr>
            </w:r>
          </w:p>
        </w:tc>
        <w:tc>
          <w:tcPr>
            <w:tcW w:w="1571" w:type="dxa"/>
            <w:tcBorders/>
            <w:vAlign w:val="center"/>
          </w:tcPr>
          <w:p>
            <w:pPr>
              <w:pStyle w:val="TableContents"/>
              <w:bidi w:val="0"/>
              <w:spacing w:before="0" w:after="283"/>
              <w:jc w:val="left"/>
              <w:rPr>
                <w:sz w:val="4"/>
                <w:szCs w:val="4"/>
              </w:rPr>
            </w:pPr>
            <w:r>
              <w:rPr>
                <w:sz w:val="4"/>
                <w:szCs w:val="4"/>
              </w:rPr>
            </w:r>
          </w:p>
        </w:tc>
        <w:tc>
          <w:tcPr>
            <w:tcW w:w="15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c>
          <w:tcPr>
            <w:tcW w:w="2546" w:type="dxa"/>
            <w:gridSpan w:val="7"/>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Three Months Ended March 31,</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4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90"/>
              <w:jc w:val="left"/>
              <w:rPr>
                <w:sz w:val="4"/>
                <w:szCs w:val="4"/>
              </w:rPr>
            </w:pPr>
            <w:r>
              <w:rPr>
                <w:sz w:val="4"/>
                <w:szCs w:val="4"/>
              </w:rPr>
            </w:r>
          </w:p>
        </w:tc>
      </w:tr>
      <w:tr>
        <w:trPr/>
        <w:tc>
          <w:tcPr>
            <w:tcW w:w="4935"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Realized gain (loss) on commodity contracts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72"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op w:val="single" w:sz="8" w:space="0" w:color="000000"/>
            </w:tcBorders>
            <w:shd w:fill="E1E1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E1E1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Energy revenues </w:t>
            </w:r>
            <w:r>
              <w:rPr>
                <w:rFonts w:ascii="Arial;sans-serif" w:hAnsi="Arial;sans-serif"/>
                <w:b w:val="false"/>
                <w:color w:val="000000"/>
                <w:sz w:val="10"/>
              </w:rPr>
              <w:t>(a)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(327)</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35" w:type="dxa"/>
            <w:gridSpan w:val="3"/>
            <w:tcBorders/>
            <w:shd w:fill="E1E1E2"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Fuel and energy purchases </w:t>
            </w:r>
            <w:r>
              <w:rPr>
                <w:rFonts w:ascii="Arial;sans-serif" w:hAnsi="Arial;sans-serif"/>
                <w:b w:val="false"/>
                <w:color w:val="000000"/>
                <w:sz w:val="10"/>
              </w:rPr>
              <w:t>(a)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72"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52 </w:t>
            </w:r>
          </w:p>
        </w:tc>
        <w:tc>
          <w:tcPr>
            <w:tcW w:w="22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90"/>
              <w:jc w:val="left"/>
              <w:rPr>
                <w:sz w:val="4"/>
                <w:szCs w:val="4"/>
              </w:rPr>
            </w:pPr>
            <w:r>
              <w:rPr>
                <w:sz w:val="4"/>
                <w:szCs w:val="4"/>
              </w:rPr>
            </w:r>
          </w:p>
        </w:tc>
      </w:tr>
      <w:tr>
        <w:trPr/>
        <w:tc>
          <w:tcPr>
            <w:tcW w:w="49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Unrealized gain (loss) on commodity contracts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35" w:type="dxa"/>
            <w:gridSpan w:val="3"/>
            <w:tcBorders/>
            <w:shd w:fill="E1E1E2"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Operating revenues </w:t>
            </w:r>
            <w:r>
              <w:rPr>
                <w:rFonts w:ascii="Arial;sans-serif" w:hAnsi="Arial;sans-serif"/>
                <w:b w:val="false"/>
                <w:color w:val="000000"/>
                <w:sz w:val="10"/>
              </w:rPr>
              <w:t>(b)</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72"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(112)</w:t>
            </w:r>
          </w:p>
        </w:tc>
        <w:tc>
          <w:tcPr>
            <w:tcW w:w="22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(241)</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Energy expenses </w:t>
            </w:r>
            <w:r>
              <w:rPr>
                <w:rFonts w:ascii="Arial;sans-serif" w:hAnsi="Arial;sans-serif"/>
                <w:b w:val="false"/>
                <w:color w:val="000000"/>
                <w:sz w:val="10"/>
              </w:rPr>
              <w:t>(b)</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90"/>
              <w:jc w:val="left"/>
              <w:rPr>
                <w:sz w:val="4"/>
                <w:szCs w:val="4"/>
              </w:rPr>
            </w:pPr>
            <w:r>
              <w:rPr>
                <w:sz w:val="4"/>
                <w:szCs w:val="4"/>
              </w:rPr>
            </w:r>
          </w:p>
        </w:tc>
      </w:tr>
      <w:tr>
        <w:trPr/>
        <w:tc>
          <w:tcPr>
            <w:tcW w:w="4935"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Realized and unrealized gain (loss) on interest rate contracts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72"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35"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Interest expense and other finance charges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224"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w:t>
            </w:r>
          </w:p>
        </w:tc>
        <w:tc>
          <w:tcPr>
            <w:tcW w:w="109"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Arial;sans-serif" w:hAnsi="Arial;sans-serif"/>
          <w:b w:val="false"/>
          <w:color w:val="000000"/>
          <w:sz w:val="14"/>
        </w:rPr>
      </w:pPr>
      <w:r>
        <w:rPr>
          <w:rFonts w:ascii="Arial;sans-serif" w:hAnsi="Arial;sans-serif"/>
          <w:b w:val="false"/>
          <w:color w:val="000000"/>
          <w:sz w:val="14"/>
        </w:rPr>
        <w:t>__________________</w:t>
      </w:r>
    </w:p>
    <w:p>
      <w:pPr>
        <w:pStyle w:val="TextBody"/>
        <w:bidi w:val="0"/>
        <w:spacing w:lineRule="auto" w:line="288" w:before="0" w:after="0"/>
        <w:ind w:left="0" w:right="0" w:hanging="360"/>
        <w:jc w:val="left"/>
        <w:rPr>
          <w:rFonts w:ascii="Arial;sans-serif" w:hAnsi="Arial;sans-serif"/>
          <w:b w:val="false"/>
          <w:color w:val="000000"/>
          <w:sz w:val="14"/>
        </w:rPr>
      </w:pPr>
      <w:r>
        <w:rPr>
          <w:rFonts w:ascii="Arial;sans-serif" w:hAnsi="Arial;sans-serif"/>
          <w:b w:val="false"/>
          <w:color w:val="000000"/>
          <w:sz w:val="14"/>
        </w:rPr>
        <w:t>(a)Does not include those derivative instruments that settle through physical delivery.</w:t>
      </w:r>
    </w:p>
    <w:p>
      <w:pPr>
        <w:pStyle w:val="TextBody"/>
        <w:bidi w:val="0"/>
        <w:spacing w:lineRule="auto" w:line="288" w:before="0" w:after="180"/>
        <w:ind w:left="0" w:right="0" w:hanging="360"/>
        <w:jc w:val="left"/>
        <w:rPr>
          <w:rFonts w:ascii="Arial;sans-serif" w:hAnsi="Arial;sans-serif"/>
          <w:b w:val="false"/>
          <w:color w:val="000000"/>
          <w:sz w:val="14"/>
        </w:rPr>
      </w:pPr>
      <w:r>
        <w:rPr>
          <w:rFonts w:ascii="Arial;sans-serif" w:hAnsi="Arial;sans-serif"/>
          <w:b w:val="false"/>
          <w:color w:val="000000"/>
          <w:sz w:val="14"/>
        </w:rPr>
        <w:t>(b)Presented as “Unrealized gain (loss) on derivative instruments” on the Consolidated Statements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16840"/>
                <wp:effectExtent l="0" t="0" r="0" b="0"/>
                <wp:wrapNone/>
                <wp:docPr id="11" name="Frame11"/>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9</w:t>
                      </w:r>
                    </w:p>
                  </w:txbxContent>
                </v:textbox>
                <w10:wrap type="none"/>
              </v:rect>
            </w:pict>
          </mc:Fallback>
        </mc:AlternateContent>
      </w:r>
    </w:p>
    <w:p>
      <w:pPr>
        <w:pStyle w:val="TextBody"/>
        <w:bidi w:val="0"/>
        <w:spacing w:lineRule="auto" w:line="288" w:before="0" w:after="180"/>
        <w:jc w:val="left"/>
        <w:rPr/>
      </w:pPr>
      <w:hyperlink w:anchor="if20e1f3d5a734e3eabbb6aa8f57c7562_45">
        <w:r>
          <w:rPr>
            <w:rStyle w:val="InternetLink"/>
            <w:rFonts w:ascii="Arial;sans-serif" w:hAnsi="Arial;sans-serif"/>
            <w:b w:val="false"/>
            <w:color w:val="0000FF"/>
            <w:sz w:val="18"/>
            <w:u w:val="single"/>
          </w:rPr>
          <w:t>Table of Contents</w:t>
        </w:r>
      </w:hyperlink>
    </w:p>
    <w:p>
      <w:pPr>
        <w:pStyle w:val="TextBody"/>
        <w:bidi w:val="0"/>
        <w:spacing w:lineRule="auto" w:line="288" w:before="0" w:after="180"/>
        <w:jc w:val="left"/>
        <w:rPr>
          <w:rFonts w:ascii="Arial;sans-serif" w:hAnsi="Arial;sans-serif"/>
          <w:b/>
          <w:color w:val="000000"/>
          <w:sz w:val="18"/>
        </w:rPr>
      </w:pPr>
      <w:bookmarkStart w:id="4" w:name="i9e3298016d844619a9a61108f10328ee_2607"/>
      <w:bookmarkStart w:id="5" w:name="i9e3298016d844619a9a61108f10328ee_2606"/>
      <w:bookmarkEnd w:id="4"/>
      <w:bookmarkEnd w:id="5"/>
      <w:r>
        <w:rPr>
          <w:rFonts w:ascii="Arial;sans-serif" w:hAnsi="Arial;sans-serif"/>
          <w:b/>
          <w:color w:val="000000"/>
          <w:sz w:val="18"/>
        </w:rPr>
        <w:t>3. Revenue</w:t>
      </w:r>
    </w:p>
    <w:p>
      <w:pPr>
        <w:pStyle w:val="TextBody"/>
        <w:bidi w:val="0"/>
        <w:spacing w:lineRule="auto" w:line="288" w:before="0" w:after="180"/>
        <w:ind w:left="0" w:right="0" w:firstLine="360"/>
        <w:jc w:val="left"/>
        <w:rPr>
          <w:rFonts w:ascii="Arial;sans-serif" w:hAnsi="Arial;sans-serif"/>
          <w:b w:val="false"/>
          <w:color w:val="000000"/>
          <w:sz w:val="18"/>
        </w:rPr>
      </w:pPr>
      <w:r>
        <w:rPr>
          <w:rFonts w:ascii="Arial;sans-serif" w:hAnsi="Arial;sans-serif"/>
          <w:b w:val="false"/>
          <w:color w:val="000000"/>
          <w:sz w:val="18"/>
        </w:rPr>
        <w:t xml:space="preserve">The components of operating revenues for the periods were: </w:t>
      </w:r>
    </w:p>
    <w:tbl>
      <w:tblPr>
        <w:tblW w:w="9075" w:type="dxa"/>
        <w:jc w:val="left"/>
        <w:tblInd w:w="0" w:type="dxa"/>
        <w:tblLayout w:type="fixed"/>
        <w:tblCellMar>
          <w:top w:w="28" w:type="dxa"/>
          <w:left w:w="28" w:type="dxa"/>
          <w:bottom w:w="28" w:type="dxa"/>
          <w:right w:w="28" w:type="dxa"/>
        </w:tblCellMar>
      </w:tblPr>
      <w:tblGrid>
        <w:gridCol w:w="1645"/>
        <w:gridCol w:w="1447"/>
        <w:gridCol w:w="1452"/>
        <w:gridCol w:w="109"/>
        <w:gridCol w:w="109"/>
        <w:gridCol w:w="109"/>
        <w:gridCol w:w="211"/>
        <w:gridCol w:w="211"/>
        <w:gridCol w:w="211"/>
        <w:gridCol w:w="211"/>
        <w:gridCol w:w="381"/>
        <w:gridCol w:w="1110"/>
        <w:gridCol w:w="211"/>
        <w:gridCol w:w="109"/>
        <w:gridCol w:w="109"/>
        <w:gridCol w:w="109"/>
        <w:gridCol w:w="196"/>
        <w:gridCol w:w="436"/>
        <w:gridCol w:w="109"/>
        <w:gridCol w:w="109"/>
        <w:gridCol w:w="109"/>
        <w:gridCol w:w="109"/>
        <w:gridCol w:w="109"/>
        <w:gridCol w:w="154"/>
      </w:tblGrid>
      <w:tr>
        <w:trPr/>
        <w:tc>
          <w:tcPr>
            <w:tcW w:w="1645" w:type="dxa"/>
            <w:tcBorders/>
            <w:vAlign w:val="center"/>
          </w:tcPr>
          <w:p>
            <w:pPr>
              <w:pStyle w:val="TableContents"/>
              <w:bidi w:val="0"/>
              <w:spacing w:before="0" w:after="283"/>
              <w:jc w:val="left"/>
              <w:rPr>
                <w:sz w:val="4"/>
                <w:szCs w:val="4"/>
              </w:rPr>
            </w:pPr>
            <w:r>
              <w:rPr>
                <w:sz w:val="4"/>
                <w:szCs w:val="4"/>
              </w:rPr>
            </w:r>
          </w:p>
        </w:tc>
        <w:tc>
          <w:tcPr>
            <w:tcW w:w="1447" w:type="dxa"/>
            <w:tcBorders/>
            <w:vAlign w:val="center"/>
          </w:tcPr>
          <w:p>
            <w:pPr>
              <w:pStyle w:val="TableContents"/>
              <w:bidi w:val="0"/>
              <w:spacing w:before="0" w:after="283"/>
              <w:jc w:val="left"/>
              <w:rPr>
                <w:sz w:val="4"/>
                <w:szCs w:val="4"/>
              </w:rPr>
            </w:pPr>
            <w:r>
              <w:rPr>
                <w:sz w:val="4"/>
                <w:szCs w:val="4"/>
              </w:rPr>
            </w:r>
          </w:p>
        </w:tc>
        <w:tc>
          <w:tcPr>
            <w:tcW w:w="14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6"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March 31,</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44"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Electricity sales and ancillary services, ISO/RTO</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3"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110"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1,336 </w:t>
            </w:r>
          </w:p>
        </w:tc>
        <w:tc>
          <w:tcPr>
            <w:tcW w:w="211"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3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582 </w:t>
            </w:r>
          </w:p>
        </w:tc>
        <w:tc>
          <w:tcPr>
            <w:tcW w:w="109"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Capacity 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207 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44"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Physical electricity sales, bilateral contracts, other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3"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25 </w:t>
            </w:r>
          </w:p>
        </w:tc>
        <w:tc>
          <w:tcPr>
            <w:tcW w:w="211"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4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3" w:type="dxa"/>
            <w:gridSpan w:val="3"/>
            <w:tcBorders/>
            <w:vAlign w:val="center"/>
          </w:tcPr>
          <w:p>
            <w:pPr>
              <w:pStyle w:val="TableContents"/>
              <w:bidi w:val="0"/>
              <w:spacing w:before="0" w:after="283"/>
              <w:jc w:val="left"/>
              <w:rPr>
                <w:sz w:val="4"/>
                <w:szCs w:val="4"/>
              </w:rPr>
            </w:pPr>
            <w:r>
              <w:rPr>
                <w:sz w:val="4"/>
                <w:szCs w:val="4"/>
              </w:rPr>
            </w:r>
          </w:p>
        </w:tc>
        <w:tc>
          <w:tcPr>
            <w:tcW w:w="17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90"/>
              <w:jc w:val="left"/>
              <w:rPr>
                <w:sz w:val="4"/>
                <w:szCs w:val="4"/>
              </w:rPr>
            </w:pPr>
            <w:r>
              <w:rPr>
                <w:sz w:val="4"/>
                <w:szCs w:val="4"/>
              </w:rPr>
            </w:r>
          </w:p>
        </w:tc>
      </w:tr>
      <w:tr>
        <w:trPr/>
        <w:tc>
          <w:tcPr>
            <w:tcW w:w="454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revenue from contracts with customers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1,568</w:t>
            </w:r>
            <w:r>
              <w:rPr>
                <w:color w:val="000000"/>
              </w:rPr>
              <w:t>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654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90"/>
              <w:jc w:val="left"/>
              <w:rPr>
                <w:sz w:val="4"/>
                <w:szCs w:val="4"/>
              </w:rPr>
            </w:pPr>
            <w:r>
              <w:rPr>
                <w:sz w:val="4"/>
                <w:szCs w:val="4"/>
              </w:rPr>
            </w:r>
          </w:p>
        </w:tc>
      </w:tr>
      <w:tr>
        <w:trPr/>
        <w:tc>
          <w:tcPr>
            <w:tcW w:w="4544"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Realized and unrealized gain (loss) on derivative instruments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3"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(439)</w:t>
            </w:r>
          </w:p>
        </w:tc>
        <w:tc>
          <w:tcPr>
            <w:tcW w:w="211"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(268)</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4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3" w:type="dxa"/>
            <w:gridSpan w:val="3"/>
            <w:tcBorders/>
            <w:vAlign w:val="center"/>
          </w:tcPr>
          <w:p>
            <w:pPr>
              <w:pStyle w:val="TableContents"/>
              <w:bidi w:val="0"/>
              <w:spacing w:before="0" w:after="283"/>
              <w:jc w:val="left"/>
              <w:rPr>
                <w:sz w:val="4"/>
                <w:szCs w:val="4"/>
              </w:rPr>
            </w:pPr>
            <w:r>
              <w:rPr>
                <w:sz w:val="4"/>
                <w:szCs w:val="4"/>
              </w:rPr>
            </w:r>
          </w:p>
        </w:tc>
        <w:tc>
          <w:tcPr>
            <w:tcW w:w="17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44" w:type="dxa"/>
            <w:gridSpan w:val="3"/>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Operating 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3"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110"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1,129</w:t>
            </w:r>
            <w:r>
              <w:rPr>
                <w:color w:val="000000"/>
              </w:rPr>
              <w:t> </w:t>
            </w:r>
          </w:p>
        </w:tc>
        <w:tc>
          <w:tcPr>
            <w:tcW w:w="211"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36"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390</w:t>
            </w:r>
            <w:r>
              <w:rPr>
                <w:color w:val="000000"/>
              </w:rPr>
              <w:t> </w:t>
            </w:r>
          </w:p>
        </w:tc>
        <w:tc>
          <w:tcPr>
            <w:tcW w:w="109"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ind w:left="0" w:right="0" w:firstLine="360"/>
        <w:jc w:val="left"/>
        <w:rPr>
          <w:rFonts w:ascii="Arial;sans-serif" w:hAnsi="Arial;sans-serif"/>
          <w:b/>
          <w:i/>
          <w:color w:val="000000"/>
          <w:sz w:val="18"/>
        </w:rPr>
      </w:pPr>
      <w:r>
        <w:rPr>
          <w:rFonts w:ascii="Arial;sans-serif" w:hAnsi="Arial;sans-serif"/>
          <w:b/>
          <w:i/>
          <w:color w:val="000000"/>
          <w:sz w:val="18"/>
        </w:rPr>
        <w:t>Accounts Receivable</w:t>
      </w:r>
    </w:p>
    <w:p>
      <w:pPr>
        <w:pStyle w:val="TextBody"/>
        <w:bidi w:val="0"/>
        <w:spacing w:lineRule="auto" w:line="288" w:before="0" w:after="180"/>
        <w:ind w:left="0" w:right="0" w:firstLine="360"/>
        <w:jc w:val="left"/>
        <w:rPr>
          <w:color w:val="000000"/>
        </w:rPr>
      </w:pPr>
      <w:r>
        <w:rPr>
          <w:color w:val="000000"/>
        </w:rPr>
        <w:t>“</w:t>
      </w:r>
      <w:r>
        <w:rPr>
          <w:rFonts w:ascii="Arial;sans-serif" w:hAnsi="Arial;sans-serif"/>
          <w:b w:val="false"/>
          <w:color w:val="000000"/>
          <w:sz w:val="18"/>
        </w:rPr>
        <w:t xml:space="preserve">Accounts receivable” presented on the Consolidated Balance Sheets were: </w:t>
      </w:r>
    </w:p>
    <w:tbl>
      <w:tblPr>
        <w:tblW w:w="5078" w:type="dxa"/>
        <w:jc w:val="left"/>
        <w:tblInd w:w="0" w:type="dxa"/>
        <w:tblLayout w:type="fixed"/>
        <w:tblCellMar>
          <w:top w:w="28" w:type="dxa"/>
          <w:left w:w="28" w:type="dxa"/>
          <w:bottom w:w="28" w:type="dxa"/>
          <w:right w:w="28" w:type="dxa"/>
        </w:tblCellMar>
      </w:tblPr>
      <w:tblGrid>
        <w:gridCol w:w="852"/>
        <w:gridCol w:w="749"/>
        <w:gridCol w:w="754"/>
        <w:gridCol w:w="109"/>
        <w:gridCol w:w="109"/>
        <w:gridCol w:w="109"/>
        <w:gridCol w:w="226"/>
        <w:gridCol w:w="503"/>
        <w:gridCol w:w="125"/>
        <w:gridCol w:w="109"/>
        <w:gridCol w:w="109"/>
        <w:gridCol w:w="109"/>
        <w:gridCol w:w="302"/>
        <w:gridCol w:w="673"/>
        <w:gridCol w:w="240"/>
      </w:tblGrid>
      <w:tr>
        <w:trPr/>
        <w:tc>
          <w:tcPr>
            <w:tcW w:w="852"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r>
      <w:tr>
        <w:trPr/>
        <w:tc>
          <w:tcPr>
            <w:tcW w:w="2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March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w:t>
              <w:br/>
              <w:t>2025</w:t>
            </w:r>
          </w:p>
        </w:tc>
      </w:tr>
      <w:tr>
        <w:trPr/>
        <w:tc>
          <w:tcPr>
            <w:tcW w:w="2355"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Customer accounts receivable</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03"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109 </w:t>
            </w:r>
          </w:p>
        </w:tc>
        <w:tc>
          <w:tcPr>
            <w:tcW w:w="125"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73"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160 </w:t>
            </w:r>
          </w:p>
        </w:tc>
        <w:tc>
          <w:tcPr>
            <w:tcW w:w="240"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accounts receivable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Accounts receivable</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03"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158</w:t>
            </w:r>
            <w:r>
              <w:rPr>
                <w:color w:val="000000"/>
              </w:rPr>
              <w:t> </w:t>
            </w:r>
          </w:p>
        </w:tc>
        <w:tc>
          <w:tcPr>
            <w:tcW w:w="125"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73"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196</w:t>
            </w:r>
            <w:r>
              <w:rPr>
                <w:color w:val="000000"/>
              </w:rPr>
              <w:t> </w:t>
            </w:r>
          </w:p>
        </w:tc>
        <w:tc>
          <w:tcPr>
            <w:tcW w:w="240"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Arial;sans-serif" w:hAnsi="Arial;sans-serif"/>
          <w:b w:val="false"/>
          <w:color w:val="000000"/>
          <w:sz w:val="18"/>
        </w:rPr>
      </w:pPr>
      <w:r>
        <w:rPr>
          <w:rFonts w:ascii="Arial;sans-serif" w:hAnsi="Arial;sans-serif"/>
          <w:b w:val="false"/>
          <w:color w:val="000000"/>
          <w:sz w:val="18"/>
        </w:rPr>
        <w:t>During the three months ended March 31, 2026, and 2025, there were no significant changes in accounts receivable other than normal receivable recognition and collection transactions. See Note 2 for additional information on Talen’s credit risk on the carrying value of its receivables.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ind w:left="0" w:right="0" w:firstLine="360"/>
        <w:jc w:val="left"/>
        <w:rPr>
          <w:rFonts w:ascii="Arial;sans-serif" w:hAnsi="Arial;sans-serif"/>
          <w:b/>
          <w:i/>
          <w:color w:val="000000"/>
          <w:sz w:val="18"/>
        </w:rPr>
      </w:pPr>
      <w:r>
        <w:rPr>
          <w:rFonts w:ascii="Arial;sans-serif" w:hAnsi="Arial;sans-serif"/>
          <w:b/>
          <w:i/>
          <w:color w:val="000000"/>
          <w:sz w:val="18"/>
        </w:rPr>
        <w:t>Future Performance Obligations</w:t>
      </w:r>
    </w:p>
    <w:p>
      <w:pPr>
        <w:pStyle w:val="TextBody"/>
        <w:bidi w:val="0"/>
        <w:spacing w:lineRule="auto" w:line="288" w:before="0" w:after="180"/>
        <w:ind w:left="0" w:right="0" w:firstLine="360"/>
        <w:jc w:val="left"/>
        <w:rPr>
          <w:rFonts w:ascii="Arial;sans-serif" w:hAnsi="Arial;sans-serif"/>
          <w:b w:val="false"/>
          <w:color w:val="000000"/>
          <w:sz w:val="18"/>
        </w:rPr>
      </w:pPr>
      <w:r>
        <w:rPr>
          <w:rFonts w:ascii="Arial;sans-serif" w:hAnsi="Arial;sans-serif"/>
          <w:b w:val="false"/>
          <w:color w:val="000000"/>
          <w:sz w:val="18"/>
        </w:rPr>
        <w:t>Talen’s estimated future fixed fee performance obligations primarily include capacity volumes awarded, net of capacity repurchases by the Company, through PJM BRAs and incremental PJM capacity auctions. See Note 9 for additional information on the PJM BRAs.</w:t>
      </w:r>
    </w:p>
    <w:p>
      <w:pPr>
        <w:pStyle w:val="TextBody"/>
        <w:bidi w:val="0"/>
        <w:spacing w:lineRule="auto" w:line="288" w:before="0" w:after="0"/>
        <w:ind w:left="0" w:right="0" w:firstLine="360"/>
        <w:jc w:val="left"/>
        <w:rPr/>
      </w:pPr>
      <w:r>
        <w:rPr>
          <w:rFonts w:ascii="Arial;sans-serif" w:hAnsi="Arial;sans-serif"/>
          <w:b w:val="false"/>
          <w:color w:val="000000"/>
          <w:sz w:val="18"/>
        </w:rPr>
        <w:t>As of March 31, 2026, future performance obligations that were unsatisfied or partially unsatisfied were:</w:t>
      </w:r>
      <w:r>
        <w:rPr>
          <w:color w:val="000000"/>
        </w:rPr>
        <w:t xml:space="preserve"> </w:t>
      </w:r>
    </w:p>
    <w:tbl>
      <w:tblPr>
        <w:tblW w:w="7799" w:type="dxa"/>
        <w:jc w:val="left"/>
        <w:tblInd w:w="0" w:type="dxa"/>
        <w:tblLayout w:type="fixed"/>
        <w:tblCellMar>
          <w:top w:w="28" w:type="dxa"/>
          <w:left w:w="28" w:type="dxa"/>
          <w:bottom w:w="28" w:type="dxa"/>
          <w:right w:w="28" w:type="dxa"/>
        </w:tblCellMar>
      </w:tblPr>
      <w:tblGrid>
        <w:gridCol w:w="864"/>
        <w:gridCol w:w="758"/>
        <w:gridCol w:w="762"/>
        <w:gridCol w:w="109"/>
        <w:gridCol w:w="109"/>
        <w:gridCol w:w="109"/>
        <w:gridCol w:w="196"/>
        <w:gridCol w:w="421"/>
        <w:gridCol w:w="109"/>
        <w:gridCol w:w="109"/>
        <w:gridCol w:w="109"/>
        <w:gridCol w:w="109"/>
        <w:gridCol w:w="196"/>
        <w:gridCol w:w="556"/>
        <w:gridCol w:w="109"/>
        <w:gridCol w:w="109"/>
        <w:gridCol w:w="109"/>
        <w:gridCol w:w="109"/>
        <w:gridCol w:w="196"/>
        <w:gridCol w:w="421"/>
        <w:gridCol w:w="109"/>
        <w:gridCol w:w="109"/>
        <w:gridCol w:w="109"/>
        <w:gridCol w:w="109"/>
        <w:gridCol w:w="196"/>
        <w:gridCol w:w="406"/>
        <w:gridCol w:w="109"/>
        <w:gridCol w:w="109"/>
        <w:gridCol w:w="109"/>
        <w:gridCol w:w="109"/>
        <w:gridCol w:w="196"/>
        <w:gridCol w:w="406"/>
        <w:gridCol w:w="154"/>
      </w:tblGrid>
      <w:tr>
        <w:trPr/>
        <w:tc>
          <w:tcPr>
            <w:tcW w:w="864"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6"/>
              </w:rPr>
              <w:t xml:space="preserve">2026 </w:t>
            </w:r>
            <w:r>
              <w:rPr>
                <w:rFonts w:ascii="Arial;sans-serif" w:hAnsi="Arial;sans-serif"/>
                <w:b/>
                <w:color w:val="000000"/>
                <w:sz w:val="10"/>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6"/>
              </w:rPr>
              <w:t xml:space="preserve">2028 </w:t>
            </w:r>
            <w:r>
              <w:rPr>
                <w:rFonts w:ascii="Arial;sans-serif" w:hAnsi="Arial;sans-serif"/>
                <w:b/>
                <w:color w:val="000000"/>
                <w:sz w:val="10"/>
              </w:rPr>
              <w:t>(b)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6"/>
              </w:rPr>
              <w:t xml:space="preserve">2029 </w:t>
            </w:r>
            <w:r>
              <w:rPr>
                <w:rFonts w:ascii="Arial;sans-serif" w:hAnsi="Arial;sans-serif"/>
                <w:b/>
                <w:color w:val="000000"/>
                <w:sz w:val="10"/>
              </w:rPr>
              <w:t>(b)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6"/>
              </w:rPr>
              <w:t xml:space="preserve">2030 </w:t>
            </w:r>
            <w:r>
              <w:rPr>
                <w:rFonts w:ascii="Arial;sans-serif" w:hAnsi="Arial;sans-serif"/>
                <w:b/>
                <w:color w:val="000000"/>
                <w:sz w:val="10"/>
              </w:rPr>
              <w:t>(b)</w:t>
            </w:r>
          </w:p>
        </w:tc>
      </w:tr>
      <w:tr>
        <w:trPr/>
        <w:tc>
          <w:tcPr>
            <w:tcW w:w="2384" w:type="dxa"/>
            <w:gridSpan w:val="3"/>
            <w:tcBorders>
              <w:top w:val="single" w:sz="8" w:space="0" w:color="000000"/>
              <w:bottom w:val="sing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Future performance obligations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bottom w:val="sing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762 </w:t>
            </w:r>
          </w:p>
        </w:tc>
        <w:tc>
          <w:tcPr>
            <w:tcW w:w="109" w:type="dxa"/>
            <w:tcBorders>
              <w:top w:val="single" w:sz="8" w:space="0" w:color="000000"/>
              <w:bottom w:val="single" w:sz="8" w:space="0" w:color="000000"/>
            </w:tcBorders>
            <w:shd w:fill="E1E1E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bottom w:val="sing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1,060 </w:t>
            </w:r>
          </w:p>
        </w:tc>
        <w:tc>
          <w:tcPr>
            <w:tcW w:w="109" w:type="dxa"/>
            <w:tcBorders>
              <w:top w:val="single" w:sz="8" w:space="0" w:color="000000"/>
              <w:bottom w:val="single" w:sz="8" w:space="0" w:color="000000"/>
            </w:tcBorders>
            <w:shd w:fill="E1E1E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bottom w:val="sing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443 </w:t>
            </w:r>
          </w:p>
        </w:tc>
        <w:tc>
          <w:tcPr>
            <w:tcW w:w="109" w:type="dxa"/>
            <w:tcBorders>
              <w:top w:val="single" w:sz="8" w:space="0" w:color="000000"/>
              <w:bottom w:val="single" w:sz="8" w:space="0" w:color="000000"/>
            </w:tcBorders>
            <w:shd w:fill="E1E1E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tcBorders>
              <w:top w:val="single" w:sz="8" w:space="0" w:color="000000"/>
              <w:bottom w:val="sing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single" w:sz="8" w:space="0" w:color="000000"/>
            </w:tcBorders>
            <w:shd w:fill="E1E1E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tcBorders>
              <w:top w:val="single" w:sz="8" w:space="0" w:color="000000"/>
              <w:bottom w:val="sing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bottom w:val="single" w:sz="8" w:space="0" w:color="000000"/>
            </w:tcBorders>
            <w:shd w:fill="E1E1E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Arial;sans-serif" w:hAnsi="Arial;sans-serif"/>
          <w:b w:val="false"/>
          <w:color w:val="000000"/>
          <w:sz w:val="14"/>
        </w:rPr>
      </w:pPr>
      <w:r>
        <w:rPr>
          <w:rFonts w:ascii="Arial;sans-serif" w:hAnsi="Arial;sans-serif"/>
          <w:b w:val="false"/>
          <w:color w:val="000000"/>
          <w:sz w:val="14"/>
        </w:rPr>
        <w:t>__________________</w:t>
      </w:r>
    </w:p>
    <w:p>
      <w:pPr>
        <w:pStyle w:val="TextBody"/>
        <w:bidi w:val="0"/>
        <w:spacing w:lineRule="auto" w:line="288" w:before="0" w:after="0"/>
        <w:ind w:left="0" w:right="0" w:hanging="360"/>
        <w:jc w:val="left"/>
        <w:rPr>
          <w:rFonts w:ascii="Arial;sans-serif" w:hAnsi="Arial;sans-serif"/>
          <w:b w:val="false"/>
          <w:color w:val="000000"/>
          <w:sz w:val="14"/>
        </w:rPr>
      </w:pPr>
      <w:r>
        <w:rPr>
          <w:rFonts w:ascii="Arial;sans-serif" w:hAnsi="Arial;sans-serif"/>
          <w:b w:val="false"/>
          <w:color w:val="000000"/>
          <w:sz w:val="14"/>
        </w:rPr>
        <w:t>(a)Estimated for the period from April 1 through December 31, 2026.</w:t>
      </w:r>
    </w:p>
    <w:p>
      <w:pPr>
        <w:pStyle w:val="TextBody"/>
        <w:bidi w:val="0"/>
        <w:spacing w:lineRule="auto" w:line="288" w:before="0" w:after="180"/>
        <w:ind w:left="0" w:right="0" w:hanging="360"/>
        <w:jc w:val="left"/>
        <w:rPr>
          <w:rFonts w:ascii="Arial;sans-serif" w:hAnsi="Arial;sans-serif"/>
          <w:b w:val="false"/>
          <w:color w:val="000000"/>
          <w:sz w:val="14"/>
        </w:rPr>
      </w:pPr>
      <w:r>
        <w:rPr>
          <w:rFonts w:ascii="Arial;sans-serif" w:hAnsi="Arial;sans-serif"/>
          <w:b w:val="false"/>
          <w:color w:val="000000"/>
          <w:sz w:val="14"/>
        </w:rPr>
        <w:t>(b)As PJM BRAs have not yet occurred for periods after the 2027/2028 PJM Capacity Year, there are no future performance obligations after May 31, 2028.</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0000"/>
          <w:sz w:val="18"/>
        </w:rPr>
      </w:pPr>
      <w:r>
        <w:rPr>
          <w:rFonts w:ascii="Arial;sans-serif" w:hAnsi="Arial;sans-serif"/>
          <w:b/>
          <w:color w:val="000000"/>
          <w:sz w:val="18"/>
        </w:rPr>
        <w:t>4. Income Taxes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ind w:left="0" w:right="0" w:firstLine="360"/>
        <w:jc w:val="left"/>
        <w:rPr>
          <w:rFonts w:ascii="Arial;sans-serif" w:hAnsi="Arial;sans-serif"/>
          <w:b/>
          <w:i/>
          <w:color w:val="000000"/>
          <w:sz w:val="18"/>
        </w:rPr>
      </w:pPr>
      <w:bookmarkStart w:id="6" w:name="i05ff0de6c0384c069ab15ce90ca57fcb_1689"/>
      <w:bookmarkEnd w:id="6"/>
      <w:r>
        <w:rPr>
          <w:rFonts w:ascii="Arial;sans-serif" w:hAnsi="Arial;sans-serif"/>
          <w:b/>
          <w:i/>
          <w:color w:val="000000"/>
          <w:sz w:val="18"/>
        </w:rPr>
        <w:t>Effective Tax Rate Reconciliations</w:t>
      </w:r>
    </w:p>
    <w:p>
      <w:pPr>
        <w:pStyle w:val="TextBody"/>
        <w:bidi w:val="0"/>
        <w:spacing w:lineRule="auto" w:line="288" w:before="0" w:after="180"/>
        <w:ind w:left="0" w:right="0" w:firstLine="360"/>
        <w:jc w:val="left"/>
        <w:rPr>
          <w:rFonts w:ascii="Arial;sans-serif" w:hAnsi="Arial;sans-serif"/>
          <w:b w:val="false"/>
          <w:color w:val="000000"/>
          <w:sz w:val="18"/>
        </w:rPr>
      </w:pPr>
      <w:r>
        <w:rPr>
          <w:rFonts w:ascii="Arial;sans-serif" w:hAnsi="Arial;sans-serif"/>
          <w:b w:val="false"/>
          <w:color w:val="000000"/>
          <w:sz w:val="18"/>
        </w:rPr>
        <w:t>The reconciliations of the effective tax rate for the periods were:</w:t>
      </w:r>
    </w:p>
    <w:tbl>
      <w:tblPr>
        <w:tblW w:w="10205" w:type="dxa"/>
        <w:jc w:val="left"/>
        <w:tblInd w:w="0" w:type="dxa"/>
        <w:tblLayout w:type="fixed"/>
        <w:tblCellMar>
          <w:top w:w="28" w:type="dxa"/>
          <w:left w:w="28" w:type="dxa"/>
          <w:bottom w:w="28" w:type="dxa"/>
          <w:right w:w="28" w:type="dxa"/>
        </w:tblCellMar>
      </w:tblPr>
      <w:tblGrid>
        <w:gridCol w:w="2250"/>
        <w:gridCol w:w="1939"/>
        <w:gridCol w:w="1952"/>
        <w:gridCol w:w="109"/>
        <w:gridCol w:w="109"/>
        <w:gridCol w:w="109"/>
        <w:gridCol w:w="204"/>
        <w:gridCol w:w="204"/>
        <w:gridCol w:w="204"/>
        <w:gridCol w:w="204"/>
        <w:gridCol w:w="367"/>
        <w:gridCol w:w="756"/>
        <w:gridCol w:w="480"/>
        <w:gridCol w:w="109"/>
        <w:gridCol w:w="109"/>
        <w:gridCol w:w="109"/>
        <w:gridCol w:w="196"/>
        <w:gridCol w:w="490"/>
        <w:gridCol w:w="305"/>
      </w:tblGrid>
      <w:tr>
        <w:trPr/>
        <w:tc>
          <w:tcPr>
            <w:tcW w:w="2250" w:type="dxa"/>
            <w:tcBorders/>
            <w:vAlign w:val="center"/>
          </w:tcPr>
          <w:p>
            <w:pPr>
              <w:pStyle w:val="TableContents"/>
              <w:bidi w:val="0"/>
              <w:spacing w:before="0" w:after="283"/>
              <w:jc w:val="left"/>
              <w:rPr>
                <w:sz w:val="4"/>
                <w:szCs w:val="4"/>
              </w:rPr>
            </w:pPr>
            <w:r>
              <w:rPr>
                <w:sz w:val="4"/>
                <w:szCs w:val="4"/>
              </w:rPr>
            </w:r>
          </w:p>
        </w:tc>
        <w:tc>
          <w:tcPr>
            <w:tcW w:w="1939" w:type="dxa"/>
            <w:tcBorders/>
            <w:vAlign w:val="center"/>
          </w:tcPr>
          <w:p>
            <w:pPr>
              <w:pStyle w:val="TableContents"/>
              <w:bidi w:val="0"/>
              <w:spacing w:before="0" w:after="283"/>
              <w:jc w:val="left"/>
              <w:rPr>
                <w:sz w:val="4"/>
                <w:szCs w:val="4"/>
              </w:rPr>
            </w:pPr>
            <w:r>
              <w:rPr>
                <w:sz w:val="4"/>
                <w:szCs w:val="4"/>
              </w:rPr>
            </w:r>
          </w:p>
        </w:tc>
        <w:tc>
          <w:tcPr>
            <w:tcW w:w="19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r>
      <w:tr>
        <w:trPr/>
        <w:tc>
          <w:tcPr>
            <w:tcW w:w="6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9"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March 31,</w:t>
            </w:r>
          </w:p>
        </w:tc>
        <w:tc>
          <w:tcPr>
            <w:tcW w:w="1318" w:type="dxa"/>
            <w:gridSpan w:val="6"/>
            <w:tcBorders/>
          </w:tcPr>
          <w:p>
            <w:pPr>
              <w:pStyle w:val="TableContents"/>
              <w:bidi w:val="0"/>
              <w:spacing w:before="0" w:after="283"/>
              <w:jc w:val="left"/>
              <w:rPr>
                <w:sz w:val="4"/>
                <w:szCs w:val="4"/>
              </w:rPr>
            </w:pPr>
            <w:r>
              <w:rPr>
                <w:sz w:val="4"/>
                <w:szCs w:val="4"/>
              </w:rPr>
            </w:r>
          </w:p>
        </w:tc>
      </w:tr>
      <w:tr>
        <w:trPr/>
        <w:tc>
          <w:tcPr>
            <w:tcW w:w="6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6141"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6"/>
              </w:rPr>
            </w:pPr>
            <w:r>
              <w:rPr>
                <w:rFonts w:ascii="Arial;sans-serif" w:hAnsi="Arial;sans-serif"/>
                <w:b w:val="false"/>
                <w:color w:val="000000"/>
                <w:sz w:val="16"/>
              </w:rPr>
              <w:t>Income (loss) before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612"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81 </w:t>
            </w:r>
          </w:p>
        </w:tc>
        <w:tc>
          <w:tcPr>
            <w:tcW w:w="480"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90"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(187)</w:t>
            </w:r>
          </w:p>
        </w:tc>
        <w:tc>
          <w:tcPr>
            <w:tcW w:w="305"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6"/>
              </w:rPr>
            </w:pPr>
            <w:r>
              <w:rPr>
                <w:rFonts w:ascii="Arial;sans-serif" w:hAnsi="Arial;sans-serif"/>
                <w:b w:val="false"/>
                <w:color w:val="000000"/>
                <w:sz w:val="16"/>
              </w:rPr>
              <w:t>Income tax benefit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6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1" w:type="dxa"/>
            <w:gridSpan w:val="3"/>
            <w:tcBorders/>
            <w:shd w:fill="E1E1E2"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6"/>
              </w:rPr>
            </w:pPr>
            <w:r>
              <w:rPr>
                <w:rFonts w:ascii="Arial;sans-serif" w:hAnsi="Arial;sans-serif"/>
                <w:b w:val="false"/>
                <w:color w:val="000000"/>
                <w:sz w:val="16"/>
              </w:rPr>
              <w:t>Effective tax rate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612"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22.2 </w:t>
            </w:r>
          </w:p>
        </w:tc>
        <w:tc>
          <w:tcPr>
            <w:tcW w:w="480" w:type="dxa"/>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27.8 </w:t>
            </w:r>
          </w:p>
        </w:tc>
        <w:tc>
          <w:tcPr>
            <w:tcW w:w="305" w:type="dxa"/>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614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Arial;sans-serif" w:hAnsi="Arial;sans-serif"/>
                <w:b w:val="false"/>
                <w:color w:val="000000"/>
                <w:sz w:val="16"/>
              </w:rPr>
            </w:pPr>
            <w:r>
              <w:rPr>
                <w:rFonts w:ascii="Arial;sans-serif" w:hAnsi="Arial;sans-serif"/>
                <w:b w:val="false"/>
                <w:color w:val="000000"/>
                <w:sz w:val="16"/>
              </w:rPr>
              <w:t>Income tax benefit (expense) computed at the federal income tax statutory tax rate of 21%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6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1"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Additional tax benefit (expense) due to:</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612"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612" w:type="dxa"/>
            <w:gridSpan w:val="3"/>
            <w:tcBorders/>
            <w:vAlign w:val="center"/>
          </w:tcPr>
          <w:p>
            <w:pPr>
              <w:pStyle w:val="TableContents"/>
              <w:bidi w:val="0"/>
              <w:spacing w:before="0" w:after="283"/>
              <w:jc w:val="left"/>
              <w:rPr>
                <w:sz w:val="4"/>
                <w:szCs w:val="4"/>
              </w:rPr>
            </w:pPr>
            <w:r>
              <w:rPr>
                <w:sz w:val="4"/>
                <w:szCs w:val="4"/>
              </w:rPr>
            </w:r>
          </w:p>
        </w:tc>
        <w:tc>
          <w:tcPr>
            <w:tcW w:w="16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r>
      <w:tr>
        <w:trPr/>
        <w:tc>
          <w:tcPr>
            <w:tcW w:w="6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Permanent differences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6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1"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State income taxes, net of federal benefit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612"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480"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5 </w:t>
            </w:r>
          </w:p>
        </w:tc>
        <w:tc>
          <w:tcPr>
            <w:tcW w:w="305"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612" w:type="dxa"/>
            <w:gridSpan w:val="3"/>
            <w:tcBorders/>
            <w:vAlign w:val="center"/>
          </w:tcPr>
          <w:p>
            <w:pPr>
              <w:pStyle w:val="TableContents"/>
              <w:bidi w:val="0"/>
              <w:spacing w:before="0" w:after="283"/>
              <w:jc w:val="left"/>
              <w:rPr>
                <w:sz w:val="4"/>
                <w:szCs w:val="4"/>
              </w:rPr>
            </w:pPr>
            <w:r>
              <w:rPr>
                <w:sz w:val="4"/>
                <w:szCs w:val="4"/>
              </w:rPr>
            </w:r>
          </w:p>
        </w:tc>
        <w:tc>
          <w:tcPr>
            <w:tcW w:w="16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r>
      <w:tr>
        <w:trPr/>
        <w:tc>
          <w:tcPr>
            <w:tcW w:w="6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NDT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6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612" w:type="dxa"/>
            <w:gridSpan w:val="3"/>
            <w:tcBorders/>
            <w:vAlign w:val="center"/>
          </w:tcPr>
          <w:p>
            <w:pPr>
              <w:pStyle w:val="TableContents"/>
              <w:bidi w:val="0"/>
              <w:spacing w:before="0" w:after="283"/>
              <w:jc w:val="left"/>
              <w:rPr>
                <w:sz w:val="4"/>
                <w:szCs w:val="4"/>
              </w:rPr>
            </w:pPr>
            <w:r>
              <w:rPr>
                <w:sz w:val="4"/>
                <w:szCs w:val="4"/>
              </w:rPr>
            </w:r>
          </w:p>
        </w:tc>
        <w:tc>
          <w:tcPr>
            <w:tcW w:w="16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r>
      <w:tr>
        <w:trPr/>
        <w:tc>
          <w:tcPr>
            <w:tcW w:w="61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612" w:type="dxa"/>
            <w:gridSpan w:val="3"/>
            <w:tcBorders/>
            <w:vAlign w:val="center"/>
          </w:tcPr>
          <w:p>
            <w:pPr>
              <w:pStyle w:val="TableContents"/>
              <w:bidi w:val="0"/>
              <w:spacing w:before="0" w:after="283"/>
              <w:jc w:val="left"/>
              <w:rPr>
                <w:sz w:val="4"/>
                <w:szCs w:val="4"/>
              </w:rPr>
            </w:pPr>
            <w:r>
              <w:rPr>
                <w:sz w:val="4"/>
                <w:szCs w:val="4"/>
              </w:rPr>
            </w:r>
          </w:p>
        </w:tc>
        <w:tc>
          <w:tcPr>
            <w:tcW w:w="16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r>
      <w:tr>
        <w:trPr/>
        <w:tc>
          <w:tcPr>
            <w:tcW w:w="61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612" w:type="dxa"/>
            <w:gridSpan w:val="3"/>
            <w:tcBorders/>
            <w:vAlign w:val="center"/>
          </w:tcPr>
          <w:p>
            <w:pPr>
              <w:pStyle w:val="TableContents"/>
              <w:bidi w:val="0"/>
              <w:spacing w:before="0" w:after="283"/>
              <w:jc w:val="left"/>
              <w:rPr>
                <w:sz w:val="4"/>
                <w:szCs w:val="4"/>
              </w:rPr>
            </w:pPr>
            <w:r>
              <w:rPr>
                <w:sz w:val="4"/>
                <w:szCs w:val="4"/>
              </w:rPr>
            </w:r>
          </w:p>
        </w:tc>
        <w:tc>
          <w:tcPr>
            <w:tcW w:w="16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r>
      <w:tr>
        <w:trPr/>
        <w:tc>
          <w:tcPr>
            <w:tcW w:w="61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612" w:type="dxa"/>
            <w:gridSpan w:val="3"/>
            <w:tcBorders/>
            <w:vAlign w:val="center"/>
          </w:tcPr>
          <w:p>
            <w:pPr>
              <w:pStyle w:val="TableContents"/>
              <w:bidi w:val="0"/>
              <w:spacing w:before="0" w:after="283"/>
              <w:jc w:val="left"/>
              <w:rPr>
                <w:sz w:val="4"/>
                <w:szCs w:val="4"/>
              </w:rPr>
            </w:pPr>
            <w:r>
              <w:rPr>
                <w:sz w:val="4"/>
                <w:szCs w:val="4"/>
              </w:rPr>
            </w:r>
          </w:p>
        </w:tc>
        <w:tc>
          <w:tcPr>
            <w:tcW w:w="16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r>
      <w:tr>
        <w:trPr/>
        <w:tc>
          <w:tcPr>
            <w:tcW w:w="61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612" w:type="dxa"/>
            <w:gridSpan w:val="3"/>
            <w:tcBorders/>
            <w:vAlign w:val="center"/>
          </w:tcPr>
          <w:p>
            <w:pPr>
              <w:pStyle w:val="TableContents"/>
              <w:bidi w:val="0"/>
              <w:spacing w:before="0" w:after="283"/>
              <w:jc w:val="left"/>
              <w:rPr>
                <w:sz w:val="4"/>
                <w:szCs w:val="4"/>
              </w:rPr>
            </w:pPr>
            <w:r>
              <w:rPr>
                <w:sz w:val="4"/>
                <w:szCs w:val="4"/>
              </w:rPr>
            </w:r>
          </w:p>
        </w:tc>
        <w:tc>
          <w:tcPr>
            <w:tcW w:w="16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r>
      <w:tr>
        <w:trPr/>
        <w:tc>
          <w:tcPr>
            <w:tcW w:w="6141" w:type="dxa"/>
            <w:gridSpan w:val="3"/>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 xml:space="preserve">Income tax benefit (expense)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612"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6"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(18)</w:t>
            </w:r>
          </w:p>
        </w:tc>
        <w:tc>
          <w:tcPr>
            <w:tcW w:w="480"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90"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52</w:t>
            </w:r>
            <w:r>
              <w:rPr>
                <w:color w:val="000000"/>
              </w:rPr>
              <w:t> </w:t>
            </w:r>
          </w:p>
        </w:tc>
        <w:tc>
          <w:tcPr>
            <w:tcW w:w="305"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16840"/>
                <wp:effectExtent l="0" t="0" r="0" b="0"/>
                <wp:wrapNone/>
                <wp:docPr id="12" name="Frame12"/>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10</w:t>
                      </w:r>
                    </w:p>
                  </w:txbxContent>
                </v:textbox>
                <w10:wrap type="none"/>
              </v:rect>
            </w:pict>
          </mc:Fallback>
        </mc:AlternateContent>
      </w:r>
    </w:p>
    <w:p>
      <w:pPr>
        <w:pStyle w:val="TextBody"/>
        <w:bidi w:val="0"/>
        <w:spacing w:lineRule="auto" w:line="288" w:before="0" w:after="180"/>
        <w:jc w:val="left"/>
        <w:rPr/>
      </w:pPr>
      <w:hyperlink w:anchor="if20e1f3d5a734e3eabbb6aa8f57c7562_45">
        <w:r>
          <w:rPr>
            <w:rStyle w:val="InternetLink"/>
            <w:rFonts w:ascii="Arial;sans-serif" w:hAnsi="Arial;sans-serif"/>
            <w:b w:val="false"/>
            <w:color w:val="0000FF"/>
            <w:sz w:val="18"/>
            <w:u w:val="single"/>
          </w:rPr>
          <w:t>Table of Contents</w:t>
        </w:r>
      </w:hyperlink>
    </w:p>
    <w:p>
      <w:pPr>
        <w:pStyle w:val="TextBody"/>
        <w:bidi w:val="0"/>
        <w:spacing w:lineRule="auto" w:line="288" w:before="0" w:after="180"/>
        <w:jc w:val="left"/>
        <w:rPr>
          <w:rFonts w:ascii="Arial;sans-serif" w:hAnsi="Arial;sans-serif"/>
          <w:b/>
          <w:color w:val="000000"/>
          <w:sz w:val="18"/>
        </w:rPr>
      </w:pPr>
      <w:r>
        <w:rPr>
          <w:rFonts w:ascii="Arial;sans-serif" w:hAnsi="Arial;sans-serif"/>
          <w:b/>
          <w:color w:val="000000"/>
          <w:sz w:val="18"/>
        </w:rPr>
        <w:t>5. Inventory</w:t>
      </w:r>
    </w:p>
    <w:tbl>
      <w:tblPr>
        <w:tblW w:w="5497" w:type="dxa"/>
        <w:jc w:val="left"/>
        <w:tblInd w:w="0" w:type="dxa"/>
        <w:tblLayout w:type="fixed"/>
        <w:tblCellMar>
          <w:top w:w="28" w:type="dxa"/>
          <w:left w:w="28" w:type="dxa"/>
          <w:bottom w:w="28" w:type="dxa"/>
          <w:right w:w="28" w:type="dxa"/>
        </w:tblCellMar>
      </w:tblPr>
      <w:tblGrid>
        <w:gridCol w:w="1000"/>
        <w:gridCol w:w="876"/>
        <w:gridCol w:w="898"/>
        <w:gridCol w:w="109"/>
        <w:gridCol w:w="109"/>
        <w:gridCol w:w="109"/>
        <w:gridCol w:w="226"/>
        <w:gridCol w:w="503"/>
        <w:gridCol w:w="125"/>
        <w:gridCol w:w="109"/>
        <w:gridCol w:w="109"/>
        <w:gridCol w:w="109"/>
        <w:gridCol w:w="302"/>
        <w:gridCol w:w="673"/>
        <w:gridCol w:w="240"/>
      </w:tblGrid>
      <w:tr>
        <w:trPr/>
        <w:tc>
          <w:tcPr>
            <w:tcW w:w="1000"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r>
      <w:tr>
        <w:trPr/>
        <w:tc>
          <w:tcPr>
            <w:tcW w:w="27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4" w:type="dxa"/>
            <w:gridSpan w:val="3"/>
            <w:tcBorders/>
            <w:vAlign w:val="center"/>
          </w:tcPr>
          <w:p>
            <w:pPr>
              <w:pStyle w:val="TableContents"/>
              <w:bidi w:val="0"/>
              <w:spacing w:before="0" w:after="283"/>
              <w:jc w:val="left"/>
              <w:rPr>
                <w:sz w:val="4"/>
                <w:szCs w:val="4"/>
              </w:rPr>
            </w:pPr>
            <w:r>
              <w:rPr>
                <w:sz w:val="4"/>
                <w:szCs w:val="4"/>
              </w:rPr>
            </w:r>
          </w:p>
        </w:tc>
        <w:tc>
          <w:tcPr>
            <w:tcW w:w="1542" w:type="dxa"/>
            <w:gridSpan w:val="6"/>
            <w:tcBorders/>
          </w:tcPr>
          <w:p>
            <w:pPr>
              <w:pStyle w:val="TableContents"/>
              <w:bidi w:val="0"/>
              <w:spacing w:before="0" w:after="283"/>
              <w:jc w:val="left"/>
              <w:rPr>
                <w:sz w:val="4"/>
                <w:szCs w:val="4"/>
              </w:rPr>
            </w:pPr>
            <w:r>
              <w:rPr>
                <w:sz w:val="4"/>
                <w:szCs w:val="4"/>
              </w:rPr>
            </w:r>
          </w:p>
        </w:tc>
      </w:tr>
      <w:tr>
        <w:trPr/>
        <w:tc>
          <w:tcPr>
            <w:tcW w:w="2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March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w:t>
              <w:br/>
              <w:t>2025</w:t>
            </w:r>
          </w:p>
        </w:tc>
      </w:tr>
      <w:tr>
        <w:trPr/>
        <w:tc>
          <w:tcPr>
            <w:tcW w:w="2774"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Coal</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03"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73 </w:t>
            </w:r>
          </w:p>
        </w:tc>
        <w:tc>
          <w:tcPr>
            <w:tcW w:w="125"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73"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94 </w:t>
            </w:r>
          </w:p>
        </w:tc>
        <w:tc>
          <w:tcPr>
            <w:tcW w:w="240"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Oil products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4"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Fuel inventory for electric generation</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2"/>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114 </w:t>
            </w:r>
          </w:p>
        </w:tc>
        <w:tc>
          <w:tcPr>
            <w:tcW w:w="125"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151 </w:t>
            </w:r>
          </w:p>
        </w:tc>
        <w:tc>
          <w:tcPr>
            <w:tcW w:w="240"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Materials and supplies,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128 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124 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4"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Environmental products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125"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3 </w:t>
            </w:r>
          </w:p>
        </w:tc>
        <w:tc>
          <w:tcPr>
            <w:tcW w:w="240"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4" w:type="dxa"/>
            <w:gridSpan w:val="3"/>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Inventory,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244</w:t>
            </w:r>
            <w:r>
              <w:rPr>
                <w:color w:val="000000"/>
              </w:rPr>
              <w:t> </w:t>
            </w:r>
          </w:p>
        </w:tc>
        <w:tc>
          <w:tcPr>
            <w:tcW w:w="1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278</w:t>
            </w:r>
            <w:r>
              <w:rPr>
                <w:color w:val="000000"/>
              </w:rPr>
              <w:t> </w:t>
            </w:r>
          </w:p>
        </w:tc>
        <w:tc>
          <w:tcPr>
            <w:tcW w:w="2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0000"/>
          <w:sz w:val="18"/>
        </w:rPr>
      </w:pPr>
      <w:r>
        <w:rPr>
          <w:rFonts w:ascii="Arial;sans-serif" w:hAnsi="Arial;sans-serif"/>
          <w:b/>
          <w:color w:val="000000"/>
          <w:sz w:val="18"/>
        </w:rPr>
        <w:t>6. Nuclear Decommissioning Trust Funds</w:t>
      </w:r>
    </w:p>
    <w:tbl>
      <w:tblPr>
        <w:tblW w:w="11080" w:type="dxa"/>
        <w:jc w:val="left"/>
        <w:tblInd w:w="0" w:type="dxa"/>
        <w:tblLayout w:type="fixed"/>
        <w:tblCellMar>
          <w:top w:w="28" w:type="dxa"/>
          <w:left w:w="28" w:type="dxa"/>
          <w:bottom w:w="28" w:type="dxa"/>
          <w:right w:w="28" w:type="dxa"/>
        </w:tblCellMar>
      </w:tblPr>
      <w:tblGrid>
        <w:gridCol w:w="417"/>
        <w:gridCol w:w="301"/>
        <w:gridCol w:w="303"/>
        <w:gridCol w:w="109"/>
        <w:gridCol w:w="109"/>
        <w:gridCol w:w="109"/>
        <w:gridCol w:w="208"/>
        <w:gridCol w:w="606"/>
        <w:gridCol w:w="117"/>
        <w:gridCol w:w="109"/>
        <w:gridCol w:w="109"/>
        <w:gridCol w:w="109"/>
        <w:gridCol w:w="250"/>
        <w:gridCol w:w="556"/>
        <w:gridCol w:w="140"/>
        <w:gridCol w:w="109"/>
        <w:gridCol w:w="109"/>
        <w:gridCol w:w="109"/>
        <w:gridCol w:w="260"/>
        <w:gridCol w:w="540"/>
        <w:gridCol w:w="146"/>
        <w:gridCol w:w="109"/>
        <w:gridCol w:w="109"/>
        <w:gridCol w:w="109"/>
        <w:gridCol w:w="196"/>
        <w:gridCol w:w="571"/>
        <w:gridCol w:w="109"/>
        <w:gridCol w:w="109"/>
        <w:gridCol w:w="109"/>
        <w:gridCol w:w="109"/>
        <w:gridCol w:w="208"/>
        <w:gridCol w:w="606"/>
        <w:gridCol w:w="117"/>
        <w:gridCol w:w="109"/>
        <w:gridCol w:w="109"/>
        <w:gridCol w:w="109"/>
        <w:gridCol w:w="250"/>
        <w:gridCol w:w="556"/>
        <w:gridCol w:w="140"/>
        <w:gridCol w:w="109"/>
        <w:gridCol w:w="109"/>
        <w:gridCol w:w="109"/>
        <w:gridCol w:w="260"/>
        <w:gridCol w:w="540"/>
        <w:gridCol w:w="146"/>
        <w:gridCol w:w="109"/>
        <w:gridCol w:w="109"/>
        <w:gridCol w:w="109"/>
        <w:gridCol w:w="196"/>
        <w:gridCol w:w="571"/>
        <w:gridCol w:w="154"/>
      </w:tblGrid>
      <w:tr>
        <w:trPr/>
        <w:tc>
          <w:tcPr>
            <w:tcW w:w="417"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8801" w:type="dxa"/>
            <w:gridSpan w:val="42"/>
            <w:tcBorders/>
          </w:tcPr>
          <w:p>
            <w:pPr>
              <w:pStyle w:val="TableContents"/>
              <w:bidi w:val="0"/>
              <w:spacing w:before="0" w:after="283"/>
              <w:jc w:val="left"/>
              <w:rPr>
                <w:sz w:val="4"/>
                <w:szCs w:val="4"/>
              </w:rPr>
            </w:pPr>
            <w:r>
              <w:rPr>
                <w:sz w:val="4"/>
                <w:szCs w:val="4"/>
              </w:rPr>
            </w:r>
          </w:p>
        </w:tc>
      </w:tr>
      <w:tr>
        <w:trPr/>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2025</w:t>
            </w:r>
          </w:p>
        </w:tc>
      </w:tr>
      <w:tr>
        <w:trPr/>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Unrealized 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Unrealized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Unrealized 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Unrealized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Fair Value</w:t>
            </w:r>
          </w:p>
        </w:tc>
      </w:tr>
      <w:tr>
        <w:trPr/>
        <w:tc>
          <w:tcPr>
            <w:tcW w:w="1021"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equivalents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0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16 </w:t>
            </w:r>
          </w:p>
        </w:tc>
        <w:tc>
          <w:tcPr>
            <w:tcW w:w="117"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40"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71"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16 </w:t>
            </w:r>
          </w:p>
        </w:tc>
        <w:tc>
          <w:tcPr>
            <w:tcW w:w="109"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0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16 </w:t>
            </w:r>
          </w:p>
        </w:tc>
        <w:tc>
          <w:tcPr>
            <w:tcW w:w="117"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40"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71"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16 </w:t>
            </w:r>
          </w:p>
        </w:tc>
        <w:tc>
          <w:tcPr>
            <w:tcW w:w="154"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Equity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388 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706 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385 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739 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Debt securities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780 </w:t>
            </w:r>
          </w:p>
        </w:tc>
        <w:tc>
          <w:tcPr>
            <w:tcW w:w="117"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4 </w:t>
            </w:r>
          </w:p>
        </w:tc>
        <w:tc>
          <w:tcPr>
            <w:tcW w:w="140"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w:t>
            </w:r>
          </w:p>
        </w:tc>
        <w:tc>
          <w:tcPr>
            <w:tcW w:w="146"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775 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773 </w:t>
            </w:r>
          </w:p>
        </w:tc>
        <w:tc>
          <w:tcPr>
            <w:tcW w:w="117"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7 </w:t>
            </w:r>
          </w:p>
        </w:tc>
        <w:tc>
          <w:tcPr>
            <w:tcW w:w="140"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w:t>
            </w:r>
          </w:p>
        </w:tc>
        <w:tc>
          <w:tcPr>
            <w:tcW w:w="146"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777 </w:t>
            </w:r>
          </w:p>
        </w:tc>
        <w:tc>
          <w:tcPr>
            <w:tcW w:w="154" w:type="dxa"/>
            <w:tcBorders/>
            <w:shd w:fill="E1E1E2"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Receivables (payables),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NDT Funds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06"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1,190</w:t>
            </w:r>
            <w:r>
              <w:rPr>
                <w:color w:val="000000"/>
              </w:rPr>
              <w:t> </w:t>
            </w:r>
          </w:p>
        </w:tc>
        <w:tc>
          <w:tcPr>
            <w:tcW w:w="117"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56"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710</w:t>
            </w:r>
            <w:r>
              <w:rPr>
                <w:color w:val="000000"/>
              </w:rPr>
              <w:t> </w:t>
            </w:r>
          </w:p>
        </w:tc>
        <w:tc>
          <w:tcPr>
            <w:tcW w:w="140"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40"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(31)</w:t>
            </w:r>
          </w:p>
        </w:tc>
        <w:tc>
          <w:tcPr>
            <w:tcW w:w="146"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1,869</w:t>
            </w:r>
            <w:r>
              <w:rPr>
                <w:color w:val="000000"/>
              </w:rPr>
              <w:t> </w:t>
            </w:r>
          </w:p>
        </w:tc>
        <w:tc>
          <w:tcPr>
            <w:tcW w:w="109"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06"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1,176</w:t>
            </w:r>
            <w:r>
              <w:rPr>
                <w:color w:val="000000"/>
              </w:rPr>
              <w:t> </w:t>
            </w:r>
          </w:p>
        </w:tc>
        <w:tc>
          <w:tcPr>
            <w:tcW w:w="117"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56"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746</w:t>
            </w:r>
            <w:r>
              <w:rPr>
                <w:color w:val="000000"/>
              </w:rPr>
              <w:t> </w:t>
            </w:r>
          </w:p>
        </w:tc>
        <w:tc>
          <w:tcPr>
            <w:tcW w:w="140"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40"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(22)</w:t>
            </w:r>
          </w:p>
        </w:tc>
        <w:tc>
          <w:tcPr>
            <w:tcW w:w="146"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1,900</w:t>
            </w:r>
            <w:r>
              <w:rPr>
                <w:color w:val="000000"/>
              </w:rPr>
              <w:t> </w:t>
            </w:r>
          </w:p>
        </w:tc>
        <w:tc>
          <w:tcPr>
            <w:tcW w:w="154"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Arial;sans-serif" w:hAnsi="Arial;sans-serif"/>
          <w:b w:val="false"/>
          <w:color w:val="000000"/>
          <w:sz w:val="18"/>
        </w:rPr>
      </w:pPr>
      <w:r>
        <w:rPr>
          <w:rFonts w:ascii="Arial;sans-serif" w:hAnsi="Arial;sans-serif"/>
          <w:b w:val="false"/>
          <w:color w:val="000000"/>
          <w:sz w:val="18"/>
        </w:rPr>
        <w:t>See Note 11 for additional information on the NDT fair value. There were no available-for-sale debt securities with credit losses as of March 31, 2026 and December 31, 2025.</w:t>
      </w:r>
    </w:p>
    <w:p>
      <w:pPr>
        <w:pStyle w:val="TextBody"/>
        <w:bidi w:val="0"/>
        <w:spacing w:lineRule="auto" w:line="288" w:before="0" w:after="180"/>
        <w:ind w:left="0" w:right="0" w:firstLine="360"/>
        <w:jc w:val="left"/>
        <w:rPr>
          <w:rFonts w:ascii="Arial;sans-serif" w:hAnsi="Arial;sans-serif"/>
          <w:b w:val="false"/>
          <w:color w:val="000000"/>
          <w:sz w:val="18"/>
        </w:rPr>
      </w:pPr>
      <w:r>
        <w:rPr>
          <w:rFonts w:ascii="Arial;sans-serif" w:hAnsi="Arial;sans-serif"/>
          <w:b w:val="false"/>
          <w:color w:val="000000"/>
          <w:sz w:val="18"/>
        </w:rPr>
        <w:t>As of March 31, 2026, there was no intent to sell available-for-sale debt securities with unrealized losses, and it is not more likely than not that each of these investments will be required to be sold before the recovery of its amortized cost. The aggregate fair value of available-for-sale debt securities with unrealized losses as of March 31, 2026 was:</w:t>
      </w:r>
    </w:p>
    <w:tbl>
      <w:tblPr>
        <w:tblW w:w="6593" w:type="dxa"/>
        <w:jc w:val="left"/>
        <w:tblInd w:w="0" w:type="dxa"/>
        <w:tblLayout w:type="fixed"/>
        <w:tblCellMar>
          <w:top w:w="28" w:type="dxa"/>
          <w:left w:w="28" w:type="dxa"/>
          <w:bottom w:w="28" w:type="dxa"/>
          <w:right w:w="28" w:type="dxa"/>
        </w:tblCellMar>
      </w:tblPr>
      <w:tblGrid>
        <w:gridCol w:w="1249"/>
        <w:gridCol w:w="1096"/>
        <w:gridCol w:w="1104"/>
        <w:gridCol w:w="109"/>
        <w:gridCol w:w="109"/>
        <w:gridCol w:w="109"/>
        <w:gridCol w:w="234"/>
        <w:gridCol w:w="521"/>
        <w:gridCol w:w="130"/>
        <w:gridCol w:w="109"/>
        <w:gridCol w:w="109"/>
        <w:gridCol w:w="109"/>
        <w:gridCol w:w="518"/>
        <w:gridCol w:w="677"/>
        <w:gridCol w:w="410"/>
      </w:tblGrid>
      <w:tr>
        <w:trPr/>
        <w:tc>
          <w:tcPr>
            <w:tcW w:w="1249"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Unrealized Losses</w:t>
            </w:r>
          </w:p>
        </w:tc>
      </w:tr>
      <w:tr>
        <w:trPr/>
        <w:tc>
          <w:tcPr>
            <w:tcW w:w="3449"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Corporate debt securities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21"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198 </w:t>
            </w:r>
          </w:p>
        </w:tc>
        <w:tc>
          <w:tcPr>
            <w:tcW w:w="130"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77"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w:t>
            </w:r>
          </w:p>
        </w:tc>
        <w:tc>
          <w:tcPr>
            <w:tcW w:w="410"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Municipal debt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4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U.S. Government debt securities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271 </w:t>
            </w:r>
          </w:p>
        </w:tc>
        <w:tc>
          <w:tcPr>
            <w:tcW w:w="130"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w:t>
            </w:r>
          </w:p>
        </w:tc>
        <w:tc>
          <w:tcPr>
            <w:tcW w:w="410"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Debt securities in unrealized loss position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530</w:t>
            </w:r>
            <w:r>
              <w:rPr>
                <w:color w:val="000000"/>
              </w:rPr>
              <w:t> </w:t>
            </w:r>
          </w:p>
        </w:tc>
        <w:tc>
          <w:tcPr>
            <w:tcW w:w="1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(9)</w:t>
            </w:r>
          </w:p>
        </w:tc>
        <w:tc>
          <w:tcPr>
            <w:tcW w:w="4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Arial;sans-serif" w:hAnsi="Arial;sans-serif"/>
          <w:b w:val="false"/>
          <w:color w:val="000000"/>
          <w:sz w:val="18"/>
        </w:rPr>
      </w:pPr>
      <w:r>
        <w:rPr>
          <w:rFonts w:ascii="Arial;sans-serif" w:hAnsi="Arial;sans-serif"/>
          <w:b w:val="false"/>
          <w:color w:val="000000"/>
          <w:sz w:val="18"/>
        </w:rPr>
        <w:t>As of March 31, 2026, the aggregate fair value of debt securities whose carrying value was below the purchase price for a duration of one year or longer were $132 million and the unrealized losses related to such securities were non-material.</w:t>
      </w:r>
    </w:p>
    <w:p>
      <w:pPr>
        <w:pStyle w:val="TextBody"/>
        <w:bidi w:val="0"/>
        <w:spacing w:lineRule="auto" w:line="288" w:before="0" w:after="180"/>
        <w:ind w:left="0" w:right="0" w:firstLine="360"/>
        <w:jc w:val="left"/>
        <w:rPr/>
      </w:pPr>
      <w:r>
        <w:rPr>
          <w:rFonts w:ascii="Arial;sans-serif" w:hAnsi="Arial;sans-serif"/>
          <w:b w:val="false"/>
          <w:color w:val="000000"/>
          <w:sz w:val="18"/>
        </w:rPr>
        <w:t>The contractual maturities for available-for-sale debt securities presented on the Consolidated Balance Sheets were:</w:t>
      </w:r>
      <w:r>
        <w:rPr>
          <w:color w:val="000000"/>
        </w:rPr>
        <w:t xml:space="preserve"> </w:t>
      </w:r>
    </w:p>
    <w:tbl>
      <w:tblPr>
        <w:tblW w:w="5243" w:type="dxa"/>
        <w:jc w:val="left"/>
        <w:tblInd w:w="0" w:type="dxa"/>
        <w:tblLayout w:type="fixed"/>
        <w:tblCellMar>
          <w:top w:w="28" w:type="dxa"/>
          <w:left w:w="28" w:type="dxa"/>
          <w:bottom w:w="28" w:type="dxa"/>
          <w:right w:w="28" w:type="dxa"/>
        </w:tblCellMar>
      </w:tblPr>
      <w:tblGrid>
        <w:gridCol w:w="912"/>
        <w:gridCol w:w="802"/>
        <w:gridCol w:w="806"/>
        <w:gridCol w:w="109"/>
        <w:gridCol w:w="109"/>
        <w:gridCol w:w="109"/>
        <w:gridCol w:w="226"/>
        <w:gridCol w:w="503"/>
        <w:gridCol w:w="125"/>
        <w:gridCol w:w="109"/>
        <w:gridCol w:w="109"/>
        <w:gridCol w:w="109"/>
        <w:gridCol w:w="302"/>
        <w:gridCol w:w="673"/>
        <w:gridCol w:w="240"/>
      </w:tblGrid>
      <w:tr>
        <w:trPr/>
        <w:tc>
          <w:tcPr>
            <w:tcW w:w="912"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r>
      <w:tr>
        <w:trPr/>
        <w:tc>
          <w:tcPr>
            <w:tcW w:w="25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4" w:type="dxa"/>
            <w:gridSpan w:val="3"/>
            <w:tcBorders/>
            <w:vAlign w:val="center"/>
          </w:tcPr>
          <w:p>
            <w:pPr>
              <w:pStyle w:val="TableContents"/>
              <w:bidi w:val="0"/>
              <w:spacing w:before="0" w:after="283"/>
              <w:jc w:val="left"/>
              <w:rPr>
                <w:sz w:val="4"/>
                <w:szCs w:val="4"/>
              </w:rPr>
            </w:pPr>
            <w:r>
              <w:rPr>
                <w:sz w:val="4"/>
                <w:szCs w:val="4"/>
              </w:rPr>
            </w:r>
          </w:p>
        </w:tc>
        <w:tc>
          <w:tcPr>
            <w:tcW w:w="1542" w:type="dxa"/>
            <w:gridSpan w:val="6"/>
            <w:tcBorders/>
          </w:tcPr>
          <w:p>
            <w:pPr>
              <w:pStyle w:val="TableContents"/>
              <w:bidi w:val="0"/>
              <w:spacing w:before="0" w:after="283"/>
              <w:jc w:val="left"/>
              <w:rPr>
                <w:sz w:val="4"/>
                <w:szCs w:val="4"/>
              </w:rPr>
            </w:pPr>
            <w:r>
              <w:rPr>
                <w:sz w:val="4"/>
                <w:szCs w:val="4"/>
              </w:rPr>
            </w:r>
          </w:p>
        </w:tc>
      </w:tr>
      <w:tr>
        <w:trPr/>
        <w:tc>
          <w:tcPr>
            <w:tcW w:w="2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March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w:t>
              <w:br/>
              <w:t>2025</w:t>
            </w:r>
          </w:p>
        </w:tc>
      </w:tr>
      <w:tr>
        <w:trPr/>
        <w:tc>
          <w:tcPr>
            <w:tcW w:w="2520"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Maturities within one year</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03"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11 </w:t>
            </w:r>
          </w:p>
        </w:tc>
        <w:tc>
          <w:tcPr>
            <w:tcW w:w="125"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73"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23 </w:t>
            </w:r>
          </w:p>
        </w:tc>
        <w:tc>
          <w:tcPr>
            <w:tcW w:w="240"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Maturities within two to five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231 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233 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Maturities thereafter</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533 </w:t>
            </w:r>
          </w:p>
        </w:tc>
        <w:tc>
          <w:tcPr>
            <w:tcW w:w="125"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521 </w:t>
            </w:r>
          </w:p>
        </w:tc>
        <w:tc>
          <w:tcPr>
            <w:tcW w:w="240"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Debt securities, 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775</w:t>
            </w:r>
            <w:r>
              <w:rPr>
                <w:color w:val="000000"/>
              </w:rPr>
              <w:t> </w:t>
            </w:r>
          </w:p>
        </w:tc>
        <w:tc>
          <w:tcPr>
            <w:tcW w:w="1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777</w:t>
            </w:r>
            <w:r>
              <w:rPr>
                <w:color w:val="000000"/>
              </w:rPr>
              <w:t> </w:t>
            </w:r>
          </w:p>
        </w:tc>
        <w:tc>
          <w:tcPr>
            <w:tcW w:w="2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Arial;sans-serif" w:hAnsi="Arial;sans-serif"/>
          <w:b w:val="false"/>
          <w:color w:val="000000"/>
          <w:sz w:val="18"/>
        </w:rPr>
      </w:pPr>
      <w:r>
        <w:rPr>
          <w:rFonts w:ascii="Arial;sans-serif" w:hAnsi="Arial;sans-serif"/>
          <w:b w:val="false"/>
          <w:color w:val="000000"/>
          <w:sz w:val="18"/>
        </w:rPr>
        <w:t>The sales proceeds, gains, and losses for available-for-sale debt securities for the periods were:</w:t>
      </w:r>
    </w:p>
    <w:tbl>
      <w:tblPr>
        <w:tblW w:w="7892" w:type="dxa"/>
        <w:jc w:val="left"/>
        <w:tblInd w:w="0" w:type="dxa"/>
        <w:tblLayout w:type="fixed"/>
        <w:tblCellMar>
          <w:top w:w="28" w:type="dxa"/>
          <w:left w:w="28" w:type="dxa"/>
          <w:bottom w:w="28" w:type="dxa"/>
          <w:right w:w="28" w:type="dxa"/>
        </w:tblCellMar>
      </w:tblPr>
      <w:tblGrid>
        <w:gridCol w:w="1221"/>
        <w:gridCol w:w="1073"/>
        <w:gridCol w:w="1080"/>
        <w:gridCol w:w="109"/>
        <w:gridCol w:w="109"/>
        <w:gridCol w:w="109"/>
        <w:gridCol w:w="259"/>
        <w:gridCol w:w="259"/>
        <w:gridCol w:w="259"/>
        <w:gridCol w:w="259"/>
        <w:gridCol w:w="466"/>
        <w:gridCol w:w="787"/>
        <w:gridCol w:w="259"/>
        <w:gridCol w:w="109"/>
        <w:gridCol w:w="109"/>
        <w:gridCol w:w="109"/>
        <w:gridCol w:w="196"/>
        <w:gridCol w:w="421"/>
        <w:gridCol w:w="109"/>
        <w:gridCol w:w="109"/>
        <w:gridCol w:w="109"/>
        <w:gridCol w:w="109"/>
        <w:gridCol w:w="109"/>
        <w:gridCol w:w="154"/>
      </w:tblGrid>
      <w:tr>
        <w:trPr/>
        <w:tc>
          <w:tcPr>
            <w:tcW w:w="1221"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8"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March 31,</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3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7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74"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Sales proceeds of NDT funds investments </w:t>
            </w:r>
            <w:r>
              <w:rPr>
                <w:rFonts w:ascii="Arial;sans-serif" w:hAnsi="Arial;sans-serif"/>
                <w:b w:val="false"/>
                <w:color w:val="000000"/>
                <w:sz w:val="10"/>
              </w:rPr>
              <w:t>(a)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77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87"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80 </w:t>
            </w:r>
          </w:p>
        </w:tc>
        <w:tc>
          <w:tcPr>
            <w:tcW w:w="259"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576 </w:t>
            </w:r>
          </w:p>
        </w:tc>
        <w:tc>
          <w:tcPr>
            <w:tcW w:w="109"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Realized gains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7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74" w:type="dxa"/>
            <w:gridSpan w:val="3"/>
            <w:tcBorders>
              <w:bottom w:val="single" w:sz="8" w:space="0" w:color="000000"/>
            </w:tcBorders>
            <w:shd w:fill="E1E1E2"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Realized losses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77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bottom w:val="single" w:sz="8" w:space="0" w:color="000000"/>
            </w:tcBorders>
            <w:shd w:fill="E1E1E2"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59" w:type="dxa"/>
            <w:tcBorders>
              <w:bottom w:val="single" w:sz="8" w:space="0" w:color="000000"/>
            </w:tcBorders>
            <w:shd w:fill="E1E1E2"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bottom w:val="single" w:sz="8" w:space="0" w:color="000000"/>
            </w:tcBorders>
            <w:shd w:fill="E1E1E2"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w:t>
            </w:r>
          </w:p>
        </w:tc>
        <w:tc>
          <w:tcPr>
            <w:tcW w:w="109" w:type="dxa"/>
            <w:tcBorders>
              <w:bottom w:val="single" w:sz="8" w:space="0" w:color="000000"/>
            </w:tcBorders>
            <w:shd w:fill="E1E1E2"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Arial;sans-serif" w:hAnsi="Arial;sans-serif"/>
          <w:b w:val="false"/>
          <w:color w:val="000000"/>
          <w:sz w:val="14"/>
        </w:rPr>
      </w:pPr>
      <w:r>
        <w:rPr>
          <w:rFonts w:ascii="Arial;sans-serif" w:hAnsi="Arial;sans-serif"/>
          <w:b w:val="false"/>
          <w:color w:val="000000"/>
          <w:sz w:val="14"/>
        </w:rPr>
        <w:t>__________________</w:t>
      </w:r>
    </w:p>
    <w:p>
      <w:pPr>
        <w:pStyle w:val="TextBody"/>
        <w:bidi w:val="0"/>
        <w:spacing w:lineRule="auto" w:line="288" w:before="0" w:after="180"/>
        <w:ind w:left="0" w:right="0" w:hanging="360"/>
        <w:jc w:val="left"/>
        <w:rPr>
          <w:rFonts w:ascii="Arial;sans-serif" w:hAnsi="Arial;sans-serif"/>
          <w:b w:val="false"/>
          <w:color w:val="000000"/>
          <w:sz w:val="14"/>
        </w:rPr>
      </w:pPr>
      <w:r>
        <w:rPr>
          <w:rFonts w:ascii="Arial;sans-serif" w:hAnsi="Arial;sans-serif"/>
          <w:b w:val="false"/>
          <w:color w:val="000000"/>
          <w:sz w:val="14"/>
        </w:rPr>
        <w:t>(a)Sales proceeds are used to pay income taxes and trust management fees. Remaining proceeds are reinvested in the NDT.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16840"/>
                <wp:effectExtent l="0" t="0" r="0" b="0"/>
                <wp:wrapNone/>
                <wp:docPr id="13" name="Frame13"/>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11</w:t>
                      </w:r>
                    </w:p>
                  </w:txbxContent>
                </v:textbox>
                <w10:wrap type="none"/>
              </v:rect>
            </w:pict>
          </mc:Fallback>
        </mc:AlternateContent>
      </w:r>
    </w:p>
    <w:p>
      <w:pPr>
        <w:pStyle w:val="TextBody"/>
        <w:bidi w:val="0"/>
        <w:spacing w:lineRule="auto" w:line="288" w:before="0" w:after="180"/>
        <w:jc w:val="left"/>
        <w:rPr/>
      </w:pPr>
      <w:hyperlink w:anchor="if20e1f3d5a734e3eabbb6aa8f57c7562_45">
        <w:r>
          <w:rPr>
            <w:rStyle w:val="InternetLink"/>
            <w:rFonts w:ascii="Arial;sans-serif" w:hAnsi="Arial;sans-serif"/>
            <w:b w:val="false"/>
            <w:color w:val="0000FF"/>
            <w:sz w:val="18"/>
            <w:u w:val="single"/>
          </w:rPr>
          <w:t>Table of Contents</w:t>
        </w:r>
      </w:hyperlink>
    </w:p>
    <w:p>
      <w:pPr>
        <w:pStyle w:val="TextBody"/>
        <w:bidi w:val="0"/>
        <w:spacing w:lineRule="auto" w:line="288" w:before="0" w:after="180"/>
        <w:ind w:left="0" w:right="0" w:firstLine="360"/>
        <w:jc w:val="left"/>
        <w:rPr>
          <w:rFonts w:ascii="Arial;sans-serif" w:hAnsi="Arial;sans-serif"/>
          <w:b w:val="false"/>
          <w:color w:val="000000"/>
          <w:sz w:val="18"/>
        </w:rPr>
      </w:pPr>
      <w:r>
        <w:rPr>
          <w:rFonts w:ascii="Arial;sans-serif" w:hAnsi="Arial;sans-serif"/>
          <w:b w:val="false"/>
          <w:color w:val="000000"/>
          <w:sz w:val="18"/>
        </w:rPr>
        <w:t>The net unrealized gains and losses recognized associated with equity securities still held at the end of the reporting periods were:</w:t>
      </w:r>
    </w:p>
    <w:tbl>
      <w:tblPr>
        <w:tblW w:w="7742" w:type="dxa"/>
        <w:jc w:val="left"/>
        <w:tblInd w:w="0" w:type="dxa"/>
        <w:tblLayout w:type="fixed"/>
        <w:tblCellMar>
          <w:top w:w="28" w:type="dxa"/>
          <w:left w:w="28" w:type="dxa"/>
          <w:bottom w:w="28" w:type="dxa"/>
          <w:right w:w="28" w:type="dxa"/>
        </w:tblCellMar>
      </w:tblPr>
      <w:tblGrid>
        <w:gridCol w:w="1172"/>
        <w:gridCol w:w="1030"/>
        <w:gridCol w:w="1038"/>
        <w:gridCol w:w="109"/>
        <w:gridCol w:w="109"/>
        <w:gridCol w:w="109"/>
        <w:gridCol w:w="242"/>
        <w:gridCol w:w="242"/>
        <w:gridCol w:w="242"/>
        <w:gridCol w:w="242"/>
        <w:gridCol w:w="435"/>
        <w:gridCol w:w="902"/>
        <w:gridCol w:w="242"/>
        <w:gridCol w:w="109"/>
        <w:gridCol w:w="109"/>
        <w:gridCol w:w="109"/>
        <w:gridCol w:w="196"/>
        <w:gridCol w:w="406"/>
        <w:gridCol w:w="109"/>
        <w:gridCol w:w="109"/>
        <w:gridCol w:w="109"/>
        <w:gridCol w:w="109"/>
        <w:gridCol w:w="109"/>
        <w:gridCol w:w="154"/>
      </w:tblGrid>
      <w:tr>
        <w:trPr/>
        <w:tc>
          <w:tcPr>
            <w:tcW w:w="1172"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7"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March 31,</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3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90"/>
              <w:jc w:val="left"/>
              <w:rPr>
                <w:sz w:val="4"/>
                <w:szCs w:val="4"/>
              </w:rPr>
            </w:pPr>
            <w:r>
              <w:rPr>
                <w:sz w:val="4"/>
                <w:szCs w:val="4"/>
              </w:rPr>
            </w:r>
          </w:p>
        </w:tc>
      </w:tr>
      <w:tr>
        <w:trPr/>
        <w:tc>
          <w:tcPr>
            <w:tcW w:w="3240" w:type="dxa"/>
            <w:gridSpan w:val="3"/>
            <w:tcBorders>
              <w:top w:val="single" w:sz="8" w:space="0" w:color="000000"/>
              <w:bottom w:val="sing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Equity securities, unrealized gains (losses)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26"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tcBorders>
              <w:top w:val="single" w:sz="8" w:space="0" w:color="000000"/>
              <w:bottom w:val="sing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02" w:type="dxa"/>
            <w:tcBorders>
              <w:top w:val="single" w:sz="8" w:space="0" w:color="000000"/>
              <w:bottom w:val="sing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w:t>
            </w:r>
          </w:p>
        </w:tc>
        <w:tc>
          <w:tcPr>
            <w:tcW w:w="242" w:type="dxa"/>
            <w:tcBorders>
              <w:top w:val="single" w:sz="8" w:space="0" w:color="000000"/>
              <w:bottom w:val="single" w:sz="8" w:space="0" w:color="000000"/>
            </w:tcBorders>
            <w:shd w:fill="E1E1E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tcBorders>
              <w:top w:val="single" w:sz="8" w:space="0" w:color="000000"/>
              <w:bottom w:val="sing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w:t>
            </w:r>
          </w:p>
        </w:tc>
        <w:tc>
          <w:tcPr>
            <w:tcW w:w="109" w:type="dxa"/>
            <w:tcBorders>
              <w:top w:val="single" w:sz="8" w:space="0" w:color="000000"/>
              <w:bottom w:val="single" w:sz="8" w:space="0" w:color="000000"/>
            </w:tcBorders>
            <w:shd w:fill="E1E1E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0000"/>
          <w:sz w:val="18"/>
        </w:rPr>
      </w:pPr>
      <w:r>
        <w:rPr>
          <w:rFonts w:ascii="Arial;sans-serif" w:hAnsi="Arial;sans-serif"/>
          <w:b/>
          <w:color w:val="000000"/>
          <w:sz w:val="18"/>
        </w:rPr>
        <w:t>7. Property, Plant and Equipment</w:t>
      </w:r>
    </w:p>
    <w:tbl>
      <w:tblPr>
        <w:tblW w:w="10205" w:type="dxa"/>
        <w:jc w:val="left"/>
        <w:tblInd w:w="0" w:type="dxa"/>
        <w:tblLayout w:type="fixed"/>
        <w:tblCellMar>
          <w:top w:w="28" w:type="dxa"/>
          <w:left w:w="28" w:type="dxa"/>
          <w:bottom w:w="28" w:type="dxa"/>
          <w:right w:w="28" w:type="dxa"/>
        </w:tblCellMar>
      </w:tblPr>
      <w:tblGrid>
        <w:gridCol w:w="494"/>
        <w:gridCol w:w="291"/>
        <w:gridCol w:w="292"/>
        <w:gridCol w:w="109"/>
        <w:gridCol w:w="109"/>
        <w:gridCol w:w="109"/>
        <w:gridCol w:w="307"/>
        <w:gridCol w:w="307"/>
        <w:gridCol w:w="308"/>
        <w:gridCol w:w="109"/>
        <w:gridCol w:w="109"/>
        <w:gridCol w:w="109"/>
        <w:gridCol w:w="196"/>
        <w:gridCol w:w="572"/>
        <w:gridCol w:w="109"/>
        <w:gridCol w:w="109"/>
        <w:gridCol w:w="109"/>
        <w:gridCol w:w="109"/>
        <w:gridCol w:w="309"/>
        <w:gridCol w:w="689"/>
        <w:gridCol w:w="173"/>
        <w:gridCol w:w="109"/>
        <w:gridCol w:w="109"/>
        <w:gridCol w:w="109"/>
        <w:gridCol w:w="197"/>
        <w:gridCol w:w="574"/>
        <w:gridCol w:w="109"/>
        <w:gridCol w:w="109"/>
        <w:gridCol w:w="109"/>
        <w:gridCol w:w="109"/>
        <w:gridCol w:w="196"/>
        <w:gridCol w:w="572"/>
        <w:gridCol w:w="109"/>
        <w:gridCol w:w="109"/>
        <w:gridCol w:w="109"/>
        <w:gridCol w:w="109"/>
        <w:gridCol w:w="309"/>
        <w:gridCol w:w="689"/>
        <w:gridCol w:w="173"/>
        <w:gridCol w:w="109"/>
        <w:gridCol w:w="109"/>
        <w:gridCol w:w="109"/>
        <w:gridCol w:w="197"/>
        <w:gridCol w:w="574"/>
        <w:gridCol w:w="170"/>
      </w:tblGrid>
      <w:tr>
        <w:trPr/>
        <w:tc>
          <w:tcPr>
            <w:tcW w:w="494"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10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2025</w:t>
            </w:r>
          </w:p>
        </w:tc>
      </w:tr>
      <w:tr>
        <w:trPr/>
        <w:tc>
          <w:tcPr>
            <w:tcW w:w="10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Estimated Useful Life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Gross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Accumulated Depreciation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Carrying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Gross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Accumulated Depreciation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Carrying Value</w:t>
            </w:r>
          </w:p>
        </w:tc>
      </w:tr>
      <w:tr>
        <w:trPr/>
        <w:tc>
          <w:tcPr>
            <w:tcW w:w="1077"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Electric generation</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3-37</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72"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7,514 </w:t>
            </w:r>
          </w:p>
        </w:tc>
        <w:tc>
          <w:tcPr>
            <w:tcW w:w="109"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89"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(555)</w:t>
            </w:r>
          </w:p>
        </w:tc>
        <w:tc>
          <w:tcPr>
            <w:tcW w:w="173"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74"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6,959 </w:t>
            </w:r>
          </w:p>
        </w:tc>
        <w:tc>
          <w:tcPr>
            <w:tcW w:w="109"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72"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7,522 </w:t>
            </w:r>
          </w:p>
        </w:tc>
        <w:tc>
          <w:tcPr>
            <w:tcW w:w="109"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89"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(481)</w:t>
            </w:r>
          </w:p>
        </w:tc>
        <w:tc>
          <w:tcPr>
            <w:tcW w:w="173"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74"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7,041 </w:t>
            </w:r>
          </w:p>
        </w:tc>
        <w:tc>
          <w:tcPr>
            <w:tcW w:w="170"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Nuclear fuel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(236)</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(213)</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190 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77"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property and equipment</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shd w:fill="E1E1E2"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3-24</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w:t>
            </w:r>
          </w:p>
        </w:tc>
        <w:tc>
          <w:tcPr>
            <w:tcW w:w="173"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w:t>
            </w:r>
          </w:p>
        </w:tc>
        <w:tc>
          <w:tcPr>
            <w:tcW w:w="173"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52 </w:t>
            </w:r>
          </w:p>
        </w:tc>
        <w:tc>
          <w:tcPr>
            <w:tcW w:w="170"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1" w:type="dxa"/>
            <w:gridSpan w:val="3"/>
            <w:tcBorders/>
            <w:vAlign w:val="center"/>
          </w:tcPr>
          <w:p>
            <w:pPr>
              <w:pStyle w:val="TableContents"/>
              <w:bidi w:val="0"/>
              <w:spacing w:before="0" w:after="283"/>
              <w:jc w:val="left"/>
              <w:rPr>
                <w:sz w:val="4"/>
                <w:szCs w:val="4"/>
              </w:rPr>
            </w:pPr>
            <w:r>
              <w:rPr>
                <w:sz w:val="4"/>
                <w:szCs w:val="4"/>
              </w:rPr>
            </w:r>
          </w:p>
        </w:tc>
      </w:tr>
      <w:tr>
        <w:trPr/>
        <w:tc>
          <w:tcPr>
            <w:tcW w:w="10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Capitalized software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77"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Construction work in progress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199 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199 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258 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258 </w:t>
            </w:r>
          </w:p>
        </w:tc>
        <w:tc>
          <w:tcPr>
            <w:tcW w:w="170" w:type="dxa"/>
            <w:tcBorders/>
            <w:shd w:fill="E1E1E2"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077"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Property, plant and equipment,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8,307</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(808)</w:t>
            </w:r>
          </w:p>
        </w:tc>
        <w:tc>
          <w:tcPr>
            <w:tcW w:w="1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7,499</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8,256</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(710)</w:t>
            </w:r>
          </w:p>
        </w:tc>
        <w:tc>
          <w:tcPr>
            <w:tcW w:w="1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7,546</w:t>
            </w:r>
            <w:r>
              <w:rPr>
                <w:color w:val="000000"/>
              </w:rPr>
              <w:t> </w:t>
            </w:r>
          </w:p>
        </w:tc>
        <w:tc>
          <w:tcPr>
            <w:tcW w:w="1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360"/>
        <w:jc w:val="left"/>
        <w:rPr/>
      </w:pPr>
      <w:r>
        <w:rPr/>
      </w:r>
    </w:p>
    <w:p>
      <w:pPr>
        <w:pStyle w:val="TextBody"/>
        <w:bidi w:val="0"/>
        <w:spacing w:lineRule="auto" w:line="288" w:before="0" w:after="180"/>
        <w:ind w:left="0" w:right="0" w:firstLine="360"/>
        <w:jc w:val="left"/>
        <w:rPr/>
      </w:pPr>
      <w:r>
        <w:rPr>
          <w:rFonts w:ascii="Arial;sans-serif" w:hAnsi="Arial;sans-serif"/>
          <w:b w:val="false"/>
          <w:color w:val="000000"/>
          <w:sz w:val="18"/>
        </w:rPr>
        <w:t>The components of “Depreciation, amortization and accretion</w:t>
      </w:r>
      <w:r>
        <w:rPr>
          <w:color w:val="000000"/>
        </w:rPr>
        <w:t xml:space="preserve">” </w:t>
      </w:r>
      <w:r>
        <w:rPr>
          <w:rFonts w:ascii="Arial;sans-serif" w:hAnsi="Arial;sans-serif"/>
          <w:b w:val="false"/>
          <w:color w:val="000000"/>
          <w:sz w:val="18"/>
        </w:rPr>
        <w:t>presented on the Consolidated Statements of Operations for the periods were: </w:t>
      </w:r>
    </w:p>
    <w:tbl>
      <w:tblPr>
        <w:tblW w:w="7785" w:type="dxa"/>
        <w:jc w:val="left"/>
        <w:tblInd w:w="0" w:type="dxa"/>
        <w:tblLayout w:type="fixed"/>
        <w:tblCellMar>
          <w:top w:w="28" w:type="dxa"/>
          <w:left w:w="28" w:type="dxa"/>
          <w:bottom w:w="28" w:type="dxa"/>
          <w:right w:w="28" w:type="dxa"/>
        </w:tblCellMar>
      </w:tblPr>
      <w:tblGrid>
        <w:gridCol w:w="1211"/>
        <w:gridCol w:w="1065"/>
        <w:gridCol w:w="1068"/>
        <w:gridCol w:w="109"/>
        <w:gridCol w:w="109"/>
        <w:gridCol w:w="109"/>
        <w:gridCol w:w="255"/>
        <w:gridCol w:w="255"/>
        <w:gridCol w:w="255"/>
        <w:gridCol w:w="255"/>
        <w:gridCol w:w="459"/>
        <w:gridCol w:w="812"/>
        <w:gridCol w:w="255"/>
        <w:gridCol w:w="109"/>
        <w:gridCol w:w="109"/>
        <w:gridCol w:w="109"/>
        <w:gridCol w:w="196"/>
        <w:gridCol w:w="346"/>
        <w:gridCol w:w="109"/>
        <w:gridCol w:w="109"/>
        <w:gridCol w:w="109"/>
        <w:gridCol w:w="109"/>
        <w:gridCol w:w="109"/>
        <w:gridCol w:w="154"/>
      </w:tblGrid>
      <w:tr>
        <w:trPr/>
        <w:tc>
          <w:tcPr>
            <w:tcW w:w="1211"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6"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March 31,</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4"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Depreciation expense </w:t>
            </w:r>
            <w:r>
              <w:rPr>
                <w:rFonts w:ascii="Arial;sans-serif" w:hAnsi="Arial;sans-serif"/>
                <w:b w:val="false"/>
                <w:color w:val="000000"/>
                <w:sz w:val="10"/>
              </w:rPr>
              <w:t>(a)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765"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12"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77 </w:t>
            </w:r>
          </w:p>
        </w:tc>
        <w:tc>
          <w:tcPr>
            <w:tcW w:w="255"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4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55 </w:t>
            </w:r>
          </w:p>
        </w:tc>
        <w:tc>
          <w:tcPr>
            <w:tcW w:w="109"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Amortization expense </w:t>
            </w:r>
            <w:r>
              <w:rPr>
                <w:rFonts w:ascii="Arial;sans-serif" w:hAnsi="Arial;sans-serif"/>
                <w:b w:val="false"/>
                <w:color w:val="000000"/>
                <w:sz w:val="10"/>
              </w:rPr>
              <w:t>(b)</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7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4" w:type="dxa"/>
            <w:gridSpan w:val="3"/>
            <w:tcBorders/>
            <w:shd w:fill="E1E1E2"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Accretion expense </w:t>
            </w:r>
            <w:r>
              <w:rPr>
                <w:rFonts w:ascii="Arial;sans-serif" w:hAnsi="Arial;sans-serif"/>
                <w:b w:val="false"/>
                <w:color w:val="000000"/>
                <w:sz w:val="10"/>
              </w:rPr>
              <w:t>(c)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765"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14 </w:t>
            </w:r>
          </w:p>
        </w:tc>
        <w:tc>
          <w:tcPr>
            <w:tcW w:w="255"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765" w:type="dxa"/>
            <w:gridSpan w:val="3"/>
            <w:tcBorders/>
            <w:vAlign w:val="center"/>
          </w:tcPr>
          <w:p>
            <w:pPr>
              <w:pStyle w:val="TableContents"/>
              <w:bidi w:val="0"/>
              <w:spacing w:before="0" w:after="283"/>
              <w:jc w:val="left"/>
              <w:rPr>
                <w:sz w:val="4"/>
                <w:szCs w:val="4"/>
              </w:rPr>
            </w:pPr>
            <w:r>
              <w:rPr>
                <w:sz w:val="4"/>
                <w:szCs w:val="4"/>
              </w:rPr>
            </w:r>
          </w:p>
        </w:tc>
        <w:tc>
          <w:tcPr>
            <w:tcW w:w="15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4"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Depreciation, amortization and accretion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7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92</w:t>
            </w:r>
            <w:r>
              <w:rPr>
                <w:color w:val="000000"/>
              </w:rPr>
              <w:t> </w:t>
            </w:r>
          </w:p>
        </w:tc>
        <w:tc>
          <w:tcPr>
            <w:tcW w:w="2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3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74</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Arial;sans-serif" w:hAnsi="Arial;sans-serif"/>
          <w:b w:val="false"/>
          <w:color w:val="000000"/>
          <w:sz w:val="14"/>
        </w:rPr>
      </w:pPr>
      <w:r>
        <w:rPr>
          <w:rFonts w:ascii="Arial;sans-serif" w:hAnsi="Arial;sans-serif"/>
          <w:b w:val="false"/>
          <w:color w:val="000000"/>
          <w:sz w:val="14"/>
        </w:rPr>
        <w:t>__________________</w:t>
      </w:r>
    </w:p>
    <w:p>
      <w:pPr>
        <w:pStyle w:val="TextBody"/>
        <w:bidi w:val="0"/>
        <w:spacing w:lineRule="auto" w:line="288" w:before="0" w:after="0"/>
        <w:ind w:left="0" w:right="0" w:hanging="360"/>
        <w:jc w:val="left"/>
        <w:rPr>
          <w:rFonts w:ascii="Arial;sans-serif" w:hAnsi="Arial;sans-serif"/>
          <w:b w:val="false"/>
          <w:color w:val="000000"/>
          <w:sz w:val="14"/>
        </w:rPr>
      </w:pPr>
      <w:r>
        <w:rPr>
          <w:rFonts w:ascii="Arial;sans-serif" w:hAnsi="Arial;sans-serif"/>
          <w:b w:val="false"/>
          <w:color w:val="000000"/>
          <w:sz w:val="14"/>
        </w:rPr>
        <w:t>(a)Electric generation and other property and equipment.</w:t>
      </w:r>
    </w:p>
    <w:p>
      <w:pPr>
        <w:pStyle w:val="TextBody"/>
        <w:bidi w:val="0"/>
        <w:spacing w:lineRule="auto" w:line="288" w:before="0" w:after="0"/>
        <w:ind w:left="0" w:right="0" w:hanging="360"/>
        <w:jc w:val="left"/>
        <w:rPr>
          <w:rFonts w:ascii="Arial;sans-serif" w:hAnsi="Arial;sans-serif"/>
          <w:b w:val="false"/>
          <w:color w:val="000000"/>
          <w:sz w:val="14"/>
        </w:rPr>
      </w:pPr>
      <w:r>
        <w:rPr>
          <w:rFonts w:ascii="Arial;sans-serif" w:hAnsi="Arial;sans-serif"/>
          <w:b w:val="false"/>
          <w:color w:val="000000"/>
          <w:sz w:val="14"/>
        </w:rPr>
        <w:t>(b)Intangible assets and capitalized software.</w:t>
      </w:r>
    </w:p>
    <w:p>
      <w:pPr>
        <w:pStyle w:val="TextBody"/>
        <w:bidi w:val="0"/>
        <w:spacing w:lineRule="auto" w:line="288" w:before="0" w:after="180"/>
        <w:ind w:left="0" w:right="0" w:hanging="360"/>
        <w:jc w:val="left"/>
        <w:rPr>
          <w:rFonts w:ascii="Arial;sans-serif" w:hAnsi="Arial;sans-serif"/>
          <w:b w:val="false"/>
          <w:color w:val="000000"/>
          <w:sz w:val="14"/>
        </w:rPr>
      </w:pPr>
      <w:r>
        <w:rPr>
          <w:rFonts w:ascii="Arial;sans-serif" w:hAnsi="Arial;sans-serif"/>
          <w:b w:val="false"/>
          <w:color w:val="000000"/>
          <w:sz w:val="14"/>
        </w:rPr>
        <w:t>(c)ARO and accrued environmental cost accretion. See Note 8 for additional information.</w:t>
      </w:r>
    </w:p>
    <w:p>
      <w:pPr>
        <w:pStyle w:val="TextBody"/>
        <w:bidi w:val="0"/>
        <w:spacing w:lineRule="auto" w:line="288" w:before="0" w:after="180"/>
        <w:ind w:left="0" w:right="0" w:firstLine="360"/>
        <w:jc w:val="left"/>
        <w:rPr>
          <w:rFonts w:ascii="Arial;sans-serif" w:hAnsi="Arial;sans-serif"/>
          <w:b w:val="false"/>
          <w:color w:val="000000"/>
          <w:sz w:val="18"/>
        </w:rPr>
      </w:pPr>
      <w:r>
        <w:rPr>
          <w:rFonts w:ascii="Arial;sans-serif" w:hAnsi="Arial;sans-serif"/>
          <w:b w:val="false"/>
          <w:color w:val="000000"/>
          <w:sz w:val="18"/>
        </w:rPr>
        <w:t>The cost of nuclear fuel and the amortization of nuclear fuel intangible assets are presented as “Nuclear fuel amortization” on the Consolidated Statements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0000"/>
          <w:sz w:val="18"/>
        </w:rPr>
      </w:pPr>
      <w:r>
        <w:rPr>
          <w:rFonts w:ascii="Arial;sans-serif" w:hAnsi="Arial;sans-serif"/>
          <w:b/>
          <w:color w:val="000000"/>
          <w:sz w:val="18"/>
        </w:rPr>
        <w:t>8. Asset Retirement Obligations and Accrued Environmental Costs</w:t>
      </w:r>
    </w:p>
    <w:p>
      <w:pPr>
        <w:pStyle w:val="TextBody"/>
        <w:bidi w:val="0"/>
        <w:spacing w:lineRule="auto" w:line="288" w:before="0" w:after="180"/>
        <w:ind w:left="0" w:right="0" w:firstLine="360"/>
        <w:jc w:val="left"/>
        <w:rPr>
          <w:rFonts w:ascii="Arial;sans-serif" w:hAnsi="Arial;sans-serif"/>
          <w:b w:val="false"/>
          <w:color w:val="000000"/>
          <w:sz w:val="18"/>
        </w:rPr>
      </w:pPr>
      <w:r>
        <w:rPr>
          <w:rFonts w:ascii="Arial;sans-serif" w:hAnsi="Arial;sans-serif"/>
          <w:b w:val="false"/>
          <w:color w:val="000000"/>
          <w:sz w:val="18"/>
        </w:rPr>
        <w:t>Certain subsidiaries of the Company have legal retirement obligations for the decommissioning and environmental remediation costs associated with our current and former generation sites. Most of these obligations, except remediation of some ash impoundments, are not expected to be paid until several years, or decades, in the future. The Company’s most significant obligations are associated with the: (i) decommissioning of Susquehanna, which the NDT is expected to fund; and (ii) coal ash disposal units of legacy coal-fired generation facilities which, for certain obligations, the Company has posted surety bonds (some of which have been collateralized with LCs). The carrying value of these AROs include assumptions of estimated future retirement and remediation cash expenditures, cost escalation rates, probabilistic cash flow models, and discount rates.</w:t>
      </w:r>
    </w:p>
    <w:p>
      <w:pPr>
        <w:pStyle w:val="TextBody"/>
        <w:bidi w:val="0"/>
        <w:spacing w:lineRule="auto" w:line="288" w:before="0" w:after="180"/>
        <w:ind w:left="0" w:right="0" w:firstLine="360"/>
        <w:jc w:val="left"/>
        <w:rPr>
          <w:rFonts w:ascii="Arial;sans-serif" w:hAnsi="Arial;sans-serif"/>
          <w:b w:val="false"/>
          <w:color w:val="000000"/>
          <w:sz w:val="18"/>
        </w:rPr>
      </w:pPr>
      <w:r>
        <w:rPr>
          <w:rFonts w:ascii="Arial;sans-serif" w:hAnsi="Arial;sans-serif"/>
          <w:b w:val="false"/>
          <w:color w:val="000000"/>
          <w:sz w:val="18"/>
        </w:rPr>
        <w:t>The Company may be required to revise or recognize new AROs as a result of regulatory changes by the NRC, EPA, Montana Department of Environmental Quality (the “MDEQ”) or other regulatory entities. Additionally, revisions may result from scope of work amendments to remediation activities as well as changes to remediation costs and other assumptions. If the assumptions underlying any ARO estimates do not materialize as expected, actual cash expenditures and costs could be materially different than currently estimated.</w:t>
      </w:r>
    </w:p>
    <w:p>
      <w:pPr>
        <w:pStyle w:val="TextBody"/>
        <w:bidi w:val="0"/>
        <w:spacing w:lineRule="auto" w:line="288" w:before="0" w:after="180"/>
        <w:ind w:left="0" w:right="0" w:firstLine="360"/>
        <w:jc w:val="left"/>
        <w:rPr>
          <w:rFonts w:ascii="Arial;sans-serif" w:hAnsi="Arial;sans-serif"/>
          <w:b w:val="false"/>
          <w:color w:val="000000"/>
          <w:sz w:val="18"/>
        </w:rPr>
      </w:pPr>
      <w:r>
        <w:rPr>
          <w:rFonts w:ascii="Arial;sans-serif" w:hAnsi="Arial;sans-serif"/>
          <w:b w:val="false"/>
          <w:color w:val="000000"/>
          <w:sz w:val="18"/>
        </w:rPr>
        <w:t>As of March 31, 2026, the fair values of certain conditional AROs as a result of the EPA CCR Rule cannot be determined. See Note 9 for additional information on a recent EPA proposal to rescind certain provisions of the EPA CCR Rule.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16840"/>
                <wp:effectExtent l="0" t="0" r="0" b="0"/>
                <wp:wrapNone/>
                <wp:docPr id="14" name="Frame14"/>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12</w:t>
                      </w:r>
                    </w:p>
                  </w:txbxContent>
                </v:textbox>
                <w10:wrap type="none"/>
              </v:rect>
            </w:pict>
          </mc:Fallback>
        </mc:AlternateContent>
      </w:r>
    </w:p>
    <w:p>
      <w:pPr>
        <w:pStyle w:val="TextBody"/>
        <w:bidi w:val="0"/>
        <w:spacing w:lineRule="auto" w:line="288" w:before="0" w:after="180"/>
        <w:jc w:val="left"/>
        <w:rPr/>
      </w:pPr>
      <w:hyperlink w:anchor="if20e1f3d5a734e3eabbb6aa8f57c7562_45">
        <w:r>
          <w:rPr>
            <w:rStyle w:val="InternetLink"/>
            <w:rFonts w:ascii="Arial;sans-serif" w:hAnsi="Arial;sans-serif"/>
            <w:b w:val="false"/>
            <w:color w:val="0000FF"/>
            <w:sz w:val="18"/>
            <w:u w:val="single"/>
          </w:rPr>
          <w:t>Table of Contents</w:t>
        </w:r>
      </w:hyperlink>
    </w:p>
    <w:p>
      <w:pPr>
        <w:pStyle w:val="TextBody"/>
        <w:bidi w:val="0"/>
        <w:spacing w:lineRule="auto" w:line="288" w:before="0" w:after="180"/>
        <w:ind w:left="0" w:right="0" w:firstLine="360"/>
        <w:jc w:val="left"/>
        <w:rPr>
          <w:rFonts w:ascii="Arial;sans-serif" w:hAnsi="Arial;sans-serif"/>
          <w:b w:val="false"/>
          <w:color w:val="000000"/>
          <w:sz w:val="18"/>
        </w:rPr>
      </w:pPr>
      <w:r>
        <w:rPr>
          <w:rFonts w:ascii="Arial;sans-serif" w:hAnsi="Arial;sans-serif"/>
          <w:b w:val="false"/>
          <w:color w:val="000000"/>
          <w:sz w:val="18"/>
        </w:rPr>
        <w:t>The carrying value of AROs and accrued environmental costs were:</w:t>
      </w:r>
    </w:p>
    <w:tbl>
      <w:tblPr>
        <w:tblW w:w="9383" w:type="dxa"/>
        <w:jc w:val="left"/>
        <w:tblInd w:w="0" w:type="dxa"/>
        <w:tblLayout w:type="fixed"/>
        <w:tblCellMar>
          <w:top w:w="28" w:type="dxa"/>
          <w:left w:w="28" w:type="dxa"/>
          <w:bottom w:w="28" w:type="dxa"/>
          <w:right w:w="28" w:type="dxa"/>
        </w:tblCellMar>
      </w:tblPr>
      <w:tblGrid>
        <w:gridCol w:w="2416"/>
        <w:gridCol w:w="2119"/>
        <w:gridCol w:w="2125"/>
        <w:gridCol w:w="109"/>
        <w:gridCol w:w="109"/>
        <w:gridCol w:w="109"/>
        <w:gridCol w:w="226"/>
        <w:gridCol w:w="503"/>
        <w:gridCol w:w="125"/>
        <w:gridCol w:w="109"/>
        <w:gridCol w:w="109"/>
        <w:gridCol w:w="109"/>
        <w:gridCol w:w="302"/>
        <w:gridCol w:w="673"/>
        <w:gridCol w:w="240"/>
      </w:tblGrid>
      <w:tr>
        <w:trPr/>
        <w:tc>
          <w:tcPr>
            <w:tcW w:w="2416" w:type="dxa"/>
            <w:tcBorders/>
            <w:vAlign w:val="center"/>
          </w:tcPr>
          <w:p>
            <w:pPr>
              <w:pStyle w:val="TableContents"/>
              <w:bidi w:val="0"/>
              <w:spacing w:before="0" w:after="283"/>
              <w:jc w:val="left"/>
              <w:rPr>
                <w:sz w:val="4"/>
                <w:szCs w:val="4"/>
              </w:rPr>
            </w:pPr>
            <w:r>
              <w:rPr>
                <w:sz w:val="4"/>
                <w:szCs w:val="4"/>
              </w:rPr>
            </w:r>
          </w:p>
        </w:tc>
        <w:tc>
          <w:tcPr>
            <w:tcW w:w="2119" w:type="dxa"/>
            <w:tcBorders/>
            <w:vAlign w:val="center"/>
          </w:tcPr>
          <w:p>
            <w:pPr>
              <w:pStyle w:val="TableContents"/>
              <w:bidi w:val="0"/>
              <w:spacing w:before="0" w:after="283"/>
              <w:jc w:val="left"/>
              <w:rPr>
                <w:sz w:val="4"/>
                <w:szCs w:val="4"/>
              </w:rPr>
            </w:pPr>
            <w:r>
              <w:rPr>
                <w:sz w:val="4"/>
                <w:szCs w:val="4"/>
              </w:rPr>
            </w:r>
          </w:p>
        </w:tc>
        <w:tc>
          <w:tcPr>
            <w:tcW w:w="2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r>
      <w:tr>
        <w:trPr/>
        <w:tc>
          <w:tcPr>
            <w:tcW w:w="66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4" w:type="dxa"/>
            <w:gridSpan w:val="3"/>
            <w:tcBorders/>
            <w:vAlign w:val="center"/>
          </w:tcPr>
          <w:p>
            <w:pPr>
              <w:pStyle w:val="TableContents"/>
              <w:bidi w:val="0"/>
              <w:spacing w:before="0" w:after="283"/>
              <w:jc w:val="left"/>
              <w:rPr>
                <w:sz w:val="4"/>
                <w:szCs w:val="4"/>
              </w:rPr>
            </w:pPr>
            <w:r>
              <w:rPr>
                <w:sz w:val="4"/>
                <w:szCs w:val="4"/>
              </w:rPr>
            </w:r>
          </w:p>
        </w:tc>
        <w:tc>
          <w:tcPr>
            <w:tcW w:w="1542" w:type="dxa"/>
            <w:gridSpan w:val="6"/>
            <w:tcBorders/>
          </w:tcPr>
          <w:p>
            <w:pPr>
              <w:pStyle w:val="TableContents"/>
              <w:bidi w:val="0"/>
              <w:spacing w:before="0" w:after="283"/>
              <w:jc w:val="left"/>
              <w:rPr>
                <w:sz w:val="4"/>
                <w:szCs w:val="4"/>
              </w:rPr>
            </w:pPr>
            <w:r>
              <w:rPr>
                <w:sz w:val="4"/>
                <w:szCs w:val="4"/>
              </w:rPr>
            </w:r>
          </w:p>
        </w:tc>
      </w:tr>
      <w:tr>
        <w:trPr/>
        <w:tc>
          <w:tcPr>
            <w:tcW w:w="6660"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March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w:t>
              <w:br/>
              <w:t>2025</w:t>
            </w:r>
          </w:p>
        </w:tc>
      </w:tr>
      <w:tr>
        <w:trPr/>
        <w:tc>
          <w:tcPr>
            <w:tcW w:w="6660"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Asset retirement obligations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03"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522 </w:t>
            </w:r>
          </w:p>
        </w:tc>
        <w:tc>
          <w:tcPr>
            <w:tcW w:w="125"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73"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514 </w:t>
            </w:r>
          </w:p>
        </w:tc>
        <w:tc>
          <w:tcPr>
            <w:tcW w:w="240"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Accrued environmental costs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0"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 xml:space="preserve">Total asset retirement obligations and accrued environmental costs </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2"/>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542</w:t>
            </w:r>
            <w:r>
              <w:rPr>
                <w:color w:val="000000"/>
              </w:rPr>
              <w:t> </w:t>
            </w:r>
          </w:p>
        </w:tc>
        <w:tc>
          <w:tcPr>
            <w:tcW w:w="125"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534</w:t>
            </w:r>
            <w:r>
              <w:rPr>
                <w:color w:val="000000"/>
              </w:rPr>
              <w:t> </w:t>
            </w:r>
          </w:p>
        </w:tc>
        <w:tc>
          <w:tcPr>
            <w:tcW w:w="240"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Less: asset retirement obligations and accrued environmental costs due within one year </w:t>
            </w:r>
            <w:r>
              <w:rPr>
                <w:rFonts w:ascii="Arial;sans-serif" w:hAnsi="Arial;sans-serif"/>
                <w:b w:val="false"/>
                <w:color w:val="000000"/>
                <w:sz w:val="10"/>
              </w:rPr>
              <w:t>(a)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r>
      <w:tr>
        <w:trPr/>
        <w:tc>
          <w:tcPr>
            <w:tcW w:w="6660" w:type="dxa"/>
            <w:gridSpan w:val="3"/>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 xml:space="preserve">Asset retirement obligations and accrued environmental costs due after one year </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03"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496</w:t>
            </w:r>
            <w:r>
              <w:rPr>
                <w:color w:val="000000"/>
              </w:rPr>
              <w:t> </w:t>
            </w:r>
          </w:p>
        </w:tc>
        <w:tc>
          <w:tcPr>
            <w:tcW w:w="125"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73"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494</w:t>
            </w:r>
            <w:r>
              <w:rPr>
                <w:color w:val="000000"/>
              </w:rPr>
              <w:t> </w:t>
            </w:r>
          </w:p>
        </w:tc>
        <w:tc>
          <w:tcPr>
            <w:tcW w:w="240"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Arial;sans-serif" w:hAnsi="Arial;sans-serif"/>
          <w:b w:val="false"/>
          <w:color w:val="000000"/>
          <w:sz w:val="14"/>
        </w:rPr>
      </w:pPr>
      <w:r>
        <w:rPr>
          <w:rFonts w:ascii="Arial;sans-serif" w:hAnsi="Arial;sans-serif"/>
          <w:b w:val="false"/>
          <w:color w:val="000000"/>
          <w:sz w:val="14"/>
        </w:rPr>
        <w:t>__________________</w:t>
      </w:r>
    </w:p>
    <w:p>
      <w:pPr>
        <w:pStyle w:val="TextBody"/>
        <w:bidi w:val="0"/>
        <w:spacing w:lineRule="auto" w:line="288" w:before="0" w:after="180"/>
        <w:ind w:left="0" w:right="0" w:hanging="360"/>
        <w:jc w:val="left"/>
        <w:rPr>
          <w:rFonts w:ascii="Arial;sans-serif" w:hAnsi="Arial;sans-serif"/>
          <w:b w:val="false"/>
          <w:color w:val="000000"/>
          <w:sz w:val="14"/>
        </w:rPr>
      </w:pPr>
      <w:r>
        <w:rPr>
          <w:rFonts w:ascii="Arial;sans-serif" w:hAnsi="Arial;sans-serif"/>
          <w:b w:val="false"/>
          <w:color w:val="000000"/>
          <w:sz w:val="14"/>
        </w:rPr>
        <w:t>(a)Presented as “Other current liabilities” on the Consolidated Balance Sheets.</w:t>
      </w:r>
    </w:p>
    <w:p>
      <w:pPr>
        <w:pStyle w:val="TextBody"/>
        <w:bidi w:val="0"/>
        <w:spacing w:lineRule="auto" w:line="288" w:before="0" w:after="180"/>
        <w:ind w:left="0" w:right="0" w:firstLine="360"/>
        <w:jc w:val="left"/>
        <w:rPr>
          <w:rFonts w:ascii="Arial;sans-serif" w:hAnsi="Arial;sans-serif"/>
          <w:b w:val="false"/>
          <w:color w:val="000000"/>
          <w:sz w:val="18"/>
        </w:rPr>
      </w:pPr>
      <w:r>
        <w:rPr>
          <w:rFonts w:ascii="Arial;sans-serif" w:hAnsi="Arial;sans-serif"/>
          <w:b w:val="false"/>
          <w:color w:val="000000"/>
          <w:sz w:val="18"/>
        </w:rPr>
        <w:t xml:space="preserve">The changes of the ARO carrying value during the period were: </w:t>
      </w:r>
    </w:p>
    <w:tbl>
      <w:tblPr>
        <w:tblW w:w="3476" w:type="dxa"/>
        <w:jc w:val="left"/>
        <w:tblInd w:w="0" w:type="dxa"/>
        <w:tblLayout w:type="fixed"/>
        <w:tblCellMar>
          <w:top w:w="28" w:type="dxa"/>
          <w:left w:w="28" w:type="dxa"/>
          <w:bottom w:w="28" w:type="dxa"/>
          <w:right w:w="28" w:type="dxa"/>
        </w:tblCellMar>
      </w:tblPr>
      <w:tblGrid>
        <w:gridCol w:w="776"/>
        <w:gridCol w:w="682"/>
        <w:gridCol w:w="687"/>
        <w:gridCol w:w="109"/>
        <w:gridCol w:w="109"/>
        <w:gridCol w:w="109"/>
        <w:gridCol w:w="196"/>
        <w:gridCol w:w="436"/>
        <w:gridCol w:w="109"/>
        <w:gridCol w:w="109"/>
        <w:gridCol w:w="154"/>
      </w:tblGrid>
      <w:tr>
        <w:trPr/>
        <w:tc>
          <w:tcPr>
            <w:tcW w:w="776"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45"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Carrying value January 1,</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3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514</w:t>
            </w:r>
            <w:r>
              <w:rPr>
                <w:color w:val="000000"/>
              </w:rPr>
              <w:t> </w:t>
            </w:r>
          </w:p>
        </w:tc>
        <w:tc>
          <w:tcPr>
            <w:tcW w:w="109"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Obligations settled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45"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Accretion expense</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45"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 xml:space="preserve">Carrying value, March 31,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522</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Arial;sans-serif" w:hAnsi="Arial;sans-serif"/>
          <w:b w:val="false"/>
          <w:color w:val="000000"/>
          <w:sz w:val="18"/>
        </w:rPr>
      </w:pPr>
      <w:r>
        <w:rPr>
          <w:rFonts w:ascii="Arial;sans-serif" w:hAnsi="Arial;sans-serif"/>
          <w:b w:val="false"/>
          <w:color w:val="000000"/>
          <w:sz w:val="18"/>
        </w:rPr>
        <w:t>The disaggregation of ARO carrying values on the Consolidated Balance Sheets was:</w:t>
      </w:r>
    </w:p>
    <w:tbl>
      <w:tblPr>
        <w:tblW w:w="4027" w:type="dxa"/>
        <w:jc w:val="left"/>
        <w:tblInd w:w="0" w:type="dxa"/>
        <w:tblLayout w:type="fixed"/>
        <w:tblCellMar>
          <w:top w:w="28" w:type="dxa"/>
          <w:left w:w="28" w:type="dxa"/>
          <w:bottom w:w="28" w:type="dxa"/>
          <w:right w:w="28" w:type="dxa"/>
        </w:tblCellMar>
      </w:tblPr>
      <w:tblGrid>
        <w:gridCol w:w="472"/>
        <w:gridCol w:w="415"/>
        <w:gridCol w:w="417"/>
        <w:gridCol w:w="109"/>
        <w:gridCol w:w="109"/>
        <w:gridCol w:w="109"/>
        <w:gridCol w:w="226"/>
        <w:gridCol w:w="503"/>
        <w:gridCol w:w="125"/>
        <w:gridCol w:w="109"/>
        <w:gridCol w:w="109"/>
        <w:gridCol w:w="109"/>
        <w:gridCol w:w="302"/>
        <w:gridCol w:w="673"/>
        <w:gridCol w:w="240"/>
      </w:tblGrid>
      <w:tr>
        <w:trPr/>
        <w:tc>
          <w:tcPr>
            <w:tcW w:w="472"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r>
      <w:tr>
        <w:trPr/>
        <w:tc>
          <w:tcPr>
            <w:tcW w:w="13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4" w:type="dxa"/>
            <w:gridSpan w:val="3"/>
            <w:tcBorders/>
            <w:vAlign w:val="center"/>
          </w:tcPr>
          <w:p>
            <w:pPr>
              <w:pStyle w:val="TableContents"/>
              <w:bidi w:val="0"/>
              <w:spacing w:before="0" w:after="283"/>
              <w:jc w:val="left"/>
              <w:rPr>
                <w:sz w:val="4"/>
                <w:szCs w:val="4"/>
              </w:rPr>
            </w:pPr>
            <w:r>
              <w:rPr>
                <w:sz w:val="4"/>
                <w:szCs w:val="4"/>
              </w:rPr>
            </w:r>
          </w:p>
        </w:tc>
        <w:tc>
          <w:tcPr>
            <w:tcW w:w="1542" w:type="dxa"/>
            <w:gridSpan w:val="6"/>
            <w:tcBorders/>
          </w:tcPr>
          <w:p>
            <w:pPr>
              <w:pStyle w:val="TableContents"/>
              <w:bidi w:val="0"/>
              <w:spacing w:before="0" w:after="283"/>
              <w:jc w:val="left"/>
              <w:rPr>
                <w:sz w:val="4"/>
                <w:szCs w:val="4"/>
              </w:rPr>
            </w:pPr>
            <w:r>
              <w:rPr>
                <w:sz w:val="4"/>
                <w:szCs w:val="4"/>
              </w:rPr>
            </w:r>
          </w:p>
        </w:tc>
      </w:tr>
      <w:tr>
        <w:trPr/>
        <w:tc>
          <w:tcPr>
            <w:tcW w:w="1304"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March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w:t>
              <w:br/>
              <w:t>2025</w:t>
            </w:r>
          </w:p>
        </w:tc>
      </w:tr>
      <w:tr>
        <w:trPr/>
        <w:tc>
          <w:tcPr>
            <w:tcW w:w="13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r>
      <w:tr>
        <w:trPr/>
        <w:tc>
          <w:tcPr>
            <w:tcW w:w="1304"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Nuclear </w:t>
            </w:r>
            <w:r>
              <w:rPr>
                <w:rFonts w:ascii="Arial;sans-serif" w:hAnsi="Arial;sans-serif"/>
                <w:b w:val="false"/>
                <w:color w:val="000000"/>
                <w:sz w:val="10"/>
              </w:rPr>
              <w:t>(a)</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03"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281 </w:t>
            </w:r>
          </w:p>
        </w:tc>
        <w:tc>
          <w:tcPr>
            <w:tcW w:w="125"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73"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272 </w:t>
            </w:r>
          </w:p>
        </w:tc>
        <w:tc>
          <w:tcPr>
            <w:tcW w:w="240"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Non-nuclear</w:t>
            </w:r>
            <w:r>
              <w:rPr>
                <w:color w:val="000000"/>
              </w:rPr>
              <w:t xml:space="preserve"> </w:t>
            </w:r>
            <w:r>
              <w:rPr>
                <w:rFonts w:ascii="Arial;sans-serif" w:hAnsi="Arial;sans-serif"/>
                <w:b w:val="false"/>
                <w:color w:val="000000"/>
                <w:sz w:val="10"/>
              </w:rPr>
              <w:t>(b)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241 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242 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4" w:type="dxa"/>
            <w:gridSpan w:val="3"/>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 xml:space="preserve">Carrying value </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03"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522</w:t>
            </w:r>
            <w:r>
              <w:rPr>
                <w:color w:val="000000"/>
              </w:rPr>
              <w:t> </w:t>
            </w:r>
          </w:p>
        </w:tc>
        <w:tc>
          <w:tcPr>
            <w:tcW w:w="125"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73"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514</w:t>
            </w:r>
            <w:r>
              <w:rPr>
                <w:color w:val="000000"/>
              </w:rPr>
              <w:t> </w:t>
            </w:r>
          </w:p>
        </w:tc>
        <w:tc>
          <w:tcPr>
            <w:tcW w:w="240"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Arial;sans-serif" w:hAnsi="Arial;sans-serif"/>
          <w:b w:val="false"/>
          <w:color w:val="000000"/>
          <w:sz w:val="14"/>
        </w:rPr>
      </w:pPr>
      <w:r>
        <w:rPr>
          <w:rFonts w:ascii="Arial;sans-serif" w:hAnsi="Arial;sans-serif"/>
          <w:b w:val="false"/>
          <w:color w:val="000000"/>
          <w:sz w:val="14"/>
        </w:rPr>
        <w:t>__________________</w:t>
      </w:r>
    </w:p>
    <w:p>
      <w:pPr>
        <w:pStyle w:val="TextBody"/>
        <w:bidi w:val="0"/>
        <w:spacing w:lineRule="auto" w:line="288" w:before="0" w:after="0"/>
        <w:ind w:left="0" w:right="0" w:hanging="360"/>
        <w:jc w:val="left"/>
        <w:rPr>
          <w:rFonts w:ascii="Arial;sans-serif" w:hAnsi="Arial;sans-serif"/>
          <w:b w:val="false"/>
          <w:color w:val="000000"/>
          <w:sz w:val="14"/>
        </w:rPr>
      </w:pPr>
      <w:r>
        <w:rPr>
          <w:rFonts w:ascii="Arial;sans-serif" w:hAnsi="Arial;sans-serif"/>
          <w:b w:val="false"/>
          <w:color w:val="000000"/>
          <w:sz w:val="14"/>
        </w:rPr>
        <w:t>(a)Obligations are expected to be settled with available funds in the NDT at the time of decommissioning. See Note 6 for additional information on the NDT.</w:t>
      </w:r>
    </w:p>
    <w:p>
      <w:pPr>
        <w:pStyle w:val="TextBody"/>
        <w:bidi w:val="0"/>
        <w:spacing w:lineRule="auto" w:line="288" w:before="0" w:after="180"/>
        <w:ind w:left="0" w:right="0" w:hanging="360"/>
        <w:jc w:val="left"/>
        <w:rPr>
          <w:rFonts w:ascii="Arial;sans-serif" w:hAnsi="Arial;sans-serif"/>
          <w:b w:val="false"/>
          <w:color w:val="000000"/>
          <w:sz w:val="14"/>
        </w:rPr>
      </w:pPr>
      <w:r>
        <w:rPr>
          <w:rFonts w:ascii="Arial;sans-serif" w:hAnsi="Arial;sans-serif"/>
          <w:b w:val="false"/>
          <w:color w:val="000000"/>
          <w:sz w:val="14"/>
        </w:rPr>
        <w:t>(b)Certain obligations are: (i) partially supported by surety bonds, some of which have been collateralized with LCs; or (ii) partially prefunded under phased installment agreements.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0000"/>
          <w:sz w:val="18"/>
        </w:rPr>
      </w:pPr>
      <w:r>
        <w:rPr>
          <w:rFonts w:ascii="Arial;sans-serif" w:hAnsi="Arial;sans-serif"/>
          <w:b/>
          <w:color w:val="000000"/>
          <w:sz w:val="18"/>
        </w:rPr>
        <w:t>9. Commitments and Contingencies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0000"/>
          <w:sz w:val="18"/>
        </w:rPr>
      </w:pPr>
      <w:r>
        <w:rPr>
          <w:rFonts w:ascii="Arial;sans-serif" w:hAnsi="Arial;sans-serif"/>
          <w:b/>
          <w:color w:val="000000"/>
          <w:sz w:val="18"/>
        </w:rPr>
        <w:t>Legal, Regulatory, and Environmental Matters</w:t>
      </w:r>
    </w:p>
    <w:p>
      <w:pPr>
        <w:pStyle w:val="TextBody"/>
        <w:bidi w:val="0"/>
        <w:spacing w:lineRule="auto" w:line="288" w:before="0" w:after="180"/>
        <w:ind w:left="0" w:right="0" w:firstLine="360"/>
        <w:jc w:val="left"/>
        <w:rPr>
          <w:rFonts w:ascii="Arial;sans-serif" w:hAnsi="Arial;sans-serif"/>
          <w:b w:val="false"/>
          <w:color w:val="000000"/>
          <w:sz w:val="18"/>
        </w:rPr>
      </w:pPr>
      <w:r>
        <w:rPr>
          <w:rFonts w:ascii="Arial;sans-serif" w:hAnsi="Arial;sans-serif"/>
          <w:b w:val="false"/>
          <w:color w:val="000000"/>
          <w:sz w:val="18"/>
        </w:rPr>
        <w:t>We are regularly subject to various legal, regulatory, and environmental matters in connection with our business. While we believe we have meritorious positions and will continue to vigorously defend our positions in these matters, we may not be successful in our efforts, and we cannot predict the effect of an adverse outcome of any such matter. If an unfavorable outcome is probable and can be reasonably estimated, a liability is recognized. In the event of an unfavorable outcome, the liability may be in excess of amounts currently accrued. Because of the inherently unpredictable nature of legal, regulatory, and environmental matters and the wide range of potential outcomes for any such matter, no estimate of the possible losses in excess of amounts accrued, if any, can be made at this time regarding any matter specifically described below. As a result, additional losses actually incurred in excess of amounts accrued could be substantial. Unless otherwise disclosed below, we are unable to predict the outcome of any matter discussed below or reasonably estimate the amount of any associated costs and (or) potential liabilities. Additionally, it is possible that the outcome of any such matter, including market modifications, could materially impact our business, financial condition, results of operations, cash flows, and (or) liquidity.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ind w:left="0" w:right="0" w:firstLine="360"/>
        <w:jc w:val="left"/>
        <w:rPr>
          <w:rFonts w:ascii="Arial;sans-serif" w:hAnsi="Arial;sans-serif"/>
          <w:b/>
          <w:i/>
          <w:color w:val="000000"/>
          <w:sz w:val="18"/>
        </w:rPr>
      </w:pPr>
      <w:bookmarkStart w:id="7" w:name="i2203640119624dabbd0c4e13857b58b7_72635"/>
      <w:bookmarkEnd w:id="7"/>
      <w:r>
        <w:rPr>
          <w:rFonts w:ascii="Arial;sans-serif" w:hAnsi="Arial;sans-serif"/>
          <w:b/>
          <w:i/>
          <w:color w:val="000000"/>
          <w:sz w:val="18"/>
        </w:rPr>
        <w:t>Legal Matters</w:t>
      </w:r>
    </w:p>
    <w:p>
      <w:pPr>
        <w:pStyle w:val="TextBody"/>
        <w:bidi w:val="0"/>
        <w:spacing w:lineRule="auto" w:line="288" w:before="0" w:after="180"/>
        <w:ind w:left="0" w:right="0" w:firstLine="360"/>
        <w:jc w:val="left"/>
        <w:rPr>
          <w:rFonts w:ascii="Arial;sans-serif" w:hAnsi="Arial;sans-serif"/>
          <w:b w:val="false"/>
          <w:color w:val="000000"/>
          <w:sz w:val="18"/>
          <w:shd w:fill="FFFFFF" w:val="clear"/>
        </w:rPr>
      </w:pPr>
      <w:r>
        <w:rPr>
          <w:rFonts w:ascii="Arial;sans-serif" w:hAnsi="Arial;sans-serif"/>
          <w:b w:val="false"/>
          <w:color w:val="000000"/>
          <w:sz w:val="18"/>
          <w:shd w:fill="FFFFFF" w:val="clear"/>
        </w:rPr>
        <w:t>We are involved in various legal and administrative proceedings, investigations, claims, and litigation from time to time in the course of our business. Such matters may include, but are not limited to, those relating to employment and benefits, commercial disputes, personal injury, property damage, regulatory matters, environmental matters, and various other claims for injuries and (or) damages. While we believe we have meritorious positions and will continue to appropriately respond to all legal matters, because of the inherently unpredictable nature of legal proceedings, there is a wide range of potential outcomes for any such matter.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16840"/>
                <wp:effectExtent l="0" t="0" r="0" b="0"/>
                <wp:wrapNone/>
                <wp:docPr id="15" name="Frame15"/>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13</w:t>
                      </w:r>
                    </w:p>
                  </w:txbxContent>
                </v:textbox>
                <w10:wrap type="none"/>
              </v:rect>
            </w:pict>
          </mc:Fallback>
        </mc:AlternateContent>
      </w:r>
    </w:p>
    <w:p>
      <w:pPr>
        <w:pStyle w:val="TextBody"/>
        <w:bidi w:val="0"/>
        <w:spacing w:lineRule="auto" w:line="288" w:before="0" w:after="180"/>
        <w:jc w:val="left"/>
        <w:rPr/>
      </w:pPr>
      <w:hyperlink w:anchor="if20e1f3d5a734e3eabbb6aa8f57c7562_45">
        <w:r>
          <w:rPr>
            <w:rStyle w:val="InternetLink"/>
            <w:rFonts w:ascii="Arial;sans-serif" w:hAnsi="Arial;sans-serif"/>
            <w:b w:val="false"/>
            <w:color w:val="0000FF"/>
            <w:sz w:val="18"/>
            <w:u w:val="single"/>
          </w:rPr>
          <w:t>Table of Contents</w:t>
        </w:r>
      </w:hyperlink>
    </w:p>
    <w:p>
      <w:pPr>
        <w:pStyle w:val="TextBody"/>
        <w:bidi w:val="0"/>
        <w:spacing w:lineRule="auto" w:line="288" w:before="0" w:after="180"/>
        <w:ind w:left="0" w:right="0" w:firstLine="360"/>
        <w:jc w:val="left"/>
        <w:rPr/>
      </w:pPr>
      <w:r>
        <w:rPr>
          <w:rFonts w:ascii="Arial;sans-serif" w:hAnsi="Arial;sans-serif"/>
          <w:b w:val="false"/>
          <w:i/>
          <w:color w:val="000000"/>
          <w:sz w:val="18"/>
        </w:rPr>
        <w:t>Winter Storm Uri Lawsuits.</w:t>
      </w:r>
      <w:r>
        <w:rPr>
          <w:color w:val="000000"/>
        </w:rPr>
        <w:t xml:space="preserve"> </w:t>
      </w:r>
      <w:r>
        <w:rPr>
          <w:rFonts w:ascii="Arial;sans-serif" w:hAnsi="Arial;sans-serif"/>
          <w:b w:val="false"/>
          <w:color w:val="000000"/>
          <w:sz w:val="18"/>
        </w:rPr>
        <w:t>In connection with the sale of Talen’s generating facilities in Texas in May 2024, the Company retained certain potential liabilities relating to claims filed from 2021 onward against its former Texas subsidiaries seeking unspecified damages for alleged losses caused by the defendants’ failure to provide sufficient power to the grid during Winter Storm Uri. The claims also allege similar liability against numerous other power market participants. These cases were transferred to a single multi-district litigation (MDL) court. In January 2023, the MDL court ruled on various motions to dismiss, but denied the motions to dismiss filed by the generator defendants. In December 2023, the Texas First Court of Appeals granted a mandamus petition and instructed the MDL court to grant the motions to dismiss filed by the generator defendants. In early 2025, the plaintiffs filed for mandamus relief in the Texas Supreme Court seeking to overturn the Texas First Court of Appeals. In March 2026, the Texas Supreme Court denied the plaintiffs’ requests. While Talen expects the dismissal ruling to be applied broadly to all Uri cases against Talen’s former subsidiaries, the cases remain pending at this time. If the cases are not dismissed, Talen’s maximum potential damages for claims filed prior to the restructuring are expressly limited by Talen’s plan of reorganization to payments from Talen’s insurers. However, claims filed after the restructuring by plaintiffs who did not receive effective notice of the restructuring, if any, may not be subject to the limitations in the plan. Talen cannot predict the effect of an adverse outcome for any such claims.</w:t>
      </w:r>
    </w:p>
    <w:p>
      <w:pPr>
        <w:pStyle w:val="TextBody"/>
        <w:bidi w:val="0"/>
        <w:spacing w:lineRule="auto" w:line="288" w:before="0" w:after="180"/>
        <w:ind w:left="0" w:right="0" w:firstLine="360"/>
        <w:jc w:val="left"/>
        <w:rPr>
          <w:rFonts w:ascii="Arial;sans-serif" w:hAnsi="Arial;sans-serif"/>
          <w:b w:val="false"/>
          <w:color w:val="000000"/>
          <w:sz w:val="18"/>
        </w:rPr>
      </w:pPr>
      <w:r>
        <w:rPr>
          <w:rFonts w:ascii="Arial;sans-serif" w:hAnsi="Arial;sans-serif"/>
          <w:b w:val="false"/>
          <w:color w:val="000000"/>
          <w:sz w:val="18"/>
        </w:rPr>
        <w:t>See Note 9 to the Annual Financial Statements for certain other active legal matters.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ind w:left="0" w:right="0" w:firstLine="360"/>
        <w:jc w:val="left"/>
        <w:rPr>
          <w:rFonts w:ascii="Arial;sans-serif" w:hAnsi="Arial;sans-serif"/>
          <w:b/>
          <w:i/>
          <w:color w:val="000000"/>
          <w:sz w:val="18"/>
        </w:rPr>
      </w:pPr>
      <w:r>
        <w:rPr>
          <w:rFonts w:ascii="Arial;sans-serif" w:hAnsi="Arial;sans-serif"/>
          <w:b/>
          <w:i/>
          <w:color w:val="000000"/>
          <w:sz w:val="18"/>
        </w:rPr>
        <w:t>Regulatory Matters</w:t>
      </w:r>
    </w:p>
    <w:p>
      <w:pPr>
        <w:pStyle w:val="TextBody"/>
        <w:bidi w:val="0"/>
        <w:spacing w:lineRule="auto" w:line="288" w:before="0" w:after="180"/>
        <w:ind w:left="0" w:right="0" w:firstLine="360"/>
        <w:jc w:val="left"/>
        <w:rPr>
          <w:rFonts w:ascii="Arial;sans-serif" w:hAnsi="Arial;sans-serif"/>
          <w:b w:val="false"/>
          <w:color w:val="000000"/>
          <w:sz w:val="18"/>
        </w:rPr>
      </w:pPr>
      <w:r>
        <w:rPr>
          <w:rFonts w:ascii="Arial;sans-serif" w:hAnsi="Arial;sans-serif"/>
          <w:b w:val="false"/>
          <w:color w:val="000000"/>
          <w:sz w:val="18"/>
        </w:rPr>
        <w:t>We are subject to regulation by federal and state agencies and other bodies that exercise regulatory authority in the various regions where we conduct business, including but not limited to the FERC; the DOE; the NRC; the North American Energy Reliability Corporation (“NERC”); the Federal Communications Commission; and state public utility commissions. In addition, the RTOs and ISOs in the regions in which we conduct business inherently have complex rules that are intended to balance the interests of market stakeholders. Proposed market structure modifications may lead to disputes among stakeholders that might not be resolved for a period of time as a result of regulatory and (or) legal proceedings. Accordingly, we are subject to uncertainty with respect to: (i) new or amended regulations issued by regulatory agencies; and (ii) changes in market design, tariff structure, capacity auctions, and (or) pricing rules.</w:t>
      </w:r>
    </w:p>
    <w:p>
      <w:pPr>
        <w:pStyle w:val="TextBody"/>
        <w:bidi w:val="0"/>
        <w:spacing w:lineRule="auto" w:line="288" w:before="0" w:after="180"/>
        <w:ind w:left="0" w:right="0" w:firstLine="360"/>
        <w:jc w:val="left"/>
        <w:rPr/>
      </w:pPr>
      <w:r>
        <w:rPr>
          <w:rFonts w:ascii="Arial;sans-serif" w:hAnsi="Arial;sans-serif"/>
          <w:b w:val="false"/>
          <w:i/>
          <w:color w:val="000000"/>
          <w:sz w:val="18"/>
        </w:rPr>
        <w:t>PJM Capacity Market Reform.</w:t>
      </w:r>
      <w:r>
        <w:rPr>
          <w:color w:val="000000"/>
        </w:rPr>
        <w:t xml:space="preserve"> </w:t>
      </w:r>
      <w:r>
        <w:rPr>
          <w:rFonts w:ascii="Arial;sans-serif" w:hAnsi="Arial;sans-serif"/>
          <w:b w:val="false"/>
          <w:color w:val="000000"/>
          <w:sz w:val="18"/>
        </w:rPr>
        <w:t>In June 2023, the FERC accepted a request by PJM to delay certain PJM Base Residual Auctions in order for PJM to propose market reforms. PJM filed its market reform proposals with the FERC in October 2023. In early 2024, the FERC accepted portions of PJM’s proposed market changes and PJM scheduled certain PJM BRAs on a delayed basis. In September 2024, the Sierra Club and other organizations filed a complaint at the FERC challenging PJM’s rules establishing must-offer exceptions for PJM BRA participation by RMR resources. In October 2024, PJM announced it had concerns about the FERC considering the Sierra Club’s complaints about RMR resources in isolation and therefore intended to file a Section 205 proceeding under the Federal Power Act seeking the FERC’s approval of to-be-determined market reforms, including but not limited to potential revisions to the treatm</w:t>
      </w:r>
      <w:r>
        <w:rPr>
          <w:rFonts w:ascii="Arial;sans-serif" w:hAnsi="Arial;sans-serif"/>
          <w:b w:val="false"/>
          <w:color w:val="000000"/>
          <w:sz w:val="18"/>
          <w:shd w:fill="FFFFFF" w:val="clear"/>
        </w:rPr>
        <w:t>ent of RMR resources. As a result, in October 2024, PJM formally requested, which the FERC approved, six-month delays to the scheduled PJM BRAs for the 2028/2029, and 2029/2030 PJM Capacity Years to June 2026, and December 2026, respectively. Currently, the auction for the 2030/2031 PJM Capacity Year in May 2027 is scheduled on a non-delayed basis. Talen can provide no assurance that these or any scheduled PJM BRAs will be held on such dates or at all.</w:t>
      </w:r>
    </w:p>
    <w:p>
      <w:pPr>
        <w:pStyle w:val="TextBody"/>
        <w:bidi w:val="0"/>
        <w:spacing w:lineRule="auto" w:line="288" w:before="0" w:after="180"/>
        <w:ind w:left="0" w:right="0" w:firstLine="360"/>
        <w:jc w:val="left"/>
        <w:rPr>
          <w:rFonts w:ascii="Arial;sans-serif" w:hAnsi="Arial;sans-serif"/>
          <w:b w:val="false"/>
          <w:color w:val="000000"/>
          <w:sz w:val="18"/>
        </w:rPr>
      </w:pPr>
      <w:r>
        <w:rPr>
          <w:rFonts w:ascii="Arial;sans-serif" w:hAnsi="Arial;sans-serif"/>
          <w:b w:val="false"/>
          <w:color w:val="000000"/>
          <w:sz w:val="18"/>
        </w:rPr>
        <w:t>A series of filings aimed at reforming the PJM capacity market were filed at the FERC. In November 2024, the Joint Consumer Advocates, comprised of consumer advocacy groups and government entities from Illinois, Maryland, New Jersey, Ohio, and the District of Columbia filed a complaint against PJM asking the FERC to find that PJM’s existing capacity market rules are unjust and unreasonable and to issue an order requiring certain short-term and longer-term changes to PJM’s capacity market rules.</w:t>
      </w:r>
    </w:p>
    <w:p>
      <w:pPr>
        <w:pStyle w:val="TextBody"/>
        <w:bidi w:val="0"/>
        <w:spacing w:lineRule="auto" w:line="288" w:before="0" w:after="180"/>
        <w:ind w:left="0" w:right="0" w:firstLine="360"/>
        <w:jc w:val="left"/>
        <w:rPr>
          <w:rFonts w:ascii="Arial;sans-serif" w:hAnsi="Arial;sans-serif"/>
          <w:b w:val="false"/>
          <w:color w:val="000000"/>
          <w:sz w:val="18"/>
        </w:rPr>
      </w:pPr>
      <w:r>
        <w:rPr>
          <w:rFonts w:ascii="Arial;sans-serif" w:hAnsi="Arial;sans-serif"/>
          <w:b w:val="false"/>
          <w:color w:val="000000"/>
          <w:sz w:val="18"/>
        </w:rPr>
        <w:t>In response, PJM made two FERC filings in December 2024 to address what they perceive as capacity market design issues (the “PJM Capacity Market 205 Proceeding”). PJM proposed to retain the dual fuel combustion turbine as the reference resource and to implement a uniform non-performance charge throughout the RTO for the 2026/2027 and 2027/2028 PJM Capacity Years, and to administratively include RMR units that meet certain criteria as price takers in the capacity auctions for the next two delivery years and will not assess penalties or pay bonuses to these RMR units. PJM’s filing also clarifies that being excused from being required to offer into the capacity market is no defense to exercising market power by electing not to offer. Further, PJM proposed to make changes to the capacity market mitigation rules. This proposal will eliminate the must-offer exception for intermittent and limited duration resources that are eligible to participate in the capacity market and will allow market sellers to incorporate a risk component in their capacity market offers. In February 2025, the FERC accepted PJM’s proposals in the PJM Capacity Market 205 Proceeding and as a result, the changes to the PJM BRA parameters described above as part of that proceeding were adopted for the 2026/2027 and 2027/2028 PJM Capacity Years.</w:t>
      </w:r>
    </w:p>
    <w:p>
      <w:pPr>
        <w:pStyle w:val="TextBody"/>
        <w:bidi w:val="0"/>
        <w:spacing w:lineRule="auto" w:line="288" w:before="0" w:after="180"/>
        <w:ind w:left="0" w:right="0" w:firstLine="360"/>
        <w:jc w:val="left"/>
        <w:rPr/>
      </w:pPr>
      <w:r>
        <w:rPr>
          <w:rFonts w:ascii="Arial;sans-serif" w:hAnsi="Arial;sans-serif"/>
          <w:b w:val="false"/>
          <w:color w:val="000000"/>
          <w:sz w:val="18"/>
        </w:rPr>
        <w:t>In December 2024, the Pennsylvania Governor filed a complaint against PJM at the FERC to address alleged elevated costs to consumers from the PJM capacity market in the 2026/2027 and 2027/2028 PJM Capacity Years and proposed, among other things, a lower capacity price cap. As a result of a subsequent agreement between the Commonwealth of Pennsylvania and PJM that resolved the Governor’s complaint, the Governor withdrew the complaint in February 2025. In April 2025, the FERC accepted PJM’s proposals reflecting its agreement with the Com</w:t>
      </w:r>
      <w:r>
        <w:rPr>
          <w:rFonts w:ascii="Arial;sans-serif" w:hAnsi="Arial;sans-serif"/>
          <w:b w:val="false"/>
          <w:color w:val="000000"/>
          <w:sz w:val="18"/>
          <w:shd w:fill="FFFFFF" w:val="clear"/>
        </w:rPr>
        <w:t>monwealth of Pennsylvania. As a result, the PJM BRA imposed a price collar with an approximate minimum and maximum price of $175/MWd and $325/MWd, respectively, which was effective for the 2026/2027 and 2027/2028 PJM BRAs. In April 2026, the FERC approved the extension of the same price collar framework for the 2028/2029 and 2029/2030 PJM Capacity Years.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16840"/>
                <wp:effectExtent l="0" t="0" r="0" b="0"/>
                <wp:wrapNone/>
                <wp:docPr id="16" name="Frame16"/>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14</w:t>
                      </w:r>
                    </w:p>
                  </w:txbxContent>
                </v:textbox>
                <w10:wrap type="none"/>
              </v:rect>
            </w:pict>
          </mc:Fallback>
        </mc:AlternateContent>
      </w:r>
    </w:p>
    <w:p>
      <w:pPr>
        <w:pStyle w:val="TextBody"/>
        <w:bidi w:val="0"/>
        <w:spacing w:lineRule="auto" w:line="288" w:before="0" w:after="180"/>
        <w:jc w:val="left"/>
        <w:rPr/>
      </w:pPr>
      <w:hyperlink w:anchor="if20e1f3d5a734e3eabbb6aa8f57c7562_45">
        <w:r>
          <w:rPr>
            <w:rStyle w:val="InternetLink"/>
            <w:rFonts w:ascii="Arial;sans-serif" w:hAnsi="Arial;sans-serif"/>
            <w:b w:val="false"/>
            <w:color w:val="0000FF"/>
            <w:sz w:val="18"/>
            <w:u w:val="single"/>
          </w:rPr>
          <w:t>Table of Contents</w:t>
        </w:r>
      </w:hyperlink>
    </w:p>
    <w:p>
      <w:pPr>
        <w:pStyle w:val="TextBody"/>
        <w:bidi w:val="0"/>
        <w:spacing w:lineRule="auto" w:line="288" w:before="0" w:after="180"/>
        <w:ind w:left="0" w:right="0" w:firstLine="360"/>
        <w:jc w:val="left"/>
        <w:rPr>
          <w:rFonts w:ascii="Arial;sans-serif" w:hAnsi="Arial;sans-serif"/>
          <w:b w:val="false"/>
          <w:color w:val="000000"/>
          <w:sz w:val="18"/>
        </w:rPr>
      </w:pPr>
      <w:r>
        <w:rPr>
          <w:rFonts w:ascii="Arial;sans-serif" w:hAnsi="Arial;sans-serif"/>
          <w:b w:val="false"/>
          <w:color w:val="000000"/>
          <w:sz w:val="18"/>
        </w:rPr>
        <w:t>In February 2025, the FERC initiated a technical conference docket to consider broad resource adequacy issues across all RTOs, with the initial proceedings taking place in June 2025. The Company has intervened in the new technical conference docket and is closely monitoring those proceedings.</w:t>
      </w:r>
    </w:p>
    <w:p>
      <w:pPr>
        <w:pStyle w:val="TextBody"/>
        <w:bidi w:val="0"/>
        <w:spacing w:lineRule="auto" w:line="288" w:before="0" w:after="180"/>
        <w:ind w:left="0" w:right="0" w:firstLine="360"/>
        <w:jc w:val="left"/>
        <w:rPr/>
      </w:pPr>
      <w:r>
        <w:rPr>
          <w:rFonts w:ascii="Arial;sans-serif" w:hAnsi="Arial;sans-serif"/>
          <w:b w:val="false"/>
          <w:i/>
          <w:color w:val="000000"/>
          <w:sz w:val="18"/>
        </w:rPr>
        <w:t>Brandon Shores and H.A. Wagner RMR Agreements.</w:t>
      </w:r>
      <w:r>
        <w:rPr>
          <w:color w:val="000000"/>
        </w:rPr>
        <w:t xml:space="preserve"> </w:t>
      </w:r>
      <w:r>
        <w:rPr>
          <w:rFonts w:ascii="Arial;sans-serif" w:hAnsi="Arial;sans-serif"/>
          <w:b w:val="false"/>
          <w:color w:val="000000"/>
          <w:sz w:val="18"/>
        </w:rPr>
        <w:t>In May 2025, the FERC approved each of the Brandon Shores and H.A. Wagner RMR agreements, under which: (i) Talen will operate the generation facilities in accordance with such arrangements from June 1, 2025 through May 31, 2029, or until such time as the necessary third-party transmission upgrades are placed into service; (ii) Brandon Shores will earn annual fixed-cost payments of $145 million ($312/MWd), inclusive of a $5 million per year unit performance “hold back;” (iii) H.A. Wagner will earn annual fixed-cost payments of $35 million ($137/MWd), inclusive of a $2.5 million per year unit performance “hold back;” and (iv) each facility will receive separate reimbursement for variable costs and approved project investments. In August 2025, the Maryland Office of People’s Counsel filed an appeal of the FERC’s order approving the Brandon Shores and H.A. Wagner RMR agreements. Talen has intervened in that proceeding and plans to participate.</w:t>
      </w:r>
    </w:p>
    <w:p>
      <w:pPr>
        <w:pStyle w:val="TextBody"/>
        <w:bidi w:val="0"/>
        <w:spacing w:lineRule="auto" w:line="288" w:before="0" w:after="180"/>
        <w:ind w:left="0" w:right="0" w:firstLine="360"/>
        <w:jc w:val="left"/>
        <w:rPr/>
      </w:pPr>
      <w:r>
        <w:rPr>
          <w:rFonts w:ascii="Arial;sans-serif" w:hAnsi="Arial;sans-serif"/>
          <w:b w:val="false"/>
          <w:i/>
          <w:color w:val="000000"/>
          <w:sz w:val="18"/>
        </w:rPr>
        <w:t xml:space="preserve">Interconnection of Large Loads. </w:t>
      </w:r>
      <w:r>
        <w:rPr>
          <w:rFonts w:ascii="Arial;sans-serif" w:hAnsi="Arial;sans-serif"/>
          <w:b w:val="false"/>
          <w:color w:val="000000"/>
          <w:sz w:val="18"/>
        </w:rPr>
        <w:t>In October 2025, DOE directed the FERC to consider reforms to expedite and facilitate how large loads interconnect to the interstate transmission system. DOE stated that the Federal Power Act permits the FERC to exert jurisdiction over load interconnections even though it has not historically done so. DOE provided a draft advance notice of proposed rulemaking (“ANOPR”) and directed the FERC to initiate rulemaking procedures. In November 2025, the FERC requested public comment on the ANOPR, and the Company provided comments. DOE directed the FERC to take final action by the end of April 2026.</w:t>
      </w:r>
    </w:p>
    <w:p>
      <w:pPr>
        <w:pStyle w:val="TextBody"/>
        <w:bidi w:val="0"/>
        <w:spacing w:lineRule="auto" w:line="288" w:before="0" w:after="180"/>
        <w:ind w:left="0" w:right="0" w:firstLine="360"/>
        <w:jc w:val="left"/>
        <w:rPr>
          <w:rFonts w:ascii="Arial;sans-serif" w:hAnsi="Arial;sans-serif"/>
          <w:b w:val="false"/>
          <w:color w:val="000000"/>
          <w:sz w:val="18"/>
        </w:rPr>
      </w:pPr>
      <w:r>
        <w:rPr>
          <w:rFonts w:ascii="Arial;sans-serif" w:hAnsi="Arial;sans-serif"/>
          <w:b w:val="false"/>
          <w:color w:val="000000"/>
          <w:sz w:val="18"/>
        </w:rPr>
        <w:t>In August 2025, PJM began an accelerated process known as a Critical Issue Fast Path (“CIFP”) process with stakeholders to address how to integrate large load customers quickly and reliably. The CIFP stakeholders represented a wide range of views about resource allocations, costs, and how the addition of large loads like data centers to PJM should be managed in the context of the capacity market. The Company was an active participant in the CIFP process and submitted a joint proposal amongst itself, Constellation, Calpine, Amazon, Microsoft, and Google representing the group’s collective views on the best approach to large load additions. Neither the joint proposal nor any of the other proposals submitted received broad stakeholder support during voting. Nevertheless, PJM had planned to make a filing at the FERC in January 2026 containing PJM’s ultimate proposal to be in place for the 2028/2029 PJM BRA.</w:t>
      </w:r>
    </w:p>
    <w:p>
      <w:pPr>
        <w:pStyle w:val="TextBody"/>
        <w:bidi w:val="0"/>
        <w:spacing w:lineRule="auto" w:line="288" w:before="0" w:after="180"/>
        <w:ind w:left="0" w:right="0" w:firstLine="360"/>
        <w:jc w:val="left"/>
        <w:rPr>
          <w:rFonts w:ascii="Arial;sans-serif" w:hAnsi="Arial;sans-serif"/>
          <w:b w:val="false"/>
          <w:color w:val="000000"/>
          <w:sz w:val="18"/>
        </w:rPr>
      </w:pPr>
      <w:r>
        <w:rPr>
          <w:rFonts w:ascii="Arial;sans-serif" w:hAnsi="Arial;sans-serif"/>
          <w:b w:val="false"/>
          <w:color w:val="000000"/>
          <w:sz w:val="18"/>
        </w:rPr>
        <w:t>In December 2025, however, the FERC issued an order in a show cause proceeding on large loads co-located with generation. The FERC directed PJM to submit an informational report containing, among other items, all of the CIFP proposals. The FERC also found that the PJM tariff was unjust and unreasonable as to the interconnection of co-located loads. The FERC requested tariff revisions be submitted over the next 30-60 days and established a hearing schedule, which begins in February 2026, to establish rates, terms, and conditions of several new transmission services.</w:t>
      </w:r>
    </w:p>
    <w:p>
      <w:pPr>
        <w:pStyle w:val="TextBody"/>
        <w:bidi w:val="0"/>
        <w:spacing w:lineRule="auto" w:line="288" w:before="0" w:after="180"/>
        <w:ind w:left="0" w:right="0" w:firstLine="360"/>
        <w:jc w:val="left"/>
        <w:rPr>
          <w:rFonts w:ascii="Arial;sans-serif" w:hAnsi="Arial;sans-serif"/>
          <w:b w:val="false"/>
          <w:color w:val="000000"/>
          <w:sz w:val="18"/>
        </w:rPr>
      </w:pPr>
      <w:r>
        <w:rPr>
          <w:rFonts w:ascii="Arial;sans-serif" w:hAnsi="Arial;sans-serif"/>
          <w:b w:val="false"/>
          <w:color w:val="000000"/>
          <w:sz w:val="18"/>
        </w:rPr>
        <w:t xml:space="preserve">In January 2026, the National Energy Dominance Council (“NEDC”) and the Governors from each of the 13 states in PJM issued a “Statement of Principles” for PJM. Among other things, the statement calls for PJM to conduct a reliability backstop auction for new baseload capacity with 15-year contracts by September 2026. It also urged PJM to extend the existing price collar for the next two BRAs. Hours after the NEDC/Governors’ principles were released, the PJM Board of Managers issued a Board Decisional Letter — the final step in the Large Load Addition CIFP process. The Board’s Decisional Letter adopted specific elements of various proposals, including load forecasting improvements, voluntary bring your own generation paired with an expedited interconnection track, a holistic review in the coming year of investment incentives in PJM’s markets, and immediate initiation of a reliability backstop procurement. </w:t>
      </w:r>
    </w:p>
    <w:p>
      <w:pPr>
        <w:pStyle w:val="TextBody"/>
        <w:bidi w:val="0"/>
        <w:spacing w:lineRule="auto" w:line="288" w:before="0" w:after="180"/>
        <w:ind w:left="0" w:right="0" w:firstLine="360"/>
        <w:jc w:val="left"/>
        <w:rPr/>
      </w:pPr>
      <w:r>
        <w:rPr>
          <w:rFonts w:ascii="Arial;sans-serif" w:hAnsi="Arial;sans-serif"/>
          <w:b w:val="false"/>
          <w:i/>
          <w:color w:val="000000"/>
          <w:sz w:val="18"/>
        </w:rPr>
        <w:t>PJM Reliability Backstop Procurement.</w:t>
      </w:r>
      <w:r>
        <w:rPr>
          <w:color w:val="000000"/>
        </w:rPr>
        <w:t xml:space="preserve"> </w:t>
      </w:r>
      <w:r>
        <w:rPr>
          <w:rFonts w:ascii="Arial;sans-serif" w:hAnsi="Arial;sans-serif"/>
          <w:b w:val="false"/>
          <w:color w:val="000000"/>
          <w:sz w:val="18"/>
        </w:rPr>
        <w:t>In February 2026, PJM launched a series of workshops to develop a proposal for a reliability backstop procurement, a one-time, transitional procurement of capacity to begin to address the expected future load growth in the PJM region. As with the CIFP process, the Company is actively participating and presented a joint proposal with a cross-sector coalition. In April 2026, PJM staff presented its proposal for a two-phase reliability backstop procurement. The first phase, which would run from September 2026 to March 2027, entails PJM acting as a “matchmaker” for bilateral contracts; the second phase, which would not commence until March 2027, is a centralized procurement. Additional workshops to receive feedback on the proposal and receive alternative proposals are scheduled in May. PJM anticipates it will make a filing at FERC in June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16840"/>
                <wp:effectExtent l="0" t="0" r="0" b="0"/>
                <wp:wrapNone/>
                <wp:docPr id="17" name="Frame17"/>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15</w:t>
                      </w:r>
                    </w:p>
                  </w:txbxContent>
                </v:textbox>
                <w10:wrap type="none"/>
              </v:rect>
            </w:pict>
          </mc:Fallback>
        </mc:AlternateContent>
      </w:r>
    </w:p>
    <w:p>
      <w:pPr>
        <w:pStyle w:val="TextBody"/>
        <w:bidi w:val="0"/>
        <w:spacing w:lineRule="auto" w:line="288" w:before="0" w:after="180"/>
        <w:jc w:val="left"/>
        <w:rPr/>
      </w:pPr>
      <w:hyperlink w:anchor="if20e1f3d5a734e3eabbb6aa8f57c7562_45">
        <w:r>
          <w:rPr>
            <w:rStyle w:val="InternetLink"/>
            <w:rFonts w:ascii="Arial;sans-serif" w:hAnsi="Arial;sans-serif"/>
            <w:b w:val="false"/>
            <w:color w:val="0000FF"/>
            <w:sz w:val="18"/>
            <w:u w:val="single"/>
          </w:rPr>
          <w:t>Table of Contents</w:t>
        </w:r>
      </w:hyperlink>
    </w:p>
    <w:p>
      <w:pPr>
        <w:pStyle w:val="TextBody"/>
        <w:bidi w:val="0"/>
        <w:spacing w:lineRule="auto" w:line="288" w:before="0" w:after="180"/>
        <w:ind w:left="0" w:right="0" w:firstLine="360"/>
        <w:jc w:val="left"/>
        <w:rPr>
          <w:rFonts w:ascii="Arial;sans-serif" w:hAnsi="Arial;sans-serif"/>
          <w:b/>
          <w:i/>
          <w:color w:val="000000"/>
          <w:sz w:val="18"/>
        </w:rPr>
      </w:pPr>
      <w:bookmarkStart w:id="8" w:name="id5871a4d6ffe467e9245f20d028560c6_207392"/>
      <w:bookmarkEnd w:id="8"/>
      <w:r>
        <w:rPr>
          <w:rFonts w:ascii="Arial;sans-serif" w:hAnsi="Arial;sans-serif"/>
          <w:b/>
          <w:i/>
          <w:color w:val="000000"/>
          <w:sz w:val="18"/>
        </w:rPr>
        <w:t>Environmental Matters</w:t>
      </w:r>
    </w:p>
    <w:p>
      <w:pPr>
        <w:pStyle w:val="TextBody"/>
        <w:bidi w:val="0"/>
        <w:spacing w:lineRule="auto" w:line="288" w:before="0" w:after="180"/>
        <w:ind w:left="0" w:right="0" w:firstLine="360"/>
        <w:jc w:val="left"/>
        <w:rPr>
          <w:rFonts w:ascii="Arial;sans-serif" w:hAnsi="Arial;sans-serif"/>
          <w:b w:val="false"/>
          <w:color w:val="000000"/>
          <w:sz w:val="18"/>
        </w:rPr>
      </w:pPr>
      <w:r>
        <w:rPr>
          <w:rFonts w:ascii="Arial;sans-serif" w:hAnsi="Arial;sans-serif"/>
          <w:b w:val="false"/>
          <w:color w:val="000000"/>
          <w:sz w:val="18"/>
        </w:rPr>
        <w:t>Extensive federal, state, and local environmental laws and regulations are applicable to our business, including those related to air emissions, water discharges, hazardous substances, and solid waste management. From time to time, in the ordinary course of our business, Talen may be: (i) subject to environmental remediation work at its facilities; (ii) involved in other environmental matters; or (iii) become subject to other, new or revised environmental statutes, regulations, or requirements. It may be necessary for us to modify, curtail, replace, or cease operation of certain facilities or performance of certain operations to comply with statutes, regulations, and other requirements imposed by regulatory bodies, courts, or environmental groups. We may incur significant costs to comply with these requirements, including increased capital expenditures or operation and maintenance expenses, monetary fines, remediation costs, penalties, or other restrictions. Legal challenges to environmental rules or permits add to the uncertainty of estimating future compliance costs. In addition, in January 2025, President Trump issued executive orders directing the heads of all federal agencies to identify and begin the processes to suspend, revise, or rescind all agency actions, including existing regulations, that are unduly burdensome on the identification, development, or use of domestic energy resources. Consequently, in March 2025, the EPA announced that it will reconsider and potentially roll back 31 regulations and policies, many of which directly impact Talen, and various executive actions were taken in April 2025 to further encourage deregulation. The EPA’s reconsiderations for many of these regulations and policies remain ongoing, and certain executive orders have subsequently been challenged by states and individual plaintiffs. Future provisions, implementation, and enforcement of these executive actions and the environmental rules continue to be uncertain. Further, costs may increase significantly if the requirements or scope of environmental laws or regulations, or similar rules, are expanded or changed in other ways.</w:t>
      </w:r>
    </w:p>
    <w:p>
      <w:pPr>
        <w:pStyle w:val="TextBody"/>
        <w:bidi w:val="0"/>
        <w:spacing w:lineRule="auto" w:line="288" w:before="0" w:after="180"/>
        <w:ind w:left="0" w:right="0" w:firstLine="360"/>
        <w:jc w:val="left"/>
        <w:rPr/>
      </w:pPr>
      <w:r>
        <w:rPr>
          <w:rFonts w:ascii="Arial;sans-serif" w:hAnsi="Arial;sans-serif"/>
          <w:b w:val="false"/>
          <w:i/>
          <w:color w:val="000000"/>
          <w:sz w:val="18"/>
        </w:rPr>
        <w:t>EPA CSAPR and Nitrogen Oxides (“NOx”) Requirements.</w:t>
      </w:r>
      <w:r>
        <w:rPr>
          <w:color w:val="000000"/>
        </w:rPr>
        <w:t xml:space="preserve"> </w:t>
      </w:r>
      <w:r>
        <w:rPr>
          <w:rFonts w:ascii="Arial;sans-serif" w:hAnsi="Arial;sans-serif"/>
          <w:b w:val="false"/>
          <w:color w:val="000000"/>
          <w:sz w:val="18"/>
        </w:rPr>
        <w:t>Coal-fired generation facilities, including those in which Talen has ownership, have been the subject of EPA regulations and efforts by certain states and other parties to strengthen applicable NOx emission limits under the Clean Air Act. In 2015, the EPA revised the 8-hour ozone National Ambient Air Quality Standards for ground-level ozone to 70 parts per billion (the “EPA 2015 Ozone Standard”). This action triggered updates to state-specific compliance requirements as well as provisions that are intended to limit cross-state emissions. In June 2023, the EPA published a rule in connection with the EPA 2015 Ozone Standard updating the EPA CSAPR ozone season NOx allowance trading program for 2023 and beyond (the “Good Neighbor Plan”). Talen’s facilities in Maryland and Pennsylvania were subject to the new rule; however, the entire rule was challenged by multiple parties, and subsequently the Good Neighbor Plan was stayed in its entirety by the U.S. Supreme Court in June 2024 pending a complete review of the rule by the D.C. Circuit Court of Appeals. In November 2024, the EPA issued an interim final rule indicating it plans to provide NOx allocations and budgets from the previously applicable and less restrictive Revised CSAPR Update Rule until the Good Neighbor Plan matter is resolved.</w:t>
      </w:r>
      <w:r>
        <w:rPr>
          <w:color w:val="000000"/>
          <w:shd w:fill="FFFFFF" w:val="clear"/>
        </w:rPr>
        <w:t xml:space="preserve"> </w:t>
      </w:r>
      <w:r>
        <w:rPr>
          <w:rFonts w:ascii="Arial;sans-serif" w:hAnsi="Arial;sans-serif"/>
          <w:b w:val="false"/>
          <w:color w:val="000000"/>
          <w:sz w:val="18"/>
          <w:shd w:fill="FFFFFF" w:val="clear"/>
        </w:rPr>
        <w:t>After initially denying the EPA’s request in February 2025, the D.C. Circuit Court of Appeals in April 2025, granted the EPA’s motion requesting the Good Neighbor Plan litigation be held in abeyance pending the EPA’s review of the stayed rule and further orders by the court. As a result, future implementation and enforcement of the Good Neighbor Plan has continued to be uncertain.</w:t>
      </w:r>
    </w:p>
    <w:p>
      <w:pPr>
        <w:pStyle w:val="TextBody"/>
        <w:bidi w:val="0"/>
        <w:spacing w:lineRule="auto" w:line="288" w:before="0" w:after="0"/>
        <w:ind w:left="0" w:right="0" w:firstLine="360"/>
        <w:jc w:val="left"/>
        <w:rPr>
          <w:rFonts w:ascii="Arial;sans-serif" w:hAnsi="Arial;sans-serif"/>
          <w:b w:val="false"/>
          <w:color w:val="000000"/>
          <w:sz w:val="18"/>
        </w:rPr>
      </w:pPr>
      <w:r>
        <w:rPr>
          <w:rFonts w:ascii="Arial;sans-serif" w:hAnsi="Arial;sans-serif"/>
          <w:b w:val="false"/>
          <w:color w:val="000000"/>
          <w:sz w:val="18"/>
        </w:rPr>
        <w:t>In January 2026, the EPA proposed Phase 1 of its reconsideration of the Good Neighbor Plan. In its proposal, the EPA proposes to approve state implementation plan submissions governing interstate emissions from eight states (Alabama, Arizona, Kentucky, Minnesota, Mississippi, Nevada, New Mexico, and Tennessee). If finalized, these states would no longer be subject to Good Neighbor Plan requirements. Although Talen does not operate in any of the states identified in the proposed rule, EPA in its proposal states that it intends to undertake a separate action to address interstate transport obligations for the remaining states covered under the Good Neighbor Plan.</w:t>
      </w:r>
    </w:p>
    <w:p>
      <w:pPr>
        <w:pStyle w:val="TextBody"/>
        <w:bidi w:val="0"/>
        <w:spacing w:before="0" w:after="0"/>
        <w:jc w:val="left"/>
        <w:rPr/>
      </w:pPr>
      <w:r>
        <w:rPr/>
      </w:r>
    </w:p>
    <w:p>
      <w:pPr>
        <w:pStyle w:val="TextBody"/>
        <w:bidi w:val="0"/>
        <w:spacing w:lineRule="auto" w:line="288" w:before="0" w:after="180"/>
        <w:ind w:left="0" w:right="0" w:firstLine="360"/>
        <w:jc w:val="left"/>
        <w:rPr/>
      </w:pPr>
      <w:r>
        <w:rPr>
          <w:rFonts w:ascii="Arial;sans-serif" w:hAnsi="Arial;sans-serif"/>
          <w:b w:val="false"/>
          <w:i/>
          <w:color w:val="000000"/>
          <w:sz w:val="18"/>
        </w:rPr>
        <w:t>EPA MATS Rule.</w:t>
      </w:r>
      <w:r>
        <w:rPr>
          <w:color w:val="000000"/>
        </w:rPr>
        <w:t xml:space="preserve"> </w:t>
      </w:r>
      <w:r>
        <w:rPr>
          <w:rFonts w:ascii="Arial;sans-serif" w:hAnsi="Arial;sans-serif"/>
          <w:b w:val="false"/>
          <w:color w:val="000000"/>
          <w:sz w:val="18"/>
        </w:rPr>
        <w:t>In May 2024, the EPA published a rule that requires coal-fired generation facilities to reduce particulate matter emissions by the middle of 2027 (or 2028, if an extension is approved) (the “2024 EPA MATS Rule”). Challenges to the 2024 EPA MATS Rule were filed in the D.C. Circuit Court of Appeals, including by Talen and 23 states. The appeal on the merits of the 2024 rule remains pending in the D.C. Circuit Court of Appeals, but the litigation has been held in abeyance since February 2025, while the EPA reconsidered the rule. In February 2026, the EPA completed its reconsideration and issued a final rule repealing the lower particulate matter standards set in the 2024 amendments and reverting to particulate matter standards promulgated in the 2012 EPA MATS Rule (the “MATS Repeal Rule”). In March 2026, environmental groups challenged the MATS Repeal Rule in the D.C. Circuit Court of Appeals. Talen filed a motion to intervene in the MATS Repeal Rule litigation in April 2026. The D.C. Circuit Court of Appeals issued an order holding the challenge to the 2024 EPA MATS Rule in abeyance until the litigation over EPA’s MATS Repeal Rule is fully resolved. No assurance can be provided as to whether the MATS Repeal Rule will survive judicial challenge and when such challenges will be resolved. Colstrip was not expected to meet the 2024 particulate matter standard without substantial upgrades to its control equipment. As a result, if the MATS Repeal Rule is vacated by a court or reconsidered by the EPA in the future, Talen Montana and the other Colstrip co-owners may face the decision either to invest in new cost-prohibitive control equipment or retire the Colstrip facility. Such a decision must be evaluated in conjunction with other compliance requirements.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16840"/>
                <wp:effectExtent l="0" t="0" r="0" b="0"/>
                <wp:wrapNone/>
                <wp:docPr id="18" name="Frame18"/>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16</w:t>
                      </w:r>
                    </w:p>
                  </w:txbxContent>
                </v:textbox>
                <w10:wrap type="none"/>
              </v:rect>
            </w:pict>
          </mc:Fallback>
        </mc:AlternateContent>
      </w:r>
    </w:p>
    <w:p>
      <w:pPr>
        <w:pStyle w:val="TextBody"/>
        <w:bidi w:val="0"/>
        <w:spacing w:lineRule="auto" w:line="288" w:before="0" w:after="180"/>
        <w:jc w:val="left"/>
        <w:rPr/>
      </w:pPr>
      <w:hyperlink w:anchor="if20e1f3d5a734e3eabbb6aa8f57c7562_45">
        <w:r>
          <w:rPr>
            <w:rStyle w:val="InternetLink"/>
            <w:rFonts w:ascii="Arial;sans-serif" w:hAnsi="Arial;sans-serif"/>
            <w:b w:val="false"/>
            <w:color w:val="0000FF"/>
            <w:sz w:val="18"/>
            <w:u w:val="single"/>
          </w:rPr>
          <w:t>Table of Contents</w:t>
        </w:r>
      </w:hyperlink>
    </w:p>
    <w:p>
      <w:pPr>
        <w:pStyle w:val="TextBody"/>
        <w:bidi w:val="0"/>
        <w:spacing w:lineRule="auto" w:line="288" w:before="0" w:after="180"/>
        <w:ind w:left="0" w:right="0" w:firstLine="360"/>
        <w:jc w:val="left"/>
        <w:rPr>
          <w:rFonts w:ascii="Arial;sans-serif" w:hAnsi="Arial;sans-serif"/>
          <w:b w:val="false"/>
          <w:color w:val="000000"/>
          <w:sz w:val="18"/>
        </w:rPr>
      </w:pPr>
      <w:r>
        <w:rPr>
          <w:rFonts w:ascii="Arial;sans-serif" w:hAnsi="Arial;sans-serif"/>
          <w:b w:val="false"/>
          <w:color w:val="000000"/>
          <w:sz w:val="18"/>
        </w:rPr>
        <w:t>In April 2025, President Trump granted Colstrip a two-year exemption from compliance obligations of the 2024 EPA MATS Rule via Section 112(i)(4) of the Clean Air Act. Environmental groups filed separate lawsuits in the D.C. Circuit Court of Appeals and the U.S. District Court for D.C., challenging the presidential exemptions issued to Colstrip and other fossil fuel-fired power plants. On August 5, 2025, the EPA filed a motion in each case requesting the courts hold the litigation in abeyance for six months pending the EPA’s efforts to repeal the 2024 EPA MATS Rule. Talen filed motions to intervene in both cases on August 8, 2025. On September 3, 2025, the U.S. District Court for D.C. granted the EPA’s motion to hold the case in abeyance for six months and also granted Talen’s motion to intervene. Plaintiffs filed a motion asking the court to reconsider its decision to hold the case in abeyance. The U.S. District Court for D.C. denied that motion in November 2025. The D.C. Circuit Court of Appeals granted the EPA’s motion for an abeyance and Talen’s motion to intervene in October 2025. In March 2026, the U.S. District Court for D.C. granted plaintiffs’ motion to hold the case in abeyance until the litigation over EPA’s MATS Repeal Rule is fully resolved. It is expected that a similar motion will be filed in the D.C. Circuit. The Company could be forced to make operating decisions about the future of Colstrip before clarity is obtained on legal challenges regarding the MATS Repeal Rule and the presidential exemption litigation.</w:t>
      </w:r>
    </w:p>
    <w:p>
      <w:pPr>
        <w:pStyle w:val="TextBody"/>
        <w:bidi w:val="0"/>
        <w:spacing w:lineRule="auto" w:line="288" w:before="0" w:after="180"/>
        <w:ind w:left="0" w:right="0" w:firstLine="360"/>
        <w:jc w:val="left"/>
        <w:rPr/>
      </w:pPr>
      <w:r>
        <w:rPr>
          <w:rFonts w:ascii="Arial;sans-serif" w:hAnsi="Arial;sans-serif"/>
          <w:b w:val="false"/>
          <w:i/>
          <w:color w:val="000000"/>
          <w:sz w:val="18"/>
        </w:rPr>
        <w:t>EPA GHG Rule.</w:t>
      </w:r>
      <w:r>
        <w:rPr>
          <w:color w:val="000000"/>
        </w:rPr>
        <w:t xml:space="preserve"> </w:t>
      </w:r>
      <w:r>
        <w:rPr>
          <w:rFonts w:ascii="Arial;sans-serif" w:hAnsi="Arial;sans-serif"/>
          <w:b w:val="false"/>
          <w:color w:val="000000"/>
          <w:sz w:val="18"/>
        </w:rPr>
        <w:t>In May 2024, the EPA published a rule that establishes carbon dioxide limits for new electric generating units (“EGUs”) and greenhouse gas (“GHG”) guidelines for certain existing EGUs. Under the guidelines, if existing coal-fired EGUs operate beyond 2031, GHG reductions, such as those achieved by the addition of carbon capture and sequestration (“CCS”), are required to be implemented by the end of 2031. Colstrip is not expected to meet the new rules without substantial technology upgrades and pipeline infrastructure build-out. As a result, Talen Montana and the other Colstrip co-owners face the decision either to invest in new cost-prohibitive controls (e.g., CCS technology) or retire the Colstrip facility by the end of 2031. Such a decision must be evaluated in conjunction with compliance requirements under the May 2024 EPA MATS Rule. Petitions have been filed in the D.C. Circuit Court of Appeals, including by coalitions representing 27 states and an ad hoc coalition of power producers of which Talen is a member, requesting a review of the EPA GHG Rule. Stay motions were denied by the D.C. Circuit Court of Appeals in July 2024 and the U.S. Supreme Court in October 2024. Appeals of the EPA GHG Rule remain pending in the D.C. Circuit Court of Appeals.</w:t>
      </w:r>
    </w:p>
    <w:p>
      <w:pPr>
        <w:pStyle w:val="TextBody"/>
        <w:bidi w:val="0"/>
        <w:spacing w:lineRule="auto" w:line="288" w:before="0" w:after="180"/>
        <w:ind w:left="0" w:right="0" w:firstLine="360"/>
        <w:jc w:val="left"/>
        <w:rPr>
          <w:rFonts w:ascii="Arial;sans-serif" w:hAnsi="Arial;sans-serif"/>
          <w:b w:val="false"/>
          <w:color w:val="000000"/>
          <w:sz w:val="18"/>
        </w:rPr>
      </w:pPr>
      <w:r>
        <w:rPr>
          <w:rFonts w:ascii="Arial;sans-serif" w:hAnsi="Arial;sans-serif"/>
          <w:b w:val="false"/>
          <w:color w:val="000000"/>
          <w:sz w:val="18"/>
        </w:rPr>
        <w:t>The D.C. Circuit Court of Appeals has held the litigation in abeyance since February 2025 to allow the EPA to reconsider the rule. No assurance can be provided as to when the challenges to the EPA GHG Rule will be resolved or whether such challenges will be resolved in the Company’s favor. In June 2025, the EPA released a proposed rule to repeal all GHG emission standards for fossil fuel-fired power plants. As an alternative, the EPA is proposing a narrow repeal of GHG standards, which would eliminate all emissions guidelines and standards for existing power plants and the Phase 2 GHG emissions standards that would apply to new combustion turbines beginning in 2032. Under the alternative proposal, Phase 1 GHG emissions standards applicable to new and reconstructed baseload fossil fuel-fired stationary combustion turbines would be retained. The public comment period on the proposal expired in August 2025. No assurance can be provided as to whether the rule will be finalized and whether a final rule will survive judicial challenge. The EPA has also in the past stated its intent to develop GHG regulations for existing natural gas combustion turbines; however, no rule has been proposed, and no recent statements have been made. Operating decisions about the future of Colstrip are highly dependent on the fate of the EPA GHG Rule as well as the EPA MATS Rule. Given the legal and regulatory uncertainties with both rules, it is possible the Company will be required to make decisions about Colstrip’s future before it has clarity about the outcome of litigation and (or) the EPA’s regulations.</w:t>
      </w:r>
    </w:p>
    <w:p>
      <w:pPr>
        <w:pStyle w:val="TextBody"/>
        <w:bidi w:val="0"/>
        <w:spacing w:lineRule="auto" w:line="288" w:before="0" w:after="180"/>
        <w:ind w:left="0" w:right="0" w:firstLine="360"/>
        <w:jc w:val="left"/>
        <w:rPr/>
      </w:pPr>
      <w:r>
        <w:rPr>
          <w:rFonts w:ascii="Arial;sans-serif" w:hAnsi="Arial;sans-serif"/>
          <w:b w:val="false"/>
          <w:i/>
          <w:color w:val="000000"/>
          <w:sz w:val="18"/>
        </w:rPr>
        <w:t>GHG Endangerment Finding.</w:t>
      </w:r>
      <w:r>
        <w:rPr>
          <w:color w:val="000000"/>
        </w:rPr>
        <w:t xml:space="preserve"> </w:t>
      </w:r>
      <w:r>
        <w:rPr>
          <w:rFonts w:ascii="Arial;sans-serif" w:hAnsi="Arial;sans-serif"/>
          <w:b w:val="false"/>
          <w:color w:val="000000"/>
          <w:sz w:val="18"/>
        </w:rPr>
        <w:t>In February 2026, the EPA issued a final rule rescinding its 2009 finding that GHG emissions endanger public health and welfare and repealing all GHG emissions standards for light-, medium-, and heavy-duty vehicles and engines. The EPA made the 2009 endangerment finding in order to promulgate GHG emission standards for new motor vehicles under Section 202(a) of the Clean Air Act and has subsequently relied on this finding as a basis to regulate other sources of GHGs. In the final rule, EPA states it must rescind the endangerment finding because it lacks the statutory authority to regulate GHG emissions from vehicles in response to global climate changes concerns. The EPA does not explicitly state how the rescission impacts its authority to regulate GHG emissions from stationary sources. However, the final rule acknowledges that EPA has relied on the endangerment finding “to extend the GHG regulatory program to new and existing stationary source performance standards and guidelines for power plants under CAA section 111.” Citizen groups, states, municipalities and cities have challenged the final rule in the D.C. Circuit Court of Appeals. No assurance can be provided as to whether the rule will survive judicial challenge.</w:t>
      </w:r>
    </w:p>
    <w:p>
      <w:pPr>
        <w:pStyle w:val="TextBody"/>
        <w:bidi w:val="0"/>
        <w:spacing w:lineRule="auto" w:line="288" w:before="0" w:after="180"/>
        <w:ind w:left="0" w:right="0" w:firstLine="360"/>
        <w:jc w:val="left"/>
        <w:rPr/>
      </w:pPr>
      <w:r>
        <w:rPr>
          <w:rFonts w:ascii="Arial;sans-serif" w:hAnsi="Arial;sans-serif"/>
          <w:b w:val="false"/>
          <w:i/>
          <w:color w:val="000000"/>
          <w:sz w:val="18"/>
        </w:rPr>
        <w:t>NSPS for Stationary Combustion Turbines.</w:t>
      </w:r>
      <w:r>
        <w:rPr>
          <w:color w:val="000000"/>
        </w:rPr>
        <w:t xml:space="preserve"> </w:t>
      </w:r>
      <w:r>
        <w:rPr>
          <w:rFonts w:ascii="Arial;sans-serif" w:hAnsi="Arial;sans-serif"/>
          <w:b w:val="false"/>
          <w:color w:val="000000"/>
          <w:sz w:val="18"/>
        </w:rPr>
        <w:t>In January 2026, the EPA finalized a rule revising new source performance standards (“NSPS”) for stationary combustion turbines. The final rule establishes NOx emission standards for various combustion turbine sizes, retains existing SO</w:t>
      </w:r>
      <w:r>
        <w:rPr>
          <w:rFonts w:ascii="Arial;sans-serif" w:hAnsi="Arial;sans-serif"/>
          <w:b w:val="false"/>
          <w:color w:val="000000"/>
          <w:sz w:val="12"/>
        </w:rPr>
        <w:t>2</w:t>
      </w:r>
      <w:r>
        <w:rPr>
          <w:color w:val="000000"/>
        </w:rPr>
        <w:t xml:space="preserve"> </w:t>
      </w:r>
      <w:r>
        <w:rPr>
          <w:rFonts w:ascii="Arial;sans-serif" w:hAnsi="Arial;sans-serif"/>
          <w:b w:val="false"/>
          <w:color w:val="000000"/>
          <w:sz w:val="18"/>
        </w:rPr>
        <w:t>standards and establishes design efficiency subcategories and utilization requirements. The final rule applies to combustion turbines that commenced construction, modification, or reconstruction after December 13, 2024. As a result, the rule could impact certain, newer generating assets of the Company or development projects. In March 2026, environmental groups challenged the final rule in the D.C. Circuit Court of Appeals and separately filed with the EPA a petition for administrative reconsideration. Talen is a member of an ad hoc industry coalition that filed a motion to intervene in the case in April 2026. No assurance can be provided as to when the challenges to the final NSPS will be resolved or whether such challenges will be resolved in the Company’s favor.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16840"/>
                <wp:effectExtent l="0" t="0" r="0" b="0"/>
                <wp:wrapNone/>
                <wp:docPr id="19" name="Frame19"/>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17</w:t>
                      </w:r>
                    </w:p>
                  </w:txbxContent>
                </v:textbox>
                <w10:wrap type="none"/>
              </v:rect>
            </w:pict>
          </mc:Fallback>
        </mc:AlternateContent>
      </w:r>
    </w:p>
    <w:p>
      <w:pPr>
        <w:pStyle w:val="TextBody"/>
        <w:bidi w:val="0"/>
        <w:spacing w:lineRule="auto" w:line="288" w:before="0" w:after="180"/>
        <w:jc w:val="left"/>
        <w:rPr/>
      </w:pPr>
      <w:hyperlink w:anchor="if20e1f3d5a734e3eabbb6aa8f57c7562_45">
        <w:r>
          <w:rPr>
            <w:rStyle w:val="InternetLink"/>
            <w:rFonts w:ascii="Arial;sans-serif" w:hAnsi="Arial;sans-serif"/>
            <w:b w:val="false"/>
            <w:color w:val="0000FF"/>
            <w:sz w:val="18"/>
            <w:u w:val="single"/>
          </w:rPr>
          <w:t>Table of Contents</w:t>
        </w:r>
      </w:hyperlink>
    </w:p>
    <w:p>
      <w:pPr>
        <w:pStyle w:val="TextBody"/>
        <w:bidi w:val="0"/>
        <w:spacing w:lineRule="auto" w:line="288" w:before="0" w:after="180"/>
        <w:ind w:left="0" w:right="0" w:firstLine="360"/>
        <w:jc w:val="left"/>
        <w:rPr/>
      </w:pPr>
      <w:r>
        <w:rPr>
          <w:rFonts w:ascii="Arial;sans-serif" w:hAnsi="Arial;sans-serif"/>
          <w:b w:val="false"/>
          <w:i/>
          <w:color w:val="000000"/>
          <w:sz w:val="18"/>
        </w:rPr>
        <w:t>Pennsylvania RGGI.</w:t>
      </w:r>
      <w:r>
        <w:rPr>
          <w:color w:val="000000"/>
        </w:rPr>
        <w:t xml:space="preserve"> </w:t>
      </w:r>
      <w:r>
        <w:rPr>
          <w:rFonts w:ascii="Arial;sans-serif" w:hAnsi="Arial;sans-serif"/>
          <w:b w:val="false"/>
          <w:color w:val="000000"/>
          <w:sz w:val="18"/>
        </w:rPr>
        <w:t xml:space="preserve">In October 2019, the then-Governor of Pennsylvania signed an executive order directing the Pennsylvania Department of Environmental Protection (the “PADEP”) to draft regulations establishing a cap-and-trade program with the intent of enabling Pennsylvania to join the RGGI, a multi-state regional cap-and-trade program comprised of several Eastern U.S. states. In April 2022, Pennsylvania entered the RGGI program, with compliance set to begin on July 1, 2022. However, in November 2023, the Commonwealth Court of Pennsylvania ruled RGGI was an invalid tax and voided the rulemaking. The PADEP appealed this decision to the Pennsylvania Supreme Court and filed notice with the court that the RGGI program would not be implemented while the appeal is pending. In July 2024, the Pennsylvania Supreme Court permitted certain non-profit environmental groups to intervene in the case. Oral argument in the case took place in May 2025. In November 2025, the Pennsylvania legislature passed a budget that included provisions requiring Pennsylvania to withdraw from RGGI. As a result, the PADEP filed an application to the Pennsylvania Supreme Court requesting to discontinue its appeal. The Pennsylvania Supreme Court granted the application and dismissed the case in January 2026. </w:t>
      </w:r>
    </w:p>
    <w:p>
      <w:pPr>
        <w:pStyle w:val="TextBody"/>
        <w:bidi w:val="0"/>
        <w:spacing w:lineRule="auto" w:line="288" w:before="0" w:after="180"/>
        <w:ind w:left="0" w:right="0" w:firstLine="360"/>
        <w:jc w:val="left"/>
        <w:rPr/>
      </w:pPr>
      <w:r>
        <w:rPr>
          <w:rFonts w:ascii="Arial;sans-serif" w:hAnsi="Arial;sans-serif"/>
          <w:b w:val="false"/>
          <w:i/>
          <w:color w:val="000000"/>
          <w:sz w:val="18"/>
        </w:rPr>
        <w:t>EPA ELG Rule.</w:t>
      </w:r>
      <w:r>
        <w:rPr>
          <w:color w:val="000000"/>
        </w:rPr>
        <w:t xml:space="preserve"> </w:t>
      </w:r>
      <w:r>
        <w:rPr>
          <w:rFonts w:ascii="Arial;sans-serif" w:hAnsi="Arial;sans-serif"/>
          <w:b w:val="false"/>
          <w:color w:val="000000"/>
          <w:sz w:val="18"/>
        </w:rPr>
        <w:t xml:space="preserve">In November 2015, the EPA revised the effluent limitation guidelines (“ELGs”) for certain power generation facilities, which imposed more stringent standards for wastewater streams as facility discharge permits are renewed. In 2020, the EPA issued changes that would exempt coal generation facility operators from meeting certain wastewater standards if the facility would commit to cease coal-fired generation by the end of 2028, which Talen elected for its wholly owned coal operations. In May 2024, the EPA published revisions to the EPA ELG Rule, which imposed additional requirements for legacy wastewater and combustion residual leachate. These revisions impact Talen’s active generation facilities that have both CCR units and hold National Pollutant Discharge Elimination System (“NPDES”) discharge permits. These sites include Brandon Shores, Brunner Island, Montour, and potentially Martins Creek. Talen is evaluating what: (i) potential discharge limits may apply; (ii) treatment may be required; and (iii) the implementation timeline may be. Obligations for installing any new wastewater treatment equipment, if necessary, will not be known until each applicable state where the active generation facilities operate makes its own determination with respect to NPDES permit renewals with new limits and associated timing. As a result of the future permit conditions, additional capital expenditures and (or) AROs may be required, which may have a material impact on Talen’s operations and (or) financial condition. </w:t>
      </w:r>
    </w:p>
    <w:p>
      <w:pPr>
        <w:pStyle w:val="TextBody"/>
        <w:bidi w:val="0"/>
        <w:spacing w:lineRule="auto" w:line="288" w:before="0" w:after="180"/>
        <w:ind w:left="0" w:right="0" w:firstLine="360"/>
        <w:jc w:val="left"/>
        <w:rPr/>
      </w:pPr>
      <w:r>
        <w:rPr>
          <w:rFonts w:ascii="Arial;sans-serif" w:hAnsi="Arial;sans-serif"/>
          <w:b w:val="false"/>
          <w:color w:val="000000"/>
          <w:sz w:val="18"/>
        </w:rPr>
        <w:t>Multiple challenges, including stay requests, to the EPA ELG Rule have been filed in various U.S. Courts of Appeal by parties that include 15 states, environmental groups, and industry groups, including the Utility Water Act Group (“UWAG”), of which Talen is a member. The appeals have been consolidated in the U.S. Court of Appeals for the Eighth Circuit, which denied requests to stay the rule in October 2024</w:t>
      </w:r>
      <w:r>
        <w:rPr>
          <w:rFonts w:ascii="Arial;sans-serif" w:hAnsi="Arial;sans-serif"/>
          <w:b w:val="false"/>
          <w:color w:val="000000"/>
          <w:sz w:val="18"/>
          <w:shd w:fill="FFFFFF" w:val="clear"/>
        </w:rPr>
        <w:t>. At the EPA’s request, the Eighth Circuit has held the consolidated challenges in abeyance since February 2025 to allow the EPA to reconsider the rule. In March 2025, the EPA announced that it will revise the EPA ELG Rule as part of its deregulation agenda while considering immediate relief from some of the existing leachate requirements.</w:t>
      </w:r>
      <w:r>
        <w:rPr>
          <w:color w:val="000000"/>
        </w:rPr>
        <w:t xml:space="preserve"> </w:t>
      </w:r>
      <w:r>
        <w:rPr>
          <w:rFonts w:ascii="Arial;sans-serif" w:hAnsi="Arial;sans-serif"/>
          <w:b w:val="false"/>
          <w:color w:val="000000"/>
          <w:sz w:val="18"/>
        </w:rPr>
        <w:t>In June 2025, the EPA announced that it will issue a proposal in 2025 to extend compliance deadlines under the 2024 EPA ELG Rule and seek information to potentially inform further rulemaking. In September 2025, the EPA issued a direct final rule extending a short-term deadline and a companion proposal extending many compliance deadlines for the 2024 EPA ELG Rule and providing some flexibility relating to some deadlines in the 2020 ELG Rule. In November 2025, the EPA issued a notice withdrawing the direct final rule due to the receipt of adverse comments. The EPA finalized its proposal in December 2025. Among other things, the final rule extends zero-discharge compliance deadlines established in the 2024 EPA ELG Rule by five years from December 31, 2029 to December 31, 2034. The extension rule has been legally challenged by environmental groups. These challenges have been consolidated in the U.S. Court of Appeals for the Second Circuit and UWAG’s motion to intervene in the consolidated litigation was granted in March 2026. In the final rule, the EPA also stated it is considering further rulemaking to revise the regulatory standards in the 2024 EPA ELG Rule. No assurance can be provided as to when the challenges to the EPA ELG Rule merits will be resolved or whether such changes and challenges will be resolved in the Company’s favor.</w:t>
      </w:r>
    </w:p>
    <w:p>
      <w:pPr>
        <w:pStyle w:val="TextBody"/>
        <w:bidi w:val="0"/>
        <w:spacing w:lineRule="auto" w:line="288" w:before="0" w:after="180"/>
        <w:ind w:left="0" w:right="0" w:firstLine="360"/>
        <w:jc w:val="left"/>
        <w:rPr/>
      </w:pPr>
      <w:r>
        <w:rPr>
          <w:rFonts w:ascii="Arial;sans-serif" w:hAnsi="Arial;sans-serif"/>
          <w:b w:val="false"/>
          <w:i/>
          <w:color w:val="000000"/>
          <w:sz w:val="18"/>
        </w:rPr>
        <w:t>EPA CCR Rule.</w:t>
      </w:r>
      <w:r>
        <w:rPr>
          <w:color w:val="000000"/>
        </w:rPr>
        <w:t xml:space="preserve"> </w:t>
      </w:r>
      <w:r>
        <w:rPr>
          <w:rFonts w:ascii="Arial;sans-serif" w:hAnsi="Arial;sans-serif"/>
          <w:b w:val="false"/>
          <w:color w:val="000000"/>
          <w:sz w:val="18"/>
        </w:rPr>
        <w:t xml:space="preserve">In April 2015, the EPA established regulations under the RCRA to identify CCRs as nonhazardous solid waste and provided CCR management and siting requirements. The 2015 rule was modified in 2020 after a 2018 D.C. Circuit Court of Appeals ruling found that, among other things, the EPA did not adequately regulate unlined impoundments. In its 2020 rulemaking, the EPA specified procedures for owners to extend the operating timeline of certain unlined impoundments. Talen submitted an extension request under this process for an unlined impoundment at Montour, which was withdrawn in December 2024, following the end of basin operations and the initiation of basin closure. The 2018 D.C. Circuit Court of Appeals ruling also found that the EPA did not properly address legacy surface impoundments in the 2015 CCR rule. As a result of the finding, in May 2024, the EPA finalized additional federal CCR regulations effective in November 2024 (the “Legacy CCR Rule”), which provided new requirements for legacy CCR surface impoundments and new requirements for other CCR disposal and management areas at active power plants (“CCRMUs”). This rule has been challenged in the D.C. Circuit Court of Appeals by multiple parties, including two industry groups of which Talen is a member. In December 2024, the U.S. Supreme Court denied a requested stay of the Legacy CCR Rule. At the EPA’s request, the D.C. Circuit Court of Appeals has held the case in abeyance since February 2025 to allow the EPA to reconsider the rule. Additionally, the EPA is being challenged by other industry parties on new regulatory interpretations that could be consequential to CCR unit closure practices and costs.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16840"/>
                <wp:effectExtent l="0" t="0" r="0" b="0"/>
                <wp:wrapNone/>
                <wp:docPr id="20" name="Frame20"/>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18</w:t>
                      </w:r>
                    </w:p>
                  </w:txbxContent>
                </v:textbox>
                <w10:wrap type="none"/>
              </v:rect>
            </w:pict>
          </mc:Fallback>
        </mc:AlternateContent>
      </w:r>
    </w:p>
    <w:p>
      <w:pPr>
        <w:pStyle w:val="TextBody"/>
        <w:bidi w:val="0"/>
        <w:spacing w:lineRule="auto" w:line="288" w:before="0" w:after="180"/>
        <w:jc w:val="left"/>
        <w:rPr/>
      </w:pPr>
      <w:hyperlink w:anchor="if20e1f3d5a734e3eabbb6aa8f57c7562_45">
        <w:r>
          <w:rPr>
            <w:rStyle w:val="InternetLink"/>
            <w:rFonts w:ascii="Arial;sans-serif" w:hAnsi="Arial;sans-serif"/>
            <w:b w:val="false"/>
            <w:color w:val="0000FF"/>
            <w:sz w:val="18"/>
            <w:u w:val="single"/>
          </w:rPr>
          <w:t>Table of Contents</w:t>
        </w:r>
      </w:hyperlink>
    </w:p>
    <w:p>
      <w:pPr>
        <w:pStyle w:val="TextBody"/>
        <w:bidi w:val="0"/>
        <w:spacing w:lineRule="auto" w:line="288" w:before="0" w:after="180"/>
        <w:ind w:left="0" w:right="0" w:firstLine="360"/>
        <w:jc w:val="left"/>
        <w:rPr>
          <w:rFonts w:ascii="Arial;sans-serif" w:hAnsi="Arial;sans-serif"/>
          <w:b w:val="false"/>
          <w:color w:val="000000"/>
          <w:sz w:val="18"/>
        </w:rPr>
      </w:pPr>
      <w:r>
        <w:rPr>
          <w:rFonts w:ascii="Arial;sans-serif" w:hAnsi="Arial;sans-serif"/>
          <w:b w:val="false"/>
          <w:color w:val="000000"/>
          <w:sz w:val="18"/>
        </w:rPr>
        <w:t>In March 2025, the EPA announced that it will prioritize the coal ash program by expediting state permit reviews. The EPA has also announced it will reform the EPA CCR Rule and provided in the Legacy CCR Rule litigation proceeding that EPA CCR Rule reforms will be completed in 2026. As an initial reform step, in February 2026, the EPA issued a final rule extending compliance deadlines for elements in the Legacy CCR Rule, including required applicability assessments, the initiation of new groundwater monitoring detection, and the initiation of unit closure. In April 2026, the EPA issued a proposal to amend various provisions in the CCR regulations. Among other things, the EPA proposes to rescind all requirements for CCRMUs, restore the categorical exemption for onsite beneficial use of CCR, and allow for site-specific flexibilities for closures of CCR units through a CCR permitting program. EPA is accepting comments on the proposal until June 12, 2026. No assurance can be provided as to when and how federal CCR regulations will change further, when the legal challenges to the Legacy CCR Rule will be resolved, how the EPA’s interpretations or further EPA CCR Rule reforms will be resolved, or whether such challenges will be decided in the Company’s favor.</w:t>
      </w:r>
    </w:p>
    <w:p>
      <w:pPr>
        <w:pStyle w:val="TextBody"/>
        <w:bidi w:val="0"/>
        <w:spacing w:lineRule="auto" w:line="288" w:before="0" w:after="180"/>
        <w:ind w:left="0" w:right="0" w:firstLine="360"/>
        <w:jc w:val="left"/>
        <w:rPr>
          <w:rFonts w:ascii="Arial;sans-serif" w:hAnsi="Arial;sans-serif"/>
          <w:b w:val="false"/>
          <w:color w:val="000000"/>
          <w:sz w:val="18"/>
        </w:rPr>
      </w:pPr>
      <w:r>
        <w:rPr>
          <w:rFonts w:ascii="Arial;sans-serif" w:hAnsi="Arial;sans-serif"/>
          <w:b w:val="false"/>
          <w:color w:val="000000"/>
          <w:sz w:val="18"/>
        </w:rPr>
        <w:t>Talen continues to review the Legacy CCR Rule provisions that went into effect in 2024, perform the required applicability assessments, and await additional EPA CCR Rule reforms. As a result of the EPA’s February 2026 CCRMU Extension Rule, initial facility evaluation reports to identify CCR areas which may become regulated and subject to the rule’s requirements are now due in February 2027. Following that, site investigation may be required to further investigate applicability, and a subsequent facility report is due in February 2028. The Company has initiated reviews under the facility evaluation report requirements at locations with ash impoundments that have long since ceased coal operations as well as at locations with current coal operations to meet these deadlines. No assurance can be provided as to whether any specific ash impoundments owned by the Company may or may not be within scope of the updated Legacy CCR Rule until the Company completes its assessments within the regulatory timeframe.</w:t>
      </w:r>
    </w:p>
    <w:p>
      <w:pPr>
        <w:pStyle w:val="TextBody"/>
        <w:bidi w:val="0"/>
        <w:spacing w:lineRule="auto" w:line="288" w:before="0" w:after="180"/>
        <w:ind w:left="0" w:right="0" w:firstLine="360"/>
        <w:jc w:val="left"/>
        <w:rPr>
          <w:rFonts w:ascii="Arial;sans-serif" w:hAnsi="Arial;sans-serif"/>
          <w:b w:val="false"/>
          <w:color w:val="000000"/>
          <w:sz w:val="18"/>
        </w:rPr>
      </w:pPr>
      <w:r>
        <w:rPr>
          <w:rFonts w:ascii="Arial;sans-serif" w:hAnsi="Arial;sans-serif"/>
          <w:b w:val="false"/>
          <w:color w:val="000000"/>
          <w:sz w:val="18"/>
        </w:rPr>
        <w:t>As of March 31, 2026, the Company has recognized cost estimates in complying with the Legacy CCR Rule’s initial compliance requirements and deadlines, including the initial groundwater monitoring requirements. The Company does not yet have sufficient information available to estimate costs for the future compliance obligations under the rule. As the Company continues its applicability evaluations and site assessments to determine the scope of work on its properties imposed by the new rule, additional new AROs and (or) revisions could be required. It is expected estimates will be available, under the timeline provided for by the regulations, as described above, at the completion of the initial facility evaluation reports or at the completion of a subsequent site investigation. Such AROs or ARO changes could be material and, as a result, may have a material impact on Talen’s operations and (or) financial condition.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ind w:left="0" w:right="0" w:firstLine="360"/>
        <w:jc w:val="left"/>
        <w:rPr>
          <w:rFonts w:ascii="Arial;sans-serif" w:hAnsi="Arial;sans-serif"/>
          <w:b/>
          <w:i/>
          <w:color w:val="000000"/>
          <w:sz w:val="18"/>
        </w:rPr>
      </w:pPr>
      <w:r>
        <w:rPr>
          <w:rFonts w:ascii="Arial;sans-serif" w:hAnsi="Arial;sans-serif"/>
          <w:b/>
          <w:i/>
          <w:color w:val="000000"/>
          <w:sz w:val="18"/>
        </w:rPr>
        <w:t>Certain Resolved Matters</w:t>
      </w:r>
    </w:p>
    <w:p>
      <w:pPr>
        <w:pStyle w:val="TextBody"/>
        <w:bidi w:val="0"/>
        <w:spacing w:lineRule="auto" w:line="288" w:before="0" w:after="180"/>
        <w:ind w:left="0" w:right="0" w:firstLine="360"/>
        <w:jc w:val="left"/>
        <w:rPr>
          <w:rFonts w:ascii="Arial;sans-serif" w:hAnsi="Arial;sans-serif"/>
          <w:b w:val="false"/>
          <w:color w:val="000000"/>
          <w:sz w:val="18"/>
        </w:rPr>
      </w:pPr>
      <w:r>
        <w:rPr>
          <w:rFonts w:ascii="Arial;sans-serif" w:hAnsi="Arial;sans-serif"/>
          <w:b w:val="false"/>
          <w:color w:val="000000"/>
          <w:sz w:val="18"/>
        </w:rPr>
        <w:t>See Note 9 to the Annual Financial Statements for certain legal matters previously resolved.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0000"/>
          <w:sz w:val="18"/>
        </w:rPr>
      </w:pPr>
      <w:r>
        <w:rPr>
          <w:rFonts w:ascii="Arial;sans-serif" w:hAnsi="Arial;sans-serif"/>
          <w:b/>
          <w:color w:val="000000"/>
          <w:sz w:val="18"/>
        </w:rPr>
        <w:t xml:space="preserve">Guarantees and Other Assurances </w:t>
      </w:r>
    </w:p>
    <w:p>
      <w:pPr>
        <w:pStyle w:val="TextBody"/>
        <w:bidi w:val="0"/>
        <w:spacing w:lineRule="auto" w:line="288" w:before="0" w:after="180"/>
        <w:ind w:left="0" w:right="0" w:firstLine="360"/>
        <w:jc w:val="left"/>
        <w:rPr>
          <w:rFonts w:ascii="Arial;sans-serif" w:hAnsi="Arial;sans-serif"/>
          <w:b w:val="false"/>
          <w:color w:val="000000"/>
          <w:sz w:val="18"/>
        </w:rPr>
      </w:pPr>
      <w:r>
        <w:rPr>
          <w:rFonts w:ascii="Arial;sans-serif" w:hAnsi="Arial;sans-serif"/>
          <w:b w:val="false"/>
          <w:color w:val="000000"/>
          <w:sz w:val="18"/>
        </w:rPr>
        <w:t xml:space="preserve">In the normal course of business, the Company enters into agreements to provide financial performance assurance to third parties on behalf of certain subsidiaries. These agreements primarily support or enhance the stand-alone creditworthiness attributed to a subsidiary or facilitate the commercial activities in which these subsidiaries engage. Such agreements may include guarantees, stand-by LCs, and (or) surety bonds. Additionally, they may include customary indemnifications to third parties related to asset sales and other transactions. The probability of expected material payment and (or) performance for these assurance agreements is believed to be remote. </w:t>
      </w:r>
    </w:p>
    <w:p>
      <w:pPr>
        <w:pStyle w:val="TextBody"/>
        <w:bidi w:val="0"/>
        <w:spacing w:lineRule="auto" w:line="288" w:before="0" w:after="180"/>
        <w:ind w:left="0" w:right="0" w:firstLine="360"/>
        <w:jc w:val="left"/>
        <w:rPr/>
      </w:pPr>
      <w:r>
        <w:rPr>
          <w:rFonts w:ascii="Arial;sans-serif" w:hAnsi="Arial;sans-serif"/>
          <w:b w:val="false"/>
          <w:i/>
          <w:color w:val="000000"/>
          <w:sz w:val="18"/>
        </w:rPr>
        <w:t>Surety Bonds.</w:t>
      </w:r>
      <w:r>
        <w:rPr>
          <w:color w:val="000000"/>
        </w:rPr>
        <w:t xml:space="preserve"> </w:t>
      </w:r>
      <w:r>
        <w:rPr>
          <w:rFonts w:ascii="Arial;sans-serif" w:hAnsi="Arial;sans-serif"/>
          <w:b w:val="false"/>
          <w:color w:val="000000"/>
          <w:sz w:val="18"/>
        </w:rPr>
        <w:t xml:space="preserve">Surety bonds provide financial performance assurance to third parties on behalf of certain Company subsidiaries for obligations including but not limited to environmental obligations and AROs. In the event of nonperformance by the applicable subsidiary, the beneficiary would make a claim to the surety, and the Company would be required to reimburse any payment by the surety. Talen’s liability with respect to any particular surety bond is released once the obligations secured by the surety bond are performed. Surety bond providers generally have the right to request additional collateral or request that such bonds be replaced by alternate surety providers. As of March 31, 2026 and December 31, 2025, the aggregate amount of surety bonds outstanding was $211 million and </w:t>
      </w:r>
      <w:r>
        <w:rPr>
          <w:rFonts w:ascii="Arial;sans-serif" w:hAnsi="Arial;sans-serif"/>
          <w:b w:val="false"/>
          <w:color w:val="000000"/>
          <w:sz w:val="18"/>
          <w:shd w:fill="FFFFFF" w:val="clear"/>
        </w:rPr>
        <w:t xml:space="preserve">$228 million, </w:t>
      </w:r>
      <w:r>
        <w:rPr>
          <w:rFonts w:ascii="Arial;sans-serif" w:hAnsi="Arial;sans-serif"/>
          <w:b w:val="false"/>
          <w:color w:val="000000"/>
          <w:sz w:val="18"/>
        </w:rPr>
        <w:t>respectively, including surety bonds posted on behalf of Talen Montana as discussed below.</w:t>
      </w:r>
    </w:p>
    <w:p>
      <w:pPr>
        <w:pStyle w:val="TextBody"/>
        <w:bidi w:val="0"/>
        <w:spacing w:lineRule="auto" w:line="288" w:before="0" w:after="180"/>
        <w:ind w:left="0" w:right="0" w:firstLine="360"/>
        <w:jc w:val="left"/>
        <w:rPr/>
      </w:pPr>
      <w:r>
        <w:rPr>
          <w:rFonts w:ascii="Arial;sans-serif" w:hAnsi="Arial;sans-serif"/>
          <w:b w:val="false"/>
          <w:i/>
          <w:color w:val="000000"/>
          <w:sz w:val="18"/>
        </w:rPr>
        <w:t>Talen Montana Financial Assurance.</w:t>
      </w:r>
      <w:r>
        <w:rPr>
          <w:color w:val="000000"/>
        </w:rPr>
        <w:t xml:space="preserve"> </w:t>
      </w:r>
      <w:r>
        <w:rPr>
          <w:rFonts w:ascii="Arial;sans-serif" w:hAnsi="Arial;sans-serif"/>
          <w:b w:val="false"/>
          <w:color w:val="000000"/>
          <w:sz w:val="18"/>
        </w:rPr>
        <w:t xml:space="preserve">Pursuant to the Colstrip Administrative Order on Consent (the “Colstrip AOC”), Talen Montana, in its capacity as the Colstrip operator, is obligated to close and remediate coal ash disposal impoundments at Colstrip. The Colstrip AOC specifies an evaluation process between Talen Montana and the Montana Department of Environmental Quality (the “MDEQ”) on the scope of remediation and closure activities, requires the MDEQ to approve such scope, and requires financial assurance to be provided to the MDEQ on approved plans. Each of the co-owners of Colstrip has provided its proportionate share of financial assurance to the MDEQ for estimates of coal ash disposal impoundments remediation and closure activities approved by the MDEQ. </w:t>
      </w:r>
    </w:p>
    <w:p>
      <w:pPr>
        <w:pStyle w:val="TextBody"/>
        <w:bidi w:val="0"/>
        <w:spacing w:lineRule="auto" w:line="288" w:before="0" w:after="180"/>
        <w:ind w:left="0" w:right="0" w:firstLine="360"/>
        <w:jc w:val="left"/>
        <w:rPr/>
      </w:pPr>
      <w:r>
        <w:rPr>
          <w:rFonts w:ascii="Arial;sans-serif" w:hAnsi="Arial;sans-serif"/>
          <w:b w:val="false"/>
          <w:color w:val="000000"/>
          <w:sz w:val="18"/>
        </w:rPr>
        <w:t>The aggregate amount of surety bonds posted to the MDEQ on behalf of Talen Montana’s proportionate share of such activities wa</w:t>
      </w:r>
      <w:r>
        <w:rPr>
          <w:rFonts w:ascii="Arial;sans-serif" w:hAnsi="Arial;sans-serif"/>
          <w:b w:val="false"/>
          <w:color w:val="000000"/>
          <w:sz w:val="18"/>
          <w:shd w:fill="FFFFFF" w:val="clear"/>
        </w:rPr>
        <w:t xml:space="preserve">s </w:t>
      </w:r>
      <w:r>
        <w:rPr>
          <w:rFonts w:ascii="Arial;sans-serif" w:hAnsi="Arial;sans-serif"/>
          <w:b w:val="false"/>
          <w:color w:val="000000"/>
          <w:sz w:val="18"/>
        </w:rPr>
        <w:t xml:space="preserve">$103 million and </w:t>
      </w:r>
      <w:r>
        <w:rPr>
          <w:rFonts w:ascii="Arial;sans-serif" w:hAnsi="Arial;sans-serif"/>
          <w:b w:val="false"/>
          <w:color w:val="000000"/>
          <w:sz w:val="18"/>
          <w:shd w:fill="FFFFFF" w:val="clear"/>
        </w:rPr>
        <w:t xml:space="preserve">$114 million </w:t>
      </w:r>
      <w:r>
        <w:rPr>
          <w:rFonts w:ascii="Arial;sans-serif" w:hAnsi="Arial;sans-serif"/>
          <w:b w:val="false"/>
          <w:color w:val="000000"/>
          <w:sz w:val="18"/>
        </w:rPr>
        <w:t>as of March 31, 2026 and December 31, 2025, respectively. Talen Montana’s surety bond requirements may increase due to scope changes, cost revisions, and (or) other factors when the MDEQ conducts annual reviews of approved remediation and closure plans as required under the Colstrip AOC. The surety bond requirements are expected to decrease as Colstrip’s coal ash impoundments remediation and closure activities are completed. See Note 8 for additional information on Colstrip AROs.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16840"/>
                <wp:effectExtent l="0" t="0" r="0" b="0"/>
                <wp:wrapNone/>
                <wp:docPr id="21" name="Frame21"/>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19</w:t>
                      </w:r>
                    </w:p>
                  </w:txbxContent>
                </v:textbox>
                <w10:wrap type="none"/>
              </v:rect>
            </w:pict>
          </mc:Fallback>
        </mc:AlternateContent>
      </w:r>
    </w:p>
    <w:p>
      <w:pPr>
        <w:pStyle w:val="TextBody"/>
        <w:bidi w:val="0"/>
        <w:spacing w:lineRule="auto" w:line="288" w:before="0" w:after="180"/>
        <w:jc w:val="left"/>
        <w:rPr/>
      </w:pPr>
      <w:hyperlink w:anchor="if20e1f3d5a734e3eabbb6aa8f57c7562_45">
        <w:r>
          <w:rPr>
            <w:rStyle w:val="InternetLink"/>
            <w:rFonts w:ascii="Arial;sans-serif" w:hAnsi="Arial;sans-serif"/>
            <w:b w:val="false"/>
            <w:color w:val="0000FF"/>
            <w:sz w:val="18"/>
            <w:u w:val="single"/>
          </w:rPr>
          <w:t>Table of Contents</w:t>
        </w:r>
      </w:hyperlink>
    </w:p>
    <w:p>
      <w:pPr>
        <w:pStyle w:val="TextBody"/>
        <w:bidi w:val="0"/>
        <w:spacing w:lineRule="auto" w:line="288" w:before="0" w:after="180"/>
        <w:jc w:val="left"/>
        <w:rPr>
          <w:rFonts w:ascii="Arial;sans-serif" w:hAnsi="Arial;sans-serif"/>
          <w:b/>
          <w:color w:val="000000"/>
          <w:sz w:val="18"/>
        </w:rPr>
      </w:pPr>
      <w:r>
        <w:rPr>
          <w:rFonts w:ascii="Arial;sans-serif" w:hAnsi="Arial;sans-serif"/>
          <w:b/>
          <w:color w:val="000000"/>
          <w:sz w:val="18"/>
        </w:rPr>
        <w:t>10. Long-Term Debt and Other Credit Facilities</w:t>
      </w:r>
    </w:p>
    <w:p>
      <w:pPr>
        <w:pStyle w:val="TextBody"/>
        <w:bidi w:val="0"/>
        <w:spacing w:lineRule="auto" w:line="288" w:before="0" w:after="180"/>
        <w:ind w:left="0" w:right="0" w:firstLine="360"/>
        <w:jc w:val="left"/>
        <w:rPr>
          <w:rFonts w:ascii="Arial;sans-serif" w:hAnsi="Arial;sans-serif"/>
          <w:b w:val="false"/>
          <w:color w:val="000000"/>
          <w:sz w:val="18"/>
        </w:rPr>
      </w:pPr>
      <w:r>
        <w:rPr>
          <w:rFonts w:ascii="Arial;sans-serif" w:hAnsi="Arial;sans-serif"/>
          <w:b w:val="false"/>
          <w:color w:val="000000"/>
          <w:sz w:val="18"/>
        </w:rPr>
        <w:t>TES is the borrower/issuer under all the Company’s debt and credit facilities. As of March 31, 2026, TES was not in default under any of its debt or credit agreements.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ind w:left="0" w:right="0" w:firstLine="360"/>
        <w:jc w:val="left"/>
        <w:rPr>
          <w:rFonts w:ascii="Arial;sans-serif" w:hAnsi="Arial;sans-serif"/>
          <w:b/>
          <w:i/>
          <w:color w:val="000000"/>
          <w:sz w:val="18"/>
        </w:rPr>
      </w:pPr>
      <w:r>
        <w:rPr>
          <w:rFonts w:ascii="Arial;sans-serif" w:hAnsi="Arial;sans-serif"/>
          <w:b/>
          <w:i/>
          <w:color w:val="000000"/>
          <w:sz w:val="18"/>
        </w:rPr>
        <w:t xml:space="preserve">Long-Term Debt </w:t>
      </w:r>
    </w:p>
    <w:tbl>
      <w:tblPr>
        <w:tblW w:w="9520" w:type="dxa"/>
        <w:jc w:val="left"/>
        <w:tblInd w:w="0" w:type="dxa"/>
        <w:tblLayout w:type="fixed"/>
        <w:tblCellMar>
          <w:top w:w="28" w:type="dxa"/>
          <w:left w:w="28" w:type="dxa"/>
          <w:bottom w:w="28" w:type="dxa"/>
          <w:right w:w="28" w:type="dxa"/>
        </w:tblCellMar>
      </w:tblPr>
      <w:tblGrid>
        <w:gridCol w:w="1871"/>
        <w:gridCol w:w="1646"/>
        <w:gridCol w:w="1657"/>
        <w:gridCol w:w="109"/>
        <w:gridCol w:w="109"/>
        <w:gridCol w:w="109"/>
        <w:gridCol w:w="424"/>
        <w:gridCol w:w="424"/>
        <w:gridCol w:w="426"/>
        <w:gridCol w:w="109"/>
        <w:gridCol w:w="109"/>
        <w:gridCol w:w="109"/>
        <w:gridCol w:w="196"/>
        <w:gridCol w:w="571"/>
        <w:gridCol w:w="109"/>
        <w:gridCol w:w="109"/>
        <w:gridCol w:w="109"/>
        <w:gridCol w:w="109"/>
        <w:gridCol w:w="258"/>
        <w:gridCol w:w="753"/>
        <w:gridCol w:w="204"/>
      </w:tblGrid>
      <w:tr>
        <w:trPr/>
        <w:tc>
          <w:tcPr>
            <w:tcW w:w="1871" w:type="dxa"/>
            <w:tcBorders/>
            <w:vAlign w:val="center"/>
          </w:tcPr>
          <w:p>
            <w:pPr>
              <w:pStyle w:val="TableContents"/>
              <w:bidi w:val="0"/>
              <w:spacing w:before="0" w:after="283"/>
              <w:jc w:val="left"/>
              <w:rPr>
                <w:sz w:val="4"/>
                <w:szCs w:val="4"/>
              </w:rPr>
            </w:pPr>
            <w:r>
              <w:rPr>
                <w:sz w:val="4"/>
                <w:szCs w:val="4"/>
              </w:rPr>
            </w:r>
          </w:p>
        </w:tc>
        <w:tc>
          <w:tcPr>
            <w:tcW w:w="1646" w:type="dxa"/>
            <w:tcBorders/>
            <w:vAlign w:val="center"/>
          </w:tcPr>
          <w:p>
            <w:pPr>
              <w:pStyle w:val="TableContents"/>
              <w:bidi w:val="0"/>
              <w:spacing w:before="0" w:after="283"/>
              <w:jc w:val="left"/>
              <w:rPr>
                <w:sz w:val="4"/>
                <w:szCs w:val="4"/>
              </w:rPr>
            </w:pPr>
            <w:r>
              <w:rPr>
                <w:sz w:val="4"/>
                <w:szCs w:val="4"/>
              </w:rPr>
            </w:r>
          </w:p>
        </w:tc>
        <w:tc>
          <w:tcPr>
            <w:tcW w:w="16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r>
      <w:tr>
        <w:trPr/>
        <w:tc>
          <w:tcPr>
            <w:tcW w:w="51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1542" w:type="dxa"/>
            <w:gridSpan w:val="6"/>
            <w:tcBorders/>
          </w:tcPr>
          <w:p>
            <w:pPr>
              <w:pStyle w:val="TableContents"/>
              <w:bidi w:val="0"/>
              <w:spacing w:before="0" w:after="283"/>
              <w:jc w:val="left"/>
              <w:rPr>
                <w:sz w:val="4"/>
                <w:szCs w:val="4"/>
              </w:rPr>
            </w:pPr>
            <w:r>
              <w:rPr>
                <w:sz w:val="4"/>
                <w:szCs w:val="4"/>
              </w:rPr>
            </w:r>
          </w:p>
        </w:tc>
      </w:tr>
      <w:tr>
        <w:trPr/>
        <w:tc>
          <w:tcPr>
            <w:tcW w:w="51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6"/>
              </w:rPr>
              <w:t xml:space="preserve">Interest Rate </w:t>
            </w:r>
            <w:r>
              <w:rPr>
                <w:rFonts w:ascii="Arial;sans-serif" w:hAnsi="Arial;sans-serif"/>
                <w:b/>
                <w:color w:val="000000"/>
                <w:sz w:val="10"/>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March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w:t>
              <w:br/>
              <w:t>2025</w:t>
            </w:r>
          </w:p>
        </w:tc>
      </w:tr>
      <w:tr>
        <w:trPr/>
        <w:tc>
          <w:tcPr>
            <w:tcW w:w="5174"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TLB-1</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6.15 %</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71"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846 </w:t>
            </w:r>
          </w:p>
        </w:tc>
        <w:tc>
          <w:tcPr>
            <w:tcW w:w="109"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3"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848 </w:t>
            </w:r>
          </w:p>
        </w:tc>
        <w:tc>
          <w:tcPr>
            <w:tcW w:w="204"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TLB-2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6.15 %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842 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r>
      <w:tr>
        <w:trPr/>
        <w:tc>
          <w:tcPr>
            <w:tcW w:w="5174"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TLB-3</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5.67 %</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1,197 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1,200 </w:t>
            </w:r>
          </w:p>
        </w:tc>
        <w:tc>
          <w:tcPr>
            <w:tcW w:w="20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Secured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8.63 %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1,200 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4"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2034 Unsecured Notes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6.25 %</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1,400 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1,400 </w:t>
            </w:r>
          </w:p>
        </w:tc>
        <w:tc>
          <w:tcPr>
            <w:tcW w:w="20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2036 Unsecured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6.50 %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1,290 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4" w:type="dxa"/>
            <w:gridSpan w:val="3"/>
            <w:tcBorders/>
            <w:shd w:fill="E1E1E2"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PEDFA 2009B Bonds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5.25 %</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50 </w:t>
            </w:r>
          </w:p>
        </w:tc>
        <w:tc>
          <w:tcPr>
            <w:tcW w:w="20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PEDFA 2009C Bonds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5.25 %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81 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r>
      <w:tr>
        <w:trPr/>
        <w:tc>
          <w:tcPr>
            <w:tcW w:w="5174"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principal</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shd w:fill="E1E1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6,903</w:t>
            </w:r>
            <w:r>
              <w:rPr>
                <w:color w:val="000000"/>
              </w:rPr>
              <w:t> </w:t>
            </w:r>
          </w:p>
        </w:tc>
        <w:tc>
          <w:tcPr>
            <w:tcW w:w="109"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6,911</w:t>
            </w:r>
            <w:r>
              <w:rPr>
                <w:color w:val="000000"/>
              </w:rPr>
              <w:t> </w:t>
            </w:r>
          </w:p>
        </w:tc>
        <w:tc>
          <w:tcPr>
            <w:tcW w:w="204"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Unamortized deferred financing costs and original issuance discounts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4"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 xml:space="preserve">Total carrying value </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shd w:fill="E1E1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6,807</w:t>
            </w:r>
            <w:r>
              <w:rPr>
                <w:color w:val="000000"/>
              </w:rPr>
              <w:t> </w:t>
            </w:r>
          </w:p>
        </w:tc>
        <w:tc>
          <w:tcPr>
            <w:tcW w:w="109"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6,811</w:t>
            </w:r>
            <w:r>
              <w:rPr>
                <w:color w:val="000000"/>
              </w:rPr>
              <w:t> </w:t>
            </w:r>
          </w:p>
        </w:tc>
        <w:tc>
          <w:tcPr>
            <w:tcW w:w="204"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long-term debt, due within one year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4" w:type="dxa"/>
            <w:gridSpan w:val="3"/>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 xml:space="preserve">Long-term debt </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bottom w:val="double" w:sz="8" w:space="0" w:color="000000"/>
            </w:tcBorders>
            <w:shd w:fill="E1E1E2"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6,778</w:t>
            </w:r>
            <w:r>
              <w:rPr>
                <w:color w:val="000000"/>
              </w:rPr>
              <w:t> </w:t>
            </w:r>
          </w:p>
        </w:tc>
        <w:tc>
          <w:tcPr>
            <w:tcW w:w="109"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3"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6,782</w:t>
            </w:r>
            <w:r>
              <w:rPr>
                <w:color w:val="000000"/>
              </w:rPr>
              <w:t> </w:t>
            </w:r>
          </w:p>
        </w:tc>
        <w:tc>
          <w:tcPr>
            <w:tcW w:w="204"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Arial;sans-serif" w:hAnsi="Arial;sans-serif"/>
          <w:b w:val="false"/>
          <w:color w:val="000000"/>
          <w:sz w:val="14"/>
        </w:rPr>
      </w:pPr>
      <w:r>
        <w:rPr>
          <w:rFonts w:ascii="Arial;sans-serif" w:hAnsi="Arial;sans-serif"/>
          <w:b w:val="false"/>
          <w:color w:val="000000"/>
          <w:sz w:val="14"/>
        </w:rPr>
        <w:t>__________________</w:t>
      </w:r>
    </w:p>
    <w:p>
      <w:pPr>
        <w:pStyle w:val="TextBody"/>
        <w:bidi w:val="0"/>
        <w:spacing w:lineRule="auto" w:line="288" w:before="0" w:after="180"/>
        <w:ind w:left="0" w:right="0" w:hanging="360"/>
        <w:jc w:val="left"/>
        <w:rPr>
          <w:rFonts w:ascii="Arial;sans-serif" w:hAnsi="Arial;sans-serif"/>
          <w:b w:val="false"/>
          <w:color w:val="000000"/>
          <w:sz w:val="14"/>
        </w:rPr>
      </w:pPr>
      <w:r>
        <w:rPr>
          <w:rFonts w:ascii="Arial;sans-serif" w:hAnsi="Arial;sans-serif"/>
          <w:b w:val="false"/>
          <w:color w:val="000000"/>
          <w:sz w:val="14"/>
        </w:rPr>
        <w:t>(a)Computed interest rate as of March 31,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ind w:left="0" w:right="0" w:firstLine="360"/>
        <w:jc w:val="left"/>
        <w:rPr>
          <w:rFonts w:ascii="Arial;sans-serif" w:hAnsi="Arial;sans-serif"/>
          <w:b/>
          <w:i/>
          <w:color w:val="000000"/>
          <w:sz w:val="18"/>
        </w:rPr>
      </w:pPr>
      <w:bookmarkStart w:id="9" w:name="i04f7ebc493b64d8c95d9e4704119341f_16612"/>
      <w:bookmarkEnd w:id="9"/>
      <w:r>
        <w:rPr>
          <w:rFonts w:ascii="Arial;sans-serif" w:hAnsi="Arial;sans-serif"/>
          <w:b/>
          <w:i/>
          <w:color w:val="000000"/>
          <w:sz w:val="18"/>
        </w:rPr>
        <w:t>Revolving Credit and Other Facilities</w:t>
      </w:r>
    </w:p>
    <w:tbl>
      <w:tblPr>
        <w:tblW w:w="10900" w:type="dxa"/>
        <w:jc w:val="left"/>
        <w:tblInd w:w="0" w:type="dxa"/>
        <w:tblLayout w:type="fixed"/>
        <w:tblCellMar>
          <w:top w:w="28" w:type="dxa"/>
          <w:left w:w="28" w:type="dxa"/>
          <w:bottom w:w="28" w:type="dxa"/>
          <w:right w:w="28" w:type="dxa"/>
        </w:tblCellMar>
      </w:tblPr>
      <w:tblGrid>
        <w:gridCol w:w="189"/>
        <w:gridCol w:w="167"/>
        <w:gridCol w:w="170"/>
        <w:gridCol w:w="109"/>
        <w:gridCol w:w="109"/>
        <w:gridCol w:w="109"/>
        <w:gridCol w:w="289"/>
        <w:gridCol w:w="289"/>
        <w:gridCol w:w="293"/>
        <w:gridCol w:w="109"/>
        <w:gridCol w:w="109"/>
        <w:gridCol w:w="109"/>
        <w:gridCol w:w="221"/>
        <w:gridCol w:w="645"/>
        <w:gridCol w:w="125"/>
        <w:gridCol w:w="109"/>
        <w:gridCol w:w="109"/>
        <w:gridCol w:w="109"/>
        <w:gridCol w:w="285"/>
        <w:gridCol w:w="591"/>
        <w:gridCol w:w="160"/>
        <w:gridCol w:w="109"/>
        <w:gridCol w:w="109"/>
        <w:gridCol w:w="109"/>
        <w:gridCol w:w="196"/>
        <w:gridCol w:w="436"/>
        <w:gridCol w:w="109"/>
        <w:gridCol w:w="109"/>
        <w:gridCol w:w="109"/>
        <w:gridCol w:w="109"/>
        <w:gridCol w:w="196"/>
        <w:gridCol w:w="571"/>
        <w:gridCol w:w="109"/>
        <w:gridCol w:w="109"/>
        <w:gridCol w:w="109"/>
        <w:gridCol w:w="109"/>
        <w:gridCol w:w="285"/>
        <w:gridCol w:w="591"/>
        <w:gridCol w:w="160"/>
        <w:gridCol w:w="109"/>
        <w:gridCol w:w="109"/>
        <w:gridCol w:w="109"/>
        <w:gridCol w:w="196"/>
        <w:gridCol w:w="436"/>
        <w:gridCol w:w="109"/>
        <w:gridCol w:w="109"/>
        <w:gridCol w:w="109"/>
        <w:gridCol w:w="109"/>
        <w:gridCol w:w="196"/>
        <w:gridCol w:w="571"/>
        <w:gridCol w:w="109"/>
        <w:gridCol w:w="109"/>
        <w:gridCol w:w="109"/>
        <w:gridCol w:w="109"/>
        <w:gridCol w:w="109"/>
        <w:gridCol w:w="154"/>
      </w:tblGrid>
      <w:tr>
        <w:trPr/>
        <w:tc>
          <w:tcPr>
            <w:tcW w:w="18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7858" w:type="dxa"/>
            <w:gridSpan w:val="41"/>
            <w:tcBorders/>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Maturity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6"/>
              </w:rPr>
              <w:t xml:space="preserve">Committed Capacity </w:t>
            </w:r>
            <w:r>
              <w:rPr>
                <w:rFonts w:ascii="Arial;sans-serif" w:hAnsi="Arial;sans-serif"/>
                <w:b/>
                <w:color w:val="000000"/>
                <w:sz w:val="10"/>
              </w:rPr>
              <w:t>(a)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Direct Cash Borrowings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LCs Issued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Unused Capacity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Direct Cash Borrowings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LCs Issued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Unused Capacity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RCF</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December 2029</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5"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900 </w:t>
            </w:r>
          </w:p>
        </w:tc>
        <w:tc>
          <w:tcPr>
            <w:tcW w:w="125"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91"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3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71"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900 </w:t>
            </w:r>
          </w:p>
        </w:tc>
        <w:tc>
          <w:tcPr>
            <w:tcW w:w="109"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91"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3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71"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900 </w:t>
            </w:r>
          </w:p>
        </w:tc>
        <w:tc>
          <w:tcPr>
            <w:tcW w:w="109"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LCF</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December 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1,100 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 xml:space="preserve">Total </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bottom w:val="double" w:sz="8" w:space="0" w:color="000000"/>
            </w:tcBorders>
            <w:shd w:fill="E1E1E2"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45"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2,000</w:t>
            </w:r>
            <w:r>
              <w:rPr>
                <w:color w:val="000000"/>
              </w:rPr>
              <w:t> </w:t>
            </w:r>
          </w:p>
        </w:tc>
        <w:tc>
          <w:tcPr>
            <w:tcW w:w="125"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91"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36"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445</w:t>
            </w:r>
            <w:r>
              <w:rPr>
                <w:color w:val="000000"/>
              </w:rPr>
              <w:t> </w:t>
            </w:r>
          </w:p>
        </w:tc>
        <w:tc>
          <w:tcPr>
            <w:tcW w:w="109"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1,555</w:t>
            </w:r>
            <w:r>
              <w:rPr>
                <w:color w:val="000000"/>
              </w:rPr>
              <w:t> </w:t>
            </w:r>
          </w:p>
        </w:tc>
        <w:tc>
          <w:tcPr>
            <w:tcW w:w="109"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91"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36"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448</w:t>
            </w:r>
            <w:r>
              <w:rPr>
                <w:color w:val="000000"/>
              </w:rPr>
              <w:t> </w:t>
            </w:r>
          </w:p>
        </w:tc>
        <w:tc>
          <w:tcPr>
            <w:tcW w:w="109"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1,552</w:t>
            </w:r>
            <w:r>
              <w:rPr>
                <w:color w:val="000000"/>
              </w:rPr>
              <w:t> </w:t>
            </w:r>
          </w:p>
        </w:tc>
        <w:tc>
          <w:tcPr>
            <w:tcW w:w="109"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Arial;sans-serif" w:hAnsi="Arial;sans-serif"/>
          <w:b w:val="false"/>
          <w:color w:val="000000"/>
          <w:sz w:val="14"/>
        </w:rPr>
      </w:pPr>
      <w:r>
        <w:rPr>
          <w:rFonts w:ascii="Arial;sans-serif" w:hAnsi="Arial;sans-serif"/>
          <w:b w:val="false"/>
          <w:color w:val="000000"/>
          <w:sz w:val="14"/>
        </w:rPr>
        <w:t>__________________</w:t>
      </w:r>
    </w:p>
    <w:p>
      <w:pPr>
        <w:pStyle w:val="TextBody"/>
        <w:bidi w:val="0"/>
        <w:spacing w:lineRule="auto" w:line="288" w:before="0" w:after="180"/>
        <w:ind w:left="0" w:right="0" w:hanging="360"/>
        <w:jc w:val="left"/>
        <w:rPr>
          <w:rFonts w:ascii="Arial;sans-serif" w:hAnsi="Arial;sans-serif"/>
          <w:b w:val="false"/>
          <w:color w:val="000000"/>
          <w:sz w:val="14"/>
        </w:rPr>
      </w:pPr>
      <w:r>
        <w:rPr>
          <w:rFonts w:ascii="Arial;sans-serif" w:hAnsi="Arial;sans-serif"/>
          <w:b w:val="false"/>
          <w:color w:val="000000"/>
          <w:sz w:val="14"/>
        </w:rPr>
        <w:t>(a)RCF committed capacity can be used for direct cash borrowings and (or) LCs. Direct cash borrowings are not permitted under the LCF, which can only be used for LCs.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ind w:left="0" w:right="0" w:firstLine="360"/>
        <w:jc w:val="left"/>
        <w:rPr>
          <w:rFonts w:ascii="Arial;sans-serif" w:hAnsi="Arial;sans-serif"/>
          <w:b/>
          <w:i/>
          <w:color w:val="000000"/>
          <w:sz w:val="18"/>
        </w:rPr>
      </w:pPr>
      <w:r>
        <w:rPr>
          <w:rFonts w:ascii="Arial;sans-serif" w:hAnsi="Arial;sans-serif"/>
          <w:b/>
          <w:i/>
          <w:color w:val="000000"/>
          <w:sz w:val="18"/>
        </w:rPr>
        <w:t>Financing Transactions</w:t>
      </w:r>
    </w:p>
    <w:p>
      <w:pPr>
        <w:pStyle w:val="TextBody"/>
        <w:bidi w:val="0"/>
        <w:spacing w:lineRule="auto" w:line="288" w:before="0" w:after="180"/>
        <w:ind w:left="0" w:right="0" w:firstLine="360"/>
        <w:jc w:val="left"/>
        <w:rPr/>
      </w:pPr>
      <w:r>
        <w:rPr>
          <w:rFonts w:ascii="Arial;sans-serif" w:hAnsi="Arial;sans-serif"/>
          <w:b w:val="false"/>
          <w:i/>
          <w:color w:val="000000"/>
          <w:sz w:val="18"/>
        </w:rPr>
        <w:t>Unsecured Notes due 2031 and 2033.</w:t>
      </w:r>
      <w:r>
        <w:rPr>
          <w:color w:val="000000"/>
        </w:rPr>
        <w:t xml:space="preserve"> </w:t>
      </w:r>
      <w:r>
        <w:rPr>
          <w:rFonts w:ascii="Arial;sans-serif" w:hAnsi="Arial;sans-serif"/>
          <w:b w:val="false"/>
          <w:color w:val="000000"/>
          <w:sz w:val="18"/>
        </w:rPr>
        <w:t xml:space="preserve">In April 2026, TES issued in private placement transactions not involving a public offering, and each at par: (i) $1.5 billion in aggregate principal amount of 6.125% Senior Unsecured Notes due 2031, with interest payable on May 1 and November 1 of each year, and (ii) $2.5 billion in aggregate principal amount of 6.375% Senior Unsecured Notes due 2033, with interest payable on May 1 and November 1 of each year. We intend to use the net proceeds from the issuance and sale of the Unsecured Notes due 2031 and 2033 to fund the cash portion of the Cornerstone Acquisition and we have used a portion of the net proceeds to redeem the Company’s outstanding Secured Notes. </w:t>
      </w:r>
    </w:p>
    <w:p>
      <w:pPr>
        <w:pStyle w:val="TextBody"/>
        <w:bidi w:val="0"/>
        <w:spacing w:lineRule="auto" w:line="288" w:before="0" w:after="180"/>
        <w:ind w:left="0" w:right="0" w:firstLine="360"/>
        <w:jc w:val="left"/>
        <w:rPr>
          <w:rFonts w:ascii="Arial;sans-serif" w:hAnsi="Arial;sans-serif"/>
          <w:b w:val="false"/>
          <w:color w:val="000000"/>
          <w:sz w:val="18"/>
        </w:rPr>
      </w:pPr>
      <w:r>
        <w:rPr>
          <w:rFonts w:ascii="Arial;sans-serif" w:hAnsi="Arial;sans-serif"/>
          <w:b w:val="false"/>
          <w:color w:val="000000"/>
          <w:sz w:val="18"/>
        </w:rPr>
        <w:t>The Unsecured Notes due 2031 and 2033 are subject to customary negative covenants, including but not limited to, certain limitations on incurrence of liens and transactions involving the Susquehanna assets, but do not contain any financial covenants. The Unsecured Notes due 2031 and 2033 also contain customary affirmative covenants, events of default, and remedies (including acceleration) and are subject to mandatory redemption provisions in the event that the Cornerstone Acquisition is not completed pursuant to the note purchase agreement. In the event that the Cornerstone Acquisition has not been consummated by January 15, 2027 (or, to the extent such date is automatically extended pursuant to the terms of the Cornerstone Merger Agreement, July 15, 2027), $1.05 billion in aggregate principal amount of the Unsecured Notes due 2031 and $1.75 billion in aggregate principal amount of the Unsecured Notes due 2033 will be redeemed, in each case, at a price equal to 100% of the issue price, plus accrued and unpaid interest.</w:t>
      </w:r>
    </w:p>
    <w:p>
      <w:pPr>
        <w:pStyle w:val="TextBody"/>
        <w:bidi w:val="0"/>
        <w:spacing w:lineRule="auto" w:line="288" w:before="0" w:after="180"/>
        <w:ind w:left="0" w:right="0" w:firstLine="360"/>
        <w:jc w:val="left"/>
        <w:rPr/>
      </w:pPr>
      <w:r>
        <w:rPr>
          <w:rFonts w:ascii="Arial;sans-serif" w:hAnsi="Arial;sans-serif"/>
          <w:b w:val="false"/>
          <w:i/>
          <w:color w:val="000000"/>
          <w:sz w:val="18"/>
        </w:rPr>
        <w:t>Secured Notes.</w:t>
      </w:r>
      <w:r>
        <w:rPr>
          <w:color w:val="000000"/>
        </w:rPr>
        <w:t xml:space="preserve"> </w:t>
      </w:r>
      <w:r>
        <w:rPr>
          <w:rFonts w:ascii="Arial;sans-serif" w:hAnsi="Arial;sans-serif"/>
          <w:b w:val="false"/>
          <w:color w:val="000000"/>
          <w:sz w:val="18"/>
        </w:rPr>
        <w:t>In April 2026, TES redeemed in full, the Company’s outstanding Secured Notes in aggregate principal amount of $1.2 billion, using a portion of the net proceeds of the Unsecured Notes due 2031 and 2033. In connection with the redemption, approximately $60 million of expenses are expected to be incurred, primarily consisting of a make-whole payment and derecognition of capitalized deferred finance costs.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16840"/>
                <wp:effectExtent l="0" t="0" r="0" b="0"/>
                <wp:wrapNone/>
                <wp:docPr id="22" name="Frame22"/>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20</w:t>
                      </w:r>
                    </w:p>
                  </w:txbxContent>
                </v:textbox>
                <w10:wrap type="none"/>
              </v:rect>
            </w:pict>
          </mc:Fallback>
        </mc:AlternateContent>
      </w:r>
    </w:p>
    <w:p>
      <w:pPr>
        <w:pStyle w:val="TextBody"/>
        <w:bidi w:val="0"/>
        <w:spacing w:lineRule="auto" w:line="288" w:before="0" w:after="180"/>
        <w:jc w:val="left"/>
        <w:rPr/>
      </w:pPr>
      <w:hyperlink w:anchor="if20e1f3d5a734e3eabbb6aa8f57c7562_45">
        <w:r>
          <w:rPr>
            <w:rStyle w:val="InternetLink"/>
            <w:rFonts w:ascii="Arial;sans-serif" w:hAnsi="Arial;sans-serif"/>
            <w:b w:val="false"/>
            <w:color w:val="0000FF"/>
            <w:sz w:val="18"/>
            <w:u w:val="single"/>
          </w:rPr>
          <w:t>Table of Contents</w:t>
        </w:r>
      </w:hyperlink>
    </w:p>
    <w:p>
      <w:pPr>
        <w:pStyle w:val="TextBody"/>
        <w:bidi w:val="0"/>
        <w:spacing w:lineRule="auto" w:line="288" w:before="0" w:after="180"/>
        <w:ind w:left="0" w:right="0" w:firstLine="360"/>
        <w:jc w:val="left"/>
        <w:rPr/>
      </w:pPr>
      <w:r>
        <w:rPr>
          <w:rFonts w:ascii="Arial;sans-serif" w:hAnsi="Arial;sans-serif"/>
          <w:b w:val="false"/>
          <w:i/>
          <w:color w:val="000000"/>
          <w:sz w:val="18"/>
        </w:rPr>
        <w:t xml:space="preserve">Credit Facility Transactions. </w:t>
      </w:r>
      <w:r>
        <w:rPr>
          <w:rFonts w:ascii="Arial;sans-serif" w:hAnsi="Arial;sans-serif"/>
          <w:b w:val="false"/>
          <w:color w:val="000000"/>
          <w:sz w:val="18"/>
        </w:rPr>
        <w:t>Also in April 2026, TES undertook the following financing transactions that are expected to become effective concurrently with the closing of the Cornerstone Acquisition: (i) received commitments to increase its existing RCF (including its revolving LC capacity) from $900 million to $1.35 billion; and (ii) received commitments to upsize its existing $1.1 billion LCF to $1.5 billion and extend the maturity from December 2027 to December 2029.</w:t>
      </w:r>
    </w:p>
    <w:p>
      <w:pPr>
        <w:pStyle w:val="TextBody"/>
        <w:bidi w:val="0"/>
        <w:spacing w:lineRule="auto" w:line="288" w:before="0" w:after="180"/>
        <w:ind w:left="0" w:right="0" w:firstLine="360"/>
        <w:jc w:val="left"/>
        <w:rPr>
          <w:rFonts w:ascii="Arial;sans-serif" w:hAnsi="Arial;sans-serif"/>
          <w:b w:val="false"/>
          <w:color w:val="000000"/>
          <w:sz w:val="18"/>
        </w:rPr>
      </w:pPr>
      <w:r>
        <w:rPr>
          <w:rFonts w:ascii="Arial;sans-serif" w:hAnsi="Arial;sans-serif"/>
          <w:b w:val="false"/>
          <w:color w:val="000000"/>
          <w:sz w:val="18"/>
        </w:rPr>
        <w:t>See Note 17 for additional information on the financing transactions and the Cornerstone Acquisition.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ind w:left="0" w:right="0" w:firstLine="360"/>
        <w:jc w:val="left"/>
        <w:rPr>
          <w:rFonts w:ascii="Arial;sans-serif" w:hAnsi="Arial;sans-serif"/>
          <w:b/>
          <w:i/>
          <w:color w:val="000000"/>
          <w:sz w:val="18"/>
        </w:rPr>
      </w:pPr>
      <w:r>
        <w:rPr>
          <w:rFonts w:ascii="Arial;sans-serif" w:hAnsi="Arial;sans-serif"/>
          <w:b/>
          <w:i/>
          <w:color w:val="000000"/>
          <w:sz w:val="18"/>
        </w:rPr>
        <w:t>Other Material Terms; Security Interests</w:t>
      </w:r>
    </w:p>
    <w:p>
      <w:pPr>
        <w:pStyle w:val="TextBody"/>
        <w:bidi w:val="0"/>
        <w:spacing w:lineRule="auto" w:line="288" w:before="0" w:after="180"/>
        <w:ind w:left="0" w:right="0" w:firstLine="360"/>
        <w:jc w:val="left"/>
        <w:rPr>
          <w:rFonts w:ascii="Arial;sans-serif" w:hAnsi="Arial;sans-serif"/>
          <w:b w:val="false"/>
          <w:color w:val="000000"/>
          <w:sz w:val="18"/>
        </w:rPr>
      </w:pPr>
      <w:r>
        <w:rPr>
          <w:rFonts w:ascii="Arial;sans-serif" w:hAnsi="Arial;sans-serif"/>
          <w:b w:val="false"/>
          <w:color w:val="000000"/>
          <w:sz w:val="18"/>
        </w:rPr>
        <w:t>See Note 13 to the Annual Financial Statements for a description of the other material terms of the obligations outlined above and for additional information on the security interests and guarantees supporting these obligations. In addition to the obligations outlined under “Long-Term Debt” and “Revolving Credit and Other Facilities” above, secured obligations included approximately $343 million under Secured ISDAs as of March 31,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0000"/>
          <w:sz w:val="18"/>
        </w:rPr>
      </w:pPr>
      <w:r>
        <w:rPr>
          <w:rFonts w:ascii="Arial;sans-serif" w:hAnsi="Arial;sans-serif"/>
          <w:b/>
          <w:color w:val="000000"/>
          <w:sz w:val="18"/>
        </w:rPr>
        <w:t>11. Fair Value</w:t>
      </w:r>
    </w:p>
    <w:p>
      <w:pPr>
        <w:pStyle w:val="TextBody"/>
        <w:bidi w:val="0"/>
        <w:spacing w:lineRule="auto" w:line="288" w:before="0" w:after="180"/>
        <w:ind w:left="0" w:right="0" w:firstLine="360"/>
        <w:jc w:val="left"/>
        <w:rPr>
          <w:rFonts w:ascii="Arial;sans-serif" w:hAnsi="Arial;sans-serif"/>
          <w:b/>
          <w:i/>
          <w:color w:val="000000"/>
          <w:sz w:val="18"/>
        </w:rPr>
      </w:pPr>
      <w:r>
        <w:rPr>
          <w:rFonts w:ascii="Arial;sans-serif" w:hAnsi="Arial;sans-serif"/>
          <w:b/>
          <w:i/>
          <w:color w:val="000000"/>
          <w:sz w:val="18"/>
        </w:rPr>
        <w:t>Recurring Fair Value Measurements</w:t>
      </w:r>
    </w:p>
    <w:p>
      <w:pPr>
        <w:pStyle w:val="TextBody"/>
        <w:bidi w:val="0"/>
        <w:spacing w:lineRule="auto" w:line="288" w:before="0" w:after="180"/>
        <w:ind w:left="0" w:right="0" w:firstLine="360"/>
        <w:jc w:val="left"/>
        <w:rPr>
          <w:rFonts w:ascii="Arial;sans-serif" w:hAnsi="Arial;sans-serif"/>
          <w:b w:val="false"/>
          <w:color w:val="000000"/>
          <w:sz w:val="18"/>
        </w:rPr>
      </w:pPr>
      <w:r>
        <w:rPr>
          <w:rFonts w:ascii="Arial;sans-serif" w:hAnsi="Arial;sans-serif"/>
          <w:b w:val="false"/>
          <w:color w:val="000000"/>
          <w:sz w:val="18"/>
        </w:rPr>
        <w:t>Financial assets and liabilities reported at fair value on a recurring basis primarily include energy commodity derivatives, interest rate derivatives, and investments held within the NDT. See Note 1 to the Annual Financial Statements for additional descriptions on fair value levels.</w:t>
      </w:r>
    </w:p>
    <w:p>
      <w:pPr>
        <w:pStyle w:val="TextBody"/>
        <w:bidi w:val="0"/>
        <w:spacing w:lineRule="auto" w:line="288" w:before="0" w:after="180"/>
        <w:ind w:left="0" w:right="0" w:firstLine="360"/>
        <w:jc w:val="left"/>
        <w:rPr>
          <w:rFonts w:ascii="Arial;sans-serif" w:hAnsi="Arial;sans-serif"/>
          <w:b w:val="false"/>
          <w:color w:val="000000"/>
          <w:sz w:val="18"/>
        </w:rPr>
      </w:pPr>
      <w:r>
        <w:rPr>
          <w:rFonts w:ascii="Arial;sans-serif" w:hAnsi="Arial;sans-serif"/>
          <w:b w:val="false"/>
          <w:color w:val="000000"/>
          <w:sz w:val="18"/>
        </w:rPr>
        <w:t>The classifications of recurring fair value measurements within the fair value hierarchy were:</w:t>
      </w:r>
    </w:p>
    <w:tbl>
      <w:tblPr>
        <w:tblW w:w="12722" w:type="dxa"/>
        <w:jc w:val="left"/>
        <w:tblInd w:w="0" w:type="dxa"/>
        <w:tblLayout w:type="fixed"/>
        <w:tblCellMar>
          <w:top w:w="28" w:type="dxa"/>
          <w:left w:w="28" w:type="dxa"/>
          <w:bottom w:w="28" w:type="dxa"/>
          <w:right w:w="28" w:type="dxa"/>
        </w:tblCellMar>
      </w:tblPr>
      <w:tblGrid>
        <w:gridCol w:w="417"/>
        <w:gridCol w:w="300"/>
        <w:gridCol w:w="304"/>
        <w:gridCol w:w="109"/>
        <w:gridCol w:w="109"/>
        <w:gridCol w:w="109"/>
        <w:gridCol w:w="196"/>
        <w:gridCol w:w="571"/>
        <w:gridCol w:w="109"/>
        <w:gridCol w:w="109"/>
        <w:gridCol w:w="109"/>
        <w:gridCol w:w="109"/>
        <w:gridCol w:w="196"/>
        <w:gridCol w:w="436"/>
        <w:gridCol w:w="109"/>
        <w:gridCol w:w="109"/>
        <w:gridCol w:w="109"/>
        <w:gridCol w:w="109"/>
        <w:gridCol w:w="109"/>
        <w:gridCol w:w="109"/>
        <w:gridCol w:w="196"/>
        <w:gridCol w:w="436"/>
        <w:gridCol w:w="109"/>
        <w:gridCol w:w="109"/>
        <w:gridCol w:w="109"/>
        <w:gridCol w:w="109"/>
        <w:gridCol w:w="196"/>
        <w:gridCol w:w="436"/>
        <w:gridCol w:w="109"/>
        <w:gridCol w:w="109"/>
        <w:gridCol w:w="109"/>
        <w:gridCol w:w="109"/>
        <w:gridCol w:w="196"/>
        <w:gridCol w:w="571"/>
        <w:gridCol w:w="109"/>
        <w:gridCol w:w="109"/>
        <w:gridCol w:w="109"/>
        <w:gridCol w:w="109"/>
        <w:gridCol w:w="196"/>
        <w:gridCol w:w="571"/>
        <w:gridCol w:w="109"/>
        <w:gridCol w:w="109"/>
        <w:gridCol w:w="109"/>
        <w:gridCol w:w="109"/>
        <w:gridCol w:w="196"/>
        <w:gridCol w:w="436"/>
        <w:gridCol w:w="109"/>
        <w:gridCol w:w="109"/>
        <w:gridCol w:w="109"/>
        <w:gridCol w:w="109"/>
        <w:gridCol w:w="109"/>
        <w:gridCol w:w="109"/>
        <w:gridCol w:w="196"/>
        <w:gridCol w:w="436"/>
        <w:gridCol w:w="109"/>
        <w:gridCol w:w="109"/>
        <w:gridCol w:w="109"/>
        <w:gridCol w:w="109"/>
        <w:gridCol w:w="196"/>
        <w:gridCol w:w="436"/>
        <w:gridCol w:w="109"/>
        <w:gridCol w:w="109"/>
        <w:gridCol w:w="109"/>
        <w:gridCol w:w="109"/>
        <w:gridCol w:w="196"/>
        <w:gridCol w:w="571"/>
        <w:gridCol w:w="154"/>
      </w:tblGrid>
      <w:tr>
        <w:trPr/>
        <w:tc>
          <w:tcPr>
            <w:tcW w:w="417"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10498" w:type="dxa"/>
            <w:gridSpan w:val="58"/>
            <w:tcBorders/>
          </w:tcPr>
          <w:p>
            <w:pPr>
              <w:pStyle w:val="TableContents"/>
              <w:bidi w:val="0"/>
              <w:spacing w:before="0" w:after="283"/>
              <w:jc w:val="left"/>
              <w:rPr>
                <w:sz w:val="4"/>
                <w:szCs w:val="4"/>
              </w:rPr>
            </w:pPr>
            <w:r>
              <w:rPr>
                <w:sz w:val="4"/>
                <w:szCs w:val="4"/>
              </w:rPr>
            </w:r>
          </w:p>
        </w:tc>
      </w:tr>
      <w:tr>
        <w:trPr/>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8" w:type="dxa"/>
            <w:gridSpan w:val="2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3" w:type="dxa"/>
            <w:gridSpan w:val="2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2025</w:t>
            </w:r>
          </w:p>
        </w:tc>
        <w:tc>
          <w:tcPr>
            <w:tcW w:w="2316" w:type="dxa"/>
            <w:gridSpan w:val="12"/>
            <w:tcBorders/>
          </w:tcPr>
          <w:p>
            <w:pPr>
              <w:pStyle w:val="TableContents"/>
              <w:bidi w:val="0"/>
              <w:spacing w:before="0" w:after="283"/>
              <w:jc w:val="left"/>
              <w:rPr>
                <w:sz w:val="4"/>
                <w:szCs w:val="4"/>
              </w:rPr>
            </w:pPr>
            <w:r>
              <w:rPr>
                <w:sz w:val="4"/>
                <w:szCs w:val="4"/>
              </w:rPr>
            </w:r>
          </w:p>
        </w:tc>
      </w:tr>
      <w:tr>
        <w:trPr/>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NAV</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6"/>
              </w:rPr>
              <w:t xml:space="preserve">Netting </w:t>
            </w:r>
            <w:r>
              <w:rPr>
                <w:rFonts w:ascii="Arial;sans-serif" w:hAnsi="Arial;sans-serif"/>
                <w:b/>
                <w:color w:val="000000"/>
                <w:sz w:val="10"/>
              </w:rPr>
              <w:t>(a)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NAV</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6"/>
              </w:rPr>
              <w:t xml:space="preserve">Netting </w:t>
            </w:r>
            <w:r>
              <w:rPr>
                <w:rFonts w:ascii="Arial;sans-serif" w:hAnsi="Arial;sans-serif"/>
                <w:b/>
                <w:color w:val="000000"/>
                <w:sz w:val="10"/>
              </w:rPr>
              <w:t>(a)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r>
      <w:tr>
        <w:trPr/>
        <w:tc>
          <w:tcPr>
            <w:tcW w:w="1021"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Assets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shd w:fill="E1E1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shd w:fill="E1E1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shd w:fill="E1E1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shd w:fill="E1E1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shd w:fill="E1E1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shd w:fill="E1E1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shd w:fill="E1E1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shd w:fill="E1E1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shd w:fill="E1E1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tcBorders>
            <w:shd w:fill="E1E1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E1E1E2"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Equity securities </w:t>
            </w:r>
            <w:r>
              <w:rPr>
                <w:rFonts w:ascii="Arial;sans-serif" w:hAnsi="Arial;sans-serif"/>
                <w:b w:val="false"/>
                <w:color w:val="000000"/>
                <w:sz w:val="10"/>
              </w:rPr>
              <w:t>(b)</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838</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234 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1,072 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871 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234 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1,105 </w:t>
            </w:r>
          </w:p>
        </w:tc>
        <w:tc>
          <w:tcPr>
            <w:tcW w:w="15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U.S. government debt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Municipal debt securities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97 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97 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101 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101 </w:t>
            </w:r>
          </w:p>
        </w:tc>
        <w:tc>
          <w:tcPr>
            <w:tcW w:w="15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Corporate debt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r>
      <w:tr>
        <w:trPr/>
        <w:tc>
          <w:tcPr>
            <w:tcW w:w="1021" w:type="dxa"/>
            <w:gridSpan w:val="3"/>
            <w:tcBorders/>
            <w:shd w:fill="E1E1E2"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Receivables (payables), net </w:t>
            </w:r>
            <w:r>
              <w:rPr>
                <w:rFonts w:ascii="Arial;sans-serif" w:hAnsi="Arial;sans-serif"/>
                <w:b w:val="false"/>
                <w:color w:val="000000"/>
                <w:sz w:val="10"/>
              </w:rPr>
              <w:t>(c)</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15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NDT funds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1,102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511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250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1,869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1,168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480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250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1,900</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Commodity derivatives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514 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95 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(567)</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361 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95 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(396)</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60 </w:t>
            </w:r>
          </w:p>
        </w:tc>
        <w:tc>
          <w:tcPr>
            <w:tcW w:w="15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rate derivatives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assets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1,616</w:t>
            </w:r>
            <w:r>
              <w:rPr>
                <w:color w:val="000000"/>
              </w:rPr>
              <w:t> </w:t>
            </w:r>
          </w:p>
        </w:tc>
        <w:tc>
          <w:tcPr>
            <w:tcW w:w="109"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3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607</w:t>
            </w:r>
            <w:r>
              <w:rPr>
                <w:color w:val="000000"/>
              </w:rPr>
              <w:t> </w:t>
            </w:r>
          </w:p>
        </w:tc>
        <w:tc>
          <w:tcPr>
            <w:tcW w:w="109"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3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250</w:t>
            </w:r>
            <w:r>
              <w:rPr>
                <w:color w:val="000000"/>
              </w:rPr>
              <w:t> </w:t>
            </w:r>
          </w:p>
        </w:tc>
        <w:tc>
          <w:tcPr>
            <w:tcW w:w="109"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3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(567)</w:t>
            </w:r>
          </w:p>
        </w:tc>
        <w:tc>
          <w:tcPr>
            <w:tcW w:w="109"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1,912</w:t>
            </w:r>
            <w:r>
              <w:rPr>
                <w:color w:val="000000"/>
              </w:rPr>
              <w:t> </w:t>
            </w:r>
          </w:p>
        </w:tc>
        <w:tc>
          <w:tcPr>
            <w:tcW w:w="109"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1,529</w:t>
            </w:r>
            <w:r>
              <w:rPr>
                <w:color w:val="000000"/>
              </w:rPr>
              <w:t> </w:t>
            </w:r>
          </w:p>
        </w:tc>
        <w:tc>
          <w:tcPr>
            <w:tcW w:w="109"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3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575</w:t>
            </w:r>
            <w:r>
              <w:rPr>
                <w:color w:val="000000"/>
              </w:rPr>
              <w:t> </w:t>
            </w:r>
          </w:p>
        </w:tc>
        <w:tc>
          <w:tcPr>
            <w:tcW w:w="109"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3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250</w:t>
            </w:r>
            <w:r>
              <w:rPr>
                <w:color w:val="000000"/>
              </w:rPr>
              <w:t> </w:t>
            </w:r>
          </w:p>
        </w:tc>
        <w:tc>
          <w:tcPr>
            <w:tcW w:w="109"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3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(396)</w:t>
            </w:r>
          </w:p>
        </w:tc>
        <w:tc>
          <w:tcPr>
            <w:tcW w:w="109"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1,960</w:t>
            </w:r>
            <w:r>
              <w:rPr>
                <w:color w:val="000000"/>
              </w:rPr>
              <w:t> </w:t>
            </w:r>
          </w:p>
        </w:tc>
        <w:tc>
          <w:tcPr>
            <w:tcW w:w="154"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E1E1E2"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Commodity derivatives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71" w:type="dxa"/>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591 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36" w:type="dxa"/>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315 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36" w:type="dxa"/>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36" w:type="dxa"/>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(618)</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71" w:type="dxa"/>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288 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71" w:type="dxa"/>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407 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36" w:type="dxa"/>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189 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36" w:type="dxa"/>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36" w:type="dxa"/>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(440)</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71" w:type="dxa"/>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156 </w:t>
            </w:r>
          </w:p>
        </w:tc>
        <w:tc>
          <w:tcPr>
            <w:tcW w:w="15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rate derivatives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r>
      <w:tr>
        <w:trPr/>
        <w:tc>
          <w:tcPr>
            <w:tcW w:w="1021" w:type="dxa"/>
            <w:gridSpan w:val="3"/>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liabilities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591</w:t>
            </w:r>
            <w:r>
              <w:rPr>
                <w:color w:val="000000"/>
              </w:rPr>
              <w:t> </w:t>
            </w:r>
          </w:p>
        </w:tc>
        <w:tc>
          <w:tcPr>
            <w:tcW w:w="109"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36"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326</w:t>
            </w:r>
            <w:r>
              <w:rPr>
                <w:color w:val="000000"/>
              </w:rPr>
              <w:t> </w:t>
            </w:r>
          </w:p>
        </w:tc>
        <w:tc>
          <w:tcPr>
            <w:tcW w:w="109"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36"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36"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(618)</w:t>
            </w:r>
          </w:p>
        </w:tc>
        <w:tc>
          <w:tcPr>
            <w:tcW w:w="109"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299</w:t>
            </w:r>
            <w:r>
              <w:rPr>
                <w:color w:val="000000"/>
              </w:rPr>
              <w:t> </w:t>
            </w:r>
          </w:p>
        </w:tc>
        <w:tc>
          <w:tcPr>
            <w:tcW w:w="109"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407</w:t>
            </w:r>
            <w:r>
              <w:rPr>
                <w:color w:val="000000"/>
              </w:rPr>
              <w:t> </w:t>
            </w:r>
          </w:p>
        </w:tc>
        <w:tc>
          <w:tcPr>
            <w:tcW w:w="109"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36"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201</w:t>
            </w:r>
            <w:r>
              <w:rPr>
                <w:color w:val="000000"/>
              </w:rPr>
              <w:t> </w:t>
            </w:r>
          </w:p>
        </w:tc>
        <w:tc>
          <w:tcPr>
            <w:tcW w:w="109"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36"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36"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(440)</w:t>
            </w:r>
          </w:p>
        </w:tc>
        <w:tc>
          <w:tcPr>
            <w:tcW w:w="109"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168</w:t>
            </w:r>
            <w:r>
              <w:rPr>
                <w:color w:val="000000"/>
              </w:rPr>
              <w:t> </w:t>
            </w:r>
          </w:p>
        </w:tc>
        <w:tc>
          <w:tcPr>
            <w:tcW w:w="154"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14"/>
        </w:rPr>
      </w:pPr>
      <w:r>
        <w:rPr>
          <w:rFonts w:ascii="Arial;sans-serif" w:hAnsi="Arial;sans-serif"/>
          <w:b w:val="false"/>
          <w:color w:val="000000"/>
          <w:sz w:val="14"/>
        </w:rPr>
        <w:t>__________________</w:t>
      </w:r>
    </w:p>
    <w:p>
      <w:pPr>
        <w:pStyle w:val="TextBody"/>
        <w:bidi w:val="0"/>
        <w:spacing w:lineRule="auto" w:line="288" w:before="0" w:after="0"/>
        <w:ind w:left="0" w:right="0" w:hanging="360"/>
        <w:jc w:val="left"/>
        <w:rPr>
          <w:rFonts w:ascii="Arial;sans-serif" w:hAnsi="Arial;sans-serif"/>
          <w:b w:val="false"/>
          <w:color w:val="000000"/>
          <w:sz w:val="14"/>
        </w:rPr>
      </w:pPr>
      <w:r>
        <w:rPr>
          <w:rFonts w:ascii="Arial;sans-serif" w:hAnsi="Arial;sans-serif"/>
          <w:b w:val="false"/>
          <w:color w:val="000000"/>
          <w:sz w:val="14"/>
        </w:rPr>
        <w:t>(a)Amounts represent netting pursuant to master netting arrangements and cash collateral held or placed with the same counterparty.</w:t>
      </w:r>
    </w:p>
    <w:p>
      <w:pPr>
        <w:pStyle w:val="TextBody"/>
        <w:bidi w:val="0"/>
        <w:spacing w:lineRule="auto" w:line="288" w:before="0" w:after="0"/>
        <w:ind w:left="0" w:right="0" w:hanging="360"/>
        <w:jc w:val="left"/>
        <w:rPr>
          <w:rFonts w:ascii="Arial;sans-serif" w:hAnsi="Arial;sans-serif"/>
          <w:b w:val="false"/>
          <w:color w:val="000000"/>
          <w:sz w:val="14"/>
        </w:rPr>
      </w:pPr>
      <w:r>
        <w:rPr>
          <w:rFonts w:ascii="Arial;sans-serif" w:hAnsi="Arial;sans-serif"/>
          <w:b w:val="false"/>
          <w:color w:val="000000"/>
          <w:sz w:val="14"/>
        </w:rPr>
        <w:t xml:space="preserve">(b)Includes fixed income funds and real estate investment trusts. </w:t>
      </w:r>
    </w:p>
    <w:p>
      <w:pPr>
        <w:pStyle w:val="TextBody"/>
        <w:bidi w:val="0"/>
        <w:spacing w:lineRule="auto" w:line="288" w:before="0" w:after="180"/>
        <w:ind w:left="0" w:right="0" w:hanging="360"/>
        <w:jc w:val="left"/>
        <w:rPr>
          <w:rFonts w:ascii="Arial;sans-serif" w:hAnsi="Arial;sans-serif"/>
          <w:b w:val="false"/>
          <w:color w:val="000000"/>
          <w:sz w:val="14"/>
        </w:rPr>
      </w:pPr>
      <w:r>
        <w:rPr>
          <w:rFonts w:ascii="Arial;sans-serif" w:hAnsi="Arial;sans-serif"/>
          <w:b w:val="false"/>
          <w:color w:val="000000"/>
          <w:sz w:val="14"/>
        </w:rPr>
        <w:t>(c)Represents: (i) interest and dividends earned but not received; and (ii) net sold or purchased investments, but not settled.</w:t>
      </w:r>
    </w:p>
    <w:p>
      <w:pPr>
        <w:pStyle w:val="TextBody"/>
        <w:bidi w:val="0"/>
        <w:spacing w:lineRule="auto" w:line="288" w:before="0" w:after="180"/>
        <w:ind w:left="0" w:right="0" w:firstLine="360"/>
        <w:jc w:val="left"/>
        <w:rPr>
          <w:rFonts w:ascii="Arial;sans-serif" w:hAnsi="Arial;sans-serif"/>
          <w:b w:val="false"/>
          <w:color w:val="000000"/>
          <w:sz w:val="18"/>
        </w:rPr>
      </w:pPr>
      <w:r>
        <w:rPr>
          <w:rFonts w:ascii="Arial;sans-serif" w:hAnsi="Arial;sans-serif"/>
          <w:b w:val="false"/>
          <w:color w:val="000000"/>
          <w:sz w:val="18"/>
        </w:rPr>
        <w:t>There were no recurring fair value measurements classified as Level 3 as of March 31, 2026 and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ind w:left="0" w:right="0" w:firstLine="360"/>
        <w:jc w:val="left"/>
        <w:rPr>
          <w:rFonts w:ascii="Arial;sans-serif" w:hAnsi="Arial;sans-serif"/>
          <w:b/>
          <w:i/>
          <w:color w:val="000000"/>
          <w:sz w:val="18"/>
        </w:rPr>
      </w:pPr>
      <w:r>
        <w:rPr>
          <w:rFonts w:ascii="Arial;sans-serif" w:hAnsi="Arial;sans-serif"/>
          <w:b/>
          <w:i/>
          <w:color w:val="000000"/>
          <w:sz w:val="18"/>
        </w:rPr>
        <w:t xml:space="preserve">Nonrecurring Fair Value Measurements </w:t>
      </w:r>
    </w:p>
    <w:p>
      <w:pPr>
        <w:pStyle w:val="TextBody"/>
        <w:bidi w:val="0"/>
        <w:spacing w:lineRule="auto" w:line="288" w:before="0" w:after="180"/>
        <w:ind w:left="0" w:right="0" w:firstLine="360"/>
        <w:jc w:val="left"/>
        <w:rPr>
          <w:rFonts w:ascii="Arial;sans-serif" w:hAnsi="Arial;sans-serif"/>
          <w:b w:val="false"/>
          <w:color w:val="000000"/>
          <w:sz w:val="18"/>
        </w:rPr>
      </w:pPr>
      <w:r>
        <w:rPr>
          <w:rFonts w:ascii="Arial;sans-serif" w:hAnsi="Arial;sans-serif"/>
          <w:b w:val="false"/>
          <w:color w:val="000000"/>
          <w:sz w:val="18"/>
        </w:rPr>
        <w:t>There were no nonrecurring fair value measurements related to impairments of long-lived assets during the three months ended March 31, 2026 and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16840"/>
                <wp:effectExtent l="0" t="0" r="0" b="0"/>
                <wp:wrapNone/>
                <wp:docPr id="23" name="Frame23"/>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21</w:t>
                      </w:r>
                    </w:p>
                  </w:txbxContent>
                </v:textbox>
                <w10:wrap type="none"/>
              </v:rect>
            </w:pict>
          </mc:Fallback>
        </mc:AlternateContent>
      </w:r>
    </w:p>
    <w:p>
      <w:pPr>
        <w:pStyle w:val="TextBody"/>
        <w:bidi w:val="0"/>
        <w:spacing w:lineRule="auto" w:line="288" w:before="0" w:after="180"/>
        <w:jc w:val="left"/>
        <w:rPr/>
      </w:pPr>
      <w:hyperlink w:anchor="if20e1f3d5a734e3eabbb6aa8f57c7562_45">
        <w:r>
          <w:rPr>
            <w:rStyle w:val="InternetLink"/>
            <w:rFonts w:ascii="Arial;sans-serif" w:hAnsi="Arial;sans-serif"/>
            <w:b w:val="false"/>
            <w:color w:val="0000FF"/>
            <w:sz w:val="18"/>
            <w:u w:val="single"/>
          </w:rPr>
          <w:t>Table of Contents</w:t>
        </w:r>
      </w:hyperlink>
    </w:p>
    <w:p>
      <w:pPr>
        <w:pStyle w:val="TextBody"/>
        <w:bidi w:val="0"/>
        <w:spacing w:lineRule="auto" w:line="288" w:before="0" w:after="180"/>
        <w:ind w:left="0" w:right="0" w:firstLine="360"/>
        <w:jc w:val="left"/>
        <w:rPr>
          <w:rFonts w:ascii="Arial;sans-serif" w:hAnsi="Arial;sans-serif"/>
          <w:b/>
          <w:i/>
          <w:color w:val="000000"/>
          <w:sz w:val="18"/>
        </w:rPr>
      </w:pPr>
      <w:r>
        <w:rPr>
          <w:rFonts w:ascii="Arial;sans-serif" w:hAnsi="Arial;sans-serif"/>
          <w:b/>
          <w:i/>
          <w:color w:val="000000"/>
          <w:sz w:val="18"/>
        </w:rPr>
        <w:t>Reported Fair Value</w:t>
      </w:r>
    </w:p>
    <w:p>
      <w:pPr>
        <w:pStyle w:val="TextBody"/>
        <w:bidi w:val="0"/>
        <w:spacing w:lineRule="auto" w:line="288" w:before="0" w:after="180"/>
        <w:ind w:left="0" w:right="0" w:firstLine="360"/>
        <w:jc w:val="left"/>
        <w:rPr/>
      </w:pPr>
      <w:r>
        <w:rPr>
          <w:rFonts w:ascii="Arial;sans-serif" w:hAnsi="Arial;sans-serif"/>
          <w:b w:val="false"/>
          <w:color w:val="000000"/>
          <w:sz w:val="18"/>
        </w:rPr>
        <w:t>The carrying value of certain financial assets and liabilities on the Consolidated Balance Sheets, including “Cash and cash equivalents</w:t>
      </w:r>
      <w:r>
        <w:rPr>
          <w:rFonts w:ascii="Arial;sans-serif" w:hAnsi="Arial;sans-serif"/>
          <w:b w:val="false"/>
          <w:i/>
          <w:color w:val="000000"/>
          <w:sz w:val="18"/>
        </w:rPr>
        <w:t>,</w:t>
      </w:r>
      <w:r>
        <w:rPr>
          <w:color w:val="000000"/>
        </w:rPr>
        <w:t>” “</w:t>
      </w:r>
      <w:r>
        <w:rPr>
          <w:rFonts w:ascii="Arial;sans-serif" w:hAnsi="Arial;sans-serif"/>
          <w:b w:val="false"/>
          <w:color w:val="000000"/>
          <w:sz w:val="18"/>
        </w:rPr>
        <w:t>Restricted cash and cash equivalents</w:t>
      </w:r>
      <w:r>
        <w:rPr>
          <w:rFonts w:ascii="Arial;sans-serif" w:hAnsi="Arial;sans-serif"/>
          <w:b w:val="false"/>
          <w:i/>
          <w:color w:val="000000"/>
          <w:sz w:val="18"/>
        </w:rPr>
        <w:t>,</w:t>
      </w:r>
      <w:r>
        <w:rPr>
          <w:color w:val="000000"/>
        </w:rPr>
        <w:t>” “</w:t>
      </w:r>
      <w:r>
        <w:rPr>
          <w:rFonts w:ascii="Arial;sans-serif" w:hAnsi="Arial;sans-serif"/>
          <w:b w:val="false"/>
          <w:color w:val="000000"/>
          <w:sz w:val="18"/>
        </w:rPr>
        <w:t>Accounts receivable</w:t>
      </w:r>
      <w:r>
        <w:rPr>
          <w:rFonts w:ascii="Arial;sans-serif" w:hAnsi="Arial;sans-serif"/>
          <w:b w:val="false"/>
          <w:i/>
          <w:color w:val="000000"/>
          <w:sz w:val="18"/>
        </w:rPr>
        <w:t>,</w:t>
      </w:r>
      <w:r>
        <w:rPr>
          <w:color w:val="000000"/>
        </w:rPr>
        <w:t xml:space="preserve">” </w:t>
      </w:r>
      <w:r>
        <w:rPr>
          <w:rFonts w:ascii="Arial;sans-serif" w:hAnsi="Arial;sans-serif"/>
          <w:b w:val="false"/>
          <w:color w:val="000000"/>
          <w:sz w:val="18"/>
        </w:rPr>
        <w:t>and “Accounts payable and other accrued liabilities” approximate fair value.</w:t>
      </w:r>
    </w:p>
    <w:p>
      <w:pPr>
        <w:pStyle w:val="TextBody"/>
        <w:bidi w:val="0"/>
        <w:spacing w:lineRule="auto" w:line="288" w:before="0" w:after="180"/>
        <w:ind w:left="0" w:right="0" w:firstLine="360"/>
        <w:jc w:val="left"/>
        <w:rPr>
          <w:rFonts w:ascii="Arial;sans-serif" w:hAnsi="Arial;sans-serif"/>
          <w:b w:val="false"/>
          <w:color w:val="000000"/>
          <w:sz w:val="18"/>
        </w:rPr>
      </w:pPr>
      <w:r>
        <w:rPr>
          <w:rFonts w:ascii="Arial;sans-serif" w:hAnsi="Arial;sans-serif"/>
          <w:b w:val="false"/>
          <w:color w:val="000000"/>
          <w:sz w:val="18"/>
        </w:rPr>
        <w:t>The carrying value and fair value of indebtedness presented on the Consolidated Balance Sheets were:</w:t>
      </w:r>
    </w:p>
    <w:tbl>
      <w:tblPr>
        <w:tblW w:w="7052" w:type="dxa"/>
        <w:jc w:val="left"/>
        <w:tblInd w:w="0" w:type="dxa"/>
        <w:tblLayout w:type="fixed"/>
        <w:tblCellMar>
          <w:top w:w="28" w:type="dxa"/>
          <w:left w:w="28" w:type="dxa"/>
          <w:bottom w:w="28" w:type="dxa"/>
          <w:right w:w="28" w:type="dxa"/>
        </w:tblCellMar>
      </w:tblPr>
      <w:tblGrid>
        <w:gridCol w:w="510"/>
        <w:gridCol w:w="448"/>
        <w:gridCol w:w="451"/>
        <w:gridCol w:w="109"/>
        <w:gridCol w:w="109"/>
        <w:gridCol w:w="109"/>
        <w:gridCol w:w="287"/>
        <w:gridCol w:w="814"/>
        <w:gridCol w:w="159"/>
        <w:gridCol w:w="109"/>
        <w:gridCol w:w="109"/>
        <w:gridCol w:w="109"/>
        <w:gridCol w:w="201"/>
        <w:gridCol w:w="572"/>
        <w:gridCol w:w="112"/>
        <w:gridCol w:w="109"/>
        <w:gridCol w:w="109"/>
        <w:gridCol w:w="109"/>
        <w:gridCol w:w="287"/>
        <w:gridCol w:w="814"/>
        <w:gridCol w:w="159"/>
        <w:gridCol w:w="109"/>
        <w:gridCol w:w="109"/>
        <w:gridCol w:w="109"/>
        <w:gridCol w:w="201"/>
        <w:gridCol w:w="571"/>
        <w:gridCol w:w="158"/>
      </w:tblGrid>
      <w:tr>
        <w:trPr/>
        <w:tc>
          <w:tcPr>
            <w:tcW w:w="510"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4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4056" w:type="dxa"/>
            <w:gridSpan w:val="18"/>
            <w:tcBorders/>
          </w:tcPr>
          <w:p>
            <w:pPr>
              <w:pStyle w:val="TableContents"/>
              <w:bidi w:val="0"/>
              <w:spacing w:before="0" w:after="283"/>
              <w:jc w:val="left"/>
              <w:rPr>
                <w:sz w:val="4"/>
                <w:szCs w:val="4"/>
              </w:rPr>
            </w:pPr>
            <w:r>
              <w:rPr>
                <w:sz w:val="4"/>
                <w:szCs w:val="4"/>
              </w:rPr>
            </w:r>
          </w:p>
        </w:tc>
      </w:tr>
      <w:tr>
        <w:trPr/>
        <w:tc>
          <w:tcPr>
            <w:tcW w:w="1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2025</w:t>
            </w:r>
          </w:p>
        </w:tc>
      </w:tr>
      <w:tr>
        <w:trPr/>
        <w:tc>
          <w:tcPr>
            <w:tcW w:w="1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Carrying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Carrying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Fair Value</w:t>
            </w:r>
          </w:p>
        </w:tc>
      </w:tr>
      <w:tr>
        <w:trPr/>
        <w:tc>
          <w:tcPr>
            <w:tcW w:w="14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0" w:type="dxa"/>
            <w:gridSpan w:val="3"/>
            <w:tcBorders/>
            <w:vAlign w:val="center"/>
          </w:tcPr>
          <w:p>
            <w:pPr>
              <w:pStyle w:val="TableContents"/>
              <w:bidi w:val="0"/>
              <w:spacing w:before="0" w:after="283"/>
              <w:jc w:val="left"/>
              <w:rPr>
                <w:sz w:val="4"/>
                <w:szCs w:val="4"/>
              </w:rPr>
            </w:pPr>
            <w:r>
              <w:rPr>
                <w:sz w:val="4"/>
                <w:szCs w:val="4"/>
              </w:rPr>
            </w:r>
          </w:p>
        </w:tc>
      </w:tr>
      <w:tr>
        <w:trPr/>
        <w:tc>
          <w:tcPr>
            <w:tcW w:w="1409" w:type="dxa"/>
            <w:gridSpan w:val="3"/>
            <w:tcBorders>
              <w:top w:val="single" w:sz="8" w:space="0" w:color="000000"/>
              <w:bottom w:val="single" w:sz="8" w:space="0" w:color="000000"/>
            </w:tcBorders>
            <w:shd w:fill="E1E1E2" w:val="clear"/>
            <w:tcMar>
              <w:top w:w="30" w:type="dxa"/>
              <w:left w:w="0" w:type="dxa"/>
              <w:bottom w:w="3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Long-term debt</w:t>
            </w:r>
            <w:r>
              <w:rPr>
                <w:color w:val="000000"/>
              </w:rPr>
              <w:t xml:space="preserve"> </w:t>
            </w:r>
            <w:r>
              <w:rPr>
                <w:rFonts w:ascii="Arial;sans-serif" w:hAnsi="Arial;sans-serif"/>
                <w:b w:val="false"/>
                <w:color w:val="000000"/>
                <w:sz w:val="10"/>
              </w:rPr>
              <w:t>(a)</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bottom w:val="sing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14" w:type="dxa"/>
            <w:tcBorders>
              <w:top w:val="single" w:sz="8" w:space="0" w:color="000000"/>
              <w:bottom w:val="sing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6,807 </w:t>
            </w:r>
          </w:p>
        </w:tc>
        <w:tc>
          <w:tcPr>
            <w:tcW w:w="159" w:type="dxa"/>
            <w:tcBorders>
              <w:top w:val="single" w:sz="8" w:space="0" w:color="000000"/>
              <w:bottom w:val="single" w:sz="8" w:space="0" w:color="000000"/>
            </w:tcBorders>
            <w:shd w:fill="E1E1E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bottom w:val="sing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72" w:type="dxa"/>
            <w:tcBorders>
              <w:top w:val="single" w:sz="8" w:space="0" w:color="000000"/>
              <w:bottom w:val="sing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6,970 </w:t>
            </w:r>
          </w:p>
        </w:tc>
        <w:tc>
          <w:tcPr>
            <w:tcW w:w="112" w:type="dxa"/>
            <w:tcBorders>
              <w:top w:val="single" w:sz="8" w:space="0" w:color="000000"/>
              <w:bottom w:val="single" w:sz="8" w:space="0" w:color="000000"/>
            </w:tcBorders>
            <w:shd w:fill="E1E1E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bottom w:val="sing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14" w:type="dxa"/>
            <w:tcBorders>
              <w:top w:val="single" w:sz="8" w:space="0" w:color="000000"/>
              <w:bottom w:val="sing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6,811 </w:t>
            </w:r>
          </w:p>
        </w:tc>
        <w:tc>
          <w:tcPr>
            <w:tcW w:w="159" w:type="dxa"/>
            <w:tcBorders>
              <w:top w:val="single" w:sz="8" w:space="0" w:color="000000"/>
              <w:bottom w:val="single" w:sz="8" w:space="0" w:color="000000"/>
            </w:tcBorders>
            <w:shd w:fill="E1E1E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bottom w:val="sing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71" w:type="dxa"/>
            <w:tcBorders>
              <w:top w:val="single" w:sz="8" w:space="0" w:color="000000"/>
              <w:bottom w:val="sing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7,069 </w:t>
            </w:r>
          </w:p>
        </w:tc>
        <w:tc>
          <w:tcPr>
            <w:tcW w:w="158" w:type="dxa"/>
            <w:tcBorders>
              <w:top w:val="single" w:sz="8" w:space="0" w:color="000000"/>
              <w:bottom w:val="single" w:sz="8" w:space="0" w:color="000000"/>
            </w:tcBorders>
            <w:shd w:fill="E1E1E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Arial;sans-serif" w:hAnsi="Arial;sans-serif"/>
          <w:b w:val="false"/>
          <w:color w:val="000000"/>
          <w:sz w:val="14"/>
        </w:rPr>
      </w:pPr>
      <w:r>
        <w:rPr>
          <w:rFonts w:ascii="Arial;sans-serif" w:hAnsi="Arial;sans-serif"/>
          <w:b w:val="false"/>
          <w:color w:val="000000"/>
          <w:sz w:val="14"/>
        </w:rPr>
        <w:t>__________________</w:t>
      </w:r>
    </w:p>
    <w:p>
      <w:pPr>
        <w:pStyle w:val="TextBody"/>
        <w:bidi w:val="0"/>
        <w:spacing w:lineRule="auto" w:line="288" w:before="0" w:after="180"/>
        <w:ind w:left="0" w:right="0" w:hanging="360"/>
        <w:jc w:val="left"/>
        <w:rPr>
          <w:rFonts w:ascii="Arial;sans-serif" w:hAnsi="Arial;sans-serif"/>
          <w:b w:val="false"/>
          <w:color w:val="000000"/>
          <w:sz w:val="14"/>
        </w:rPr>
      </w:pPr>
      <w:r>
        <w:rPr>
          <w:rFonts w:ascii="Arial;sans-serif" w:hAnsi="Arial;sans-serif"/>
          <w:b w:val="false"/>
          <w:color w:val="000000"/>
          <w:sz w:val="14"/>
        </w:rPr>
        <w:t>(a)Aggregate value of “Long-term debt” and “Long-term debt, due within one year” presented on the Consolidated Balance Sheets.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0000"/>
          <w:sz w:val="18"/>
        </w:rPr>
      </w:pPr>
      <w:r>
        <w:rPr>
          <w:rFonts w:ascii="Arial;sans-serif" w:hAnsi="Arial;sans-serif"/>
          <w:b/>
          <w:color w:val="000000"/>
          <w:sz w:val="18"/>
        </w:rPr>
        <w:t>12. Postretirement Benefit Obligations</w:t>
      </w:r>
    </w:p>
    <w:p>
      <w:pPr>
        <w:pStyle w:val="TextBody"/>
        <w:bidi w:val="0"/>
        <w:spacing w:lineRule="auto" w:line="288" w:before="0" w:after="180"/>
        <w:ind w:left="0" w:right="0" w:firstLine="360"/>
        <w:jc w:val="left"/>
        <w:rPr>
          <w:rFonts w:ascii="Arial;sans-serif" w:hAnsi="Arial;sans-serif"/>
          <w:b w:val="false"/>
          <w:color w:val="000000"/>
          <w:sz w:val="18"/>
        </w:rPr>
      </w:pPr>
      <w:r>
        <w:rPr>
          <w:rFonts w:ascii="Arial;sans-serif" w:hAnsi="Arial;sans-serif"/>
          <w:b w:val="false"/>
          <w:color w:val="000000"/>
          <w:sz w:val="18"/>
        </w:rPr>
        <w:t>TES and certain subsidiaries sponsor postemployment benefits which include defined benefit pension plans, health and welfare postretirement plans (other postretirement benefit plans), and a defined contribution plan.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ind w:left="0" w:right="0" w:firstLine="360"/>
        <w:jc w:val="left"/>
        <w:rPr>
          <w:rFonts w:ascii="Arial;sans-serif" w:hAnsi="Arial;sans-serif"/>
          <w:b w:val="false"/>
          <w:color w:val="000000"/>
          <w:sz w:val="18"/>
        </w:rPr>
      </w:pPr>
      <w:r>
        <w:rPr>
          <w:rFonts w:ascii="Arial;sans-serif" w:hAnsi="Arial;sans-serif"/>
          <w:b w:val="false"/>
          <w:color w:val="000000"/>
          <w:sz w:val="18"/>
        </w:rPr>
        <w:t>The components of net periodic benefit costs for the periods were:</w:t>
      </w:r>
    </w:p>
    <w:tbl>
      <w:tblPr>
        <w:tblW w:w="7757" w:type="dxa"/>
        <w:jc w:val="left"/>
        <w:tblInd w:w="0" w:type="dxa"/>
        <w:tblLayout w:type="fixed"/>
        <w:tblCellMar>
          <w:top w:w="28" w:type="dxa"/>
          <w:left w:w="28" w:type="dxa"/>
          <w:bottom w:w="28" w:type="dxa"/>
          <w:right w:w="28" w:type="dxa"/>
        </w:tblCellMar>
      </w:tblPr>
      <w:tblGrid>
        <w:gridCol w:w="1207"/>
        <w:gridCol w:w="1060"/>
        <w:gridCol w:w="1062"/>
        <w:gridCol w:w="109"/>
        <w:gridCol w:w="109"/>
        <w:gridCol w:w="109"/>
        <w:gridCol w:w="109"/>
        <w:gridCol w:w="109"/>
        <w:gridCol w:w="325"/>
        <w:gridCol w:w="325"/>
        <w:gridCol w:w="585"/>
        <w:gridCol w:w="988"/>
        <w:gridCol w:w="325"/>
        <w:gridCol w:w="109"/>
        <w:gridCol w:w="109"/>
        <w:gridCol w:w="109"/>
        <w:gridCol w:w="196"/>
        <w:gridCol w:w="331"/>
        <w:gridCol w:w="109"/>
        <w:gridCol w:w="109"/>
        <w:gridCol w:w="109"/>
        <w:gridCol w:w="154"/>
      </w:tblGrid>
      <w:tr>
        <w:trPr/>
        <w:tc>
          <w:tcPr>
            <w:tcW w:w="1207"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10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8"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March 31,</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8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29"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6"/>
              </w:rPr>
              <w:t xml:space="preserve">Postretirement benefits service cost </w:t>
            </w:r>
            <w:r>
              <w:rPr>
                <w:rFonts w:ascii="Arial;sans-serif" w:hAnsi="Arial;sans-serif"/>
                <w:b/>
                <w:color w:val="000000"/>
                <w:sz w:val="10"/>
              </w:rPr>
              <w:t>(a)</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585"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988"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w:t>
            </w:r>
            <w:r>
              <w:rPr>
                <w:color w:val="000000"/>
              </w:rPr>
              <w:t> </w:t>
            </w:r>
          </w:p>
        </w:tc>
        <w:tc>
          <w:tcPr>
            <w:tcW w:w="325"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331"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w:t>
            </w:r>
            <w:r>
              <w:rPr>
                <w:color w:val="000000"/>
              </w:rPr>
              <w:t> </w:t>
            </w:r>
          </w:p>
        </w:tc>
        <w:tc>
          <w:tcPr>
            <w:tcW w:w="109"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8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2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Postretirement benefit (gain)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8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29"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cost</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585" w:type="dxa"/>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88" w:type="dxa"/>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16 </w:t>
            </w:r>
          </w:p>
        </w:tc>
        <w:tc>
          <w:tcPr>
            <w:tcW w:w="325"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31" w:type="dxa"/>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Expected return on plan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5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8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29"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Amortization of:</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898"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Postretirement prior service cost (credit)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5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8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29"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6"/>
              </w:rPr>
              <w:t xml:space="preserve">Postretirement benefit (gain) loss, net </w:t>
            </w:r>
            <w:r>
              <w:rPr>
                <w:rFonts w:ascii="Arial;sans-serif" w:hAnsi="Arial;sans-serif"/>
                <w:b/>
                <w:color w:val="000000"/>
                <w:sz w:val="10"/>
              </w:rPr>
              <w:t>(b)</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585"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988"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(4)</w:t>
            </w:r>
          </w:p>
        </w:tc>
        <w:tc>
          <w:tcPr>
            <w:tcW w:w="325"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331"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(3)</w:t>
            </w:r>
          </w:p>
        </w:tc>
        <w:tc>
          <w:tcPr>
            <w:tcW w:w="109"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8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29" w:type="dxa"/>
            <w:gridSpan w:val="3"/>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periodic defined benefit cost (credit)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585" w:type="dxa"/>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988" w:type="dxa"/>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(3)</w:t>
            </w:r>
          </w:p>
        </w:tc>
        <w:tc>
          <w:tcPr>
            <w:tcW w:w="325" w:type="dxa"/>
            <w:tcBorders>
              <w:bottom w:val="doub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331" w:type="dxa"/>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w:t>
            </w:r>
          </w:p>
        </w:tc>
        <w:tc>
          <w:tcPr>
            <w:tcW w:w="109" w:type="dxa"/>
            <w:tcBorders>
              <w:bottom w:val="doub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Arial;sans-serif" w:hAnsi="Arial;sans-serif"/>
          <w:b w:val="false"/>
          <w:color w:val="000000"/>
          <w:sz w:val="14"/>
        </w:rPr>
      </w:pPr>
      <w:r>
        <w:rPr>
          <w:rFonts w:ascii="Arial;sans-serif" w:hAnsi="Arial;sans-serif"/>
          <w:b w:val="false"/>
          <w:color w:val="000000"/>
          <w:sz w:val="14"/>
        </w:rPr>
        <w:t>_____________</w:t>
      </w:r>
    </w:p>
    <w:p>
      <w:pPr>
        <w:pStyle w:val="TextBody"/>
        <w:bidi w:val="0"/>
        <w:spacing w:lineRule="auto" w:line="288" w:before="0" w:after="0"/>
        <w:ind w:left="0" w:right="0" w:hanging="360"/>
        <w:jc w:val="left"/>
        <w:rPr>
          <w:rFonts w:ascii="Arial;sans-serif" w:hAnsi="Arial;sans-serif"/>
          <w:b w:val="false"/>
          <w:color w:val="000000"/>
          <w:sz w:val="14"/>
        </w:rPr>
      </w:pPr>
      <w:r>
        <w:rPr>
          <w:rFonts w:ascii="Arial;sans-serif" w:hAnsi="Arial;sans-serif"/>
          <w:b w:val="false"/>
          <w:color w:val="000000"/>
          <w:sz w:val="14"/>
        </w:rPr>
        <w:t>(a)Activity presented as “Operation, maintenance and development” on the Consolidated Statements of Operations.</w:t>
      </w:r>
    </w:p>
    <w:p>
      <w:pPr>
        <w:pStyle w:val="TextBody"/>
        <w:bidi w:val="0"/>
        <w:spacing w:lineRule="auto" w:line="288" w:before="0" w:after="180"/>
        <w:ind w:left="0" w:right="0" w:hanging="360"/>
        <w:jc w:val="left"/>
        <w:rPr>
          <w:rFonts w:ascii="Arial;sans-serif" w:hAnsi="Arial;sans-serif"/>
          <w:b w:val="false"/>
          <w:color w:val="000000"/>
          <w:sz w:val="14"/>
        </w:rPr>
      </w:pPr>
      <w:r>
        <w:rPr>
          <w:rFonts w:ascii="Arial;sans-serif" w:hAnsi="Arial;sans-serif"/>
          <w:b w:val="false"/>
          <w:color w:val="000000"/>
          <w:sz w:val="14"/>
        </w:rPr>
        <w:t>(b)Activity presented as “Other non-operating income (expense), net” on the Consolidated Statements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ind w:left="0" w:right="0" w:firstLine="360"/>
        <w:jc w:val="left"/>
        <w:rPr>
          <w:rFonts w:ascii="Arial;sans-serif" w:hAnsi="Arial;sans-serif"/>
          <w:b/>
          <w:i/>
          <w:color w:val="000000"/>
          <w:sz w:val="18"/>
        </w:rPr>
      </w:pPr>
      <w:r>
        <w:rPr>
          <w:rFonts w:ascii="Arial;sans-serif" w:hAnsi="Arial;sans-serif"/>
          <w:b/>
          <w:i/>
          <w:color w:val="000000"/>
          <w:sz w:val="18"/>
        </w:rPr>
        <w:t>Talen Montana Pension Plan</w:t>
      </w:r>
    </w:p>
    <w:p>
      <w:pPr>
        <w:pStyle w:val="TextBody"/>
        <w:bidi w:val="0"/>
        <w:spacing w:lineRule="auto" w:line="288" w:before="0" w:after="180"/>
        <w:ind w:left="0" w:right="0" w:firstLine="360"/>
        <w:jc w:val="left"/>
        <w:rPr>
          <w:rFonts w:ascii="Arial;sans-serif" w:hAnsi="Arial;sans-serif"/>
          <w:b w:val="false"/>
          <w:color w:val="000000"/>
          <w:sz w:val="18"/>
        </w:rPr>
      </w:pPr>
      <w:r>
        <w:rPr>
          <w:rFonts w:ascii="Arial;sans-serif" w:hAnsi="Arial;sans-serif"/>
          <w:b w:val="false"/>
          <w:color w:val="000000"/>
          <w:sz w:val="18"/>
        </w:rPr>
        <w:t>The Talen Montana defined benefit pension plan was frozen as of April 30, 2026, and participants ceased accruing additional benefits.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0000"/>
          <w:sz w:val="18"/>
        </w:rPr>
      </w:pPr>
      <w:r>
        <w:rPr>
          <w:rFonts w:ascii="Arial;sans-serif" w:hAnsi="Arial;sans-serif"/>
          <w:b/>
          <w:color w:val="000000"/>
          <w:sz w:val="18"/>
        </w:rPr>
        <w:t>13. Stock-Based Compensation</w:t>
      </w:r>
    </w:p>
    <w:p>
      <w:pPr>
        <w:pStyle w:val="TextBody"/>
        <w:bidi w:val="0"/>
        <w:spacing w:lineRule="auto" w:line="288" w:before="0" w:after="180"/>
        <w:ind w:left="0" w:right="0" w:firstLine="360"/>
        <w:jc w:val="left"/>
        <w:rPr>
          <w:rFonts w:ascii="Arial;sans-serif" w:hAnsi="Arial;sans-serif"/>
          <w:b w:val="false"/>
          <w:color w:val="000000"/>
          <w:sz w:val="18"/>
        </w:rPr>
      </w:pPr>
      <w:r>
        <w:rPr>
          <w:rFonts w:ascii="Arial;sans-serif" w:hAnsi="Arial;sans-serif"/>
          <w:b w:val="false"/>
          <w:color w:val="000000"/>
          <w:sz w:val="18"/>
        </w:rPr>
        <w:t>In June 2023, TEC began granting performance stock units (“PSUs”) and restricted stock units (“RSUs”) to certain employees and non-employee directors under the Company’s 2023 Equity Incentive Plan (the “Equity Plan”). The aggregate number of shares authorized for issuance under the Equity Plan is 7,083,461 shares of common stock.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ind w:left="0" w:right="0" w:firstLine="360"/>
        <w:jc w:val="left"/>
        <w:rPr>
          <w:rFonts w:ascii="Arial;sans-serif" w:hAnsi="Arial;sans-serif"/>
          <w:b/>
          <w:i/>
          <w:color w:val="000000"/>
          <w:sz w:val="18"/>
        </w:rPr>
      </w:pPr>
      <w:bookmarkStart w:id="10" w:name="ifce90643c8b14d75b50fc70b0d41525a_3596"/>
      <w:bookmarkEnd w:id="10"/>
      <w:r>
        <w:rPr>
          <w:rFonts w:ascii="Arial;sans-serif" w:hAnsi="Arial;sans-serif"/>
          <w:b/>
          <w:i/>
          <w:color w:val="000000"/>
          <w:sz w:val="18"/>
        </w:rPr>
        <w:t>Performance Stock Units</w:t>
      </w:r>
    </w:p>
    <w:p>
      <w:pPr>
        <w:pStyle w:val="TextBody"/>
        <w:bidi w:val="0"/>
        <w:spacing w:lineRule="auto" w:line="288" w:before="0" w:after="180"/>
        <w:ind w:left="0" w:right="0" w:firstLine="360"/>
        <w:jc w:val="left"/>
        <w:rPr>
          <w:rFonts w:ascii="Arial;sans-serif" w:hAnsi="Arial;sans-serif"/>
          <w:b w:val="false"/>
          <w:color w:val="000000"/>
          <w:sz w:val="18"/>
        </w:rPr>
      </w:pPr>
      <w:r>
        <w:rPr>
          <w:rFonts w:ascii="Arial;sans-serif" w:hAnsi="Arial;sans-serif"/>
          <w:b w:val="false"/>
          <w:color w:val="000000"/>
          <w:sz w:val="18"/>
        </w:rPr>
        <w:t>PSUs have two or three-year cliff vesting schedules or vest upon consummation of a change in control event based on the satisfaction of a continued employment condition and the achievement of certain market conditions over a performance period. Participants will be awarded additional PSUs if market conditions exceed targets at the time of vesting. If the Company declares any cash dividends while the PSUs are outstanding, participants will be credited a dividend, payable at the time of vesting, based on the number of shares of common stock underlying the PSUs.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16840"/>
                <wp:effectExtent l="0" t="0" r="0" b="0"/>
                <wp:wrapNone/>
                <wp:docPr id="24" name="Frame24"/>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22</w:t>
                      </w:r>
                    </w:p>
                  </w:txbxContent>
                </v:textbox>
                <w10:wrap type="none"/>
              </v:rect>
            </w:pict>
          </mc:Fallback>
        </mc:AlternateContent>
      </w:r>
    </w:p>
    <w:p>
      <w:pPr>
        <w:pStyle w:val="TextBody"/>
        <w:bidi w:val="0"/>
        <w:spacing w:lineRule="auto" w:line="288" w:before="0" w:after="180"/>
        <w:jc w:val="left"/>
        <w:rPr/>
      </w:pPr>
      <w:hyperlink w:anchor="if20e1f3d5a734e3eabbb6aa8f57c7562_45">
        <w:r>
          <w:rPr>
            <w:rStyle w:val="InternetLink"/>
            <w:rFonts w:ascii="Arial;sans-serif" w:hAnsi="Arial;sans-serif"/>
            <w:b w:val="false"/>
            <w:color w:val="0000FF"/>
            <w:sz w:val="18"/>
            <w:u w:val="single"/>
          </w:rPr>
          <w:t>Table of Contents</w:t>
        </w:r>
      </w:hyperlink>
    </w:p>
    <w:p>
      <w:pPr>
        <w:pStyle w:val="TextBody"/>
        <w:bidi w:val="0"/>
        <w:spacing w:lineRule="auto" w:line="288" w:before="0" w:after="180"/>
        <w:ind w:left="0" w:right="0" w:firstLine="360"/>
        <w:jc w:val="left"/>
        <w:rPr>
          <w:rFonts w:ascii="Arial;sans-serif" w:hAnsi="Arial;sans-serif"/>
          <w:b w:val="false"/>
          <w:color w:val="000000"/>
          <w:sz w:val="18"/>
        </w:rPr>
      </w:pPr>
      <w:r>
        <w:rPr>
          <w:rFonts w:ascii="Arial;sans-serif" w:hAnsi="Arial;sans-serif"/>
          <w:b w:val="false"/>
          <w:color w:val="000000"/>
          <w:sz w:val="18"/>
        </w:rPr>
        <w:t>Changes in non-vested PSUs during the three months ended March 31, 2026 were:</w:t>
      </w:r>
    </w:p>
    <w:tbl>
      <w:tblPr>
        <w:tblW w:w="10205" w:type="dxa"/>
        <w:jc w:val="left"/>
        <w:tblInd w:w="0" w:type="dxa"/>
        <w:tblLayout w:type="fixed"/>
        <w:tblCellMar>
          <w:top w:w="28" w:type="dxa"/>
          <w:left w:w="28" w:type="dxa"/>
          <w:bottom w:w="28" w:type="dxa"/>
          <w:right w:w="28" w:type="dxa"/>
        </w:tblCellMar>
      </w:tblPr>
      <w:tblGrid>
        <w:gridCol w:w="846"/>
        <w:gridCol w:w="745"/>
        <w:gridCol w:w="747"/>
        <w:gridCol w:w="109"/>
        <w:gridCol w:w="109"/>
        <w:gridCol w:w="109"/>
        <w:gridCol w:w="664"/>
        <w:gridCol w:w="664"/>
        <w:gridCol w:w="666"/>
        <w:gridCol w:w="109"/>
        <w:gridCol w:w="109"/>
        <w:gridCol w:w="109"/>
        <w:gridCol w:w="587"/>
        <w:gridCol w:w="587"/>
        <w:gridCol w:w="589"/>
        <w:gridCol w:w="109"/>
        <w:gridCol w:w="109"/>
        <w:gridCol w:w="109"/>
        <w:gridCol w:w="443"/>
        <w:gridCol w:w="443"/>
        <w:gridCol w:w="276"/>
        <w:gridCol w:w="109"/>
        <w:gridCol w:w="109"/>
        <w:gridCol w:w="109"/>
        <w:gridCol w:w="316"/>
        <w:gridCol w:w="1069"/>
        <w:gridCol w:w="255"/>
      </w:tblGrid>
      <w:tr>
        <w:trPr/>
        <w:tc>
          <w:tcPr>
            <w:tcW w:w="846"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r>
      <w:tr>
        <w:trPr/>
        <w:tc>
          <w:tcPr>
            <w:tcW w:w="23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6"/>
              </w:rPr>
              <w:t xml:space="preserve">Liability-Classified PSUs </w:t>
            </w:r>
            <w:r>
              <w:rPr>
                <w:rFonts w:ascii="Arial;sans-serif" w:hAnsi="Arial;sans-serif"/>
                <w:b/>
                <w:color w:val="000000"/>
                <w:sz w:val="10"/>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Equity-Classified PSUs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Total PSUs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Weighted-Average </w:t>
              <w:br/>
              <w:t xml:space="preserve">Grant Date </w:t>
              <w:br/>
              <w:t>Fair Value per Unit</w:t>
            </w:r>
          </w:p>
        </w:tc>
      </w:tr>
      <w:tr>
        <w:trPr/>
        <w:tc>
          <w:tcPr>
            <w:tcW w:w="2338"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Non-vested as of December 31, 2025</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569,477</w:t>
            </w:r>
            <w:r>
              <w:rPr>
                <w:color w:val="000000"/>
              </w:rPr>
              <w:t> </w:t>
            </w:r>
          </w:p>
        </w:tc>
        <w:tc>
          <w:tcPr>
            <w:tcW w:w="666"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488,857</w:t>
            </w:r>
            <w:r>
              <w:rPr>
                <w:color w:val="000000"/>
              </w:rPr>
              <w:t> </w:t>
            </w:r>
          </w:p>
        </w:tc>
        <w:tc>
          <w:tcPr>
            <w:tcW w:w="589"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1,058,334</w:t>
            </w:r>
            <w:r>
              <w:rPr>
                <w:color w:val="000000"/>
              </w:rPr>
              <w:t> </w:t>
            </w:r>
          </w:p>
        </w:tc>
        <w:tc>
          <w:tcPr>
            <w:tcW w:w="276"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069"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147.45</w:t>
            </w:r>
            <w:r>
              <w:rPr>
                <w:color w:val="000000"/>
              </w:rPr>
              <w:t> </w:t>
            </w:r>
          </w:p>
        </w:tc>
        <w:tc>
          <w:tcPr>
            <w:tcW w:w="255"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Granted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bookmarkStart w:id="11" w:name="i424ebf08a68b4791b0ffa9dd439bd1e1_2-2-1-"/>
            <w:bookmarkEnd w:id="11"/>
            <w:r>
              <w:rPr>
                <w:rFonts w:ascii="Arial;sans-serif" w:hAnsi="Arial;sans-serif"/>
                <w:b w:val="false"/>
                <w:color w:val="000000"/>
                <w:sz w:val="16"/>
              </w:rPr>
              <w:t>145,911 </w:t>
            </w:r>
          </w:p>
        </w:tc>
        <w:tc>
          <w:tcPr>
            <w:tcW w:w="5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145,911 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2,045.20 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0" w:type="dxa"/>
            <w:gridSpan w:val="3"/>
            <w:tcBorders/>
            <w:vAlign w:val="center"/>
          </w:tcPr>
          <w:p>
            <w:pPr>
              <w:pStyle w:val="TableContents"/>
              <w:bidi w:val="0"/>
              <w:spacing w:before="0" w:after="283"/>
              <w:jc w:val="left"/>
              <w:rPr>
                <w:sz w:val="4"/>
                <w:szCs w:val="4"/>
              </w:rPr>
            </w:pPr>
            <w:r>
              <w:rPr>
                <w:sz w:val="4"/>
                <w:szCs w:val="4"/>
              </w:rPr>
            </w:r>
          </w:p>
        </w:tc>
      </w:tr>
      <w:tr>
        <w:trPr/>
        <w:tc>
          <w:tcPr>
            <w:tcW w:w="23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0" w:type="dxa"/>
            <w:gridSpan w:val="3"/>
            <w:tcBorders/>
            <w:vAlign w:val="center"/>
          </w:tcPr>
          <w:p>
            <w:pPr>
              <w:pStyle w:val="TableContents"/>
              <w:bidi w:val="0"/>
              <w:spacing w:before="0" w:after="283"/>
              <w:jc w:val="left"/>
              <w:rPr>
                <w:sz w:val="4"/>
                <w:szCs w:val="4"/>
              </w:rPr>
            </w:pPr>
            <w:r>
              <w:rPr>
                <w:sz w:val="4"/>
                <w:szCs w:val="4"/>
              </w:rPr>
            </w:r>
          </w:p>
        </w:tc>
      </w:tr>
      <w:tr>
        <w:trPr/>
        <w:tc>
          <w:tcPr>
            <w:tcW w:w="23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0" w:type="dxa"/>
            <w:gridSpan w:val="3"/>
            <w:tcBorders/>
            <w:vAlign w:val="center"/>
          </w:tcPr>
          <w:p>
            <w:pPr>
              <w:pStyle w:val="TableContents"/>
              <w:bidi w:val="0"/>
              <w:spacing w:before="0" w:after="283"/>
              <w:jc w:val="left"/>
              <w:rPr>
                <w:sz w:val="4"/>
                <w:szCs w:val="4"/>
              </w:rPr>
            </w:pPr>
            <w:r>
              <w:rPr>
                <w:sz w:val="4"/>
                <w:szCs w:val="4"/>
              </w:rPr>
            </w:r>
          </w:p>
        </w:tc>
      </w:tr>
      <w:tr>
        <w:trPr/>
        <w:tc>
          <w:tcPr>
            <w:tcW w:w="2338" w:type="dxa"/>
            <w:gridSpan w:val="3"/>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0"/>
              <w:jc w:val="left"/>
              <w:rPr/>
            </w:pPr>
            <w:r>
              <w:rPr>
                <w:rFonts w:ascii="Arial;sans-serif" w:hAnsi="Arial;sans-serif"/>
                <w:b/>
                <w:color w:val="000000"/>
                <w:sz w:val="16"/>
              </w:rPr>
              <w:t xml:space="preserve">Non-vested as of March 31, 2026 </w:t>
            </w:r>
            <w:r>
              <w:rPr>
                <w:rFonts w:ascii="Arial;sans-serif" w:hAnsi="Arial;sans-serif"/>
                <w:b/>
                <w:color w:val="000000"/>
                <w:sz w:val="10"/>
              </w:rPr>
              <w:t>(b)</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569,477</w:t>
            </w:r>
            <w:r>
              <w:rPr>
                <w:color w:val="000000"/>
              </w:rPr>
              <w:t> </w:t>
            </w:r>
          </w:p>
        </w:tc>
        <w:tc>
          <w:tcPr>
            <w:tcW w:w="666"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634,768</w:t>
            </w:r>
            <w:r>
              <w:rPr>
                <w:color w:val="000000"/>
              </w:rPr>
              <w:t> </w:t>
            </w:r>
          </w:p>
        </w:tc>
        <w:tc>
          <w:tcPr>
            <w:tcW w:w="589"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1,204,245</w:t>
            </w:r>
            <w:r>
              <w:rPr>
                <w:color w:val="000000"/>
              </w:rPr>
              <w:t> </w:t>
            </w:r>
          </w:p>
        </w:tc>
        <w:tc>
          <w:tcPr>
            <w:tcW w:w="276"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069"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583.67</w:t>
            </w:r>
            <w:r>
              <w:rPr>
                <w:color w:val="000000"/>
              </w:rPr>
              <w:t> </w:t>
            </w:r>
          </w:p>
        </w:tc>
        <w:tc>
          <w:tcPr>
            <w:tcW w:w="255"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Arial;sans-serif" w:hAnsi="Arial;sans-serif"/>
          <w:b w:val="false"/>
          <w:color w:val="000000"/>
          <w:sz w:val="14"/>
        </w:rPr>
      </w:pPr>
      <w:r>
        <w:rPr>
          <w:rFonts w:ascii="Arial;sans-serif" w:hAnsi="Arial;sans-serif"/>
          <w:b w:val="false"/>
          <w:color w:val="000000"/>
          <w:sz w:val="14"/>
        </w:rPr>
        <w:t>_____________</w:t>
      </w:r>
    </w:p>
    <w:p>
      <w:pPr>
        <w:pStyle w:val="TextBody"/>
        <w:bidi w:val="0"/>
        <w:spacing w:lineRule="auto" w:line="288" w:before="0" w:after="0"/>
        <w:ind w:left="0" w:right="0" w:hanging="360"/>
        <w:jc w:val="left"/>
        <w:rPr>
          <w:rFonts w:ascii="Arial;sans-serif" w:hAnsi="Arial;sans-serif"/>
          <w:b w:val="false"/>
          <w:color w:val="000000"/>
          <w:sz w:val="14"/>
        </w:rPr>
      </w:pPr>
      <w:r>
        <w:rPr>
          <w:rFonts w:ascii="Arial;sans-serif" w:hAnsi="Arial;sans-serif"/>
          <w:b w:val="false"/>
          <w:color w:val="000000"/>
          <w:sz w:val="14"/>
        </w:rPr>
        <w:t>(a)See description of liability-classified awards below.</w:t>
      </w:r>
    </w:p>
    <w:p>
      <w:pPr>
        <w:pStyle w:val="TextBody"/>
        <w:bidi w:val="0"/>
        <w:spacing w:lineRule="auto" w:line="288" w:before="0" w:after="180"/>
        <w:ind w:left="0" w:right="0" w:hanging="360"/>
        <w:jc w:val="left"/>
        <w:rPr/>
      </w:pPr>
      <w:r>
        <w:rPr>
          <w:rFonts w:ascii="Arial;sans-serif" w:hAnsi="Arial;sans-serif"/>
          <w:b w:val="false"/>
          <w:color w:val="000000"/>
          <w:sz w:val="14"/>
        </w:rPr>
        <w:t xml:space="preserve">(b)Represents the target number of PSUs. Subject to the PSU award agreements, the actual amount of PSUs earned by participants at vesting can range from 0% to 200% of the target number of PSUs based on the Company’s stock price performance. In addition, certain of the PSUs are eligible to earn an additional amount of Talen shares based on the incremental Company stock price performance in excess of the PSU targets. Assuming all non-vested PSUs vested on March 31, 2026 </w:t>
      </w:r>
      <w:r>
        <w:rPr>
          <w:rFonts w:ascii="Arial;sans-serif" w:hAnsi="Arial;sans-serif"/>
          <w:b w:val="false"/>
          <w:color w:val="000000"/>
          <w:sz w:val="14"/>
          <w:shd w:fill="FFFFFF" w:val="clear"/>
        </w:rPr>
        <w:t xml:space="preserve">at the then current share price of the Company’s common stock the aggregate non-vested PSUs would be </w:t>
      </w:r>
      <w:r>
        <w:rPr>
          <w:rFonts w:ascii="Arial;sans-serif" w:hAnsi="Arial;sans-serif"/>
          <w:b w:val="false"/>
          <w:color w:val="000000"/>
          <w:sz w:val="14"/>
        </w:rPr>
        <w:t>1,405,355.</w:t>
      </w:r>
    </w:p>
    <w:p>
      <w:pPr>
        <w:pStyle w:val="TextBody"/>
        <w:bidi w:val="0"/>
        <w:spacing w:lineRule="auto" w:line="288" w:before="0" w:after="180"/>
        <w:ind w:left="0" w:right="0" w:firstLine="360"/>
        <w:jc w:val="left"/>
        <w:rPr>
          <w:rFonts w:ascii="Arial;sans-serif" w:hAnsi="Arial;sans-serif"/>
          <w:b w:val="false"/>
          <w:color w:val="000000"/>
          <w:sz w:val="18"/>
        </w:rPr>
      </w:pPr>
      <w:r>
        <w:rPr>
          <w:rFonts w:ascii="Arial;sans-serif" w:hAnsi="Arial;sans-serif"/>
          <w:b w:val="false"/>
          <w:color w:val="000000"/>
          <w:sz w:val="18"/>
        </w:rPr>
        <w:t xml:space="preserve">The fair value of PSUs is determined using a Monte Carlo valuation methodology based on the fair value of the underlying stock price at the grant date. Significant inputs and assumptions used in the valuations of PSUs were: </w:t>
      </w:r>
    </w:p>
    <w:tbl>
      <w:tblPr>
        <w:tblW w:w="5697" w:type="dxa"/>
        <w:jc w:val="left"/>
        <w:tblInd w:w="0" w:type="dxa"/>
        <w:tblLayout w:type="fixed"/>
        <w:tblCellMar>
          <w:top w:w="28" w:type="dxa"/>
          <w:left w:w="28" w:type="dxa"/>
          <w:bottom w:w="28" w:type="dxa"/>
          <w:right w:w="28" w:type="dxa"/>
        </w:tblCellMar>
      </w:tblPr>
      <w:tblGrid>
        <w:gridCol w:w="699"/>
        <w:gridCol w:w="616"/>
        <w:gridCol w:w="620"/>
        <w:gridCol w:w="109"/>
        <w:gridCol w:w="109"/>
        <w:gridCol w:w="109"/>
        <w:gridCol w:w="983"/>
        <w:gridCol w:w="983"/>
        <w:gridCol w:w="988"/>
        <w:gridCol w:w="109"/>
        <w:gridCol w:w="109"/>
        <w:gridCol w:w="109"/>
        <w:gridCol w:w="154"/>
      </w:tblGrid>
      <w:tr>
        <w:trPr/>
        <w:tc>
          <w:tcPr>
            <w:tcW w:w="699"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54" w:type="dxa"/>
            <w:gridSpan w:val="3"/>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1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March 31, 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35"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Volatility </w:t>
            </w:r>
            <w:r>
              <w:rPr>
                <w:rFonts w:ascii="Arial;sans-serif" w:hAnsi="Arial;sans-serif"/>
                <w:b w:val="false"/>
                <w:color w:val="000000"/>
                <w:sz w:val="10"/>
              </w:rPr>
              <w:t>(a)</w:t>
            </w:r>
            <w:r>
              <w:rPr>
                <w:color w:val="000000"/>
              </w:rPr>
              <w:t xml:space="preserve"> </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4"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40% - 50%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Expected term (in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2 - 3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35" w:type="dxa"/>
            <w:gridSpan w:val="3"/>
            <w:tcBorders>
              <w:bottom w:val="single" w:sz="8" w:space="0" w:color="000000"/>
            </w:tcBorders>
            <w:shd w:fill="E1E1E2" w:val="clear"/>
            <w:tcMar>
              <w:top w:w="0" w:type="dxa"/>
              <w:left w:w="0" w:type="dxa"/>
              <w:bottom w:w="3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Risk-free rate </w:t>
            </w:r>
            <w:r>
              <w:rPr>
                <w:rFonts w:ascii="Arial;sans-serif" w:hAnsi="Arial;sans-serif"/>
                <w:b w:val="false"/>
                <w:color w:val="000000"/>
                <w:sz w:val="10"/>
              </w:rPr>
              <w:t>(b)</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4" w:type="dxa"/>
            <w:gridSpan w:val="3"/>
            <w:tcBorders>
              <w:bottom w:val="single" w:sz="8" w:space="0" w:color="000000"/>
            </w:tcBorders>
            <w:shd w:fill="E1E1E2" w:val="clear"/>
            <w:tcMar>
              <w:top w:w="0" w:type="dxa"/>
              <w:left w:w="0" w:type="dxa"/>
              <w:bottom w:w="30" w:type="dxa"/>
              <w:right w:w="0" w:type="dxa"/>
            </w:tcMar>
            <w:vAlign w:val="center"/>
          </w:tcPr>
          <w:p>
            <w:pPr>
              <w:pStyle w:val="TableContents"/>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3.45% - 3.49%</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14"/>
        </w:rPr>
      </w:pPr>
      <w:r>
        <w:rPr>
          <w:rFonts w:ascii="Arial;sans-serif" w:hAnsi="Arial;sans-serif"/>
          <w:b w:val="false"/>
          <w:color w:val="000000"/>
          <w:sz w:val="14"/>
        </w:rPr>
        <w:t>__________________</w:t>
      </w:r>
    </w:p>
    <w:p>
      <w:pPr>
        <w:pStyle w:val="TextBody"/>
        <w:bidi w:val="0"/>
        <w:spacing w:lineRule="auto" w:line="288" w:before="0" w:after="0"/>
        <w:ind w:left="0" w:right="0" w:hanging="360"/>
        <w:jc w:val="left"/>
        <w:rPr>
          <w:rFonts w:ascii="Arial;sans-serif" w:hAnsi="Arial;sans-serif"/>
          <w:b w:val="false"/>
          <w:color w:val="000000"/>
          <w:sz w:val="14"/>
        </w:rPr>
      </w:pPr>
      <w:r>
        <w:rPr>
          <w:rFonts w:ascii="Arial;sans-serif" w:hAnsi="Arial;sans-serif"/>
          <w:b w:val="false"/>
          <w:color w:val="000000"/>
          <w:sz w:val="14"/>
        </w:rPr>
        <w:t>(a)     Derived from an option pricing method based on the average asset volatility of peer companies and the Company’s leverage ratio.</w:t>
      </w:r>
    </w:p>
    <w:p>
      <w:pPr>
        <w:pStyle w:val="TextBody"/>
        <w:bidi w:val="0"/>
        <w:spacing w:lineRule="auto" w:line="288" w:before="0" w:after="180"/>
        <w:ind w:left="0" w:right="0" w:hanging="360"/>
        <w:jc w:val="left"/>
        <w:rPr>
          <w:rFonts w:ascii="Arial;sans-serif" w:hAnsi="Arial;sans-serif"/>
          <w:b w:val="false"/>
          <w:color w:val="000000"/>
          <w:sz w:val="14"/>
        </w:rPr>
      </w:pPr>
      <w:r>
        <w:rPr>
          <w:rFonts w:ascii="Arial;sans-serif" w:hAnsi="Arial;sans-serif"/>
          <w:b w:val="false"/>
          <w:color w:val="000000"/>
          <w:sz w:val="14"/>
        </w:rPr>
        <w:t>(b)     Based on the U.S. constant maturity treasury rate with a term matching the expected time to the end of the performance measurement period.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ind w:left="0" w:right="0" w:firstLine="360"/>
        <w:jc w:val="left"/>
        <w:rPr>
          <w:rFonts w:ascii="Arial;sans-serif" w:hAnsi="Arial;sans-serif"/>
          <w:b/>
          <w:i/>
          <w:color w:val="000000"/>
          <w:sz w:val="18"/>
        </w:rPr>
      </w:pPr>
      <w:r>
        <w:rPr>
          <w:rFonts w:ascii="Arial;sans-serif" w:hAnsi="Arial;sans-serif"/>
          <w:b/>
          <w:i/>
          <w:color w:val="000000"/>
          <w:sz w:val="18"/>
        </w:rPr>
        <w:t>Restricted Stock Units</w:t>
      </w:r>
    </w:p>
    <w:p>
      <w:pPr>
        <w:pStyle w:val="TextBody"/>
        <w:bidi w:val="0"/>
        <w:spacing w:lineRule="auto" w:line="288" w:before="0" w:after="180"/>
        <w:ind w:left="0" w:right="0" w:firstLine="360"/>
        <w:jc w:val="left"/>
        <w:rPr>
          <w:rFonts w:ascii="Arial;sans-serif" w:hAnsi="Arial;sans-serif"/>
          <w:b w:val="false"/>
          <w:color w:val="000000"/>
          <w:sz w:val="18"/>
        </w:rPr>
      </w:pPr>
      <w:r>
        <w:rPr>
          <w:rFonts w:ascii="Arial;sans-serif" w:hAnsi="Arial;sans-serif"/>
          <w:b w:val="false"/>
          <w:color w:val="000000"/>
          <w:sz w:val="18"/>
        </w:rPr>
        <w:t>RSUs have two or three-year ratable or two-year cliff vesting schedules beginning on the grant date, with restrictions on transferring settled shares prior to the final scheduled vesting date for the two and three-year awards. The fair value of RSUs granted is based on the closing price of TEC common stock on the grant date.</w:t>
      </w:r>
    </w:p>
    <w:p>
      <w:pPr>
        <w:pStyle w:val="TextBody"/>
        <w:bidi w:val="0"/>
        <w:spacing w:lineRule="auto" w:line="288" w:before="0" w:after="180"/>
        <w:ind w:left="0" w:right="0" w:firstLine="360"/>
        <w:jc w:val="left"/>
        <w:rPr>
          <w:rFonts w:ascii="Arial;sans-serif" w:hAnsi="Arial;sans-serif"/>
          <w:b w:val="false"/>
          <w:color w:val="000000"/>
          <w:sz w:val="18"/>
        </w:rPr>
      </w:pPr>
      <w:r>
        <w:rPr>
          <w:rFonts w:ascii="Arial;sans-serif" w:hAnsi="Arial;sans-serif"/>
          <w:b w:val="false"/>
          <w:color w:val="000000"/>
          <w:sz w:val="18"/>
        </w:rPr>
        <w:t>Changes in non-vested RSUs during the three months ended March 31, 2026 were:</w:t>
      </w:r>
    </w:p>
    <w:tbl>
      <w:tblPr>
        <w:tblW w:w="10205" w:type="dxa"/>
        <w:jc w:val="left"/>
        <w:tblInd w:w="0" w:type="dxa"/>
        <w:tblLayout w:type="fixed"/>
        <w:tblCellMar>
          <w:top w:w="28" w:type="dxa"/>
          <w:left w:w="28" w:type="dxa"/>
          <w:bottom w:w="28" w:type="dxa"/>
          <w:right w:w="28" w:type="dxa"/>
        </w:tblCellMar>
      </w:tblPr>
      <w:tblGrid>
        <w:gridCol w:w="869"/>
        <w:gridCol w:w="766"/>
        <w:gridCol w:w="768"/>
        <w:gridCol w:w="109"/>
        <w:gridCol w:w="109"/>
        <w:gridCol w:w="109"/>
        <w:gridCol w:w="675"/>
        <w:gridCol w:w="675"/>
        <w:gridCol w:w="676"/>
        <w:gridCol w:w="109"/>
        <w:gridCol w:w="109"/>
        <w:gridCol w:w="109"/>
        <w:gridCol w:w="596"/>
        <w:gridCol w:w="596"/>
        <w:gridCol w:w="598"/>
        <w:gridCol w:w="109"/>
        <w:gridCol w:w="109"/>
        <w:gridCol w:w="109"/>
        <w:gridCol w:w="375"/>
        <w:gridCol w:w="376"/>
        <w:gridCol w:w="286"/>
        <w:gridCol w:w="109"/>
        <w:gridCol w:w="109"/>
        <w:gridCol w:w="109"/>
        <w:gridCol w:w="316"/>
        <w:gridCol w:w="1070"/>
        <w:gridCol w:w="255"/>
      </w:tblGrid>
      <w:tr>
        <w:trPr/>
        <w:tc>
          <w:tcPr>
            <w:tcW w:w="869"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r>
      <w:tr>
        <w:trPr/>
        <w:tc>
          <w:tcPr>
            <w:tcW w:w="24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6"/>
              </w:rPr>
              <w:t xml:space="preserve">Liability-Classified RSUs </w:t>
            </w:r>
            <w:r>
              <w:rPr>
                <w:rFonts w:ascii="Arial;sans-serif" w:hAnsi="Arial;sans-serif"/>
                <w:b/>
                <w:color w:val="000000"/>
                <w:sz w:val="10"/>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Equity-Classified RSUs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Total RSUs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Weighted-Average </w:t>
              <w:br/>
              <w:t xml:space="preserve">Grant Date </w:t>
              <w:br/>
              <w:t>Fair Value per Unit</w:t>
            </w:r>
          </w:p>
        </w:tc>
      </w:tr>
      <w:tr>
        <w:trPr/>
        <w:tc>
          <w:tcPr>
            <w:tcW w:w="2403"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Non-vested as of December 31, 2025</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169,642</w:t>
            </w:r>
            <w:r>
              <w:rPr>
                <w:color w:val="000000"/>
              </w:rPr>
              <w:t> </w:t>
            </w:r>
          </w:p>
        </w:tc>
        <w:tc>
          <w:tcPr>
            <w:tcW w:w="676"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171,011</w:t>
            </w:r>
            <w:r>
              <w:rPr>
                <w:color w:val="000000"/>
              </w:rPr>
              <w:t> </w:t>
            </w:r>
          </w:p>
        </w:tc>
        <w:tc>
          <w:tcPr>
            <w:tcW w:w="598"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340,653</w:t>
            </w:r>
            <w:r>
              <w:rPr>
                <w:color w:val="000000"/>
              </w:rPr>
              <w:t> </w:t>
            </w:r>
          </w:p>
        </w:tc>
        <w:tc>
          <w:tcPr>
            <w:tcW w:w="286"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070"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106.18</w:t>
            </w:r>
            <w:r>
              <w:rPr>
                <w:color w:val="000000"/>
              </w:rPr>
              <w:t> </w:t>
            </w:r>
          </w:p>
        </w:tc>
        <w:tc>
          <w:tcPr>
            <w:tcW w:w="255"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Granted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75,687 </w:t>
            </w:r>
          </w:p>
        </w:tc>
        <w:tc>
          <w:tcPr>
            <w:tcW w:w="5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75,687 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391.43 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1" w:type="dxa"/>
            <w:gridSpan w:val="3"/>
            <w:tcBorders/>
            <w:vAlign w:val="center"/>
          </w:tcPr>
          <w:p>
            <w:pPr>
              <w:pStyle w:val="TableContents"/>
              <w:bidi w:val="0"/>
              <w:spacing w:before="0" w:after="283"/>
              <w:jc w:val="left"/>
              <w:rPr>
                <w:sz w:val="4"/>
                <w:szCs w:val="4"/>
              </w:rPr>
            </w:pPr>
            <w:r>
              <w:rPr>
                <w:sz w:val="4"/>
                <w:szCs w:val="4"/>
              </w:rPr>
            </w:r>
          </w:p>
        </w:tc>
      </w:tr>
      <w:tr>
        <w:trPr/>
        <w:tc>
          <w:tcPr>
            <w:tcW w:w="24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1" w:type="dxa"/>
            <w:gridSpan w:val="3"/>
            <w:tcBorders/>
            <w:vAlign w:val="center"/>
          </w:tcPr>
          <w:p>
            <w:pPr>
              <w:pStyle w:val="TableContents"/>
              <w:bidi w:val="0"/>
              <w:spacing w:before="0" w:after="283"/>
              <w:jc w:val="left"/>
              <w:rPr>
                <w:sz w:val="4"/>
                <w:szCs w:val="4"/>
              </w:rPr>
            </w:pPr>
            <w:r>
              <w:rPr>
                <w:sz w:val="4"/>
                <w:szCs w:val="4"/>
              </w:rPr>
            </w:r>
          </w:p>
        </w:tc>
      </w:tr>
      <w:tr>
        <w:trPr/>
        <w:tc>
          <w:tcPr>
            <w:tcW w:w="24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1" w:type="dxa"/>
            <w:gridSpan w:val="3"/>
            <w:tcBorders/>
            <w:vAlign w:val="center"/>
          </w:tcPr>
          <w:p>
            <w:pPr>
              <w:pStyle w:val="TableContents"/>
              <w:bidi w:val="0"/>
              <w:spacing w:before="0" w:after="283"/>
              <w:jc w:val="left"/>
              <w:rPr>
                <w:sz w:val="4"/>
                <w:szCs w:val="4"/>
              </w:rPr>
            </w:pPr>
            <w:r>
              <w:rPr>
                <w:sz w:val="4"/>
                <w:szCs w:val="4"/>
              </w:rPr>
            </w:r>
          </w:p>
        </w:tc>
      </w:tr>
      <w:tr>
        <w:trPr/>
        <w:tc>
          <w:tcPr>
            <w:tcW w:w="2403" w:type="dxa"/>
            <w:gridSpan w:val="3"/>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Non-vested as of March 31, 2026</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169,642</w:t>
            </w:r>
            <w:r>
              <w:rPr>
                <w:color w:val="000000"/>
              </w:rPr>
              <w:t> </w:t>
            </w:r>
          </w:p>
        </w:tc>
        <w:tc>
          <w:tcPr>
            <w:tcW w:w="676"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246,698</w:t>
            </w:r>
            <w:r>
              <w:rPr>
                <w:color w:val="000000"/>
              </w:rPr>
              <w:t> </w:t>
            </w:r>
          </w:p>
        </w:tc>
        <w:tc>
          <w:tcPr>
            <w:tcW w:w="598"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416,340</w:t>
            </w:r>
            <w:r>
              <w:rPr>
                <w:color w:val="000000"/>
              </w:rPr>
              <w:t> </w:t>
            </w:r>
          </w:p>
        </w:tc>
        <w:tc>
          <w:tcPr>
            <w:tcW w:w="286"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070"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193.70</w:t>
            </w:r>
            <w:r>
              <w:rPr>
                <w:color w:val="000000"/>
              </w:rPr>
              <w:t> </w:t>
            </w:r>
          </w:p>
        </w:tc>
        <w:tc>
          <w:tcPr>
            <w:tcW w:w="255"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14"/>
        </w:rPr>
      </w:pPr>
      <w:r>
        <w:rPr>
          <w:rFonts w:ascii="Arial;sans-serif" w:hAnsi="Arial;sans-serif"/>
          <w:b w:val="false"/>
          <w:color w:val="000000"/>
          <w:sz w:val="14"/>
        </w:rPr>
        <w:t>_____________</w:t>
      </w:r>
    </w:p>
    <w:p>
      <w:pPr>
        <w:pStyle w:val="TextBody"/>
        <w:bidi w:val="0"/>
        <w:spacing w:lineRule="auto" w:line="288" w:before="0" w:after="180"/>
        <w:ind w:left="0" w:right="0" w:hanging="360"/>
        <w:jc w:val="left"/>
        <w:rPr>
          <w:rFonts w:ascii="Arial;sans-serif" w:hAnsi="Arial;sans-serif"/>
          <w:b w:val="false"/>
          <w:color w:val="000000"/>
          <w:sz w:val="14"/>
        </w:rPr>
      </w:pPr>
      <w:r>
        <w:rPr>
          <w:rFonts w:ascii="Arial;sans-serif" w:hAnsi="Arial;sans-serif"/>
          <w:b w:val="false"/>
          <w:color w:val="000000"/>
          <w:sz w:val="14"/>
        </w:rPr>
        <w:t>(a)See description of liability-classified awards below.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ind w:left="0" w:right="0" w:firstLine="360"/>
        <w:jc w:val="left"/>
        <w:rPr>
          <w:rFonts w:ascii="Arial;sans-serif" w:hAnsi="Arial;sans-serif"/>
          <w:b/>
          <w:i/>
          <w:color w:val="000000"/>
          <w:sz w:val="18"/>
        </w:rPr>
      </w:pPr>
      <w:r>
        <w:rPr>
          <w:rFonts w:ascii="Arial;sans-serif" w:hAnsi="Arial;sans-serif"/>
          <w:b/>
          <w:i/>
          <w:color w:val="000000"/>
          <w:sz w:val="18"/>
        </w:rPr>
        <w:t>Liability-classified Awards</w:t>
      </w:r>
    </w:p>
    <w:p>
      <w:pPr>
        <w:pStyle w:val="TextBody"/>
        <w:bidi w:val="0"/>
        <w:spacing w:lineRule="auto" w:line="288" w:before="0" w:after="180"/>
        <w:ind w:left="0" w:right="0" w:firstLine="360"/>
        <w:jc w:val="left"/>
        <w:rPr>
          <w:rFonts w:ascii="Arial;sans-serif" w:hAnsi="Arial;sans-serif"/>
          <w:b w:val="false"/>
          <w:color w:val="000000"/>
          <w:sz w:val="18"/>
        </w:rPr>
      </w:pPr>
      <w:r>
        <w:rPr>
          <w:rFonts w:ascii="Arial;sans-serif" w:hAnsi="Arial;sans-serif"/>
          <w:b w:val="false"/>
          <w:color w:val="000000"/>
          <w:sz w:val="18"/>
        </w:rPr>
        <w:t>PSU and RSU awards of certain executive officers that are scheduled to vest in 2026 will be partially settled in cash. Generally, the cash settlement amount will equal up to 60% of the net after-tax value on the vesting date of each such award. However, the cash settlement amount is subject to a cap. Additionally, it is expected that non-employee directors could elect to net-settle a portion of their vested PSUs and RSUs for the payment of income taxes. The portion of each employee’s applicable awards that are expected to be settled in cash and all non-employee director awards are presented as “Stock-based compensation liabilities” on the Consolidated Balance Sheets and had a carrying value of $477 million, measured based on the closing share price of TEC common stock of $319.23 as of March 31,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16840"/>
                <wp:effectExtent l="0" t="0" r="0" b="0"/>
                <wp:wrapNone/>
                <wp:docPr id="25" name="Frame25"/>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23</w:t>
                      </w:r>
                    </w:p>
                  </w:txbxContent>
                </v:textbox>
                <w10:wrap type="none"/>
              </v:rect>
            </w:pict>
          </mc:Fallback>
        </mc:AlternateContent>
      </w:r>
    </w:p>
    <w:p>
      <w:pPr>
        <w:pStyle w:val="TextBody"/>
        <w:bidi w:val="0"/>
        <w:spacing w:lineRule="auto" w:line="288" w:before="0" w:after="180"/>
        <w:jc w:val="left"/>
        <w:rPr/>
      </w:pPr>
      <w:hyperlink w:anchor="if20e1f3d5a734e3eabbb6aa8f57c7562_45">
        <w:r>
          <w:rPr>
            <w:rStyle w:val="InternetLink"/>
            <w:rFonts w:ascii="Arial;sans-serif" w:hAnsi="Arial;sans-serif"/>
            <w:b w:val="false"/>
            <w:color w:val="0000FF"/>
            <w:sz w:val="18"/>
            <w:u w:val="single"/>
          </w:rPr>
          <w:t>Table of Contents</w:t>
        </w:r>
      </w:hyperlink>
    </w:p>
    <w:p>
      <w:pPr>
        <w:pStyle w:val="TextBody"/>
        <w:bidi w:val="0"/>
        <w:spacing w:lineRule="auto" w:line="288" w:before="0" w:after="180"/>
        <w:ind w:left="0" w:right="0" w:firstLine="360"/>
        <w:jc w:val="left"/>
        <w:rPr>
          <w:rFonts w:ascii="Arial;sans-serif" w:hAnsi="Arial;sans-serif"/>
          <w:b/>
          <w:i/>
          <w:color w:val="000000"/>
          <w:sz w:val="18"/>
        </w:rPr>
      </w:pPr>
      <w:r>
        <w:rPr>
          <w:rFonts w:ascii="Arial;sans-serif" w:hAnsi="Arial;sans-serif"/>
          <w:b/>
          <w:i/>
          <w:color w:val="000000"/>
          <w:sz w:val="18"/>
        </w:rPr>
        <w:t>Stock-based Compensation Expense</w:t>
      </w:r>
    </w:p>
    <w:p>
      <w:pPr>
        <w:pStyle w:val="TextBody"/>
        <w:bidi w:val="0"/>
        <w:spacing w:lineRule="auto" w:line="288" w:before="0" w:after="180"/>
        <w:ind w:left="0" w:right="0" w:firstLine="360"/>
        <w:jc w:val="left"/>
        <w:rPr/>
      </w:pPr>
      <w:r>
        <w:rPr>
          <w:rFonts w:ascii="Arial;sans-serif" w:hAnsi="Arial;sans-serif"/>
          <w:b w:val="false"/>
          <w:color w:val="000000"/>
          <w:sz w:val="18"/>
          <w:shd w:fill="FFFFFF" w:val="clear"/>
        </w:rPr>
        <w:t xml:space="preserve">Stock-based compensation expense presented as “General and administrative” on the </w:t>
      </w:r>
      <w:r>
        <w:rPr>
          <w:rFonts w:ascii="Arial;sans-serif" w:hAnsi="Arial;sans-serif"/>
          <w:b w:val="false"/>
          <w:color w:val="000000"/>
          <w:sz w:val="18"/>
        </w:rPr>
        <w:t>Consolidated</w:t>
      </w:r>
      <w:r>
        <w:rPr>
          <w:color w:val="000000"/>
          <w:shd w:fill="FFFFFF" w:val="clear"/>
        </w:rPr>
        <w:t xml:space="preserve"> </w:t>
      </w:r>
      <w:r>
        <w:rPr>
          <w:rFonts w:ascii="Arial;sans-serif" w:hAnsi="Arial;sans-serif"/>
          <w:b w:val="false"/>
          <w:color w:val="000000"/>
          <w:sz w:val="18"/>
          <w:shd w:fill="FFFFFF" w:val="clear"/>
        </w:rPr>
        <w:t>Statement of Operations was:</w:t>
      </w:r>
    </w:p>
    <w:tbl>
      <w:tblPr>
        <w:tblW w:w="9799" w:type="dxa"/>
        <w:jc w:val="left"/>
        <w:tblInd w:w="0" w:type="dxa"/>
        <w:tblLayout w:type="fixed"/>
        <w:tblCellMar>
          <w:top w:w="28" w:type="dxa"/>
          <w:left w:w="28" w:type="dxa"/>
          <w:bottom w:w="28" w:type="dxa"/>
          <w:right w:w="28" w:type="dxa"/>
        </w:tblCellMar>
      </w:tblPr>
      <w:tblGrid>
        <w:gridCol w:w="2036"/>
        <w:gridCol w:w="1789"/>
        <w:gridCol w:w="1799"/>
        <w:gridCol w:w="109"/>
        <w:gridCol w:w="109"/>
        <w:gridCol w:w="109"/>
        <w:gridCol w:w="242"/>
        <w:gridCol w:w="242"/>
        <w:gridCol w:w="242"/>
        <w:gridCol w:w="242"/>
        <w:gridCol w:w="435"/>
        <w:gridCol w:w="902"/>
        <w:gridCol w:w="242"/>
        <w:gridCol w:w="109"/>
        <w:gridCol w:w="109"/>
        <w:gridCol w:w="109"/>
        <w:gridCol w:w="196"/>
        <w:gridCol w:w="406"/>
        <w:gridCol w:w="109"/>
        <w:gridCol w:w="109"/>
        <w:gridCol w:w="154"/>
      </w:tblGrid>
      <w:tr>
        <w:trPr/>
        <w:tc>
          <w:tcPr>
            <w:tcW w:w="2036" w:type="dxa"/>
            <w:tcBorders/>
            <w:vAlign w:val="center"/>
          </w:tcPr>
          <w:p>
            <w:pPr>
              <w:pStyle w:val="TableContents"/>
              <w:bidi w:val="0"/>
              <w:spacing w:before="0" w:after="283"/>
              <w:jc w:val="left"/>
              <w:rPr>
                <w:sz w:val="4"/>
                <w:szCs w:val="4"/>
              </w:rPr>
            </w:pPr>
            <w:r>
              <w:rPr>
                <w:sz w:val="4"/>
                <w:szCs w:val="4"/>
              </w:rPr>
            </w:r>
          </w:p>
        </w:tc>
        <w:tc>
          <w:tcPr>
            <w:tcW w:w="1789" w:type="dxa"/>
            <w:tcBorders/>
            <w:vAlign w:val="center"/>
          </w:tcPr>
          <w:p>
            <w:pPr>
              <w:pStyle w:val="TableContents"/>
              <w:bidi w:val="0"/>
              <w:spacing w:before="0" w:after="283"/>
              <w:jc w:val="left"/>
              <w:rPr>
                <w:sz w:val="4"/>
                <w:szCs w:val="4"/>
              </w:rPr>
            </w:pPr>
            <w:r>
              <w:rPr>
                <w:sz w:val="4"/>
                <w:szCs w:val="4"/>
              </w:rPr>
            </w:r>
          </w:p>
        </w:tc>
        <w:tc>
          <w:tcPr>
            <w:tcW w:w="17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7"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March 31,</w:t>
            </w:r>
          </w:p>
        </w:tc>
        <w:tc>
          <w:tcPr>
            <w:tcW w:w="1301" w:type="dxa"/>
            <w:gridSpan w:val="8"/>
            <w:tcBorders/>
          </w:tcPr>
          <w:p>
            <w:pPr>
              <w:pStyle w:val="TableContents"/>
              <w:bidi w:val="0"/>
              <w:spacing w:before="0" w:after="283"/>
              <w:jc w:val="left"/>
              <w:rPr>
                <w:sz w:val="4"/>
                <w:szCs w:val="4"/>
              </w:rPr>
            </w:pPr>
            <w:r>
              <w:rPr>
                <w:sz w:val="4"/>
                <w:szCs w:val="4"/>
              </w:rPr>
            </w:r>
          </w:p>
        </w:tc>
      </w:tr>
      <w:tr>
        <w:trPr/>
        <w:tc>
          <w:tcPr>
            <w:tcW w:w="5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2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5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24"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Stock-based compensation expense (benefit), net, liability-classified awards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26"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02"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w:t>
            </w:r>
          </w:p>
        </w:tc>
        <w:tc>
          <w:tcPr>
            <w:tcW w:w="242"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Stock-based compensation expense (benefit), net, equity-classified awards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24"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Income tax benefit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26"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2"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24"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After-tax stock-based compensation expense (benefit),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9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w:t>
            </w:r>
          </w:p>
        </w:tc>
        <w:tc>
          <w:tcPr>
            <w:tcW w:w="2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Arial;sans-serif" w:hAnsi="Arial;sans-serif"/>
          <w:b w:val="false"/>
          <w:color w:val="000000"/>
          <w:sz w:val="18"/>
        </w:rPr>
      </w:pPr>
      <w:r>
        <w:rPr>
          <w:rFonts w:ascii="Arial;sans-serif" w:hAnsi="Arial;sans-serif"/>
          <w:b w:val="false"/>
          <w:color w:val="000000"/>
          <w:sz w:val="18"/>
        </w:rPr>
        <w:t>Unrecognized stock-based compensation expense and related periods of recognition as of March 31, 2026 were:</w:t>
      </w:r>
    </w:p>
    <w:tbl>
      <w:tblPr>
        <w:tblW w:w="10205" w:type="dxa"/>
        <w:jc w:val="left"/>
        <w:tblInd w:w="0" w:type="dxa"/>
        <w:tblLayout w:type="fixed"/>
        <w:tblCellMar>
          <w:top w:w="28" w:type="dxa"/>
          <w:left w:w="28" w:type="dxa"/>
          <w:bottom w:w="28" w:type="dxa"/>
          <w:right w:w="28" w:type="dxa"/>
        </w:tblCellMar>
      </w:tblPr>
      <w:tblGrid>
        <w:gridCol w:w="1105"/>
        <w:gridCol w:w="839"/>
        <w:gridCol w:w="843"/>
        <w:gridCol w:w="109"/>
        <w:gridCol w:w="109"/>
        <w:gridCol w:w="109"/>
        <w:gridCol w:w="393"/>
        <w:gridCol w:w="844"/>
        <w:gridCol w:w="219"/>
        <w:gridCol w:w="109"/>
        <w:gridCol w:w="109"/>
        <w:gridCol w:w="109"/>
        <w:gridCol w:w="485"/>
        <w:gridCol w:w="820"/>
        <w:gridCol w:w="271"/>
        <w:gridCol w:w="109"/>
        <w:gridCol w:w="109"/>
        <w:gridCol w:w="109"/>
        <w:gridCol w:w="448"/>
        <w:gridCol w:w="757"/>
        <w:gridCol w:w="251"/>
        <w:gridCol w:w="109"/>
        <w:gridCol w:w="109"/>
        <w:gridCol w:w="109"/>
        <w:gridCol w:w="537"/>
        <w:gridCol w:w="661"/>
        <w:gridCol w:w="424"/>
      </w:tblGrid>
      <w:tr>
        <w:trPr/>
        <w:tc>
          <w:tcPr>
            <w:tcW w:w="1105"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r>
      <w:tr>
        <w:trPr/>
        <w:tc>
          <w:tcPr>
            <w:tcW w:w="27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9"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PSUs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5"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RSUs</w:t>
            </w:r>
          </w:p>
        </w:tc>
      </w:tr>
      <w:tr>
        <w:trPr/>
        <w:tc>
          <w:tcPr>
            <w:tcW w:w="27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Equity-Classified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Liability-Classified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Equity-Classified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Liability-Classified</w:t>
            </w:r>
          </w:p>
        </w:tc>
      </w:tr>
      <w:tr>
        <w:trPr/>
        <w:tc>
          <w:tcPr>
            <w:tcW w:w="2787"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Unrecognized stock-based compensation expense </w:t>
            </w:r>
            <w:r>
              <w:rPr>
                <w:rFonts w:ascii="Arial;sans-serif" w:hAnsi="Arial;sans-serif"/>
                <w:b w:val="false"/>
                <w:color w:val="000000"/>
                <w:sz w:val="10"/>
              </w:rPr>
              <w:t>(a)</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44"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313 </w:t>
            </w:r>
          </w:p>
        </w:tc>
        <w:tc>
          <w:tcPr>
            <w:tcW w:w="219"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20"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19 </w:t>
            </w:r>
          </w:p>
        </w:tc>
        <w:tc>
          <w:tcPr>
            <w:tcW w:w="271"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7"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34 </w:t>
            </w:r>
          </w:p>
        </w:tc>
        <w:tc>
          <w:tcPr>
            <w:tcW w:w="251"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1"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3 </w:t>
            </w:r>
          </w:p>
        </w:tc>
        <w:tc>
          <w:tcPr>
            <w:tcW w:w="424"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7"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Weighted-average period of recognition (in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0.2</w:t>
            </w:r>
          </w:p>
        </w:tc>
      </w:tr>
    </w:tbl>
    <w:p>
      <w:pPr>
        <w:pStyle w:val="TextBody"/>
        <w:bidi w:val="0"/>
        <w:spacing w:lineRule="auto" w:line="288" w:before="0" w:after="0"/>
        <w:jc w:val="left"/>
        <w:rPr>
          <w:rFonts w:ascii="Arial;sans-serif" w:hAnsi="Arial;sans-serif"/>
          <w:b w:val="false"/>
          <w:color w:val="000000"/>
          <w:sz w:val="14"/>
        </w:rPr>
      </w:pPr>
      <w:r>
        <w:rPr>
          <w:rFonts w:ascii="Arial;sans-serif" w:hAnsi="Arial;sans-serif"/>
          <w:b w:val="false"/>
          <w:color w:val="000000"/>
          <w:sz w:val="14"/>
        </w:rPr>
        <w:t>__________________</w:t>
      </w:r>
    </w:p>
    <w:p>
      <w:pPr>
        <w:pStyle w:val="TextBody"/>
        <w:bidi w:val="0"/>
        <w:spacing w:lineRule="auto" w:line="288" w:before="0" w:after="180"/>
        <w:ind w:left="0" w:right="0" w:hanging="360"/>
        <w:jc w:val="left"/>
        <w:rPr>
          <w:rFonts w:ascii="Arial;sans-serif" w:hAnsi="Arial;sans-serif"/>
          <w:b w:val="false"/>
          <w:color w:val="000000"/>
          <w:sz w:val="14"/>
        </w:rPr>
      </w:pPr>
      <w:r>
        <w:rPr>
          <w:rFonts w:ascii="Arial;sans-serif" w:hAnsi="Arial;sans-serif"/>
          <w:b w:val="false"/>
          <w:color w:val="000000"/>
          <w:sz w:val="14"/>
        </w:rPr>
        <w:t>(a)     Stock-based compensation expense related to liability-classified awards is subject to variability due to changes in their value through the settlement date.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0000"/>
          <w:sz w:val="18"/>
        </w:rPr>
      </w:pPr>
      <w:r>
        <w:rPr>
          <w:rFonts w:ascii="Arial;sans-serif" w:hAnsi="Arial;sans-serif"/>
          <w:b/>
          <w:color w:val="000000"/>
          <w:sz w:val="18"/>
        </w:rPr>
        <w:t>14. Earnings Per Share</w:t>
      </w:r>
    </w:p>
    <w:p>
      <w:pPr>
        <w:pStyle w:val="TextBody"/>
        <w:bidi w:val="0"/>
        <w:spacing w:lineRule="auto" w:line="288" w:before="0" w:after="180"/>
        <w:ind w:left="0" w:right="0" w:firstLine="360"/>
        <w:jc w:val="left"/>
        <w:rPr>
          <w:rFonts w:ascii="Arial;sans-serif" w:hAnsi="Arial;sans-serif"/>
          <w:b w:val="false"/>
          <w:color w:val="000000"/>
          <w:sz w:val="18"/>
        </w:rPr>
      </w:pPr>
      <w:r>
        <w:rPr>
          <w:rFonts w:ascii="Arial;sans-serif" w:hAnsi="Arial;sans-serif"/>
          <w:b w:val="false"/>
          <w:color w:val="000000"/>
          <w:sz w:val="18"/>
        </w:rPr>
        <w:t>Basic EPS is computed by dividing net income (loss) by the weighted average number of shares of common stock outstanding during the applicable period. Diluted EPS is computed by dividing income by the weighted-average number of shares of common stock outstanding, increased by incremental shares that would be outstanding if potentially dilutive non-participating securities were converted to common stock as calculated using the treasury stock method. EPS for the periods were:</w:t>
      </w:r>
    </w:p>
    <w:tbl>
      <w:tblPr>
        <w:tblW w:w="10205" w:type="dxa"/>
        <w:jc w:val="left"/>
        <w:tblInd w:w="0" w:type="dxa"/>
        <w:tblLayout w:type="fixed"/>
        <w:tblCellMar>
          <w:top w:w="28" w:type="dxa"/>
          <w:left w:w="28" w:type="dxa"/>
          <w:bottom w:w="28" w:type="dxa"/>
          <w:right w:w="28" w:type="dxa"/>
        </w:tblCellMar>
      </w:tblPr>
      <w:tblGrid>
        <w:gridCol w:w="2022"/>
        <w:gridCol w:w="1773"/>
        <w:gridCol w:w="1777"/>
        <w:gridCol w:w="109"/>
        <w:gridCol w:w="109"/>
        <w:gridCol w:w="109"/>
        <w:gridCol w:w="226"/>
        <w:gridCol w:w="226"/>
        <w:gridCol w:w="226"/>
        <w:gridCol w:w="226"/>
        <w:gridCol w:w="407"/>
        <w:gridCol w:w="1001"/>
        <w:gridCol w:w="226"/>
        <w:gridCol w:w="109"/>
        <w:gridCol w:w="109"/>
        <w:gridCol w:w="109"/>
        <w:gridCol w:w="196"/>
        <w:gridCol w:w="540"/>
        <w:gridCol w:w="109"/>
        <w:gridCol w:w="109"/>
        <w:gridCol w:w="109"/>
        <w:gridCol w:w="109"/>
        <w:gridCol w:w="109"/>
        <w:gridCol w:w="160"/>
      </w:tblGrid>
      <w:tr>
        <w:trPr/>
        <w:tc>
          <w:tcPr>
            <w:tcW w:w="2022" w:type="dxa"/>
            <w:tcBorders/>
            <w:vAlign w:val="center"/>
          </w:tcPr>
          <w:p>
            <w:pPr>
              <w:pStyle w:val="TableContents"/>
              <w:bidi w:val="0"/>
              <w:spacing w:before="0" w:after="283"/>
              <w:jc w:val="left"/>
              <w:rPr>
                <w:sz w:val="4"/>
                <w:szCs w:val="4"/>
              </w:rPr>
            </w:pPr>
            <w:r>
              <w:rPr>
                <w:sz w:val="4"/>
                <w:szCs w:val="4"/>
              </w:rPr>
            </w:r>
          </w:p>
        </w:tc>
        <w:tc>
          <w:tcPr>
            <w:tcW w:w="1773" w:type="dxa"/>
            <w:tcBorders/>
            <w:vAlign w:val="center"/>
          </w:tcPr>
          <w:p>
            <w:pPr>
              <w:pStyle w:val="TableContents"/>
              <w:bidi w:val="0"/>
              <w:spacing w:before="0" w:after="283"/>
              <w:jc w:val="left"/>
              <w:rPr>
                <w:sz w:val="4"/>
                <w:szCs w:val="4"/>
              </w:rPr>
            </w:pPr>
            <w:r>
              <w:rPr>
                <w:sz w:val="4"/>
                <w:szCs w:val="4"/>
              </w:rPr>
            </w:r>
          </w:p>
        </w:tc>
        <w:tc>
          <w:tcPr>
            <w:tcW w:w="17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5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8"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March 31,</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7" w:type="dxa"/>
            <w:gridSpan w:val="4"/>
            <w:tcBorders/>
          </w:tcPr>
          <w:p>
            <w:pPr>
              <w:pStyle w:val="TableContents"/>
              <w:bidi w:val="0"/>
              <w:spacing w:before="0" w:after="283"/>
              <w:jc w:val="left"/>
              <w:rPr>
                <w:sz w:val="4"/>
                <w:szCs w:val="4"/>
              </w:rPr>
            </w:pPr>
            <w:r>
              <w:rPr>
                <w:sz w:val="4"/>
                <w:szCs w:val="4"/>
              </w:rPr>
            </w:r>
          </w:p>
        </w:tc>
      </w:tr>
      <w:tr>
        <w:trPr/>
        <w:tc>
          <w:tcPr>
            <w:tcW w:w="55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572"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Numerator: (Millions of Dollars)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78"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op w:val="single" w:sz="8" w:space="0" w:color="000000"/>
            </w:tcBorders>
            <w:shd w:fill="E1E1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op w:val="single" w:sz="8" w:space="0" w:color="000000"/>
            </w:tcBorders>
            <w:shd w:fill="E1E1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5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57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78" w:type="dxa"/>
            <w:gridSpan w:val="3"/>
            <w:tcBorders/>
            <w:vAlign w:val="center"/>
          </w:tcPr>
          <w:p>
            <w:pPr>
              <w:pStyle w:val="TableContents"/>
              <w:bidi w:val="0"/>
              <w:spacing w:before="0" w:after="283"/>
              <w:jc w:val="left"/>
              <w:rPr>
                <w:sz w:val="4"/>
                <w:szCs w:val="4"/>
              </w:rPr>
            </w:pPr>
            <w:r>
              <w:rPr>
                <w:sz w:val="4"/>
                <w:szCs w:val="4"/>
              </w:rPr>
            </w:r>
          </w:p>
        </w:tc>
        <w:tc>
          <w:tcPr>
            <w:tcW w:w="16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57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78" w:type="dxa"/>
            <w:gridSpan w:val="3"/>
            <w:tcBorders/>
            <w:vAlign w:val="center"/>
          </w:tcPr>
          <w:p>
            <w:pPr>
              <w:pStyle w:val="TableContents"/>
              <w:bidi w:val="0"/>
              <w:spacing w:before="0" w:after="283"/>
              <w:jc w:val="left"/>
              <w:rPr>
                <w:sz w:val="4"/>
                <w:szCs w:val="4"/>
              </w:rPr>
            </w:pPr>
            <w:r>
              <w:rPr>
                <w:sz w:val="4"/>
                <w:szCs w:val="4"/>
              </w:rPr>
            </w:r>
          </w:p>
        </w:tc>
        <w:tc>
          <w:tcPr>
            <w:tcW w:w="16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57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78" w:type="dxa"/>
            <w:gridSpan w:val="3"/>
            <w:tcBorders/>
            <w:vAlign w:val="center"/>
          </w:tcPr>
          <w:p>
            <w:pPr>
              <w:pStyle w:val="TableContents"/>
              <w:bidi w:val="0"/>
              <w:spacing w:before="0" w:after="283"/>
              <w:jc w:val="left"/>
              <w:rPr>
                <w:sz w:val="4"/>
                <w:szCs w:val="4"/>
              </w:rPr>
            </w:pPr>
            <w:r>
              <w:rPr>
                <w:sz w:val="4"/>
                <w:szCs w:val="4"/>
              </w:rPr>
            </w:r>
          </w:p>
        </w:tc>
        <w:tc>
          <w:tcPr>
            <w:tcW w:w="16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5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572"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Denominator: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78"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ind w:left="0" w:right="0" w:hanging="90"/>
              <w:jc w:val="left"/>
              <w:rPr>
                <w:sz w:val="4"/>
                <w:szCs w:val="4"/>
              </w:rPr>
            </w:pPr>
            <w:r>
              <w:rPr>
                <w:sz w:val="4"/>
                <w:szCs w:val="4"/>
              </w:rPr>
            </w:r>
          </w:p>
        </w:tc>
      </w:tr>
      <w:tr>
        <w:trPr/>
        <w:tc>
          <w:tcPr>
            <w:tcW w:w="55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Weighted-Average Number of Common Shares Outstanding - Basic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45,612</w:t>
            </w: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45,849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57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78" w:type="dxa"/>
            <w:gridSpan w:val="3"/>
            <w:tcBorders/>
            <w:vAlign w:val="center"/>
          </w:tcPr>
          <w:p>
            <w:pPr>
              <w:pStyle w:val="TableContents"/>
              <w:bidi w:val="0"/>
              <w:spacing w:before="0" w:after="283"/>
              <w:jc w:val="left"/>
              <w:rPr>
                <w:sz w:val="4"/>
                <w:szCs w:val="4"/>
              </w:rPr>
            </w:pPr>
            <w:r>
              <w:rPr>
                <w:sz w:val="4"/>
                <w:szCs w:val="4"/>
              </w:rPr>
            </w:r>
          </w:p>
        </w:tc>
        <w:tc>
          <w:tcPr>
            <w:tcW w:w="16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572"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Restricted stock units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78"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186 </w:t>
            </w:r>
          </w:p>
        </w:tc>
        <w:tc>
          <w:tcPr>
            <w:tcW w:w="226"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5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Performance stock units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1,633 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ind w:left="0" w:right="0" w:hanging="90"/>
              <w:jc w:val="left"/>
              <w:rPr>
                <w:sz w:val="4"/>
                <w:szCs w:val="4"/>
              </w:rPr>
            </w:pPr>
            <w:r>
              <w:rPr>
                <w:sz w:val="4"/>
                <w:szCs w:val="4"/>
              </w:rPr>
            </w:r>
          </w:p>
        </w:tc>
      </w:tr>
      <w:tr>
        <w:trPr/>
        <w:tc>
          <w:tcPr>
            <w:tcW w:w="5572"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Weighted-Average Number of Common Shares Outstanding - Diluted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78"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2"/>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47,431</w:t>
            </w:r>
            <w:r>
              <w:rPr>
                <w:color w:val="000000"/>
              </w:rPr>
              <w:t> </w:t>
            </w:r>
          </w:p>
        </w:tc>
        <w:tc>
          <w:tcPr>
            <w:tcW w:w="226"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45,849</w:t>
            </w:r>
            <w:r>
              <w:rPr>
                <w:color w:val="000000"/>
              </w:rPr>
              <w:t> </w:t>
            </w:r>
          </w:p>
        </w:tc>
        <w:tc>
          <w:tcPr>
            <w:tcW w:w="109"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57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5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Earnings per Share - Basic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00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1.38</w:t>
            </w:r>
            <w:r>
              <w:rPr>
                <w:color w:val="000000"/>
              </w:rPr>
              <w:t>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40"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(2.94)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572" w:type="dxa"/>
            <w:gridSpan w:val="3"/>
            <w:tcBorders>
              <w:bottom w:val="single" w:sz="8" w:space="0" w:color="000000"/>
            </w:tcBorders>
            <w:shd w:fill="E1E1E2"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Earnings per Share - Diluted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78"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2"/>
            <w:tcBorders>
              <w:bottom w:val="single" w:sz="8" w:space="0" w:color="000000"/>
            </w:tcBorders>
            <w:shd w:fill="E1E1E2" w:val="clear"/>
            <w:tcMar>
              <w:top w:w="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1.33</w:t>
            </w:r>
            <w:r>
              <w:rPr>
                <w:color w:val="000000"/>
              </w:rPr>
              <w:t> </w:t>
            </w:r>
          </w:p>
        </w:tc>
        <w:tc>
          <w:tcPr>
            <w:tcW w:w="226" w:type="dxa"/>
            <w:tcBorders>
              <w:bottom w:val="single" w:sz="8" w:space="0" w:color="000000"/>
            </w:tcBorders>
            <w:shd w:fill="E1E1E2"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bottom w:val="single" w:sz="8" w:space="0" w:color="000000"/>
            </w:tcBorders>
            <w:shd w:fill="E1E1E2"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(2.94)</w:t>
            </w:r>
          </w:p>
        </w:tc>
        <w:tc>
          <w:tcPr>
            <w:tcW w:w="109" w:type="dxa"/>
            <w:tcBorders>
              <w:bottom w:val="single" w:sz="8" w:space="0" w:color="000000"/>
            </w:tcBorders>
            <w:shd w:fill="E1E1E2"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Arial;sans-serif" w:hAnsi="Arial;sans-serif"/>
          <w:b w:val="false"/>
          <w:color w:val="000000"/>
          <w:sz w:val="18"/>
        </w:rPr>
      </w:pPr>
      <w:r>
        <w:rPr>
          <w:rFonts w:ascii="Arial;sans-serif" w:hAnsi="Arial;sans-serif"/>
          <w:b w:val="false"/>
          <w:color w:val="000000"/>
          <w:sz w:val="18"/>
        </w:rPr>
        <w:t>Diluted EPS for the three months ended March 31, 2026 excluded (i) 145,911 PSUs because their performance targets were not met as of March 31, 2026; and (ii) 3,142 PSUs and 1,610 RSUs due to their anti-dilutive nature. As there was a Net Loss for the three months ended March 31, 2025, the computation of diluted EPS excludes 486,688 RSUs and 2,109,479 PSUs.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0000"/>
          <w:sz w:val="18"/>
        </w:rPr>
      </w:pPr>
      <w:r>
        <w:rPr>
          <w:rFonts w:ascii="Arial;sans-serif" w:hAnsi="Arial;sans-serif"/>
          <w:b/>
          <w:color w:val="000000"/>
          <w:sz w:val="18"/>
        </w:rPr>
        <w:t>15. Stockholders’ Equity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ind w:left="0" w:right="0" w:firstLine="360"/>
        <w:jc w:val="left"/>
        <w:rPr>
          <w:rFonts w:ascii="Arial;sans-serif" w:hAnsi="Arial;sans-serif"/>
          <w:b/>
          <w:i/>
          <w:color w:val="000000"/>
          <w:sz w:val="18"/>
        </w:rPr>
      </w:pPr>
      <w:r>
        <w:rPr>
          <w:rFonts w:ascii="Arial;sans-serif" w:hAnsi="Arial;sans-serif"/>
          <w:b/>
          <w:i/>
          <w:color w:val="000000"/>
          <w:sz w:val="18"/>
        </w:rPr>
        <w:t>Share Repurchase Program</w:t>
      </w:r>
    </w:p>
    <w:p>
      <w:pPr>
        <w:pStyle w:val="TextBody"/>
        <w:bidi w:val="0"/>
        <w:spacing w:lineRule="auto" w:line="288" w:before="0" w:after="180"/>
        <w:ind w:left="0" w:right="0" w:firstLine="360"/>
        <w:jc w:val="left"/>
        <w:rPr>
          <w:rFonts w:ascii="Arial;sans-serif" w:hAnsi="Arial;sans-serif"/>
          <w:b w:val="false"/>
          <w:color w:val="000000"/>
          <w:sz w:val="18"/>
        </w:rPr>
      </w:pPr>
      <w:r>
        <w:rPr>
          <w:rFonts w:ascii="Arial;sans-serif" w:hAnsi="Arial;sans-serif"/>
          <w:b w:val="false"/>
          <w:color w:val="000000"/>
          <w:sz w:val="18"/>
        </w:rPr>
        <w:t>In September 2025, the Board of Directors approved an increase in the existing capacity of the Company’s SRP from $995 million to $2 billion and extended the expiration date from December 31, 2026 to December 31, 2028. These changes to the SRP became effective in November 2025 upon the completion of the Freedom and Guernsey Acquisitions. The remaining capacity under the SRP as of March 31, 2026 was $1.9 billion.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16840"/>
                <wp:effectExtent l="0" t="0" r="0" b="0"/>
                <wp:wrapNone/>
                <wp:docPr id="26" name="Frame26"/>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24</w:t>
                      </w:r>
                    </w:p>
                  </w:txbxContent>
                </v:textbox>
                <w10:wrap type="none"/>
              </v:rect>
            </w:pict>
          </mc:Fallback>
        </mc:AlternateContent>
      </w:r>
    </w:p>
    <w:p>
      <w:pPr>
        <w:pStyle w:val="TextBody"/>
        <w:bidi w:val="0"/>
        <w:spacing w:lineRule="auto" w:line="288" w:before="0" w:after="180"/>
        <w:jc w:val="left"/>
        <w:rPr/>
      </w:pPr>
      <w:hyperlink w:anchor="if20e1f3d5a734e3eabbb6aa8f57c7562_45">
        <w:r>
          <w:rPr>
            <w:rStyle w:val="InternetLink"/>
            <w:rFonts w:ascii="Arial;sans-serif" w:hAnsi="Arial;sans-serif"/>
            <w:b w:val="false"/>
            <w:color w:val="0000FF"/>
            <w:sz w:val="18"/>
            <w:u w:val="single"/>
          </w:rPr>
          <w:t>Table of Contents</w:t>
        </w:r>
      </w:hyperlink>
    </w:p>
    <w:p>
      <w:pPr>
        <w:pStyle w:val="TextBody"/>
        <w:bidi w:val="0"/>
        <w:spacing w:lineRule="auto" w:line="288" w:before="0" w:after="180"/>
        <w:ind w:left="0" w:right="0" w:firstLine="360"/>
        <w:jc w:val="left"/>
        <w:rPr>
          <w:rFonts w:ascii="Arial;sans-serif" w:hAnsi="Arial;sans-serif"/>
          <w:b w:val="false"/>
          <w:color w:val="000000"/>
          <w:sz w:val="18"/>
        </w:rPr>
      </w:pPr>
      <w:r>
        <w:rPr>
          <w:rFonts w:ascii="Arial;sans-serif" w:hAnsi="Arial;sans-serif"/>
          <w:b w:val="false"/>
          <w:color w:val="000000"/>
          <w:sz w:val="18"/>
        </w:rPr>
        <w:t xml:space="preserve">As of March 31, 2026, the Company has repurchased approximately 24% of TEC’s outstanding shares of common stock since their issuance in May 2023 for an aggregate $2.1 billion, exclusive of transaction costs and excise taxes. </w:t>
      </w:r>
    </w:p>
    <w:p>
      <w:pPr>
        <w:pStyle w:val="TextBody"/>
        <w:bidi w:val="0"/>
        <w:spacing w:lineRule="auto" w:line="288" w:before="0" w:after="180"/>
        <w:ind w:left="0" w:right="0" w:firstLine="360"/>
        <w:jc w:val="left"/>
        <w:rPr>
          <w:rFonts w:ascii="Arial;sans-serif" w:hAnsi="Arial;sans-serif"/>
          <w:b w:val="false"/>
          <w:color w:val="000000"/>
          <w:sz w:val="18"/>
        </w:rPr>
      </w:pPr>
      <w:r>
        <w:rPr>
          <w:rFonts w:ascii="Arial;sans-serif" w:hAnsi="Arial;sans-serif"/>
          <w:b w:val="false"/>
          <w:color w:val="000000"/>
          <w:sz w:val="18"/>
        </w:rPr>
        <w:t>Summary of activity under the SRP:</w:t>
      </w:r>
    </w:p>
    <w:tbl>
      <w:tblPr>
        <w:tblW w:w="10205" w:type="dxa"/>
        <w:jc w:val="left"/>
        <w:tblInd w:w="0" w:type="dxa"/>
        <w:tblLayout w:type="fixed"/>
        <w:tblCellMar>
          <w:top w:w="28" w:type="dxa"/>
          <w:left w:w="28" w:type="dxa"/>
          <w:bottom w:w="28" w:type="dxa"/>
          <w:right w:w="28" w:type="dxa"/>
        </w:tblCellMar>
      </w:tblPr>
      <w:tblGrid>
        <w:gridCol w:w="430"/>
        <w:gridCol w:w="377"/>
        <w:gridCol w:w="379"/>
        <w:gridCol w:w="109"/>
        <w:gridCol w:w="109"/>
        <w:gridCol w:w="109"/>
        <w:gridCol w:w="109"/>
        <w:gridCol w:w="109"/>
        <w:gridCol w:w="198"/>
        <w:gridCol w:w="198"/>
        <w:gridCol w:w="198"/>
        <w:gridCol w:w="198"/>
        <w:gridCol w:w="510"/>
        <w:gridCol w:w="317"/>
        <w:gridCol w:w="223"/>
        <w:gridCol w:w="109"/>
        <w:gridCol w:w="109"/>
        <w:gridCol w:w="109"/>
        <w:gridCol w:w="207"/>
        <w:gridCol w:w="685"/>
        <w:gridCol w:w="115"/>
        <w:gridCol w:w="112"/>
        <w:gridCol w:w="112"/>
        <w:gridCol w:w="112"/>
        <w:gridCol w:w="247"/>
        <w:gridCol w:w="502"/>
        <w:gridCol w:w="129"/>
        <w:gridCol w:w="112"/>
        <w:gridCol w:w="112"/>
        <w:gridCol w:w="112"/>
        <w:gridCol w:w="506"/>
        <w:gridCol w:w="320"/>
        <w:gridCol w:w="321"/>
        <w:gridCol w:w="109"/>
        <w:gridCol w:w="109"/>
        <w:gridCol w:w="109"/>
        <w:gridCol w:w="208"/>
        <w:gridCol w:w="685"/>
        <w:gridCol w:w="115"/>
        <w:gridCol w:w="109"/>
        <w:gridCol w:w="109"/>
        <w:gridCol w:w="109"/>
        <w:gridCol w:w="265"/>
        <w:gridCol w:w="448"/>
        <w:gridCol w:w="226"/>
      </w:tblGrid>
      <w:tr>
        <w:trPr/>
        <w:tc>
          <w:tcPr>
            <w:tcW w:w="430"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6632" w:type="dxa"/>
            <w:gridSpan w:val="30"/>
            <w:tcBorders/>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42"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March 31, 2025</w:t>
            </w:r>
          </w:p>
        </w:tc>
        <w:tc>
          <w:tcPr>
            <w:tcW w:w="2601" w:type="dxa"/>
            <w:gridSpan w:val="12"/>
            <w:tcBorders/>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0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Number of 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6"/>
              </w:rPr>
              <w:t xml:space="preserve">Share Price </w:t>
            </w:r>
            <w:r>
              <w:rPr>
                <w:rFonts w:ascii="Arial;sans-serif" w:hAnsi="Arial;sans-serif"/>
                <w:b/>
                <w:color w:val="000000"/>
                <w:sz w:val="10"/>
              </w:rPr>
              <w:t>(a)</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 Amount</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Number of 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6"/>
              </w:rPr>
              <w:t xml:space="preserve">Share Price </w:t>
            </w:r>
            <w:r>
              <w:rPr>
                <w:rFonts w:ascii="Arial;sans-serif" w:hAnsi="Arial;sans-serif"/>
                <w:b/>
                <w:color w:val="000000"/>
                <w:sz w:val="10"/>
              </w:rPr>
              <w:t>(a)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 Amount</w:t>
            </w:r>
          </w:p>
        </w:tc>
      </w:tr>
      <w:tr>
        <w:trPr/>
        <w:tc>
          <w:tcPr>
            <w:tcW w:w="1186"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Share repurchases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300,000 </w:t>
            </w:r>
          </w:p>
        </w:tc>
        <w:tc>
          <w:tcPr>
            <w:tcW w:w="223"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85"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336.42 </w:t>
            </w:r>
          </w:p>
        </w:tc>
        <w:tc>
          <w:tcPr>
            <w:tcW w:w="115"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02"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101 </w:t>
            </w:r>
          </w:p>
        </w:tc>
        <w:tc>
          <w:tcPr>
            <w:tcW w:w="129"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452,130 </w:t>
            </w:r>
          </w:p>
        </w:tc>
        <w:tc>
          <w:tcPr>
            <w:tcW w:w="321"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85"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186.24 </w:t>
            </w:r>
          </w:p>
        </w:tc>
        <w:tc>
          <w:tcPr>
            <w:tcW w:w="115"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48"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85 </w:t>
            </w:r>
          </w:p>
        </w:tc>
        <w:tc>
          <w:tcPr>
            <w:tcW w:w="226"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Share retirements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827"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(300,000)</w:t>
            </w:r>
          </w:p>
        </w:tc>
        <w:tc>
          <w:tcPr>
            <w:tcW w:w="223"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336.42 </w:t>
            </w:r>
          </w:p>
        </w:tc>
        <w:tc>
          <w:tcPr>
            <w:tcW w:w="115"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(101)</w:t>
            </w:r>
          </w:p>
        </w:tc>
        <w:tc>
          <w:tcPr>
            <w:tcW w:w="129"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(452,130)</w:t>
            </w:r>
          </w:p>
        </w:tc>
        <w:tc>
          <w:tcPr>
            <w:tcW w:w="321"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186.24 </w:t>
            </w:r>
          </w:p>
        </w:tc>
        <w:tc>
          <w:tcPr>
            <w:tcW w:w="115"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(85)</w:t>
            </w:r>
          </w:p>
        </w:tc>
        <w:tc>
          <w:tcPr>
            <w:tcW w:w="226"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14"/>
        </w:rPr>
      </w:pPr>
      <w:r>
        <w:rPr>
          <w:rFonts w:ascii="Arial;sans-serif" w:hAnsi="Arial;sans-serif"/>
          <w:b w:val="false"/>
          <w:color w:val="000000"/>
          <w:sz w:val="14"/>
        </w:rPr>
        <w:t>__________________</w:t>
      </w:r>
    </w:p>
    <w:p>
      <w:pPr>
        <w:pStyle w:val="TextBody"/>
        <w:bidi w:val="0"/>
        <w:spacing w:lineRule="auto" w:line="288" w:before="0" w:after="180"/>
        <w:ind w:left="0" w:right="0" w:hanging="360"/>
        <w:jc w:val="left"/>
        <w:rPr>
          <w:rFonts w:ascii="Arial;sans-serif" w:hAnsi="Arial;sans-serif"/>
          <w:b w:val="false"/>
          <w:color w:val="000000"/>
          <w:sz w:val="14"/>
        </w:rPr>
      </w:pPr>
      <w:r>
        <w:rPr>
          <w:rFonts w:ascii="Arial;sans-serif" w:hAnsi="Arial;sans-serif"/>
          <w:b w:val="false"/>
          <w:color w:val="000000"/>
          <w:sz w:val="14"/>
        </w:rPr>
        <w:t>(a)Weighted average price per share, including transaction costs and excise taxes.</w:t>
      </w:r>
    </w:p>
    <w:p>
      <w:pPr>
        <w:pStyle w:val="TextBody"/>
        <w:bidi w:val="0"/>
        <w:spacing w:lineRule="auto" w:line="288" w:before="0" w:after="180"/>
        <w:ind w:left="0" w:right="0" w:firstLine="360"/>
        <w:jc w:val="left"/>
        <w:rPr>
          <w:rFonts w:ascii="Arial;sans-serif" w:hAnsi="Arial;sans-serif"/>
          <w:b w:val="false"/>
          <w:color w:val="000000"/>
          <w:sz w:val="18"/>
        </w:rPr>
      </w:pPr>
      <w:r>
        <w:rPr>
          <w:rFonts w:ascii="Arial;sans-serif" w:hAnsi="Arial;sans-serif"/>
          <w:b w:val="false"/>
          <w:color w:val="000000"/>
          <w:sz w:val="18"/>
        </w:rPr>
        <w:t>As of March 31, 2026, all repurchased shares have been retired. See Note 1 to the Annual Financial Statements for the accounting policy related to treasury stock and retirement of treasury stock.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ind w:left="0" w:right="0" w:firstLine="360"/>
        <w:jc w:val="left"/>
        <w:rPr>
          <w:rFonts w:ascii="Arial;sans-serif" w:hAnsi="Arial;sans-serif"/>
          <w:b/>
          <w:i/>
          <w:color w:val="000000"/>
          <w:sz w:val="18"/>
        </w:rPr>
      </w:pPr>
      <w:r>
        <w:rPr>
          <w:rFonts w:ascii="Arial;sans-serif" w:hAnsi="Arial;sans-serif"/>
          <w:b/>
          <w:i/>
          <w:color w:val="000000"/>
          <w:sz w:val="18"/>
        </w:rPr>
        <w:t>Accumulated Other Comprehensive Income</w:t>
      </w:r>
    </w:p>
    <w:p>
      <w:pPr>
        <w:pStyle w:val="TextBody"/>
        <w:bidi w:val="0"/>
        <w:spacing w:lineRule="auto" w:line="288" w:before="0" w:after="180"/>
        <w:ind w:left="0" w:right="0" w:firstLine="360"/>
        <w:jc w:val="left"/>
        <w:rPr>
          <w:rFonts w:ascii="Arial;sans-serif" w:hAnsi="Arial;sans-serif"/>
          <w:b w:val="false"/>
          <w:color w:val="000000"/>
          <w:sz w:val="18"/>
        </w:rPr>
      </w:pPr>
      <w:r>
        <w:rPr>
          <w:rFonts w:ascii="Arial;sans-serif" w:hAnsi="Arial;sans-serif"/>
          <w:b w:val="false"/>
          <w:color w:val="000000"/>
          <w:sz w:val="18"/>
        </w:rPr>
        <w:t>Changes in AOCI for the periods were:</w:t>
      </w:r>
    </w:p>
    <w:tbl>
      <w:tblPr>
        <w:tblW w:w="7994" w:type="dxa"/>
        <w:jc w:val="left"/>
        <w:tblInd w:w="0" w:type="dxa"/>
        <w:tblLayout w:type="fixed"/>
        <w:tblCellMar>
          <w:top w:w="28" w:type="dxa"/>
          <w:left w:w="28" w:type="dxa"/>
          <w:bottom w:w="28" w:type="dxa"/>
          <w:right w:w="28" w:type="dxa"/>
        </w:tblCellMar>
      </w:tblPr>
      <w:tblGrid>
        <w:gridCol w:w="1599"/>
        <w:gridCol w:w="1408"/>
        <w:gridCol w:w="1417"/>
        <w:gridCol w:w="109"/>
        <w:gridCol w:w="109"/>
        <w:gridCol w:w="109"/>
        <w:gridCol w:w="285"/>
        <w:gridCol w:w="592"/>
        <w:gridCol w:w="158"/>
        <w:gridCol w:w="158"/>
        <w:gridCol w:w="158"/>
        <w:gridCol w:w="158"/>
        <w:gridCol w:w="285"/>
        <w:gridCol w:w="592"/>
        <w:gridCol w:w="158"/>
        <w:gridCol w:w="109"/>
        <w:gridCol w:w="109"/>
        <w:gridCol w:w="109"/>
        <w:gridCol w:w="109"/>
        <w:gridCol w:w="109"/>
        <w:gridCol w:w="154"/>
      </w:tblGrid>
      <w:tr>
        <w:trPr/>
        <w:tc>
          <w:tcPr>
            <w:tcW w:w="1599" w:type="dxa"/>
            <w:tcBorders/>
            <w:vAlign w:val="center"/>
          </w:tcPr>
          <w:p>
            <w:pPr>
              <w:pStyle w:val="TableContents"/>
              <w:bidi w:val="0"/>
              <w:spacing w:before="0" w:after="283"/>
              <w:jc w:val="left"/>
              <w:rPr>
                <w:sz w:val="4"/>
                <w:szCs w:val="4"/>
              </w:rPr>
            </w:pPr>
            <w:r>
              <w:rPr>
                <w:sz w:val="4"/>
                <w:szCs w:val="4"/>
              </w:rPr>
            </w:r>
          </w:p>
        </w:tc>
        <w:tc>
          <w:tcPr>
            <w:tcW w:w="1408" w:type="dxa"/>
            <w:tcBorders/>
            <w:vAlign w:val="center"/>
          </w:tcPr>
          <w:p>
            <w:pPr>
              <w:pStyle w:val="TableContents"/>
              <w:bidi w:val="0"/>
              <w:spacing w:before="0" w:after="283"/>
              <w:jc w:val="left"/>
              <w:rPr>
                <w:sz w:val="4"/>
                <w:szCs w:val="4"/>
              </w:rPr>
            </w:pPr>
            <w:r>
              <w:rPr>
                <w:sz w:val="4"/>
                <w:szCs w:val="4"/>
              </w:rPr>
            </w:r>
          </w:p>
        </w:tc>
        <w:tc>
          <w:tcPr>
            <w:tcW w:w="14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tcPr>
          <w:p>
            <w:pPr>
              <w:pStyle w:val="TableContents"/>
              <w:bidi w:val="0"/>
              <w:spacing w:before="0" w:after="283"/>
              <w:jc w:val="left"/>
              <w:rPr>
                <w:sz w:val="4"/>
                <w:szCs w:val="4"/>
              </w:rPr>
            </w:pPr>
            <w:r>
              <w:rPr>
                <w:sz w:val="4"/>
                <w:szCs w:val="4"/>
              </w:rPr>
            </w:r>
          </w:p>
        </w:tc>
      </w:tr>
      <w:tr>
        <w:trPr/>
        <w:tc>
          <w:tcPr>
            <w:tcW w:w="4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4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24"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Beginning balance</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92"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(4)</w:t>
            </w:r>
          </w:p>
        </w:tc>
        <w:tc>
          <w:tcPr>
            <w:tcW w:w="158"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92"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(12)</w:t>
            </w:r>
          </w:p>
        </w:tc>
        <w:tc>
          <w:tcPr>
            <w:tcW w:w="158"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Gains (losses) arising during the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24" w:type="dxa"/>
            <w:gridSpan w:val="3"/>
            <w:tcBorders/>
            <w:shd w:fill="E1E1E2"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Reclassifications to Consolidated Statements of Operations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w:t>
            </w:r>
          </w:p>
        </w:tc>
        <w:tc>
          <w:tcPr>
            <w:tcW w:w="158"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w:t>
            </w:r>
          </w:p>
        </w:tc>
        <w:tc>
          <w:tcPr>
            <w:tcW w:w="158"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Income tax benefit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24"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Other comprehensive income (loss)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(7)</w:t>
            </w:r>
          </w:p>
        </w:tc>
        <w:tc>
          <w:tcPr>
            <w:tcW w:w="158"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w:t>
            </w:r>
            <w:r>
              <w:rPr>
                <w:color w:val="000000"/>
              </w:rPr>
              <w:t> </w:t>
            </w:r>
          </w:p>
        </w:tc>
        <w:tc>
          <w:tcPr>
            <w:tcW w:w="158"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5" w:type="dxa"/>
            <w:gridSpan w:val="3"/>
            <w:tcBorders/>
            <w:vAlign w:val="center"/>
          </w:tcPr>
          <w:p>
            <w:pPr>
              <w:pStyle w:val="TableContents"/>
              <w:bidi w:val="0"/>
              <w:spacing w:before="0" w:after="283"/>
              <w:jc w:val="left"/>
              <w:rPr>
                <w:sz w:val="4"/>
                <w:szCs w:val="4"/>
              </w:rPr>
            </w:pPr>
            <w:r>
              <w:rPr>
                <w:sz w:val="4"/>
                <w:szCs w:val="4"/>
              </w:rPr>
            </w:r>
          </w:p>
        </w:tc>
        <w:tc>
          <w:tcPr>
            <w:tcW w:w="474" w:type="dxa"/>
            <w:gridSpan w:val="3"/>
            <w:tcBorders/>
            <w:vAlign w:val="center"/>
          </w:tcPr>
          <w:p>
            <w:pPr>
              <w:pStyle w:val="TableContents"/>
              <w:bidi w:val="0"/>
              <w:spacing w:before="0" w:after="283"/>
              <w:jc w:val="left"/>
              <w:rPr>
                <w:sz w:val="4"/>
                <w:szCs w:val="4"/>
              </w:rPr>
            </w:pPr>
            <w:r>
              <w:rPr>
                <w:sz w:val="4"/>
                <w:szCs w:val="4"/>
              </w:rPr>
            </w:r>
          </w:p>
        </w:tc>
        <w:tc>
          <w:tcPr>
            <w:tcW w:w="103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24"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Accumulated other comprehensive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(11)</w:t>
            </w:r>
          </w:p>
        </w:tc>
        <w:tc>
          <w:tcPr>
            <w:tcW w:w="1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(10)</w:t>
            </w:r>
          </w:p>
        </w:tc>
        <w:tc>
          <w:tcPr>
            <w:tcW w:w="1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180"/>
        <w:ind w:left="0" w:right="0" w:firstLine="360"/>
        <w:jc w:val="left"/>
        <w:rPr>
          <w:rFonts w:ascii="Arial;sans-serif" w:hAnsi="Arial;sans-serif"/>
          <w:b w:val="false"/>
          <w:color w:val="000000"/>
          <w:sz w:val="18"/>
        </w:rPr>
      </w:pPr>
      <w:r>
        <w:rPr>
          <w:rFonts w:ascii="Arial;sans-serif" w:hAnsi="Arial;sans-serif"/>
          <w:b w:val="false"/>
          <w:color w:val="000000"/>
          <w:sz w:val="18"/>
        </w:rPr>
        <w:t>The components of AOCI, net of tax, as of March 31, were:</w:t>
      </w:r>
    </w:p>
    <w:tbl>
      <w:tblPr>
        <w:tblW w:w="7338" w:type="dxa"/>
        <w:jc w:val="left"/>
        <w:tblInd w:w="0" w:type="dxa"/>
        <w:tblLayout w:type="fixed"/>
        <w:tblCellMar>
          <w:top w:w="28" w:type="dxa"/>
          <w:left w:w="28" w:type="dxa"/>
          <w:bottom w:w="28" w:type="dxa"/>
          <w:right w:w="28" w:type="dxa"/>
        </w:tblCellMar>
      </w:tblPr>
      <w:tblGrid>
        <w:gridCol w:w="1483"/>
        <w:gridCol w:w="1304"/>
        <w:gridCol w:w="1308"/>
        <w:gridCol w:w="109"/>
        <w:gridCol w:w="109"/>
        <w:gridCol w:w="109"/>
        <w:gridCol w:w="285"/>
        <w:gridCol w:w="592"/>
        <w:gridCol w:w="158"/>
        <w:gridCol w:w="158"/>
        <w:gridCol w:w="158"/>
        <w:gridCol w:w="158"/>
        <w:gridCol w:w="285"/>
        <w:gridCol w:w="592"/>
        <w:gridCol w:w="158"/>
        <w:gridCol w:w="109"/>
        <w:gridCol w:w="109"/>
        <w:gridCol w:w="154"/>
      </w:tblGrid>
      <w:tr>
        <w:trPr/>
        <w:tc>
          <w:tcPr>
            <w:tcW w:w="1483"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3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4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95"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Available-for-sale securities unrealized gain (loss), net</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92"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w:t>
            </w:r>
          </w:p>
        </w:tc>
        <w:tc>
          <w:tcPr>
            <w:tcW w:w="158"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92"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5" w:type="dxa"/>
            <w:gridSpan w:val="3"/>
            <w:tcBorders/>
            <w:vAlign w:val="center"/>
          </w:tcPr>
          <w:p>
            <w:pPr>
              <w:pStyle w:val="TableContents"/>
              <w:bidi w:val="0"/>
              <w:spacing w:before="0" w:after="283"/>
              <w:jc w:val="left"/>
              <w:rPr>
                <w:sz w:val="4"/>
                <w:szCs w:val="4"/>
              </w:rPr>
            </w:pPr>
            <w:r>
              <w:rPr>
                <w:sz w:val="4"/>
                <w:szCs w:val="4"/>
              </w:rPr>
            </w:r>
          </w:p>
        </w:tc>
        <w:tc>
          <w:tcPr>
            <w:tcW w:w="474" w:type="dxa"/>
            <w:gridSpan w:val="3"/>
            <w:tcBorders/>
            <w:vAlign w:val="center"/>
          </w:tcPr>
          <w:p>
            <w:pPr>
              <w:pStyle w:val="TableContents"/>
              <w:bidi w:val="0"/>
              <w:spacing w:before="0" w:after="283"/>
              <w:jc w:val="left"/>
              <w:rPr>
                <w:sz w:val="4"/>
                <w:szCs w:val="4"/>
              </w:rPr>
            </w:pPr>
            <w:r>
              <w:rPr>
                <w:sz w:val="4"/>
                <w:szCs w:val="4"/>
              </w:rPr>
            </w:r>
          </w:p>
        </w:tc>
        <w:tc>
          <w:tcPr>
            <w:tcW w:w="103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Postretirement benefit prior service credits (costs),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95"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Postretirement benefit actuarial gain (loss), net</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w:t>
            </w:r>
          </w:p>
        </w:tc>
        <w:tc>
          <w:tcPr>
            <w:tcW w:w="158"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w:t>
            </w:r>
          </w:p>
        </w:tc>
        <w:tc>
          <w:tcPr>
            <w:tcW w:w="158"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95"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Accumulated other comprehensive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(11)</w:t>
            </w:r>
          </w:p>
        </w:tc>
        <w:tc>
          <w:tcPr>
            <w:tcW w:w="1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(10)</w:t>
            </w:r>
          </w:p>
        </w:tc>
        <w:tc>
          <w:tcPr>
            <w:tcW w:w="1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Arial;sans-serif" w:hAnsi="Arial;sans-serif"/>
          <w:b w:val="false"/>
          <w:color w:val="000000"/>
          <w:sz w:val="18"/>
        </w:rPr>
      </w:pPr>
      <w:r>
        <w:rPr>
          <w:rFonts w:ascii="Arial;sans-serif" w:hAnsi="Arial;sans-serif"/>
          <w:b w:val="false"/>
          <w:color w:val="000000"/>
          <w:sz w:val="18"/>
        </w:rPr>
        <w:t>Reclassification adjustments from AOCI to the Consolidated Statements of Operations were non-material amounts for the three months ended March 31, 2026 and 2025.</w:t>
      </w:r>
    </w:p>
    <w:p>
      <w:pPr>
        <w:pStyle w:val="TextBody"/>
        <w:bidi w:val="0"/>
        <w:spacing w:lineRule="auto" w:line="288" w:before="0" w:after="180"/>
        <w:ind w:left="0" w:right="0" w:firstLine="360"/>
        <w:jc w:val="left"/>
        <w:rPr>
          <w:rFonts w:ascii="Arial;sans-serif" w:hAnsi="Arial;sans-serif"/>
          <w:b w:val="false"/>
          <w:color w:val="000000"/>
          <w:sz w:val="18"/>
        </w:rPr>
      </w:pPr>
      <w:r>
        <w:rPr>
          <w:rFonts w:ascii="Arial;sans-serif" w:hAnsi="Arial;sans-serif"/>
          <w:b w:val="false"/>
          <w:color w:val="000000"/>
          <w:sz w:val="18"/>
        </w:rPr>
        <w:t>The postretirement obligations components of AOCI are not presented in their entirety on the Consolidated Statements of Operations during the periods; rather, they are included in the computation of net periodic defined benefit costs (credits). See Note 12 for additional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16840"/>
                <wp:effectExtent l="0" t="0" r="0" b="0"/>
                <wp:wrapNone/>
                <wp:docPr id="27" name="Frame27"/>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25</w:t>
                      </w:r>
                    </w:p>
                  </w:txbxContent>
                </v:textbox>
                <w10:wrap type="none"/>
              </v:rect>
            </w:pict>
          </mc:Fallback>
        </mc:AlternateContent>
      </w:r>
    </w:p>
    <w:p>
      <w:pPr>
        <w:pStyle w:val="TextBody"/>
        <w:bidi w:val="0"/>
        <w:spacing w:lineRule="auto" w:line="288" w:before="0" w:after="180"/>
        <w:jc w:val="left"/>
        <w:rPr/>
      </w:pPr>
      <w:hyperlink w:anchor="if20e1f3d5a734e3eabbb6aa8f57c7562_45">
        <w:r>
          <w:rPr>
            <w:rStyle w:val="InternetLink"/>
            <w:rFonts w:ascii="Arial;sans-serif" w:hAnsi="Arial;sans-serif"/>
            <w:b w:val="false"/>
            <w:color w:val="0000FF"/>
            <w:sz w:val="18"/>
            <w:u w:val="single"/>
          </w:rPr>
          <w:t>Table of Contents</w:t>
        </w:r>
      </w:hyperlink>
    </w:p>
    <w:p>
      <w:pPr>
        <w:pStyle w:val="TextBody"/>
        <w:bidi w:val="0"/>
        <w:spacing w:lineRule="auto" w:line="288" w:before="0" w:after="180"/>
        <w:jc w:val="left"/>
        <w:rPr>
          <w:rFonts w:ascii="Arial;sans-serif" w:hAnsi="Arial;sans-serif"/>
          <w:b/>
          <w:color w:val="000000"/>
          <w:sz w:val="18"/>
        </w:rPr>
      </w:pPr>
      <w:r>
        <w:rPr>
          <w:rFonts w:ascii="Arial;sans-serif" w:hAnsi="Arial;sans-serif"/>
          <w:b/>
          <w:color w:val="000000"/>
          <w:sz w:val="18"/>
        </w:rPr>
        <w:t>16. Supplemental Cash Flow Information</w:t>
      </w:r>
    </w:p>
    <w:p>
      <w:pPr>
        <w:pStyle w:val="TextBody"/>
        <w:bidi w:val="0"/>
        <w:spacing w:lineRule="auto" w:line="288" w:before="0" w:after="180"/>
        <w:ind w:left="0" w:right="0" w:firstLine="360"/>
        <w:jc w:val="left"/>
        <w:rPr>
          <w:rFonts w:ascii="Arial;sans-serif" w:hAnsi="Arial;sans-serif"/>
          <w:b w:val="false"/>
          <w:color w:val="000000"/>
          <w:sz w:val="18"/>
        </w:rPr>
      </w:pPr>
      <w:r>
        <w:rPr>
          <w:rFonts w:ascii="Arial;sans-serif" w:hAnsi="Arial;sans-serif"/>
          <w:b w:val="false"/>
          <w:color w:val="000000"/>
          <w:sz w:val="18"/>
        </w:rPr>
        <w:t>Supplemental information for the Consolidated Statements of Cash Flows for the periods was:</w:t>
      </w:r>
    </w:p>
    <w:tbl>
      <w:tblPr>
        <w:tblW w:w="10205" w:type="dxa"/>
        <w:jc w:val="left"/>
        <w:tblInd w:w="0" w:type="dxa"/>
        <w:tblLayout w:type="fixed"/>
        <w:tblCellMar>
          <w:top w:w="28" w:type="dxa"/>
          <w:left w:w="28" w:type="dxa"/>
          <w:bottom w:w="28" w:type="dxa"/>
          <w:right w:w="28" w:type="dxa"/>
        </w:tblCellMar>
      </w:tblPr>
      <w:tblGrid>
        <w:gridCol w:w="2483"/>
        <w:gridCol w:w="2159"/>
        <w:gridCol w:w="2164"/>
        <w:gridCol w:w="109"/>
        <w:gridCol w:w="109"/>
        <w:gridCol w:w="109"/>
        <w:gridCol w:w="269"/>
        <w:gridCol w:w="598"/>
        <w:gridCol w:w="149"/>
        <w:gridCol w:w="149"/>
        <w:gridCol w:w="149"/>
        <w:gridCol w:w="149"/>
        <w:gridCol w:w="269"/>
        <w:gridCol w:w="598"/>
        <w:gridCol w:w="149"/>
        <w:gridCol w:w="109"/>
        <w:gridCol w:w="109"/>
        <w:gridCol w:w="109"/>
        <w:gridCol w:w="109"/>
        <w:gridCol w:w="157"/>
      </w:tblGrid>
      <w:tr>
        <w:trPr/>
        <w:tc>
          <w:tcPr>
            <w:tcW w:w="2483" w:type="dxa"/>
            <w:tcBorders/>
            <w:vAlign w:val="center"/>
          </w:tcPr>
          <w:p>
            <w:pPr>
              <w:pStyle w:val="TableContents"/>
              <w:bidi w:val="0"/>
              <w:spacing w:before="0" w:after="283"/>
              <w:jc w:val="left"/>
              <w:rPr>
                <w:sz w:val="4"/>
                <w:szCs w:val="4"/>
              </w:rPr>
            </w:pPr>
            <w:r>
              <w:rPr>
                <w:sz w:val="4"/>
                <w:szCs w:val="4"/>
              </w:rPr>
            </w:r>
          </w:p>
        </w:tc>
        <w:tc>
          <w:tcPr>
            <w:tcW w:w="2159" w:type="dxa"/>
            <w:tcBorders/>
            <w:vAlign w:val="center"/>
          </w:tcPr>
          <w:p>
            <w:pPr>
              <w:pStyle w:val="TableContents"/>
              <w:bidi w:val="0"/>
              <w:spacing w:before="0" w:after="283"/>
              <w:jc w:val="left"/>
              <w:rPr>
                <w:sz w:val="4"/>
                <w:szCs w:val="4"/>
              </w:rPr>
            </w:pPr>
            <w:r>
              <w:rPr>
                <w:sz w:val="4"/>
                <w:szCs w:val="4"/>
              </w:rPr>
            </w:r>
          </w:p>
        </w:tc>
        <w:tc>
          <w:tcPr>
            <w:tcW w:w="2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gridSpan w:val="2"/>
            <w:tcBorders/>
          </w:tcPr>
          <w:p>
            <w:pPr>
              <w:pStyle w:val="TableContents"/>
              <w:bidi w:val="0"/>
              <w:spacing w:before="0" w:after="283"/>
              <w:jc w:val="left"/>
              <w:rPr>
                <w:sz w:val="4"/>
                <w:szCs w:val="4"/>
              </w:rPr>
            </w:pPr>
            <w:r>
              <w:rPr>
                <w:sz w:val="4"/>
                <w:szCs w:val="4"/>
              </w:rPr>
            </w:r>
          </w:p>
        </w:tc>
      </w:tr>
      <w:tr>
        <w:trPr/>
        <w:tc>
          <w:tcPr>
            <w:tcW w:w="680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4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806"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Cash paid (received) during the period</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top w:val="single" w:sz="8" w:space="0" w:color="000000"/>
            </w:tcBorders>
            <w:shd w:fill="E1E1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top w:val="single" w:sz="8" w:space="0" w:color="000000"/>
            </w:tcBorders>
            <w:shd w:fill="E1E1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8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Interest and other finance charges, net of capitalized interest </w:t>
            </w:r>
            <w:r>
              <w:rPr>
                <w:rFonts w:ascii="Arial;sans-serif" w:hAnsi="Arial;sans-serif"/>
                <w:b w:val="false"/>
                <w:color w:val="000000"/>
                <w:sz w:val="10"/>
              </w:rPr>
              <w:t>(a)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806"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Income taxes, net</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w:t>
            </w:r>
          </w:p>
        </w:tc>
        <w:tc>
          <w:tcPr>
            <w:tcW w:w="14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19 </w:t>
            </w:r>
          </w:p>
        </w:tc>
        <w:tc>
          <w:tcPr>
            <w:tcW w:w="14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8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ind w:left="0" w:right="0" w:hanging="90"/>
              <w:jc w:val="left"/>
              <w:rPr>
                <w:sz w:val="4"/>
                <w:szCs w:val="4"/>
              </w:rPr>
            </w:pPr>
            <w:r>
              <w:rPr>
                <w:sz w:val="4"/>
                <w:szCs w:val="4"/>
              </w:rPr>
            </w:r>
          </w:p>
        </w:tc>
      </w:tr>
      <w:tr>
        <w:trPr/>
        <w:tc>
          <w:tcPr>
            <w:tcW w:w="68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Unrealized (gain) loss on derivative instruments included on the Statements of Cash Flows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806"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Commodity contracts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98" w:type="dxa"/>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154 </w:t>
            </w:r>
          </w:p>
        </w:tc>
        <w:tc>
          <w:tcPr>
            <w:tcW w:w="14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98" w:type="dxa"/>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182 </w:t>
            </w:r>
          </w:p>
        </w:tc>
        <w:tc>
          <w:tcPr>
            <w:tcW w:w="14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8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rate swap contracts (interest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806"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Unrealized (gain) loss on derivative instruments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98"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152</w:t>
            </w:r>
            <w:r>
              <w:rPr>
                <w:color w:val="000000"/>
              </w:rPr>
              <w:t> </w:t>
            </w:r>
          </w:p>
        </w:tc>
        <w:tc>
          <w:tcPr>
            <w:tcW w:w="149"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98"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196</w:t>
            </w:r>
            <w:r>
              <w:rPr>
                <w:color w:val="000000"/>
              </w:rPr>
              <w:t> </w:t>
            </w:r>
          </w:p>
        </w:tc>
        <w:tc>
          <w:tcPr>
            <w:tcW w:w="149"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8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ind w:left="0" w:right="0" w:hanging="90"/>
              <w:jc w:val="left"/>
              <w:rPr>
                <w:sz w:val="4"/>
                <w:szCs w:val="4"/>
              </w:rPr>
            </w:pPr>
            <w:r>
              <w:rPr>
                <w:sz w:val="4"/>
                <w:szCs w:val="4"/>
              </w:rPr>
            </w:r>
          </w:p>
        </w:tc>
      </w:tr>
      <w:tr>
        <w:trPr/>
        <w:tc>
          <w:tcPr>
            <w:tcW w:w="68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Depreciation, amortization and accretion included on the Statements of Cash Flows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806"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Depreciation, amortization and accretion</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98" w:type="dxa"/>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92 </w:t>
            </w:r>
          </w:p>
        </w:tc>
        <w:tc>
          <w:tcPr>
            <w:tcW w:w="14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98" w:type="dxa"/>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74 </w:t>
            </w:r>
          </w:p>
        </w:tc>
        <w:tc>
          <w:tcPr>
            <w:tcW w:w="14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ind w:left="0" w:right="0" w:hanging="90"/>
              <w:jc w:val="left"/>
              <w:rPr>
                <w:sz w:val="4"/>
                <w:szCs w:val="4"/>
              </w:rPr>
            </w:pPr>
            <w:r>
              <w:rPr>
                <w:sz w:val="4"/>
                <w:szCs w:val="4"/>
              </w:rPr>
            </w:r>
          </w:p>
        </w:tc>
      </w:tr>
      <w:tr>
        <w:trPr/>
        <w:tc>
          <w:tcPr>
            <w:tcW w:w="68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Amortization of acquired fuel supply contract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8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6" w:type="dxa"/>
            <w:gridSpan w:val="3"/>
            <w:tcBorders/>
            <w:vAlign w:val="center"/>
          </w:tcPr>
          <w:p>
            <w:pPr>
              <w:pStyle w:val="TableContents"/>
              <w:bidi w:val="0"/>
              <w:spacing w:before="0" w:after="283"/>
              <w:jc w:val="left"/>
              <w:rPr>
                <w:sz w:val="4"/>
                <w:szCs w:val="4"/>
              </w:rPr>
            </w:pPr>
            <w:r>
              <w:rPr>
                <w:sz w:val="4"/>
                <w:szCs w:val="4"/>
              </w:rPr>
            </w:r>
          </w:p>
        </w:tc>
        <w:tc>
          <w:tcPr>
            <w:tcW w:w="447" w:type="dxa"/>
            <w:gridSpan w:val="3"/>
            <w:tcBorders/>
            <w:vAlign w:val="center"/>
          </w:tcPr>
          <w:p>
            <w:pPr>
              <w:pStyle w:val="TableContents"/>
              <w:bidi w:val="0"/>
              <w:spacing w:before="0" w:after="283"/>
              <w:jc w:val="left"/>
              <w:rPr>
                <w:sz w:val="4"/>
                <w:szCs w:val="4"/>
              </w:rPr>
            </w:pPr>
            <w:r>
              <w:rPr>
                <w:sz w:val="4"/>
                <w:szCs w:val="4"/>
              </w:rPr>
            </w:r>
          </w:p>
        </w:tc>
        <w:tc>
          <w:tcPr>
            <w:tcW w:w="10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806"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3 </w:t>
            </w:r>
          </w:p>
        </w:tc>
        <w:tc>
          <w:tcPr>
            <w:tcW w:w="14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w:t>
            </w:r>
          </w:p>
        </w:tc>
        <w:tc>
          <w:tcPr>
            <w:tcW w:w="14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80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 xml:space="preserve">Depreciation, amortization and accretion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66</w:t>
            </w:r>
            <w:r>
              <w:rPr>
                <w:color w:val="000000"/>
              </w:rPr>
              <w:t> </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72</w:t>
            </w:r>
            <w:r>
              <w:rPr>
                <w:color w:val="000000"/>
              </w:rPr>
              <w:t> </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8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806"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Reconciliation of other non-cash operating activities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8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Derivative option premium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8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6" w:type="dxa"/>
            <w:gridSpan w:val="3"/>
            <w:tcBorders/>
            <w:vAlign w:val="center"/>
          </w:tcPr>
          <w:p>
            <w:pPr>
              <w:pStyle w:val="TableContents"/>
              <w:bidi w:val="0"/>
              <w:spacing w:before="0" w:after="283"/>
              <w:jc w:val="left"/>
              <w:rPr>
                <w:sz w:val="4"/>
                <w:szCs w:val="4"/>
              </w:rPr>
            </w:pPr>
            <w:r>
              <w:rPr>
                <w:sz w:val="4"/>
                <w:szCs w:val="4"/>
              </w:rPr>
            </w:r>
          </w:p>
        </w:tc>
        <w:tc>
          <w:tcPr>
            <w:tcW w:w="447" w:type="dxa"/>
            <w:gridSpan w:val="3"/>
            <w:tcBorders/>
            <w:vAlign w:val="center"/>
          </w:tcPr>
          <w:p>
            <w:pPr>
              <w:pStyle w:val="TableContents"/>
              <w:bidi w:val="0"/>
              <w:spacing w:before="0" w:after="283"/>
              <w:jc w:val="left"/>
              <w:rPr>
                <w:sz w:val="4"/>
                <w:szCs w:val="4"/>
              </w:rPr>
            </w:pPr>
            <w:r>
              <w:rPr>
                <w:sz w:val="4"/>
                <w:szCs w:val="4"/>
              </w:rPr>
            </w:r>
          </w:p>
        </w:tc>
        <w:tc>
          <w:tcPr>
            <w:tcW w:w="10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8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6" w:type="dxa"/>
            <w:gridSpan w:val="3"/>
            <w:tcBorders/>
            <w:vAlign w:val="center"/>
          </w:tcPr>
          <w:p>
            <w:pPr>
              <w:pStyle w:val="TableContents"/>
              <w:bidi w:val="0"/>
              <w:spacing w:before="0" w:after="283"/>
              <w:jc w:val="left"/>
              <w:rPr>
                <w:sz w:val="4"/>
                <w:szCs w:val="4"/>
              </w:rPr>
            </w:pPr>
            <w:r>
              <w:rPr>
                <w:sz w:val="4"/>
                <w:szCs w:val="4"/>
              </w:rPr>
            </w:r>
          </w:p>
        </w:tc>
        <w:tc>
          <w:tcPr>
            <w:tcW w:w="447" w:type="dxa"/>
            <w:gridSpan w:val="3"/>
            <w:tcBorders/>
            <w:vAlign w:val="center"/>
          </w:tcPr>
          <w:p>
            <w:pPr>
              <w:pStyle w:val="TableContents"/>
              <w:bidi w:val="0"/>
              <w:spacing w:before="0" w:after="283"/>
              <w:jc w:val="left"/>
              <w:rPr>
                <w:sz w:val="4"/>
                <w:szCs w:val="4"/>
              </w:rPr>
            </w:pPr>
            <w:r>
              <w:rPr>
                <w:sz w:val="4"/>
                <w:szCs w:val="4"/>
              </w:rPr>
            </w:r>
          </w:p>
        </w:tc>
        <w:tc>
          <w:tcPr>
            <w:tcW w:w="10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8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6" w:type="dxa"/>
            <w:gridSpan w:val="3"/>
            <w:tcBorders/>
            <w:vAlign w:val="center"/>
          </w:tcPr>
          <w:p>
            <w:pPr>
              <w:pStyle w:val="TableContents"/>
              <w:bidi w:val="0"/>
              <w:spacing w:before="0" w:after="283"/>
              <w:jc w:val="left"/>
              <w:rPr>
                <w:sz w:val="4"/>
                <w:szCs w:val="4"/>
              </w:rPr>
            </w:pPr>
            <w:r>
              <w:rPr>
                <w:sz w:val="4"/>
                <w:szCs w:val="4"/>
              </w:rPr>
            </w:r>
          </w:p>
        </w:tc>
        <w:tc>
          <w:tcPr>
            <w:tcW w:w="447" w:type="dxa"/>
            <w:gridSpan w:val="3"/>
            <w:tcBorders/>
            <w:vAlign w:val="center"/>
          </w:tcPr>
          <w:p>
            <w:pPr>
              <w:pStyle w:val="TableContents"/>
              <w:bidi w:val="0"/>
              <w:spacing w:before="0" w:after="283"/>
              <w:jc w:val="left"/>
              <w:rPr>
                <w:sz w:val="4"/>
                <w:szCs w:val="4"/>
              </w:rPr>
            </w:pPr>
            <w:r>
              <w:rPr>
                <w:sz w:val="4"/>
                <w:szCs w:val="4"/>
              </w:rPr>
            </w:r>
          </w:p>
        </w:tc>
        <w:tc>
          <w:tcPr>
            <w:tcW w:w="10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8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6" w:type="dxa"/>
            <w:gridSpan w:val="3"/>
            <w:tcBorders/>
            <w:vAlign w:val="center"/>
          </w:tcPr>
          <w:p>
            <w:pPr>
              <w:pStyle w:val="TableContents"/>
              <w:bidi w:val="0"/>
              <w:spacing w:before="0" w:after="283"/>
              <w:jc w:val="left"/>
              <w:rPr>
                <w:sz w:val="4"/>
                <w:szCs w:val="4"/>
              </w:rPr>
            </w:pPr>
            <w:r>
              <w:rPr>
                <w:sz w:val="4"/>
                <w:szCs w:val="4"/>
              </w:rPr>
            </w:r>
          </w:p>
        </w:tc>
        <w:tc>
          <w:tcPr>
            <w:tcW w:w="447" w:type="dxa"/>
            <w:gridSpan w:val="3"/>
            <w:tcBorders/>
            <w:vAlign w:val="center"/>
          </w:tcPr>
          <w:p>
            <w:pPr>
              <w:pStyle w:val="TableContents"/>
              <w:bidi w:val="0"/>
              <w:spacing w:before="0" w:after="283"/>
              <w:jc w:val="left"/>
              <w:rPr>
                <w:sz w:val="4"/>
                <w:szCs w:val="4"/>
              </w:rPr>
            </w:pPr>
            <w:r>
              <w:rPr>
                <w:sz w:val="4"/>
                <w:szCs w:val="4"/>
              </w:rPr>
            </w:r>
          </w:p>
        </w:tc>
        <w:tc>
          <w:tcPr>
            <w:tcW w:w="10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8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6" w:type="dxa"/>
            <w:gridSpan w:val="3"/>
            <w:tcBorders/>
            <w:vAlign w:val="center"/>
          </w:tcPr>
          <w:p>
            <w:pPr>
              <w:pStyle w:val="TableContents"/>
              <w:bidi w:val="0"/>
              <w:spacing w:before="0" w:after="283"/>
              <w:jc w:val="left"/>
              <w:rPr>
                <w:sz w:val="4"/>
                <w:szCs w:val="4"/>
              </w:rPr>
            </w:pPr>
            <w:r>
              <w:rPr>
                <w:sz w:val="4"/>
                <w:szCs w:val="4"/>
              </w:rPr>
            </w:r>
          </w:p>
        </w:tc>
        <w:tc>
          <w:tcPr>
            <w:tcW w:w="447" w:type="dxa"/>
            <w:gridSpan w:val="3"/>
            <w:tcBorders/>
            <w:vAlign w:val="center"/>
          </w:tcPr>
          <w:p>
            <w:pPr>
              <w:pStyle w:val="TableContents"/>
              <w:bidi w:val="0"/>
              <w:spacing w:before="0" w:after="283"/>
              <w:jc w:val="left"/>
              <w:rPr>
                <w:sz w:val="4"/>
                <w:szCs w:val="4"/>
              </w:rPr>
            </w:pPr>
            <w:r>
              <w:rPr>
                <w:sz w:val="4"/>
                <w:szCs w:val="4"/>
              </w:rPr>
            </w:r>
          </w:p>
        </w:tc>
        <w:tc>
          <w:tcPr>
            <w:tcW w:w="10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8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6" w:type="dxa"/>
            <w:gridSpan w:val="3"/>
            <w:tcBorders/>
            <w:vAlign w:val="center"/>
          </w:tcPr>
          <w:p>
            <w:pPr>
              <w:pStyle w:val="TableContents"/>
              <w:bidi w:val="0"/>
              <w:spacing w:before="0" w:after="283"/>
              <w:jc w:val="left"/>
              <w:rPr>
                <w:sz w:val="4"/>
                <w:szCs w:val="4"/>
              </w:rPr>
            </w:pPr>
            <w:r>
              <w:rPr>
                <w:sz w:val="4"/>
                <w:szCs w:val="4"/>
              </w:rPr>
            </w:r>
          </w:p>
        </w:tc>
        <w:tc>
          <w:tcPr>
            <w:tcW w:w="447" w:type="dxa"/>
            <w:gridSpan w:val="3"/>
            <w:tcBorders/>
            <w:vAlign w:val="center"/>
          </w:tcPr>
          <w:p>
            <w:pPr>
              <w:pStyle w:val="TableContents"/>
              <w:bidi w:val="0"/>
              <w:spacing w:before="0" w:after="283"/>
              <w:jc w:val="left"/>
              <w:rPr>
                <w:sz w:val="4"/>
                <w:szCs w:val="4"/>
              </w:rPr>
            </w:pPr>
            <w:r>
              <w:rPr>
                <w:sz w:val="4"/>
                <w:szCs w:val="4"/>
              </w:rPr>
            </w:r>
          </w:p>
        </w:tc>
        <w:tc>
          <w:tcPr>
            <w:tcW w:w="10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8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6" w:type="dxa"/>
            <w:gridSpan w:val="3"/>
            <w:tcBorders/>
            <w:vAlign w:val="center"/>
          </w:tcPr>
          <w:p>
            <w:pPr>
              <w:pStyle w:val="TableContents"/>
              <w:bidi w:val="0"/>
              <w:spacing w:before="0" w:after="283"/>
              <w:jc w:val="left"/>
              <w:rPr>
                <w:sz w:val="4"/>
                <w:szCs w:val="4"/>
              </w:rPr>
            </w:pPr>
            <w:r>
              <w:rPr>
                <w:sz w:val="4"/>
                <w:szCs w:val="4"/>
              </w:rPr>
            </w:r>
          </w:p>
        </w:tc>
        <w:tc>
          <w:tcPr>
            <w:tcW w:w="447" w:type="dxa"/>
            <w:gridSpan w:val="3"/>
            <w:tcBorders/>
            <w:vAlign w:val="center"/>
          </w:tcPr>
          <w:p>
            <w:pPr>
              <w:pStyle w:val="TableContents"/>
              <w:bidi w:val="0"/>
              <w:spacing w:before="0" w:after="283"/>
              <w:jc w:val="left"/>
              <w:rPr>
                <w:sz w:val="4"/>
                <w:szCs w:val="4"/>
              </w:rPr>
            </w:pPr>
            <w:r>
              <w:rPr>
                <w:sz w:val="4"/>
                <w:szCs w:val="4"/>
              </w:rPr>
            </w:r>
          </w:p>
        </w:tc>
        <w:tc>
          <w:tcPr>
            <w:tcW w:w="10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8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6" w:type="dxa"/>
            <w:gridSpan w:val="3"/>
            <w:tcBorders/>
            <w:vAlign w:val="center"/>
          </w:tcPr>
          <w:p>
            <w:pPr>
              <w:pStyle w:val="TableContents"/>
              <w:bidi w:val="0"/>
              <w:spacing w:before="0" w:after="283"/>
              <w:jc w:val="left"/>
              <w:rPr>
                <w:sz w:val="4"/>
                <w:szCs w:val="4"/>
              </w:rPr>
            </w:pPr>
            <w:r>
              <w:rPr>
                <w:sz w:val="4"/>
                <w:szCs w:val="4"/>
              </w:rPr>
            </w:r>
          </w:p>
        </w:tc>
        <w:tc>
          <w:tcPr>
            <w:tcW w:w="447" w:type="dxa"/>
            <w:gridSpan w:val="3"/>
            <w:tcBorders/>
            <w:vAlign w:val="center"/>
          </w:tcPr>
          <w:p>
            <w:pPr>
              <w:pStyle w:val="TableContents"/>
              <w:bidi w:val="0"/>
              <w:spacing w:before="0" w:after="283"/>
              <w:jc w:val="left"/>
              <w:rPr>
                <w:sz w:val="4"/>
                <w:szCs w:val="4"/>
              </w:rPr>
            </w:pPr>
            <w:r>
              <w:rPr>
                <w:sz w:val="4"/>
                <w:szCs w:val="4"/>
              </w:rPr>
            </w:r>
          </w:p>
        </w:tc>
        <w:tc>
          <w:tcPr>
            <w:tcW w:w="10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8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6" w:type="dxa"/>
            <w:gridSpan w:val="3"/>
            <w:tcBorders/>
            <w:vAlign w:val="center"/>
          </w:tcPr>
          <w:p>
            <w:pPr>
              <w:pStyle w:val="TableContents"/>
              <w:bidi w:val="0"/>
              <w:spacing w:before="0" w:after="283"/>
              <w:jc w:val="left"/>
              <w:rPr>
                <w:sz w:val="4"/>
                <w:szCs w:val="4"/>
              </w:rPr>
            </w:pPr>
            <w:r>
              <w:rPr>
                <w:sz w:val="4"/>
                <w:szCs w:val="4"/>
              </w:rPr>
            </w:r>
          </w:p>
        </w:tc>
        <w:tc>
          <w:tcPr>
            <w:tcW w:w="447" w:type="dxa"/>
            <w:gridSpan w:val="3"/>
            <w:tcBorders/>
            <w:vAlign w:val="center"/>
          </w:tcPr>
          <w:p>
            <w:pPr>
              <w:pStyle w:val="TableContents"/>
              <w:bidi w:val="0"/>
              <w:spacing w:before="0" w:after="283"/>
              <w:jc w:val="left"/>
              <w:rPr>
                <w:sz w:val="4"/>
                <w:szCs w:val="4"/>
              </w:rPr>
            </w:pPr>
            <w:r>
              <w:rPr>
                <w:sz w:val="4"/>
                <w:szCs w:val="4"/>
              </w:rPr>
            </w:r>
          </w:p>
        </w:tc>
        <w:tc>
          <w:tcPr>
            <w:tcW w:w="10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8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6" w:type="dxa"/>
            <w:gridSpan w:val="3"/>
            <w:tcBorders/>
            <w:vAlign w:val="center"/>
          </w:tcPr>
          <w:p>
            <w:pPr>
              <w:pStyle w:val="TableContents"/>
              <w:bidi w:val="0"/>
              <w:spacing w:before="0" w:after="283"/>
              <w:jc w:val="left"/>
              <w:rPr>
                <w:sz w:val="4"/>
                <w:szCs w:val="4"/>
              </w:rPr>
            </w:pPr>
            <w:r>
              <w:rPr>
                <w:sz w:val="4"/>
                <w:szCs w:val="4"/>
              </w:rPr>
            </w:r>
          </w:p>
        </w:tc>
        <w:tc>
          <w:tcPr>
            <w:tcW w:w="447" w:type="dxa"/>
            <w:gridSpan w:val="3"/>
            <w:tcBorders/>
            <w:vAlign w:val="center"/>
          </w:tcPr>
          <w:p>
            <w:pPr>
              <w:pStyle w:val="TableContents"/>
              <w:bidi w:val="0"/>
              <w:spacing w:before="0" w:after="283"/>
              <w:jc w:val="left"/>
              <w:rPr>
                <w:sz w:val="4"/>
                <w:szCs w:val="4"/>
              </w:rPr>
            </w:pPr>
            <w:r>
              <w:rPr>
                <w:sz w:val="4"/>
                <w:szCs w:val="4"/>
              </w:rPr>
            </w:r>
          </w:p>
        </w:tc>
        <w:tc>
          <w:tcPr>
            <w:tcW w:w="10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8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6" w:type="dxa"/>
            <w:gridSpan w:val="3"/>
            <w:tcBorders/>
            <w:vAlign w:val="center"/>
          </w:tcPr>
          <w:p>
            <w:pPr>
              <w:pStyle w:val="TableContents"/>
              <w:bidi w:val="0"/>
              <w:spacing w:before="0" w:after="283"/>
              <w:jc w:val="left"/>
              <w:rPr>
                <w:sz w:val="4"/>
                <w:szCs w:val="4"/>
              </w:rPr>
            </w:pPr>
            <w:r>
              <w:rPr>
                <w:sz w:val="4"/>
                <w:szCs w:val="4"/>
              </w:rPr>
            </w:r>
          </w:p>
        </w:tc>
        <w:tc>
          <w:tcPr>
            <w:tcW w:w="447" w:type="dxa"/>
            <w:gridSpan w:val="3"/>
            <w:tcBorders/>
            <w:vAlign w:val="center"/>
          </w:tcPr>
          <w:p>
            <w:pPr>
              <w:pStyle w:val="TableContents"/>
              <w:bidi w:val="0"/>
              <w:spacing w:before="0" w:after="283"/>
              <w:jc w:val="left"/>
              <w:rPr>
                <w:sz w:val="4"/>
                <w:szCs w:val="4"/>
              </w:rPr>
            </w:pPr>
            <w:r>
              <w:rPr>
                <w:sz w:val="4"/>
                <w:szCs w:val="4"/>
              </w:rPr>
            </w:r>
          </w:p>
        </w:tc>
        <w:tc>
          <w:tcPr>
            <w:tcW w:w="10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8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6" w:type="dxa"/>
            <w:gridSpan w:val="3"/>
            <w:tcBorders/>
            <w:vAlign w:val="center"/>
          </w:tcPr>
          <w:p>
            <w:pPr>
              <w:pStyle w:val="TableContents"/>
              <w:bidi w:val="0"/>
              <w:spacing w:before="0" w:after="283"/>
              <w:jc w:val="left"/>
              <w:rPr>
                <w:sz w:val="4"/>
                <w:szCs w:val="4"/>
              </w:rPr>
            </w:pPr>
            <w:r>
              <w:rPr>
                <w:sz w:val="4"/>
                <w:szCs w:val="4"/>
              </w:rPr>
            </w:r>
          </w:p>
        </w:tc>
        <w:tc>
          <w:tcPr>
            <w:tcW w:w="447" w:type="dxa"/>
            <w:gridSpan w:val="3"/>
            <w:tcBorders/>
            <w:vAlign w:val="center"/>
          </w:tcPr>
          <w:p>
            <w:pPr>
              <w:pStyle w:val="TableContents"/>
              <w:bidi w:val="0"/>
              <w:spacing w:before="0" w:after="283"/>
              <w:jc w:val="left"/>
              <w:rPr>
                <w:sz w:val="4"/>
                <w:szCs w:val="4"/>
              </w:rPr>
            </w:pPr>
            <w:r>
              <w:rPr>
                <w:sz w:val="4"/>
                <w:szCs w:val="4"/>
              </w:rPr>
            </w:r>
          </w:p>
        </w:tc>
        <w:tc>
          <w:tcPr>
            <w:tcW w:w="10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8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6" w:type="dxa"/>
            <w:gridSpan w:val="3"/>
            <w:tcBorders/>
            <w:vAlign w:val="center"/>
          </w:tcPr>
          <w:p>
            <w:pPr>
              <w:pStyle w:val="TableContents"/>
              <w:bidi w:val="0"/>
              <w:spacing w:before="0" w:after="283"/>
              <w:jc w:val="left"/>
              <w:rPr>
                <w:sz w:val="4"/>
                <w:szCs w:val="4"/>
              </w:rPr>
            </w:pPr>
            <w:r>
              <w:rPr>
                <w:sz w:val="4"/>
                <w:szCs w:val="4"/>
              </w:rPr>
            </w:r>
          </w:p>
        </w:tc>
        <w:tc>
          <w:tcPr>
            <w:tcW w:w="447" w:type="dxa"/>
            <w:gridSpan w:val="3"/>
            <w:tcBorders/>
            <w:vAlign w:val="center"/>
          </w:tcPr>
          <w:p>
            <w:pPr>
              <w:pStyle w:val="TableContents"/>
              <w:bidi w:val="0"/>
              <w:spacing w:before="0" w:after="283"/>
              <w:jc w:val="left"/>
              <w:rPr>
                <w:sz w:val="4"/>
                <w:szCs w:val="4"/>
              </w:rPr>
            </w:pPr>
            <w:r>
              <w:rPr>
                <w:sz w:val="4"/>
                <w:szCs w:val="4"/>
              </w:rPr>
            </w:r>
          </w:p>
        </w:tc>
        <w:tc>
          <w:tcPr>
            <w:tcW w:w="10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806"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14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w:t>
            </w:r>
          </w:p>
        </w:tc>
        <w:tc>
          <w:tcPr>
            <w:tcW w:w="14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80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 xml:space="preserve">Total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w:t>
            </w:r>
            <w:r>
              <w:rPr>
                <w:color w:val="000000"/>
              </w:rPr>
              <w:t> </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26</w:t>
            </w:r>
            <w:r>
              <w:rPr>
                <w:color w:val="000000"/>
              </w:rPr>
              <w:t> </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8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806"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Non-cash investing activities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806"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Accrued PP&amp;E additions not paid at period end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98"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15 </w:t>
            </w:r>
          </w:p>
        </w:tc>
        <w:tc>
          <w:tcPr>
            <w:tcW w:w="149"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98"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12 </w:t>
            </w:r>
          </w:p>
        </w:tc>
        <w:tc>
          <w:tcPr>
            <w:tcW w:w="149"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8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6" w:type="dxa"/>
            <w:gridSpan w:val="3"/>
            <w:tcBorders/>
            <w:vAlign w:val="center"/>
          </w:tcPr>
          <w:p>
            <w:pPr>
              <w:pStyle w:val="TableContents"/>
              <w:bidi w:val="0"/>
              <w:spacing w:before="0" w:after="283"/>
              <w:jc w:val="left"/>
              <w:rPr>
                <w:sz w:val="4"/>
                <w:szCs w:val="4"/>
              </w:rPr>
            </w:pPr>
            <w:r>
              <w:rPr>
                <w:sz w:val="4"/>
                <w:szCs w:val="4"/>
              </w:rPr>
            </w:r>
          </w:p>
        </w:tc>
        <w:tc>
          <w:tcPr>
            <w:tcW w:w="447" w:type="dxa"/>
            <w:gridSpan w:val="3"/>
            <w:tcBorders/>
            <w:vAlign w:val="center"/>
          </w:tcPr>
          <w:p>
            <w:pPr>
              <w:pStyle w:val="TableContents"/>
              <w:bidi w:val="0"/>
              <w:spacing w:before="0" w:after="283"/>
              <w:jc w:val="left"/>
              <w:rPr>
                <w:sz w:val="4"/>
                <w:szCs w:val="4"/>
              </w:rPr>
            </w:pPr>
            <w:r>
              <w:rPr>
                <w:sz w:val="4"/>
                <w:szCs w:val="4"/>
              </w:rPr>
            </w:r>
          </w:p>
        </w:tc>
        <w:tc>
          <w:tcPr>
            <w:tcW w:w="10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8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6" w:type="dxa"/>
            <w:gridSpan w:val="3"/>
            <w:tcBorders/>
            <w:vAlign w:val="center"/>
          </w:tcPr>
          <w:p>
            <w:pPr>
              <w:pStyle w:val="TableContents"/>
              <w:bidi w:val="0"/>
              <w:spacing w:before="0" w:after="283"/>
              <w:jc w:val="left"/>
              <w:rPr>
                <w:sz w:val="4"/>
                <w:szCs w:val="4"/>
              </w:rPr>
            </w:pPr>
            <w:r>
              <w:rPr>
                <w:sz w:val="4"/>
                <w:szCs w:val="4"/>
              </w:rPr>
            </w:r>
          </w:p>
        </w:tc>
        <w:tc>
          <w:tcPr>
            <w:tcW w:w="447" w:type="dxa"/>
            <w:gridSpan w:val="3"/>
            <w:tcBorders/>
            <w:vAlign w:val="center"/>
          </w:tcPr>
          <w:p>
            <w:pPr>
              <w:pStyle w:val="TableContents"/>
              <w:bidi w:val="0"/>
              <w:spacing w:before="0" w:after="283"/>
              <w:jc w:val="left"/>
              <w:rPr>
                <w:sz w:val="4"/>
                <w:szCs w:val="4"/>
              </w:rPr>
            </w:pPr>
            <w:r>
              <w:rPr>
                <w:sz w:val="4"/>
                <w:szCs w:val="4"/>
              </w:rPr>
            </w:r>
          </w:p>
        </w:tc>
        <w:tc>
          <w:tcPr>
            <w:tcW w:w="10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8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6" w:type="dxa"/>
            <w:gridSpan w:val="3"/>
            <w:tcBorders/>
            <w:vAlign w:val="center"/>
          </w:tcPr>
          <w:p>
            <w:pPr>
              <w:pStyle w:val="TableContents"/>
              <w:bidi w:val="0"/>
              <w:spacing w:before="0" w:after="283"/>
              <w:jc w:val="left"/>
              <w:rPr>
                <w:sz w:val="4"/>
                <w:szCs w:val="4"/>
              </w:rPr>
            </w:pPr>
            <w:r>
              <w:rPr>
                <w:sz w:val="4"/>
                <w:szCs w:val="4"/>
              </w:rPr>
            </w:r>
          </w:p>
        </w:tc>
        <w:tc>
          <w:tcPr>
            <w:tcW w:w="447" w:type="dxa"/>
            <w:gridSpan w:val="3"/>
            <w:tcBorders/>
            <w:vAlign w:val="center"/>
          </w:tcPr>
          <w:p>
            <w:pPr>
              <w:pStyle w:val="TableContents"/>
              <w:bidi w:val="0"/>
              <w:spacing w:before="0" w:after="283"/>
              <w:jc w:val="left"/>
              <w:rPr>
                <w:sz w:val="4"/>
                <w:szCs w:val="4"/>
              </w:rPr>
            </w:pPr>
            <w:r>
              <w:rPr>
                <w:sz w:val="4"/>
                <w:szCs w:val="4"/>
              </w:rPr>
            </w:r>
          </w:p>
        </w:tc>
        <w:tc>
          <w:tcPr>
            <w:tcW w:w="10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8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6" w:type="dxa"/>
            <w:gridSpan w:val="3"/>
            <w:tcBorders/>
            <w:vAlign w:val="center"/>
          </w:tcPr>
          <w:p>
            <w:pPr>
              <w:pStyle w:val="TableContents"/>
              <w:bidi w:val="0"/>
              <w:spacing w:before="0" w:after="283"/>
              <w:jc w:val="left"/>
              <w:rPr>
                <w:sz w:val="4"/>
                <w:szCs w:val="4"/>
              </w:rPr>
            </w:pPr>
            <w:r>
              <w:rPr>
                <w:sz w:val="4"/>
                <w:szCs w:val="4"/>
              </w:rPr>
            </w:r>
          </w:p>
        </w:tc>
        <w:tc>
          <w:tcPr>
            <w:tcW w:w="447" w:type="dxa"/>
            <w:gridSpan w:val="3"/>
            <w:tcBorders/>
            <w:vAlign w:val="center"/>
          </w:tcPr>
          <w:p>
            <w:pPr>
              <w:pStyle w:val="TableContents"/>
              <w:bidi w:val="0"/>
              <w:spacing w:before="0" w:after="283"/>
              <w:jc w:val="left"/>
              <w:rPr>
                <w:sz w:val="4"/>
                <w:szCs w:val="4"/>
              </w:rPr>
            </w:pPr>
            <w:r>
              <w:rPr>
                <w:sz w:val="4"/>
                <w:szCs w:val="4"/>
              </w:rPr>
            </w:r>
          </w:p>
        </w:tc>
        <w:tc>
          <w:tcPr>
            <w:tcW w:w="10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8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6" w:type="dxa"/>
            <w:gridSpan w:val="3"/>
            <w:tcBorders/>
            <w:vAlign w:val="center"/>
          </w:tcPr>
          <w:p>
            <w:pPr>
              <w:pStyle w:val="TableContents"/>
              <w:bidi w:val="0"/>
              <w:spacing w:before="0" w:after="283"/>
              <w:jc w:val="left"/>
              <w:rPr>
                <w:sz w:val="4"/>
                <w:szCs w:val="4"/>
              </w:rPr>
            </w:pPr>
            <w:r>
              <w:rPr>
                <w:sz w:val="4"/>
                <w:szCs w:val="4"/>
              </w:rPr>
            </w:r>
          </w:p>
        </w:tc>
        <w:tc>
          <w:tcPr>
            <w:tcW w:w="447" w:type="dxa"/>
            <w:gridSpan w:val="3"/>
            <w:tcBorders/>
            <w:vAlign w:val="center"/>
          </w:tcPr>
          <w:p>
            <w:pPr>
              <w:pStyle w:val="TableContents"/>
              <w:bidi w:val="0"/>
              <w:spacing w:before="0" w:after="283"/>
              <w:jc w:val="left"/>
              <w:rPr>
                <w:sz w:val="4"/>
                <w:szCs w:val="4"/>
              </w:rPr>
            </w:pPr>
            <w:r>
              <w:rPr>
                <w:sz w:val="4"/>
                <w:szCs w:val="4"/>
              </w:rPr>
            </w:r>
          </w:p>
        </w:tc>
        <w:tc>
          <w:tcPr>
            <w:tcW w:w="10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8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6" w:type="dxa"/>
            <w:gridSpan w:val="3"/>
            <w:tcBorders/>
            <w:vAlign w:val="center"/>
          </w:tcPr>
          <w:p>
            <w:pPr>
              <w:pStyle w:val="TableContents"/>
              <w:bidi w:val="0"/>
              <w:spacing w:before="0" w:after="283"/>
              <w:jc w:val="left"/>
              <w:rPr>
                <w:sz w:val="4"/>
                <w:szCs w:val="4"/>
              </w:rPr>
            </w:pPr>
            <w:r>
              <w:rPr>
                <w:sz w:val="4"/>
                <w:szCs w:val="4"/>
              </w:rPr>
            </w:r>
          </w:p>
        </w:tc>
        <w:tc>
          <w:tcPr>
            <w:tcW w:w="447" w:type="dxa"/>
            <w:gridSpan w:val="3"/>
            <w:tcBorders/>
            <w:vAlign w:val="center"/>
          </w:tcPr>
          <w:p>
            <w:pPr>
              <w:pStyle w:val="TableContents"/>
              <w:bidi w:val="0"/>
              <w:spacing w:before="0" w:after="283"/>
              <w:jc w:val="left"/>
              <w:rPr>
                <w:sz w:val="4"/>
                <w:szCs w:val="4"/>
              </w:rPr>
            </w:pPr>
            <w:r>
              <w:rPr>
                <w:sz w:val="4"/>
                <w:szCs w:val="4"/>
              </w:rPr>
            </w:r>
          </w:p>
        </w:tc>
        <w:tc>
          <w:tcPr>
            <w:tcW w:w="10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14"/>
        </w:rPr>
      </w:pPr>
      <w:r>
        <w:rPr>
          <w:rFonts w:ascii="Arial;sans-serif" w:hAnsi="Arial;sans-serif"/>
          <w:b w:val="false"/>
          <w:color w:val="000000"/>
          <w:sz w:val="14"/>
        </w:rPr>
        <w:t>__________________</w:t>
      </w:r>
    </w:p>
    <w:p>
      <w:pPr>
        <w:pStyle w:val="TextBody"/>
        <w:bidi w:val="0"/>
        <w:spacing w:lineRule="auto" w:line="288" w:before="0" w:after="180"/>
        <w:ind w:left="0" w:right="0" w:hanging="360"/>
        <w:jc w:val="left"/>
        <w:rPr>
          <w:rFonts w:ascii="Arial;sans-serif" w:hAnsi="Arial;sans-serif"/>
          <w:b w:val="false"/>
          <w:color w:val="000000"/>
          <w:sz w:val="14"/>
        </w:rPr>
      </w:pPr>
      <w:r>
        <w:rPr>
          <w:rFonts w:ascii="Arial;sans-serif" w:hAnsi="Arial;sans-serif"/>
          <w:b w:val="false"/>
          <w:color w:val="000000"/>
          <w:sz w:val="14"/>
        </w:rPr>
        <w:t>(a)Capitalized interest was non-material for the three months ended March 31, 2026 and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ind w:left="0" w:right="0" w:firstLine="360"/>
        <w:jc w:val="left"/>
        <w:rPr>
          <w:rFonts w:ascii="Arial;sans-serif" w:hAnsi="Arial;sans-serif"/>
          <w:b/>
          <w:i/>
          <w:color w:val="000000"/>
          <w:sz w:val="18"/>
        </w:rPr>
      </w:pPr>
      <w:r>
        <w:rPr>
          <w:rFonts w:ascii="Arial;sans-serif" w:hAnsi="Arial;sans-serif"/>
          <w:b/>
          <w:i/>
          <w:color w:val="000000"/>
          <w:sz w:val="18"/>
        </w:rPr>
        <w:t>Cash and Restricted Cash</w:t>
      </w:r>
    </w:p>
    <w:p>
      <w:pPr>
        <w:pStyle w:val="TextBody"/>
        <w:bidi w:val="0"/>
        <w:spacing w:lineRule="auto" w:line="288" w:before="0" w:after="180"/>
        <w:ind w:left="0" w:right="0" w:firstLine="360"/>
        <w:jc w:val="left"/>
        <w:rPr>
          <w:rFonts w:ascii="Arial;sans-serif" w:hAnsi="Arial;sans-serif"/>
          <w:b w:val="false"/>
          <w:color w:val="000000"/>
          <w:sz w:val="18"/>
        </w:rPr>
      </w:pPr>
      <w:r>
        <w:rPr>
          <w:rFonts w:ascii="Arial;sans-serif" w:hAnsi="Arial;sans-serif"/>
          <w:b w:val="false"/>
          <w:color w:val="000000"/>
          <w:sz w:val="18"/>
        </w:rPr>
        <w:t>The following table provides a reconciliation of “Cash and cash equivalents” and “Restricted cash and cash equivalents” presented on the Consolidated Balance Sheets to such amounts shown on the Consolidated Statements of Cash Flows:</w:t>
      </w:r>
    </w:p>
    <w:tbl>
      <w:tblPr>
        <w:tblW w:w="5775" w:type="dxa"/>
        <w:jc w:val="left"/>
        <w:tblInd w:w="0" w:type="dxa"/>
        <w:tblLayout w:type="fixed"/>
        <w:tblCellMar>
          <w:top w:w="28" w:type="dxa"/>
          <w:left w:w="28" w:type="dxa"/>
          <w:bottom w:w="28" w:type="dxa"/>
          <w:right w:w="28" w:type="dxa"/>
        </w:tblCellMar>
      </w:tblPr>
      <w:tblGrid>
        <w:gridCol w:w="1096"/>
        <w:gridCol w:w="964"/>
        <w:gridCol w:w="970"/>
        <w:gridCol w:w="109"/>
        <w:gridCol w:w="109"/>
        <w:gridCol w:w="109"/>
        <w:gridCol w:w="196"/>
        <w:gridCol w:w="571"/>
        <w:gridCol w:w="109"/>
        <w:gridCol w:w="109"/>
        <w:gridCol w:w="109"/>
        <w:gridCol w:w="109"/>
        <w:gridCol w:w="302"/>
        <w:gridCol w:w="673"/>
        <w:gridCol w:w="240"/>
      </w:tblGrid>
      <w:tr>
        <w:trPr/>
        <w:tc>
          <w:tcPr>
            <w:tcW w:w="1096"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r>
      <w:tr>
        <w:trPr/>
        <w:tc>
          <w:tcPr>
            <w:tcW w:w="30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ind w:left="0" w:right="0" w:hanging="180"/>
              <w:jc w:val="left"/>
              <w:rPr>
                <w:sz w:val="4"/>
                <w:szCs w:val="4"/>
              </w:rPr>
            </w:pPr>
            <w:r>
              <w:rPr>
                <w:sz w:val="4"/>
                <w:szCs w:val="4"/>
              </w:rPr>
            </w:r>
          </w:p>
        </w:tc>
        <w:tc>
          <w:tcPr>
            <w:tcW w:w="1542" w:type="dxa"/>
            <w:gridSpan w:val="6"/>
            <w:tcBorders/>
          </w:tcPr>
          <w:p>
            <w:pPr>
              <w:pStyle w:val="TableContents"/>
              <w:bidi w:val="0"/>
              <w:spacing w:before="0" w:after="283"/>
              <w:jc w:val="left"/>
              <w:rPr>
                <w:sz w:val="4"/>
                <w:szCs w:val="4"/>
              </w:rPr>
            </w:pPr>
            <w:r>
              <w:rPr>
                <w:sz w:val="4"/>
                <w:szCs w:val="4"/>
              </w:rPr>
            </w:r>
          </w:p>
        </w:tc>
      </w:tr>
      <w:tr>
        <w:trPr/>
        <w:tc>
          <w:tcPr>
            <w:tcW w:w="3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March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w:t>
              <w:br/>
              <w:t>2025</w:t>
            </w:r>
          </w:p>
        </w:tc>
      </w:tr>
      <w:tr>
        <w:trPr/>
        <w:tc>
          <w:tcPr>
            <w:tcW w:w="3030"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and cash equivalents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71"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1,025 </w:t>
            </w:r>
          </w:p>
        </w:tc>
        <w:tc>
          <w:tcPr>
            <w:tcW w:w="109"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73"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689 </w:t>
            </w:r>
          </w:p>
        </w:tc>
        <w:tc>
          <w:tcPr>
            <w:tcW w:w="240"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Restricted cash and cash equivalents </w:t>
            </w:r>
            <w:r>
              <w:rPr>
                <w:rFonts w:ascii="Arial;sans-serif" w:hAnsi="Arial;sans-serif"/>
                <w:b w:val="false"/>
                <w:color w:val="000000"/>
                <w:sz w:val="10"/>
              </w:rPr>
              <w:t>(a)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 xml:space="preserve">Total </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1,027</w:t>
            </w:r>
            <w:r>
              <w:rPr>
                <w:color w:val="000000"/>
              </w:rPr>
              <w:t> </w:t>
            </w:r>
          </w:p>
        </w:tc>
        <w:tc>
          <w:tcPr>
            <w:tcW w:w="109"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73"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752</w:t>
            </w:r>
            <w:r>
              <w:rPr>
                <w:color w:val="000000"/>
              </w:rPr>
              <w:t> </w:t>
            </w:r>
          </w:p>
        </w:tc>
        <w:tc>
          <w:tcPr>
            <w:tcW w:w="240"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14"/>
        </w:rPr>
      </w:pPr>
      <w:r>
        <w:rPr>
          <w:rFonts w:ascii="Arial;sans-serif" w:hAnsi="Arial;sans-serif"/>
          <w:b w:val="false"/>
          <w:color w:val="000000"/>
          <w:sz w:val="14"/>
        </w:rPr>
        <w:t>__________________</w:t>
      </w:r>
    </w:p>
    <w:p>
      <w:pPr>
        <w:pStyle w:val="TextBody"/>
        <w:bidi w:val="0"/>
        <w:spacing w:lineRule="auto" w:line="288" w:before="0" w:after="180"/>
        <w:ind w:left="0" w:right="0" w:hanging="360"/>
        <w:jc w:val="left"/>
        <w:rPr>
          <w:rFonts w:ascii="Arial;sans-serif" w:hAnsi="Arial;sans-serif"/>
          <w:b w:val="false"/>
          <w:color w:val="000000"/>
          <w:sz w:val="14"/>
        </w:rPr>
      </w:pPr>
      <w:r>
        <w:rPr>
          <w:rFonts w:ascii="Arial;sans-serif" w:hAnsi="Arial;sans-serif"/>
          <w:b w:val="false"/>
          <w:color w:val="000000"/>
          <w:sz w:val="14"/>
        </w:rPr>
        <w:t>(a)Comprised of commodity exchange margin deposits.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16840"/>
                <wp:effectExtent l="0" t="0" r="0" b="0"/>
                <wp:wrapNone/>
                <wp:docPr id="28" name="Frame28"/>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26</w:t>
                      </w:r>
                    </w:p>
                  </w:txbxContent>
                </v:textbox>
                <w10:wrap type="none"/>
              </v:rect>
            </w:pict>
          </mc:Fallback>
        </mc:AlternateContent>
      </w:r>
    </w:p>
    <w:p>
      <w:pPr>
        <w:pStyle w:val="TextBody"/>
        <w:bidi w:val="0"/>
        <w:spacing w:lineRule="auto" w:line="288" w:before="0" w:after="180"/>
        <w:jc w:val="left"/>
        <w:rPr/>
      </w:pPr>
      <w:hyperlink w:anchor="if20e1f3d5a734e3eabbb6aa8f57c7562_45">
        <w:r>
          <w:rPr>
            <w:rStyle w:val="InternetLink"/>
            <w:rFonts w:ascii="Arial;sans-serif" w:hAnsi="Arial;sans-serif"/>
            <w:b w:val="false"/>
            <w:color w:val="0000FF"/>
            <w:sz w:val="18"/>
            <w:u w:val="single"/>
          </w:rPr>
          <w:t>Table of Contents</w:t>
        </w:r>
      </w:hyperlink>
    </w:p>
    <w:p>
      <w:pPr>
        <w:pStyle w:val="TextBody"/>
        <w:bidi w:val="0"/>
        <w:spacing w:lineRule="auto" w:line="288" w:before="0" w:after="180"/>
        <w:jc w:val="left"/>
        <w:rPr>
          <w:rFonts w:ascii="Arial;sans-serif" w:hAnsi="Arial;sans-serif"/>
          <w:b/>
          <w:color w:val="000000"/>
          <w:sz w:val="18"/>
        </w:rPr>
      </w:pPr>
      <w:r>
        <w:rPr>
          <w:rFonts w:ascii="Arial;sans-serif" w:hAnsi="Arial;sans-serif"/>
          <w:b/>
          <w:color w:val="000000"/>
          <w:sz w:val="18"/>
        </w:rPr>
        <w:t>17. Acquisitions and Divestitures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ind w:left="0" w:right="0" w:firstLine="360"/>
        <w:jc w:val="left"/>
        <w:rPr>
          <w:rFonts w:ascii="Arial;sans-serif" w:hAnsi="Arial;sans-serif"/>
          <w:b/>
          <w:i/>
          <w:color w:val="000000"/>
          <w:sz w:val="18"/>
        </w:rPr>
      </w:pPr>
      <w:r>
        <w:rPr>
          <w:rFonts w:ascii="Arial;sans-serif" w:hAnsi="Arial;sans-serif"/>
          <w:b/>
          <w:i/>
          <w:color w:val="000000"/>
          <w:sz w:val="18"/>
        </w:rPr>
        <w:t>2026 Pending Acquisition</w:t>
      </w:r>
    </w:p>
    <w:p>
      <w:pPr>
        <w:pStyle w:val="TextBody"/>
        <w:bidi w:val="0"/>
        <w:spacing w:lineRule="auto" w:line="288" w:before="0" w:after="180"/>
        <w:ind w:left="0" w:right="0" w:firstLine="360"/>
        <w:jc w:val="left"/>
        <w:rPr/>
      </w:pPr>
      <w:r>
        <w:rPr>
          <w:rFonts w:ascii="Arial;sans-serif" w:hAnsi="Arial;sans-serif"/>
          <w:b w:val="false"/>
          <w:i/>
          <w:color w:val="000000"/>
          <w:sz w:val="18"/>
        </w:rPr>
        <w:t>Cornerstone Acquisition.</w:t>
      </w:r>
      <w:r>
        <w:rPr>
          <w:color w:val="000000"/>
        </w:rPr>
        <w:t xml:space="preserve"> </w:t>
      </w:r>
      <w:r>
        <w:rPr>
          <w:rFonts w:ascii="Arial;sans-serif" w:hAnsi="Arial;sans-serif"/>
          <w:b w:val="false"/>
          <w:color w:val="000000"/>
          <w:sz w:val="18"/>
        </w:rPr>
        <w:t>In January 2026, the Company entered into the Cornerstone Merger Agreement with affiliates of Energy Capital Partners to purchase (i) the Lawrenceburg Power Plant, a 1,120 MW natural gas fired combined cycle generation located in Lawrenceburg, Indiana, (ii) the Waterford Energy Center, a 875 MW natural gas fired combined cycle generation plant located in Waterford Township, Ohio; and (iii) the Darby Generating Station, a 456 MW natural gas combustion turbine plant located in Mount Sterling, Ohio, for a price of $3.45 billion, consisting of $2.55 billion in cash, subject to working capital and other customary adjustments, and 2,400,000 shares of TEC common stock, valued at approximately $900 million at the time of entry into the Cornerstone Merger Agreement. The final value of the equity portion of the transaction price will be based on the value of Talen common stock at the close of the transaction. The cash portion of the purchase price will be funded from the proceeds of the Unsecured Notes due 2031 and 2033 which were issued in April 2026. The Cornerstone Acquisition will substantially expand Talen’s presence in the western PJM market and add additional efficient baseload generation assets to its fleet.</w:t>
      </w:r>
    </w:p>
    <w:p>
      <w:pPr>
        <w:pStyle w:val="TextBody"/>
        <w:bidi w:val="0"/>
        <w:spacing w:lineRule="auto" w:line="288" w:before="0" w:after="180"/>
        <w:ind w:left="0" w:right="0" w:firstLine="360"/>
        <w:jc w:val="left"/>
        <w:rPr>
          <w:rFonts w:ascii="Arial;sans-serif" w:hAnsi="Arial;sans-serif"/>
          <w:b w:val="false"/>
          <w:color w:val="000000"/>
          <w:sz w:val="18"/>
        </w:rPr>
      </w:pPr>
      <w:r>
        <w:rPr>
          <w:rFonts w:ascii="Arial;sans-serif" w:hAnsi="Arial;sans-serif"/>
          <w:b w:val="false"/>
          <w:color w:val="000000"/>
          <w:sz w:val="18"/>
        </w:rPr>
        <w:t>The transaction is expected to close early in the second half of 2026 and is subject to the satisfaction of customary closing conditions and regulatory approvals from the FERC, Indiana Utility Regulatory Commission and other regulatory agencies. The waiting period pursuant to the Hart-Scott-Rodino Act of 1976 expired in March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0000"/>
          <w:sz w:val="18"/>
        </w:rPr>
      </w:pPr>
      <w:r>
        <w:rPr>
          <w:rFonts w:ascii="Arial;sans-serif" w:hAnsi="Arial;sans-serif"/>
          <w:b/>
          <w:color w:val="000000"/>
          <w:sz w:val="18"/>
        </w:rPr>
        <w:t>18. Segments</w:t>
      </w:r>
    </w:p>
    <w:p>
      <w:pPr>
        <w:pStyle w:val="TextBody"/>
        <w:bidi w:val="0"/>
        <w:spacing w:lineRule="auto" w:line="288" w:before="0" w:after="180"/>
        <w:ind w:left="0" w:right="0" w:firstLine="360"/>
        <w:jc w:val="left"/>
        <w:rPr>
          <w:rFonts w:ascii="Arial;sans-serif" w:hAnsi="Arial;sans-serif"/>
          <w:b w:val="false"/>
          <w:color w:val="000000"/>
          <w:sz w:val="18"/>
        </w:rPr>
      </w:pPr>
      <w:r>
        <w:rPr>
          <w:rFonts w:ascii="Arial;sans-serif" w:hAnsi="Arial;sans-serif"/>
          <w:b w:val="false"/>
          <w:color w:val="000000"/>
          <w:sz w:val="18"/>
        </w:rPr>
        <w:t>Talen’s operating segments are based on the market areas in which our generation facilities operate and reflect the manner in which our Chief Executive Officer, who is the chief operating decision maker (the “CODM”), reviews results. Adjusted EBITDA is the key profit metric used by the CODM to review segment performance and allocate resources as it provides a clearer view of segment profitability by focusing on operational performance. Total assets or other asset metrics are not considered a key metric or reviewed by the chief operating decision maker.</w:t>
      </w:r>
    </w:p>
    <w:p>
      <w:pPr>
        <w:pStyle w:val="TextBody"/>
        <w:bidi w:val="0"/>
        <w:spacing w:lineRule="auto" w:line="288" w:before="0" w:after="180"/>
        <w:ind w:left="0" w:right="0" w:firstLine="360"/>
        <w:jc w:val="left"/>
        <w:rPr>
          <w:color w:val="000000"/>
        </w:rPr>
      </w:pPr>
      <w:r>
        <w:rPr>
          <w:color w:val="000000"/>
        </w:rPr>
        <w:t>“</w:t>
      </w:r>
      <w:r>
        <w:rPr>
          <w:rFonts w:ascii="Arial;sans-serif" w:hAnsi="Arial;sans-serif"/>
          <w:b w:val="false"/>
          <w:color w:val="000000"/>
          <w:sz w:val="18"/>
        </w:rPr>
        <w:t>PJM” represents electricity generation, marketing activities, and commodity risk and fuel management within the PJM market and is comprised of Susquehanna and Talen’s natural gas and coal generation facilities in PJM.</w:t>
      </w:r>
    </w:p>
    <w:p>
      <w:pPr>
        <w:pStyle w:val="TextBody"/>
        <w:bidi w:val="0"/>
        <w:spacing w:lineRule="auto" w:line="288" w:before="0" w:after="180"/>
        <w:ind w:left="0" w:right="0" w:firstLine="360"/>
        <w:jc w:val="left"/>
        <w:rPr>
          <w:color w:val="000000"/>
        </w:rPr>
      </w:pPr>
      <w:r>
        <w:rPr>
          <w:color w:val="000000"/>
        </w:rPr>
        <w:t>“</w:t>
      </w:r>
      <w:r>
        <w:rPr>
          <w:rFonts w:ascii="Arial;sans-serif" w:hAnsi="Arial;sans-serif"/>
          <w:b w:val="false"/>
          <w:color w:val="000000"/>
          <w:sz w:val="18"/>
        </w:rPr>
        <w:t xml:space="preserve">Other” represents an operating segment that includes the operating and marketing activities of Talen Montana’s proportionate share of Colstrip in the WECC market and other non-material operating and development activities. </w:t>
      </w:r>
    </w:p>
    <w:p>
      <w:pPr>
        <w:pStyle w:val="TextBody"/>
        <w:bidi w:val="0"/>
        <w:spacing w:lineRule="auto" w:line="288" w:before="0" w:after="180"/>
        <w:ind w:left="0" w:right="0" w:firstLine="360"/>
        <w:jc w:val="left"/>
        <w:rPr>
          <w:color w:val="000000"/>
        </w:rPr>
      </w:pPr>
      <w:r>
        <w:rPr>
          <w:color w:val="000000"/>
        </w:rPr>
        <w:t>“</w:t>
      </w:r>
      <w:r>
        <w:rPr>
          <w:rFonts w:ascii="Arial;sans-serif" w:hAnsi="Arial;sans-serif"/>
          <w:b w:val="false"/>
          <w:color w:val="000000"/>
          <w:sz w:val="18"/>
        </w:rPr>
        <w:t>Corporate and Eliminations” represents a non-reportable segment that includes: (i) general and administrative expenses incurred by our corporate function; (ii) interest expense and other corporate activities not allocated to our operating segments; and (iii) intercompany eliminations. This grouping is presented to reconcile the reportable segments to our consolidated results.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071" w:type="dxa"/>
        <w:jc w:val="left"/>
        <w:tblInd w:w="0" w:type="dxa"/>
        <w:tblLayout w:type="fixed"/>
        <w:tblCellMar>
          <w:top w:w="28" w:type="dxa"/>
          <w:left w:w="28" w:type="dxa"/>
          <w:bottom w:w="28" w:type="dxa"/>
          <w:right w:w="28" w:type="dxa"/>
        </w:tblCellMar>
      </w:tblPr>
      <w:tblGrid>
        <w:gridCol w:w="1477"/>
        <w:gridCol w:w="1296"/>
        <w:gridCol w:w="1307"/>
        <w:gridCol w:w="109"/>
        <w:gridCol w:w="109"/>
        <w:gridCol w:w="109"/>
        <w:gridCol w:w="196"/>
        <w:gridCol w:w="556"/>
        <w:gridCol w:w="109"/>
        <w:gridCol w:w="109"/>
        <w:gridCol w:w="109"/>
        <w:gridCol w:w="109"/>
        <w:gridCol w:w="196"/>
        <w:gridCol w:w="331"/>
        <w:gridCol w:w="109"/>
        <w:gridCol w:w="109"/>
        <w:gridCol w:w="109"/>
        <w:gridCol w:w="109"/>
        <w:gridCol w:w="684"/>
        <w:gridCol w:w="1211"/>
        <w:gridCol w:w="385"/>
        <w:gridCol w:w="109"/>
        <w:gridCol w:w="109"/>
        <w:gridCol w:w="109"/>
        <w:gridCol w:w="196"/>
        <w:gridCol w:w="556"/>
        <w:gridCol w:w="154"/>
      </w:tblGrid>
      <w:tr>
        <w:trPr/>
        <w:tc>
          <w:tcPr>
            <w:tcW w:w="1477" w:type="dxa"/>
            <w:tcBorders/>
            <w:vAlign w:val="center"/>
          </w:tcPr>
          <w:p>
            <w:pPr>
              <w:pStyle w:val="TableContents"/>
              <w:bidi w:val="0"/>
              <w:spacing w:before="0" w:after="283"/>
              <w:jc w:val="left"/>
              <w:rPr>
                <w:sz w:val="4"/>
                <w:szCs w:val="4"/>
              </w:rPr>
            </w:pPr>
            <w:r>
              <w:rPr>
                <w:sz w:val="4"/>
                <w:szCs w:val="4"/>
              </w:rPr>
            </w:r>
          </w:p>
        </w:tc>
        <w:tc>
          <w:tcPr>
            <w:tcW w:w="1296"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PJM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Corporate and Eliminations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r>
      <w:tr>
        <w:trPr/>
        <w:tc>
          <w:tcPr>
            <w:tcW w:w="4080"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Three Months Ended March 31, 2026</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E1E1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op w:val="single" w:sz="8" w:space="0" w:color="000000"/>
            </w:tcBorders>
            <w:shd w:fill="E1E1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3"/>
            <w:tcBorders>
              <w:top w:val="single" w:sz="8" w:space="0" w:color="000000"/>
            </w:tcBorders>
            <w:shd w:fill="E1E1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E1E1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2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w:t>
            </w:r>
          </w:p>
        </w:tc>
        <w:tc>
          <w:tcPr>
            <w:tcW w:w="3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E1E1E2"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Operation, maintenance and development expenses </w:t>
            </w:r>
            <w:r>
              <w:rPr>
                <w:rFonts w:ascii="Arial;sans-serif" w:hAnsi="Arial;sans-serif"/>
                <w:b w:val="false"/>
                <w:color w:val="000000"/>
                <w:sz w:val="10"/>
              </w:rPr>
              <w:t>(a)</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158 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expense and other finance charges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119 </w:t>
            </w:r>
          </w:p>
        </w:tc>
        <w:tc>
          <w:tcPr>
            <w:tcW w:w="3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E1E1E2"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Other segment items </w:t>
            </w:r>
            <w:r>
              <w:rPr>
                <w:rFonts w:ascii="Arial;sans-serif" w:hAnsi="Arial;sans-serif"/>
                <w:b w:val="false"/>
                <w:color w:val="000000"/>
                <w:sz w:val="10"/>
              </w:rPr>
              <w:t>(b)</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473 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Adjusted EBITDA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Capital expenditures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5"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5"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69 </w:t>
            </w:r>
          </w:p>
        </w:tc>
        <w:tc>
          <w:tcPr>
            <w:tcW w:w="15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Three Months Ended 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revenues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367 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31" w:type="dxa"/>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211" w:type="dxa"/>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w:t>
            </w:r>
          </w:p>
        </w:tc>
        <w:tc>
          <w:tcPr>
            <w:tcW w:w="385"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390 </w:t>
            </w:r>
          </w:p>
        </w:tc>
        <w:tc>
          <w:tcPr>
            <w:tcW w:w="15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Operation, maintenance and development expenses </w:t>
            </w:r>
            <w:r>
              <w:rPr>
                <w:rFonts w:ascii="Arial;sans-serif" w:hAnsi="Arial;sans-serif"/>
                <w:b w:val="false"/>
                <w:color w:val="000000"/>
                <w:sz w:val="10"/>
              </w:rPr>
              <w:t>(a)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expense and other finance charges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5"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74 </w:t>
            </w:r>
          </w:p>
        </w:tc>
        <w:tc>
          <w:tcPr>
            <w:tcW w:w="385"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74 </w:t>
            </w:r>
          </w:p>
        </w:tc>
        <w:tc>
          <w:tcPr>
            <w:tcW w:w="15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Other segment items </w:t>
            </w:r>
            <w:r>
              <w:rPr>
                <w:rFonts w:ascii="Arial;sans-serif" w:hAnsi="Arial;sans-serif"/>
                <w:b w:val="false"/>
                <w:color w:val="000000"/>
                <w:sz w:val="10"/>
              </w:rPr>
              <w:t>(b)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E1E1E2"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Adjusted EBITDA</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209 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Capital expenditures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62 </w:t>
            </w:r>
          </w:p>
        </w:tc>
        <w:tc>
          <w:tcPr>
            <w:tcW w:w="109"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09"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5"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385"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64 </w:t>
            </w:r>
          </w:p>
        </w:tc>
        <w:tc>
          <w:tcPr>
            <w:tcW w:w="154"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40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40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40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40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40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40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40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40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40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40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40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40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40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40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40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40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14"/>
        </w:rPr>
      </w:pPr>
      <w:r>
        <w:rPr>
          <w:rFonts w:ascii="Arial;sans-serif" w:hAnsi="Arial;sans-serif"/>
          <w:b w:val="false"/>
          <w:color w:val="000000"/>
          <w:sz w:val="14"/>
        </w:rPr>
        <w:t>__________________</w:t>
      </w:r>
    </w:p>
    <w:p>
      <w:pPr>
        <w:pStyle w:val="TextBody"/>
        <w:bidi w:val="0"/>
        <w:spacing w:lineRule="auto" w:line="288" w:before="0" w:after="0"/>
        <w:ind w:left="0" w:right="0" w:hanging="360"/>
        <w:jc w:val="left"/>
        <w:rPr>
          <w:rFonts w:ascii="Arial;sans-serif" w:hAnsi="Arial;sans-serif"/>
          <w:b w:val="false"/>
          <w:color w:val="000000"/>
          <w:sz w:val="14"/>
        </w:rPr>
      </w:pPr>
      <w:r>
        <w:rPr>
          <w:rFonts w:ascii="Arial;sans-serif" w:hAnsi="Arial;sans-serif"/>
          <w:b w:val="false"/>
          <w:color w:val="000000"/>
          <w:sz w:val="14"/>
        </w:rPr>
        <w:t>(a)This significant segment expense category aligns with the segment-level information that is regularly reviewed by the CODM.</w:t>
      </w:r>
    </w:p>
    <w:p>
      <w:pPr>
        <w:pStyle w:val="TextBody"/>
        <w:bidi w:val="0"/>
        <w:spacing w:lineRule="auto" w:line="288" w:before="0" w:after="180"/>
        <w:ind w:left="0" w:right="0" w:hanging="360"/>
        <w:jc w:val="left"/>
        <w:rPr>
          <w:rFonts w:ascii="Arial;sans-serif" w:hAnsi="Arial;sans-serif"/>
          <w:b w:val="false"/>
          <w:color w:val="000000"/>
          <w:sz w:val="14"/>
        </w:rPr>
      </w:pPr>
      <w:r>
        <w:rPr>
          <w:rFonts w:ascii="Arial;sans-serif" w:hAnsi="Arial;sans-serif"/>
          <w:b w:val="false"/>
          <w:color w:val="000000"/>
          <w:sz w:val="14"/>
        </w:rPr>
        <w:t>(b)Other segment items are primarily comprised of fuel and energy purchases.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16840"/>
                <wp:effectExtent l="0" t="0" r="0" b="0"/>
                <wp:wrapNone/>
                <wp:docPr id="29" name="Frame29"/>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27</w:t>
                      </w:r>
                    </w:p>
                  </w:txbxContent>
                </v:textbox>
                <w10:wrap type="none"/>
              </v:rect>
            </w:pict>
          </mc:Fallback>
        </mc:AlternateContent>
      </w:r>
    </w:p>
    <w:p>
      <w:pPr>
        <w:pStyle w:val="TextBody"/>
        <w:bidi w:val="0"/>
        <w:spacing w:lineRule="auto" w:line="288" w:before="0" w:after="180"/>
        <w:jc w:val="left"/>
        <w:rPr/>
      </w:pPr>
      <w:hyperlink w:anchor="if20e1f3d5a734e3eabbb6aa8f57c7562_45">
        <w:r>
          <w:rPr>
            <w:rStyle w:val="InternetLink"/>
            <w:rFonts w:ascii="Arial;sans-serif" w:hAnsi="Arial;sans-serif"/>
            <w:b w:val="false"/>
            <w:color w:val="0000FF"/>
            <w:sz w:val="18"/>
            <w:u w:val="single"/>
          </w:rPr>
          <w:t>Table of Contents</w:t>
        </w:r>
      </w:hyperlink>
    </w:p>
    <w:p>
      <w:pPr>
        <w:pStyle w:val="TextBody"/>
        <w:bidi w:val="0"/>
        <w:spacing w:lineRule="auto" w:line="288" w:before="0" w:after="180"/>
        <w:ind w:left="0" w:right="0" w:firstLine="360"/>
        <w:jc w:val="left"/>
        <w:rPr>
          <w:rFonts w:ascii="Arial;sans-serif" w:hAnsi="Arial;sans-serif"/>
          <w:b w:val="false"/>
          <w:color w:val="000000"/>
          <w:sz w:val="18"/>
        </w:rPr>
      </w:pPr>
      <w:r>
        <w:rPr>
          <w:rFonts w:ascii="Arial;sans-serif" w:hAnsi="Arial;sans-serif"/>
          <w:b w:val="false"/>
          <w:color w:val="000000"/>
          <w:sz w:val="18"/>
        </w:rPr>
        <w:t xml:space="preserve">Reconciliation of segment Adjusted EBITDA to Income (Loss) Before Income Taxes: </w:t>
      </w:r>
    </w:p>
    <w:tbl>
      <w:tblPr>
        <w:tblW w:w="9541" w:type="dxa"/>
        <w:jc w:val="left"/>
        <w:tblInd w:w="0" w:type="dxa"/>
        <w:tblLayout w:type="fixed"/>
        <w:tblCellMar>
          <w:top w:w="28" w:type="dxa"/>
          <w:left w:w="28" w:type="dxa"/>
          <w:bottom w:w="28" w:type="dxa"/>
          <w:right w:w="28" w:type="dxa"/>
        </w:tblCellMar>
      </w:tblPr>
      <w:tblGrid>
        <w:gridCol w:w="1790"/>
        <w:gridCol w:w="1577"/>
        <w:gridCol w:w="1583"/>
        <w:gridCol w:w="109"/>
        <w:gridCol w:w="109"/>
        <w:gridCol w:w="109"/>
        <w:gridCol w:w="224"/>
        <w:gridCol w:w="224"/>
        <w:gridCol w:w="224"/>
        <w:gridCol w:w="224"/>
        <w:gridCol w:w="404"/>
        <w:gridCol w:w="1022"/>
        <w:gridCol w:w="224"/>
        <w:gridCol w:w="109"/>
        <w:gridCol w:w="109"/>
        <w:gridCol w:w="109"/>
        <w:gridCol w:w="196"/>
        <w:gridCol w:w="496"/>
        <w:gridCol w:w="109"/>
        <w:gridCol w:w="109"/>
        <w:gridCol w:w="109"/>
        <w:gridCol w:w="109"/>
        <w:gridCol w:w="109"/>
        <w:gridCol w:w="154"/>
      </w:tblGrid>
      <w:tr>
        <w:trPr/>
        <w:tc>
          <w:tcPr>
            <w:tcW w:w="1790" w:type="dxa"/>
            <w:tcBorders/>
            <w:vAlign w:val="center"/>
          </w:tcPr>
          <w:p>
            <w:pPr>
              <w:pStyle w:val="TableContents"/>
              <w:bidi w:val="0"/>
              <w:spacing w:before="0" w:after="283"/>
              <w:jc w:val="left"/>
              <w:rPr>
                <w:sz w:val="4"/>
                <w:szCs w:val="4"/>
              </w:rPr>
            </w:pPr>
            <w:r>
              <w:rPr>
                <w:sz w:val="4"/>
                <w:szCs w:val="4"/>
              </w:rPr>
            </w:r>
          </w:p>
        </w:tc>
        <w:tc>
          <w:tcPr>
            <w:tcW w:w="1577" w:type="dxa"/>
            <w:tcBorders/>
            <w:vAlign w:val="center"/>
          </w:tcPr>
          <w:p>
            <w:pPr>
              <w:pStyle w:val="TableContents"/>
              <w:bidi w:val="0"/>
              <w:spacing w:before="0" w:after="283"/>
              <w:jc w:val="left"/>
              <w:rPr>
                <w:sz w:val="4"/>
                <w:szCs w:val="4"/>
              </w:rPr>
            </w:pPr>
            <w:r>
              <w:rPr>
                <w:sz w:val="4"/>
                <w:szCs w:val="4"/>
              </w:rPr>
            </w:r>
          </w:p>
        </w:tc>
        <w:tc>
          <w:tcPr>
            <w:tcW w:w="15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6"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March 31,</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4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5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72" w:type="dxa"/>
            <w:gridSpan w:val="3"/>
            <w:tcBorders/>
            <w:vAlign w:val="center"/>
          </w:tcPr>
          <w:p>
            <w:pPr>
              <w:pStyle w:val="TableContents"/>
              <w:bidi w:val="0"/>
              <w:spacing w:before="0" w:after="283"/>
              <w:jc w:val="left"/>
              <w:rPr>
                <w:sz w:val="4"/>
                <w:szCs w:val="4"/>
              </w:rPr>
            </w:pPr>
            <w:r>
              <w:rPr>
                <w:sz w:val="4"/>
                <w:szCs w:val="4"/>
              </w:rPr>
            </w:r>
          </w:p>
        </w:tc>
        <w:tc>
          <w:tcPr>
            <w:tcW w:w="1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50"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PJM Segment Adjusted EBITDA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72"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022"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479</w:t>
            </w:r>
            <w:r>
              <w:rPr>
                <w:color w:val="000000"/>
              </w:rPr>
              <w:t> </w:t>
            </w:r>
          </w:p>
        </w:tc>
        <w:tc>
          <w:tcPr>
            <w:tcW w:w="224"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9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209</w:t>
            </w:r>
            <w:r>
              <w:rPr>
                <w:color w:val="000000"/>
              </w:rPr>
              <w:t> </w:t>
            </w:r>
          </w:p>
        </w:tc>
        <w:tc>
          <w:tcPr>
            <w:tcW w:w="109"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5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72" w:type="dxa"/>
            <w:gridSpan w:val="3"/>
            <w:tcBorders/>
            <w:vAlign w:val="center"/>
          </w:tcPr>
          <w:p>
            <w:pPr>
              <w:pStyle w:val="TableContents"/>
              <w:bidi w:val="0"/>
              <w:spacing w:before="0" w:after="283"/>
              <w:jc w:val="left"/>
              <w:rPr>
                <w:sz w:val="4"/>
                <w:szCs w:val="4"/>
              </w:rPr>
            </w:pPr>
            <w:r>
              <w:rPr>
                <w:sz w:val="4"/>
                <w:szCs w:val="4"/>
              </w:rPr>
            </w:r>
          </w:p>
        </w:tc>
        <w:tc>
          <w:tcPr>
            <w:tcW w:w="1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5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Reconciling Items: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50"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expense and other finance charges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72"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22" w:type="dxa"/>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(119)</w:t>
            </w:r>
          </w:p>
        </w:tc>
        <w:tc>
          <w:tcPr>
            <w:tcW w:w="22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96" w:type="dxa"/>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Depreciation, amortization and accretion </w:t>
            </w:r>
            <w:r>
              <w:rPr>
                <w:rFonts w:ascii="Arial;sans-serif" w:hAnsi="Arial;sans-serif"/>
                <w:b w:val="false"/>
                <w:color w:val="000000"/>
                <w:sz w:val="10"/>
              </w:rPr>
              <w:t>(a)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50" w:type="dxa"/>
            <w:gridSpan w:val="3"/>
            <w:tcBorders/>
            <w:shd w:fill="E1E1E2"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Nuclear fuel amortization </w:t>
            </w:r>
            <w:r>
              <w:rPr>
                <w:rFonts w:ascii="Arial;sans-serif" w:hAnsi="Arial;sans-serif"/>
                <w:b w:val="false"/>
                <w:color w:val="000000"/>
                <w:sz w:val="10"/>
              </w:rPr>
              <w:t>(a)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72"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w:t>
            </w:r>
          </w:p>
        </w:tc>
        <w:tc>
          <w:tcPr>
            <w:tcW w:w="22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5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72" w:type="dxa"/>
            <w:gridSpan w:val="3"/>
            <w:tcBorders/>
            <w:vAlign w:val="center"/>
          </w:tcPr>
          <w:p>
            <w:pPr>
              <w:pStyle w:val="TableContents"/>
              <w:bidi w:val="0"/>
              <w:spacing w:before="0" w:after="283"/>
              <w:jc w:val="left"/>
              <w:rPr>
                <w:sz w:val="4"/>
                <w:szCs w:val="4"/>
              </w:rPr>
            </w:pPr>
            <w:r>
              <w:rPr>
                <w:sz w:val="4"/>
                <w:szCs w:val="4"/>
              </w:rPr>
            </w:r>
          </w:p>
        </w:tc>
        <w:tc>
          <w:tcPr>
            <w:tcW w:w="1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90"/>
              <w:jc w:val="left"/>
              <w:rPr>
                <w:sz w:val="4"/>
                <w:szCs w:val="4"/>
              </w:rPr>
            </w:pPr>
            <w:r>
              <w:rPr>
                <w:sz w:val="4"/>
                <w:szCs w:val="4"/>
              </w:rPr>
            </w:r>
          </w:p>
        </w:tc>
      </w:tr>
      <w:tr>
        <w:trPr/>
        <w:tc>
          <w:tcPr>
            <w:tcW w:w="4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Unrealized gain (loss) on commodity derivative contracts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(154)</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90"/>
              <w:jc w:val="left"/>
              <w:rPr>
                <w:sz w:val="4"/>
                <w:szCs w:val="4"/>
              </w:rPr>
            </w:pPr>
            <w:r>
              <w:rPr>
                <w:sz w:val="4"/>
                <w:szCs w:val="4"/>
              </w:rPr>
            </w:r>
          </w:p>
        </w:tc>
      </w:tr>
      <w:tr>
        <w:trPr/>
        <w:tc>
          <w:tcPr>
            <w:tcW w:w="4950"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Nuclear decommissioning trust funds gain (loss),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72"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w:t>
            </w:r>
          </w:p>
        </w:tc>
        <w:tc>
          <w:tcPr>
            <w:tcW w:w="22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Stock-based and other long-term incentive compensation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5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72" w:type="dxa"/>
            <w:gridSpan w:val="3"/>
            <w:tcBorders/>
            <w:vAlign w:val="center"/>
          </w:tcPr>
          <w:p>
            <w:pPr>
              <w:pStyle w:val="TableContents"/>
              <w:bidi w:val="0"/>
              <w:spacing w:before="0" w:after="283"/>
              <w:jc w:val="left"/>
              <w:rPr>
                <w:sz w:val="4"/>
                <w:szCs w:val="4"/>
              </w:rPr>
            </w:pPr>
            <w:r>
              <w:rPr>
                <w:sz w:val="4"/>
                <w:szCs w:val="4"/>
              </w:rPr>
            </w:r>
          </w:p>
        </w:tc>
        <w:tc>
          <w:tcPr>
            <w:tcW w:w="1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5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72" w:type="dxa"/>
            <w:gridSpan w:val="3"/>
            <w:tcBorders/>
            <w:vAlign w:val="center"/>
          </w:tcPr>
          <w:p>
            <w:pPr>
              <w:pStyle w:val="TableContents"/>
              <w:bidi w:val="0"/>
              <w:spacing w:before="0" w:after="283"/>
              <w:jc w:val="left"/>
              <w:rPr>
                <w:sz w:val="4"/>
                <w:szCs w:val="4"/>
              </w:rPr>
            </w:pPr>
            <w:r>
              <w:rPr>
                <w:sz w:val="4"/>
                <w:szCs w:val="4"/>
              </w:rPr>
            </w:r>
          </w:p>
        </w:tc>
        <w:tc>
          <w:tcPr>
            <w:tcW w:w="1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5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72" w:type="dxa"/>
            <w:gridSpan w:val="3"/>
            <w:tcBorders/>
            <w:vAlign w:val="center"/>
          </w:tcPr>
          <w:p>
            <w:pPr>
              <w:pStyle w:val="TableContents"/>
              <w:bidi w:val="0"/>
              <w:spacing w:before="0" w:after="283"/>
              <w:jc w:val="left"/>
              <w:rPr>
                <w:sz w:val="4"/>
                <w:szCs w:val="4"/>
              </w:rPr>
            </w:pPr>
            <w:r>
              <w:rPr>
                <w:sz w:val="4"/>
                <w:szCs w:val="4"/>
              </w:rPr>
            </w:r>
          </w:p>
        </w:tc>
        <w:tc>
          <w:tcPr>
            <w:tcW w:w="1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5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72" w:type="dxa"/>
            <w:gridSpan w:val="3"/>
            <w:tcBorders/>
            <w:vAlign w:val="center"/>
          </w:tcPr>
          <w:p>
            <w:pPr>
              <w:pStyle w:val="TableContents"/>
              <w:bidi w:val="0"/>
              <w:spacing w:before="0" w:after="283"/>
              <w:jc w:val="left"/>
              <w:rPr>
                <w:sz w:val="4"/>
                <w:szCs w:val="4"/>
              </w:rPr>
            </w:pPr>
            <w:r>
              <w:rPr>
                <w:sz w:val="4"/>
                <w:szCs w:val="4"/>
              </w:rPr>
            </w:r>
          </w:p>
        </w:tc>
        <w:tc>
          <w:tcPr>
            <w:tcW w:w="1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5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72" w:type="dxa"/>
            <w:gridSpan w:val="3"/>
            <w:tcBorders/>
            <w:vAlign w:val="center"/>
          </w:tcPr>
          <w:p>
            <w:pPr>
              <w:pStyle w:val="TableContents"/>
              <w:bidi w:val="0"/>
              <w:spacing w:before="0" w:after="283"/>
              <w:jc w:val="left"/>
              <w:rPr>
                <w:sz w:val="4"/>
                <w:szCs w:val="4"/>
              </w:rPr>
            </w:pPr>
            <w:r>
              <w:rPr>
                <w:sz w:val="4"/>
                <w:szCs w:val="4"/>
              </w:rPr>
            </w:r>
          </w:p>
        </w:tc>
        <w:tc>
          <w:tcPr>
            <w:tcW w:w="1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50" w:type="dxa"/>
            <w:gridSpan w:val="3"/>
            <w:tcBorders/>
            <w:shd w:fill="E1E1E2"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Acquisition and divestiture activities </w:t>
            </w:r>
            <w:r>
              <w:rPr>
                <w:rFonts w:ascii="Arial;sans-serif" w:hAnsi="Arial;sans-serif"/>
                <w:b w:val="false"/>
                <w:color w:val="000000"/>
                <w:sz w:val="10"/>
              </w:rPr>
              <w:t>(b)</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72"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22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5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72" w:type="dxa"/>
            <w:gridSpan w:val="3"/>
            <w:tcBorders/>
            <w:vAlign w:val="center"/>
          </w:tcPr>
          <w:p>
            <w:pPr>
              <w:pStyle w:val="TableContents"/>
              <w:bidi w:val="0"/>
              <w:spacing w:before="0" w:after="283"/>
              <w:jc w:val="left"/>
              <w:rPr>
                <w:sz w:val="4"/>
                <w:szCs w:val="4"/>
              </w:rPr>
            </w:pPr>
            <w:r>
              <w:rPr>
                <w:sz w:val="4"/>
                <w:szCs w:val="4"/>
              </w:rPr>
            </w:r>
          </w:p>
        </w:tc>
        <w:tc>
          <w:tcPr>
            <w:tcW w:w="1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5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72" w:type="dxa"/>
            <w:gridSpan w:val="3"/>
            <w:tcBorders/>
            <w:vAlign w:val="center"/>
          </w:tcPr>
          <w:p>
            <w:pPr>
              <w:pStyle w:val="TableContents"/>
              <w:bidi w:val="0"/>
              <w:spacing w:before="0" w:after="283"/>
              <w:jc w:val="left"/>
              <w:rPr>
                <w:sz w:val="4"/>
                <w:szCs w:val="4"/>
              </w:rPr>
            </w:pPr>
            <w:r>
              <w:rPr>
                <w:sz w:val="4"/>
                <w:szCs w:val="4"/>
              </w:rPr>
            </w:r>
          </w:p>
        </w:tc>
        <w:tc>
          <w:tcPr>
            <w:tcW w:w="1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Operational and other restructuring activities </w:t>
            </w:r>
            <w:r>
              <w:rPr>
                <w:rFonts w:ascii="Arial;sans-serif" w:hAnsi="Arial;sans-serif"/>
                <w:b w:val="false"/>
                <w:color w:val="000000"/>
                <w:sz w:val="10"/>
              </w:rPr>
              <w:t>(c)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5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72" w:type="dxa"/>
            <w:gridSpan w:val="3"/>
            <w:tcBorders/>
            <w:vAlign w:val="center"/>
          </w:tcPr>
          <w:p>
            <w:pPr>
              <w:pStyle w:val="TableContents"/>
              <w:bidi w:val="0"/>
              <w:spacing w:before="0" w:after="283"/>
              <w:jc w:val="left"/>
              <w:rPr>
                <w:sz w:val="4"/>
                <w:szCs w:val="4"/>
              </w:rPr>
            </w:pPr>
            <w:r>
              <w:rPr>
                <w:sz w:val="4"/>
                <w:szCs w:val="4"/>
              </w:rPr>
            </w:r>
          </w:p>
        </w:tc>
        <w:tc>
          <w:tcPr>
            <w:tcW w:w="1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5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72" w:type="dxa"/>
            <w:gridSpan w:val="3"/>
            <w:tcBorders/>
            <w:vAlign w:val="center"/>
          </w:tcPr>
          <w:p>
            <w:pPr>
              <w:pStyle w:val="TableContents"/>
              <w:bidi w:val="0"/>
              <w:spacing w:before="0" w:after="283"/>
              <w:jc w:val="left"/>
              <w:rPr>
                <w:sz w:val="4"/>
                <w:szCs w:val="4"/>
              </w:rPr>
            </w:pPr>
            <w:r>
              <w:rPr>
                <w:sz w:val="4"/>
                <w:szCs w:val="4"/>
              </w:rPr>
            </w:r>
          </w:p>
        </w:tc>
        <w:tc>
          <w:tcPr>
            <w:tcW w:w="1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5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72" w:type="dxa"/>
            <w:gridSpan w:val="3"/>
            <w:tcBorders/>
            <w:vAlign w:val="center"/>
          </w:tcPr>
          <w:p>
            <w:pPr>
              <w:pStyle w:val="TableContents"/>
              <w:bidi w:val="0"/>
              <w:spacing w:before="0" w:after="283"/>
              <w:jc w:val="left"/>
              <w:rPr>
                <w:sz w:val="4"/>
                <w:szCs w:val="4"/>
              </w:rPr>
            </w:pPr>
            <w:r>
              <w:rPr>
                <w:sz w:val="4"/>
                <w:szCs w:val="4"/>
              </w:rPr>
            </w:r>
          </w:p>
        </w:tc>
        <w:tc>
          <w:tcPr>
            <w:tcW w:w="1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5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72" w:type="dxa"/>
            <w:gridSpan w:val="3"/>
            <w:tcBorders/>
            <w:vAlign w:val="center"/>
          </w:tcPr>
          <w:p>
            <w:pPr>
              <w:pStyle w:val="TableContents"/>
              <w:bidi w:val="0"/>
              <w:spacing w:before="0" w:after="283"/>
              <w:jc w:val="left"/>
              <w:rPr>
                <w:sz w:val="4"/>
                <w:szCs w:val="4"/>
              </w:rPr>
            </w:pPr>
            <w:r>
              <w:rPr>
                <w:sz w:val="4"/>
                <w:szCs w:val="4"/>
              </w:rPr>
            </w:r>
          </w:p>
        </w:tc>
        <w:tc>
          <w:tcPr>
            <w:tcW w:w="1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50"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operating segment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72"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9 </w:t>
            </w:r>
          </w:p>
        </w:tc>
        <w:tc>
          <w:tcPr>
            <w:tcW w:w="22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5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72" w:type="dxa"/>
            <w:gridSpan w:val="3"/>
            <w:tcBorders/>
            <w:vAlign w:val="center"/>
          </w:tcPr>
          <w:p>
            <w:pPr>
              <w:pStyle w:val="TableContents"/>
              <w:bidi w:val="0"/>
              <w:spacing w:before="0" w:after="283"/>
              <w:jc w:val="left"/>
              <w:rPr>
                <w:sz w:val="4"/>
                <w:szCs w:val="4"/>
              </w:rPr>
            </w:pPr>
            <w:r>
              <w:rPr>
                <w:sz w:val="4"/>
                <w:szCs w:val="4"/>
              </w:rPr>
            </w:r>
          </w:p>
        </w:tc>
        <w:tc>
          <w:tcPr>
            <w:tcW w:w="1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Corporate and Eliminations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50"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items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72"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22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50"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Income (Loss) Before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0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81</w:t>
            </w:r>
            <w:r>
              <w:rPr>
                <w:color w:val="000000"/>
              </w:rPr>
              <w:t> </w:t>
            </w:r>
          </w:p>
        </w:tc>
        <w:tc>
          <w:tcPr>
            <w:tcW w:w="2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(187)</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14"/>
        </w:rPr>
      </w:pPr>
      <w:r>
        <w:rPr>
          <w:rFonts w:ascii="Arial;sans-serif" w:hAnsi="Arial;sans-serif"/>
          <w:b w:val="false"/>
          <w:color w:val="000000"/>
          <w:sz w:val="14"/>
        </w:rPr>
        <w:t>__________________</w:t>
      </w:r>
    </w:p>
    <w:p>
      <w:pPr>
        <w:pStyle w:val="TextBody"/>
        <w:bidi w:val="0"/>
        <w:spacing w:lineRule="auto" w:line="288" w:before="0" w:after="0"/>
        <w:ind w:left="0" w:right="0" w:hanging="360"/>
        <w:jc w:val="left"/>
        <w:rPr>
          <w:rFonts w:ascii="Arial;sans-serif" w:hAnsi="Arial;sans-serif"/>
          <w:b w:val="false"/>
          <w:color w:val="000000"/>
          <w:sz w:val="14"/>
        </w:rPr>
      </w:pPr>
      <w:r>
        <w:rPr>
          <w:rFonts w:ascii="Arial;sans-serif" w:hAnsi="Arial;sans-serif"/>
          <w:b w:val="false"/>
          <w:color w:val="000000"/>
          <w:sz w:val="14"/>
        </w:rPr>
        <w:t>(a)Includes the periodic amortization of fair value adjustments associated with acquired fuel supply contract liabilities and intangible assets.</w:t>
      </w:r>
    </w:p>
    <w:p>
      <w:pPr>
        <w:pStyle w:val="TextBody"/>
        <w:bidi w:val="0"/>
        <w:spacing w:lineRule="auto" w:line="288" w:before="0" w:after="0"/>
        <w:ind w:left="0" w:right="0" w:hanging="360"/>
        <w:jc w:val="left"/>
        <w:rPr>
          <w:rFonts w:ascii="Arial;sans-serif" w:hAnsi="Arial;sans-serif"/>
          <w:b w:val="false"/>
          <w:color w:val="000000"/>
          <w:sz w:val="14"/>
        </w:rPr>
      </w:pPr>
      <w:r>
        <w:rPr>
          <w:rFonts w:ascii="Arial;sans-serif" w:hAnsi="Arial;sans-serif"/>
          <w:b w:val="false"/>
          <w:color w:val="000000"/>
          <w:sz w:val="14"/>
        </w:rPr>
        <w:t xml:space="preserve">(b)Includes the non-recurring: (i) advisory fees associated with completed acquisitions and divestitures; (ii) remaining settlements on contracts of divested assets; and (iii) non-recurring finance fees charged to the Consolidated Statement of Operations associated with acquisition financing fee arrangements. </w:t>
      </w:r>
    </w:p>
    <w:p>
      <w:pPr>
        <w:pStyle w:val="TextBody"/>
        <w:bidi w:val="0"/>
        <w:spacing w:lineRule="auto" w:line="288" w:before="0" w:after="180"/>
        <w:ind w:left="0" w:right="0" w:hanging="360"/>
        <w:jc w:val="left"/>
        <w:rPr>
          <w:rFonts w:ascii="Arial;sans-serif" w:hAnsi="Arial;sans-serif"/>
          <w:b w:val="false"/>
          <w:color w:val="000000"/>
          <w:sz w:val="14"/>
        </w:rPr>
      </w:pPr>
      <w:r>
        <w:rPr>
          <w:rFonts w:ascii="Arial;sans-serif" w:hAnsi="Arial;sans-serif"/>
          <w:b w:val="false"/>
          <w:color w:val="000000"/>
          <w:sz w:val="14"/>
        </w:rPr>
        <w:t>(c)Non-recurring severance and retention costs and strategic initiative costs.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0000"/>
          <w:sz w:val="18"/>
        </w:rPr>
      </w:pPr>
      <w:bookmarkStart w:id="12" w:name="ie114f4b8bc1c4c389f6ef5596a2d5b6a_1428"/>
      <w:bookmarkEnd w:id="12"/>
      <w:r>
        <w:rPr>
          <w:rFonts w:ascii="Arial;sans-serif" w:hAnsi="Arial;sans-serif"/>
          <w:b/>
          <w:color w:val="000000"/>
          <w:sz w:val="18"/>
        </w:rPr>
        <w:t>ITEM 2. MANAGEMENT’S DISCUSSION AND ANALYSIS OF FINANCIAL CONDITION AND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ind w:left="0" w:right="0" w:firstLine="360"/>
        <w:jc w:val="left"/>
        <w:rPr>
          <w:rFonts w:ascii="Arial;sans-serif" w:hAnsi="Arial;sans-serif"/>
          <w:b w:val="false"/>
          <w:color w:val="000000"/>
          <w:sz w:val="18"/>
        </w:rPr>
      </w:pPr>
      <w:r>
        <w:rPr>
          <w:rFonts w:ascii="Arial;sans-serif" w:hAnsi="Arial;sans-serif"/>
          <w:b w:val="false"/>
          <w:color w:val="000000"/>
          <w:sz w:val="18"/>
        </w:rPr>
        <w:t xml:space="preserve">The following Management’s Discussion and Analysis of Financial Condition and Results of Operations (“MD&amp;A”) should be read in conjunction with the Interim Financial Statements, the Annual Financial Statements, and the Notes thereto. The discussion contains forward-looking statements as well as estimates regarding market and industry data, which involve risks, uncertainties, and assumptions. See “Cautionary Note Regarding Forward-Looking Information” and “Market and Industry Data” for additional information. Dollars are in millions, unless otherwise noted.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0000"/>
          <w:sz w:val="18"/>
        </w:rPr>
      </w:pPr>
      <w:r>
        <w:rPr>
          <w:rFonts w:ascii="Arial;sans-serif" w:hAnsi="Arial;sans-serif"/>
          <w:b/>
          <w:color w:val="000000"/>
          <w:sz w:val="18"/>
        </w:rPr>
        <w:t>Recent Developments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ind w:left="0" w:right="0" w:firstLine="360"/>
        <w:jc w:val="left"/>
        <w:rPr>
          <w:rFonts w:ascii="Arial;sans-serif" w:hAnsi="Arial;sans-serif"/>
          <w:b/>
          <w:i/>
          <w:color w:val="000000"/>
          <w:sz w:val="18"/>
        </w:rPr>
      </w:pPr>
      <w:r>
        <w:rPr>
          <w:rFonts w:ascii="Arial;sans-serif" w:hAnsi="Arial;sans-serif"/>
          <w:b/>
          <w:i/>
          <w:color w:val="000000"/>
          <w:sz w:val="18"/>
        </w:rPr>
        <w:t>Financing Transactions</w:t>
      </w:r>
    </w:p>
    <w:p>
      <w:pPr>
        <w:pStyle w:val="TextBody"/>
        <w:bidi w:val="0"/>
        <w:spacing w:lineRule="auto" w:line="288" w:before="0" w:after="180"/>
        <w:ind w:left="0" w:right="0" w:firstLine="360"/>
        <w:jc w:val="left"/>
        <w:rPr/>
      </w:pPr>
      <w:r>
        <w:rPr>
          <w:rFonts w:ascii="Arial;sans-serif" w:hAnsi="Arial;sans-serif"/>
          <w:b w:val="false"/>
          <w:i/>
          <w:color w:val="000000"/>
          <w:sz w:val="18"/>
        </w:rPr>
        <w:t>Unsecured Notes due 2031 and 2033.</w:t>
      </w:r>
      <w:r>
        <w:rPr>
          <w:color w:val="000000"/>
        </w:rPr>
        <w:t xml:space="preserve"> </w:t>
      </w:r>
      <w:r>
        <w:rPr>
          <w:rFonts w:ascii="Arial;sans-serif" w:hAnsi="Arial;sans-serif"/>
          <w:b w:val="false"/>
          <w:color w:val="000000"/>
          <w:sz w:val="18"/>
        </w:rPr>
        <w:t>In April 2026, TES issued in private placement transactions not involving a public offering: (i) $1.5 billion in aggregate principal amount of 6.125% Senior Unsecured Notes due 2031; and (ii) $2.5 billion in aggregate principal amount of 6.375% Senior Unsecured Notes due 2033. We intend to use the net proceeds from the issuance and sale of the Unsecured Notes due 2031 and 2033 to fund: (i) the previously announced Cornerstone Acquisition and (ii) the redemption in full of the Company’s outstanding Secured Notes.</w:t>
      </w:r>
    </w:p>
    <w:p>
      <w:pPr>
        <w:pStyle w:val="TextBody"/>
        <w:bidi w:val="0"/>
        <w:spacing w:lineRule="auto" w:line="288" w:before="0" w:after="180"/>
        <w:ind w:left="0" w:right="0" w:firstLine="360"/>
        <w:jc w:val="left"/>
        <w:rPr/>
      </w:pPr>
      <w:r>
        <w:rPr>
          <w:rFonts w:ascii="Arial;sans-serif" w:hAnsi="Arial;sans-serif"/>
          <w:b w:val="false"/>
          <w:i/>
          <w:color w:val="000000"/>
          <w:sz w:val="18"/>
        </w:rPr>
        <w:t>Secured Notes.</w:t>
      </w:r>
      <w:r>
        <w:rPr>
          <w:color w:val="000000"/>
        </w:rPr>
        <w:t xml:space="preserve"> </w:t>
      </w:r>
      <w:r>
        <w:rPr>
          <w:rFonts w:ascii="Arial;sans-serif" w:hAnsi="Arial;sans-serif"/>
          <w:b w:val="false"/>
          <w:color w:val="000000"/>
          <w:sz w:val="18"/>
        </w:rPr>
        <w:t>In April 2026, using a portion of the net proceeds of the Unsecured Notes due 2031 and 2033, TES redeemed in full, the Company’s outstanding Secured Notes in aggregate principal amount of $1.2 billion.</w:t>
      </w:r>
    </w:p>
    <w:p>
      <w:pPr>
        <w:pStyle w:val="TextBody"/>
        <w:bidi w:val="0"/>
        <w:spacing w:lineRule="auto" w:line="288" w:before="0" w:after="180"/>
        <w:ind w:left="0" w:right="0" w:firstLine="360"/>
        <w:jc w:val="left"/>
        <w:rPr/>
      </w:pPr>
      <w:r>
        <w:rPr>
          <w:rFonts w:ascii="Arial;sans-serif" w:hAnsi="Arial;sans-serif"/>
          <w:b w:val="false"/>
          <w:i/>
          <w:color w:val="000000"/>
          <w:sz w:val="18"/>
        </w:rPr>
        <w:t>Credit Facility Transactions.</w:t>
      </w:r>
      <w:r>
        <w:rPr>
          <w:color w:val="000000"/>
        </w:rPr>
        <w:t xml:space="preserve"> </w:t>
      </w:r>
      <w:r>
        <w:rPr>
          <w:rFonts w:ascii="Arial;sans-serif" w:hAnsi="Arial;sans-serif"/>
          <w:b w:val="false"/>
          <w:color w:val="000000"/>
          <w:sz w:val="18"/>
        </w:rPr>
        <w:t>In April 2026, TES also undertook the following financing transactions that are expected to become effective concurrently with the closing of the Cornerstone Acquisition: (i) received commitments to increase its existing RCF (including its revolving LC capacity) from $900 million to $1.35 billion; and (ii) received commitments to upsize its existing $1.1 billion LCF to $1.5 billion and extend the maturity from December 2027 to December 2029.</w:t>
      </w:r>
    </w:p>
    <w:p>
      <w:pPr>
        <w:pStyle w:val="TextBody"/>
        <w:bidi w:val="0"/>
        <w:spacing w:lineRule="auto" w:line="288" w:before="0" w:after="180"/>
        <w:ind w:left="0" w:right="0" w:firstLine="360"/>
        <w:jc w:val="left"/>
        <w:rPr>
          <w:rFonts w:ascii="Arial;sans-serif" w:hAnsi="Arial;sans-serif"/>
          <w:b w:val="false"/>
          <w:color w:val="000000"/>
          <w:sz w:val="18"/>
        </w:rPr>
      </w:pPr>
      <w:r>
        <w:rPr>
          <w:rFonts w:ascii="Arial;sans-serif" w:hAnsi="Arial;sans-serif"/>
          <w:b w:val="false"/>
          <w:color w:val="000000"/>
          <w:sz w:val="18"/>
        </w:rPr>
        <w:t>See Notes 10 and 17 to the Interim Financial Statements for additional information on the financing transactions and the Cornerstone Acquisition.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ind w:left="0" w:right="0" w:firstLine="360"/>
        <w:jc w:val="left"/>
        <w:rPr>
          <w:rFonts w:ascii="Arial;sans-serif" w:hAnsi="Arial;sans-serif"/>
          <w:b/>
          <w:i/>
          <w:color w:val="000000"/>
          <w:sz w:val="18"/>
        </w:rPr>
      </w:pPr>
      <w:r>
        <w:rPr>
          <w:rFonts w:ascii="Arial;sans-serif" w:hAnsi="Arial;sans-serif"/>
          <w:b/>
          <w:i/>
          <w:color w:val="000000"/>
          <w:sz w:val="18"/>
        </w:rPr>
        <w:t>Common Stock Repurchases</w:t>
      </w:r>
    </w:p>
    <w:p>
      <w:pPr>
        <w:pStyle w:val="TextBody"/>
        <w:bidi w:val="0"/>
        <w:spacing w:lineRule="auto" w:line="288" w:before="0" w:after="180"/>
        <w:ind w:left="0" w:right="0" w:firstLine="360"/>
        <w:jc w:val="left"/>
        <w:rPr>
          <w:rFonts w:ascii="Arial;sans-serif" w:hAnsi="Arial;sans-serif"/>
          <w:b w:val="false"/>
          <w:color w:val="000000"/>
          <w:sz w:val="18"/>
        </w:rPr>
      </w:pPr>
      <w:r>
        <w:rPr>
          <w:rFonts w:ascii="Arial;sans-serif" w:hAnsi="Arial;sans-serif"/>
          <w:b w:val="false"/>
          <w:color w:val="000000"/>
          <w:sz w:val="18"/>
        </w:rPr>
        <w:t>During the three months ended March 31, 2026, we repurchased and retired 300,000 shares of TEC’s outstanding common stock under the SRP. The aggregate purchase price, including transaction fees and excise tax, was $101 million at a weighted average price of $336.42 per share. As of March 31, 2026, the remaining capacity under the SRP is $1.9 billion through 2028. See Note 15 to the Interim Financial Statements for additional information on the SRP.</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16840"/>
                <wp:effectExtent l="0" t="0" r="0" b="0"/>
                <wp:wrapNone/>
                <wp:docPr id="30" name="Frame30"/>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28</w:t>
                      </w:r>
                    </w:p>
                  </w:txbxContent>
                </v:textbox>
                <w10:wrap type="none"/>
              </v:rect>
            </w:pict>
          </mc:Fallback>
        </mc:AlternateContent>
      </w:r>
    </w:p>
    <w:p>
      <w:pPr>
        <w:pStyle w:val="TextBody"/>
        <w:bidi w:val="0"/>
        <w:spacing w:lineRule="auto" w:line="288" w:before="0" w:after="180"/>
        <w:jc w:val="left"/>
        <w:rPr/>
      </w:pPr>
      <w:hyperlink w:anchor="if20e1f3d5a734e3eabbb6aa8f57c7562_45">
        <w:r>
          <w:rPr>
            <w:rStyle w:val="InternetLink"/>
            <w:rFonts w:ascii="Arial;sans-serif" w:hAnsi="Arial;sans-serif"/>
            <w:b w:val="false"/>
            <w:color w:val="0000FF"/>
            <w:sz w:val="18"/>
            <w:u w:val="single"/>
          </w:rPr>
          <w:t>Table of Contents</w:t>
        </w:r>
      </w:hyperlink>
    </w:p>
    <w:p>
      <w:pPr>
        <w:pStyle w:val="TextBody"/>
        <w:bidi w:val="0"/>
        <w:spacing w:lineRule="auto" w:line="288" w:before="0" w:after="180"/>
        <w:ind w:left="0" w:right="0" w:firstLine="360"/>
        <w:jc w:val="left"/>
        <w:rPr>
          <w:rFonts w:ascii="Arial;sans-serif" w:hAnsi="Arial;sans-serif"/>
          <w:b/>
          <w:i/>
          <w:color w:val="000000"/>
          <w:sz w:val="18"/>
        </w:rPr>
      </w:pPr>
      <w:r>
        <w:rPr>
          <w:rFonts w:ascii="Arial;sans-serif" w:hAnsi="Arial;sans-serif"/>
          <w:b/>
          <w:i/>
          <w:color w:val="000000"/>
          <w:sz w:val="18"/>
        </w:rPr>
        <w:t>Cornerstone Acquisition</w:t>
      </w:r>
    </w:p>
    <w:p>
      <w:pPr>
        <w:pStyle w:val="TextBody"/>
        <w:bidi w:val="0"/>
        <w:spacing w:lineRule="auto" w:line="288" w:before="0" w:after="180"/>
        <w:ind w:left="0" w:right="0" w:firstLine="360"/>
        <w:jc w:val="left"/>
        <w:rPr>
          <w:rFonts w:ascii="Arial;sans-serif" w:hAnsi="Arial;sans-serif"/>
          <w:b w:val="false"/>
          <w:color w:val="000000"/>
          <w:sz w:val="18"/>
        </w:rPr>
      </w:pPr>
      <w:r>
        <w:rPr>
          <w:rFonts w:ascii="Arial;sans-serif" w:hAnsi="Arial;sans-serif"/>
          <w:b w:val="false"/>
          <w:color w:val="000000"/>
          <w:sz w:val="18"/>
        </w:rPr>
        <w:t>In January 2026, we entered into the Cornerstone Merger Agreement to acquire from affiliates of Energy Capital Partners (“ECP”) the 875 MW Waterford Energy Center and 456 MW Darby Generating Station, both located in Ohio, and the 1,120 MW Lawrenceburg Power Plant located in Indiana, for an aggregate purchase price of $3.45 billion, consisting of $2.55 billion in cash, subject to working capital and other customary adjustments, and 2,400,000 shares of TEC common stock, valued at approximately $900 million at the time of the entry into the Cornerstone Merger Agreement. The final value of the equity portion of the transaction price will be based on the value of TEC common stock at the close of the transaction. The cash portion of the purchase price will be funded from the proceeds of the Unsecured Notes due 2031 and 2033 which were issued in April 2026. The stock consideration will be subject to lock-ups of 90 days on 50% of the stock consideration and 180 days on the remaining stock consideration.</w:t>
      </w:r>
    </w:p>
    <w:p>
      <w:pPr>
        <w:pStyle w:val="TextBody"/>
        <w:bidi w:val="0"/>
        <w:spacing w:lineRule="auto" w:line="288" w:before="0" w:after="180"/>
        <w:ind w:left="0" w:right="0" w:firstLine="360"/>
        <w:jc w:val="left"/>
        <w:rPr>
          <w:rFonts w:ascii="Arial;sans-serif" w:hAnsi="Arial;sans-serif"/>
          <w:b w:val="false"/>
          <w:color w:val="000000"/>
          <w:sz w:val="18"/>
        </w:rPr>
      </w:pPr>
      <w:r>
        <w:rPr>
          <w:rFonts w:ascii="Arial;sans-serif" w:hAnsi="Arial;sans-serif"/>
          <w:b w:val="false"/>
          <w:color w:val="000000"/>
          <w:sz w:val="18"/>
        </w:rPr>
        <w:t>The addition of these assets to Talen’s portfolio will increase generation capacity by approximately 2.5 GW of natural gas generation, substantially expanding Talen’s presence in the western PJM market and adding additional efficient baseload generation assets to its fleet.</w:t>
      </w:r>
    </w:p>
    <w:p>
      <w:pPr>
        <w:pStyle w:val="TextBody"/>
        <w:bidi w:val="0"/>
        <w:spacing w:lineRule="auto" w:line="288" w:before="0" w:after="180"/>
        <w:ind w:left="0" w:right="0" w:firstLine="360"/>
        <w:jc w:val="left"/>
        <w:rPr>
          <w:rFonts w:ascii="Arial;sans-serif" w:hAnsi="Arial;sans-serif"/>
          <w:b w:val="false"/>
          <w:color w:val="000000"/>
          <w:sz w:val="18"/>
        </w:rPr>
      </w:pPr>
      <w:r>
        <w:rPr>
          <w:rFonts w:ascii="Arial;sans-serif" w:hAnsi="Arial;sans-serif"/>
          <w:b w:val="false"/>
          <w:color w:val="000000"/>
          <w:sz w:val="18"/>
        </w:rPr>
        <w:t>At the closing of the Cornerstone Acquisition, the Company intends to enter into the Cornerstone RRA with certain parties, under which it will use commercially reasonable efforts to file a registration statement on Form S-3 with the SEC to register the TEC common stock to be issued pursuant to the Cornerstone Merger Agreement within three business days (and in any event within five business days) after issuance.</w:t>
      </w:r>
    </w:p>
    <w:p>
      <w:pPr>
        <w:pStyle w:val="TextBody"/>
        <w:bidi w:val="0"/>
        <w:spacing w:lineRule="auto" w:line="288" w:before="0" w:after="180"/>
        <w:ind w:left="0" w:right="0" w:firstLine="360"/>
        <w:jc w:val="left"/>
        <w:rPr>
          <w:rFonts w:ascii="Arial;sans-serif" w:hAnsi="Arial;sans-serif"/>
          <w:b w:val="false"/>
          <w:color w:val="000000"/>
          <w:sz w:val="18"/>
        </w:rPr>
      </w:pPr>
      <w:r>
        <w:rPr>
          <w:rFonts w:ascii="Arial;sans-serif" w:hAnsi="Arial;sans-serif"/>
          <w:b w:val="false"/>
          <w:color w:val="000000"/>
          <w:sz w:val="18"/>
        </w:rPr>
        <w:t>The proposed Cornerstone Acquisition is subject to regulatory approvals and the satisfaction of other customary closing conditions, and is expected to close early in the second half of 2026.</w:t>
      </w:r>
    </w:p>
    <w:p>
      <w:pPr>
        <w:pStyle w:val="TextBody"/>
        <w:bidi w:val="0"/>
        <w:spacing w:lineRule="auto" w:line="288" w:before="0" w:after="180"/>
        <w:ind w:left="0" w:right="0" w:firstLine="360"/>
        <w:jc w:val="left"/>
        <w:rPr>
          <w:rFonts w:ascii="Arial;sans-serif" w:hAnsi="Arial;sans-serif"/>
          <w:b w:val="false"/>
          <w:color w:val="000000"/>
          <w:sz w:val="18"/>
        </w:rPr>
      </w:pPr>
      <w:r>
        <w:rPr>
          <w:rFonts w:ascii="Arial;sans-serif" w:hAnsi="Arial;sans-serif"/>
          <w:b w:val="false"/>
          <w:color w:val="000000"/>
          <w:sz w:val="18"/>
        </w:rPr>
        <w:t>See Note 17 to the Interim Financial Statements for additional information on the Cornerstone Acquisition and “Item 1A. Risk Factors—Risks Related to the Cornerstone Acquisition” of our 2025 Annual Report for a discussion of the associated risks.</w:t>
      </w:r>
    </w:p>
    <w:p>
      <w:pPr>
        <w:pStyle w:val="TextBody"/>
        <w:bidi w:val="0"/>
        <w:spacing w:lineRule="auto" w:line="288" w:before="0" w:after="180"/>
        <w:ind w:left="0" w:right="0" w:firstLine="360"/>
        <w:jc w:val="left"/>
        <w:rPr>
          <w:rFonts w:ascii="Arial;sans-serif" w:hAnsi="Arial;sans-serif"/>
          <w:b w:val="false"/>
          <w:color w:val="000000"/>
          <w:sz w:val="18"/>
        </w:rPr>
      </w:pPr>
      <w:r>
        <w:rPr>
          <w:rFonts w:ascii="Arial;sans-serif" w:hAnsi="Arial;sans-serif"/>
          <w:b w:val="false"/>
          <w:color w:val="000000"/>
          <w:sz w:val="18"/>
        </w:rPr>
        <w:t>The foregoing description of the Cornerstone Merger Agreement and the transaction contemplated thereby is only a summary, does not purport to be complete, and is qualified in its entirety by reference to the full text of the Cornerstone Merger Agreement, a copy of which is incorporated by reference as Exhibit 2.1 to our 2025 Annual Report. The Cornerstone Merger Agreement was filed only to provide investors with information regarding their terms and are not intended to provide any other factual information about the parties thereto. Investors should not rely on the representations, warranties, or covenants in the Cornerstone Merger Agreement, which may be subject to important limitations and qualifications, and which may change after the date of the Cornerstone Merger Agreement, as characterizations of the actual state of facts or condition of the Company, the sellers, or any of their respective subsidiaries or affiliates.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0000"/>
          <w:sz w:val="18"/>
        </w:rPr>
      </w:pPr>
      <w:r>
        <w:rPr>
          <w:rFonts w:ascii="Arial;sans-serif" w:hAnsi="Arial;sans-serif"/>
          <w:b/>
          <w:color w:val="000000"/>
          <w:sz w:val="18"/>
        </w:rPr>
        <w:t>Factors Affecting Our Financial Condition and Results of Operations</w:t>
      </w:r>
    </w:p>
    <w:p>
      <w:pPr>
        <w:pStyle w:val="TextBody"/>
        <w:bidi w:val="0"/>
        <w:spacing w:lineRule="auto" w:line="288" w:before="0" w:after="180"/>
        <w:ind w:left="0" w:right="0" w:firstLine="360"/>
        <w:jc w:val="left"/>
        <w:rPr>
          <w:rFonts w:ascii="Arial;sans-serif" w:hAnsi="Arial;sans-serif"/>
          <w:b w:val="false"/>
          <w:color w:val="000000"/>
          <w:sz w:val="18"/>
        </w:rPr>
      </w:pPr>
      <w:r>
        <w:rPr>
          <w:rFonts w:ascii="Arial;sans-serif" w:hAnsi="Arial;sans-serif"/>
          <w:b w:val="false"/>
          <w:color w:val="000000"/>
          <w:sz w:val="18"/>
        </w:rPr>
        <w:t>Earnings in future periods are subject to various uncertainties and risks. See “Cautionary Note Regarding Forward-Looking Information,” “Item 1A. Risk Factors,” and Notes 2 and 9 to the Interim Financial Statements for additional information on our risks.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ind w:left="0" w:right="0" w:firstLine="360"/>
        <w:jc w:val="left"/>
        <w:rPr>
          <w:rFonts w:ascii="Arial;sans-serif" w:hAnsi="Arial;sans-serif"/>
          <w:b/>
          <w:i/>
          <w:color w:val="000000"/>
          <w:sz w:val="18"/>
        </w:rPr>
      </w:pPr>
      <w:r>
        <w:rPr>
          <w:rFonts w:ascii="Arial;sans-serif" w:hAnsi="Arial;sans-serif"/>
          <w:b/>
          <w:i/>
          <w:color w:val="000000"/>
          <w:sz w:val="18"/>
        </w:rPr>
        <w:t>Commodity Markets</w:t>
      </w:r>
    </w:p>
    <w:p>
      <w:pPr>
        <w:pStyle w:val="TextBody"/>
        <w:bidi w:val="0"/>
        <w:spacing w:lineRule="auto" w:line="288" w:before="0" w:after="180"/>
        <w:ind w:left="0" w:right="0" w:firstLine="360"/>
        <w:jc w:val="left"/>
        <w:rPr>
          <w:rFonts w:ascii="Arial;sans-serif" w:hAnsi="Arial;sans-serif"/>
          <w:b w:val="false"/>
          <w:color w:val="000000"/>
          <w:sz w:val="18"/>
        </w:rPr>
      </w:pPr>
      <w:r>
        <w:rPr>
          <w:rFonts w:ascii="Arial;sans-serif" w:hAnsi="Arial;sans-serif"/>
          <w:b w:val="false"/>
          <w:color w:val="000000"/>
          <w:sz w:val="18"/>
        </w:rPr>
        <w:t>During the first quarter 2026, PJM experienced weather-related volatility as extreme temperatures over certain days contributed to increased load demand, resulting in higher settled on-peak power prices. Additionally, TETCO M-3 natural gas prices settled higher in the period due to the effect of increased electric demand resulting from the extreme temperature days in PJM driving natural gas prices to historic highs on those days. Natural gas storage levels during the quarter were near the 5-year average.</w:t>
      </w:r>
    </w:p>
    <w:p>
      <w:pPr>
        <w:pStyle w:val="TextBody"/>
        <w:bidi w:val="0"/>
        <w:spacing w:lineRule="auto" w:line="288" w:before="0" w:after="180"/>
        <w:ind w:left="0" w:right="0" w:firstLine="360"/>
        <w:jc w:val="left"/>
        <w:rPr>
          <w:rFonts w:ascii="Arial;sans-serif" w:hAnsi="Arial;sans-serif"/>
          <w:b w:val="false"/>
          <w:color w:val="000000"/>
          <w:sz w:val="18"/>
        </w:rPr>
      </w:pPr>
      <w:r>
        <w:rPr>
          <w:rFonts w:ascii="Arial;sans-serif" w:hAnsi="Arial;sans-serif"/>
          <w:b w:val="false"/>
          <w:color w:val="000000"/>
          <w:sz w:val="18"/>
        </w:rPr>
        <w:t>The weighted average settled on-peak power prices and natural gas prices for the PJM market for the years ended March 31, were:</w:t>
      </w:r>
    </w:p>
    <w:tbl>
      <w:tblPr>
        <w:tblW w:w="5999" w:type="dxa"/>
        <w:jc w:val="left"/>
        <w:tblInd w:w="0" w:type="dxa"/>
        <w:tblLayout w:type="fixed"/>
        <w:tblCellMar>
          <w:top w:w="28" w:type="dxa"/>
          <w:left w:w="28" w:type="dxa"/>
          <w:bottom w:w="28" w:type="dxa"/>
          <w:right w:w="28" w:type="dxa"/>
        </w:tblCellMar>
      </w:tblPr>
      <w:tblGrid>
        <w:gridCol w:w="1182"/>
        <w:gridCol w:w="1039"/>
        <w:gridCol w:w="1049"/>
        <w:gridCol w:w="109"/>
        <w:gridCol w:w="109"/>
        <w:gridCol w:w="109"/>
        <w:gridCol w:w="196"/>
        <w:gridCol w:w="646"/>
        <w:gridCol w:w="109"/>
        <w:gridCol w:w="109"/>
        <w:gridCol w:w="109"/>
        <w:gridCol w:w="109"/>
        <w:gridCol w:w="196"/>
        <w:gridCol w:w="556"/>
        <w:gridCol w:w="109"/>
        <w:gridCol w:w="109"/>
        <w:gridCol w:w="154"/>
      </w:tblGrid>
      <w:tr>
        <w:trPr/>
        <w:tc>
          <w:tcPr>
            <w:tcW w:w="1182"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70"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PJM West Hub Day Ahead Peak - $/MWh</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102.98 </w:t>
            </w:r>
          </w:p>
        </w:tc>
        <w:tc>
          <w:tcPr>
            <w:tcW w:w="109"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60.50 </w:t>
            </w:r>
          </w:p>
        </w:tc>
        <w:tc>
          <w:tcPr>
            <w:tcW w:w="109"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PJM PPL Zone Day Ahead Peak - $/MWh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86.95 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70"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PJM AEP-D Hub Day Ahead Peak - $/MWh</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74.81 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53.40 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70"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TETCO M-3 - $/MMBtu</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9.61 </w:t>
            </w:r>
          </w:p>
        </w:tc>
        <w:tc>
          <w:tcPr>
            <w:tcW w:w="109"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6.42 </w:t>
            </w:r>
          </w:p>
        </w:tc>
        <w:tc>
          <w:tcPr>
            <w:tcW w:w="109"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Arial;sans-serif" w:hAnsi="Arial;sans-serif"/>
          <w:b w:val="false"/>
          <w:color w:val="000000"/>
          <w:sz w:val="18"/>
        </w:rPr>
      </w:pPr>
      <w:r>
        <w:rPr>
          <w:rFonts w:ascii="Arial;sans-serif" w:hAnsi="Arial;sans-serif"/>
          <w:b w:val="false"/>
          <w:color w:val="000000"/>
          <w:sz w:val="18"/>
        </w:rPr>
        <w:t>The weighted average forward market prices for the periods from April 1 through December 31 as of March 31, were:</w:t>
      </w:r>
    </w:p>
    <w:tbl>
      <w:tblPr>
        <w:tblW w:w="5976" w:type="dxa"/>
        <w:jc w:val="left"/>
        <w:tblInd w:w="0" w:type="dxa"/>
        <w:tblLayout w:type="fixed"/>
        <w:tblCellMar>
          <w:top w:w="28" w:type="dxa"/>
          <w:left w:w="28" w:type="dxa"/>
          <w:bottom w:w="28" w:type="dxa"/>
          <w:right w:w="28" w:type="dxa"/>
        </w:tblCellMar>
      </w:tblPr>
      <w:tblGrid>
        <w:gridCol w:w="1285"/>
        <w:gridCol w:w="1130"/>
        <w:gridCol w:w="1140"/>
        <w:gridCol w:w="109"/>
        <w:gridCol w:w="109"/>
        <w:gridCol w:w="109"/>
        <w:gridCol w:w="196"/>
        <w:gridCol w:w="556"/>
        <w:gridCol w:w="109"/>
        <w:gridCol w:w="109"/>
        <w:gridCol w:w="109"/>
        <w:gridCol w:w="109"/>
        <w:gridCol w:w="196"/>
        <w:gridCol w:w="556"/>
        <w:gridCol w:w="154"/>
      </w:tblGrid>
      <w:tr>
        <w:trPr/>
        <w:tc>
          <w:tcPr>
            <w:tcW w:w="1285"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1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3555"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PJM West Hub ATC - $/MWh</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57.85 </w:t>
            </w:r>
          </w:p>
        </w:tc>
        <w:tc>
          <w:tcPr>
            <w:tcW w:w="109"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53.87 </w:t>
            </w:r>
          </w:p>
        </w:tc>
        <w:tc>
          <w:tcPr>
            <w:tcW w:w="154"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PJM West Hub ATC Spark Spreads - $/MWh </w:t>
            </w:r>
            <w:r>
              <w:rPr>
                <w:rFonts w:ascii="Arial;sans-serif" w:hAnsi="Arial;sans-serif"/>
                <w:b w:val="false"/>
                <w:color w:val="000000"/>
                <w:sz w:val="10"/>
              </w:rPr>
              <w:t>(a)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3555" w:type="dxa"/>
            <w:gridSpan w:val="3"/>
            <w:tcBorders>
              <w:bottom w:val="single" w:sz="8" w:space="0" w:color="000000"/>
            </w:tcBorders>
            <w:shd w:fill="E1E1E2"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TETCO M-3 - $/MMBtu</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bottom w:val="single" w:sz="8" w:space="0" w:color="000000"/>
            </w:tcBorders>
            <w:shd w:fill="E1E1E2"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2.85 </w:t>
            </w:r>
          </w:p>
        </w:tc>
        <w:tc>
          <w:tcPr>
            <w:tcW w:w="109" w:type="dxa"/>
            <w:tcBorders>
              <w:bottom w:val="single" w:sz="8" w:space="0" w:color="000000"/>
            </w:tcBorders>
            <w:shd w:fill="E1E1E2"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bottom w:val="single" w:sz="8" w:space="0" w:color="000000"/>
            </w:tcBorders>
            <w:shd w:fill="E1E1E2"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3.80 </w:t>
            </w:r>
          </w:p>
        </w:tc>
        <w:tc>
          <w:tcPr>
            <w:tcW w:w="154" w:type="dxa"/>
            <w:tcBorders>
              <w:bottom w:val="single" w:sz="8" w:space="0" w:color="000000"/>
            </w:tcBorders>
            <w:shd w:fill="E1E1E2"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Arial;sans-serif" w:hAnsi="Arial;sans-serif"/>
          <w:b w:val="false"/>
          <w:color w:val="000000"/>
          <w:sz w:val="14"/>
        </w:rPr>
      </w:pPr>
      <w:r>
        <w:rPr>
          <w:rFonts w:ascii="Arial;sans-serif" w:hAnsi="Arial;sans-serif"/>
          <w:b w:val="false"/>
          <w:color w:val="000000"/>
          <w:sz w:val="14"/>
        </w:rPr>
        <w:t>__________________</w:t>
      </w:r>
    </w:p>
    <w:p>
      <w:pPr>
        <w:pStyle w:val="TextBody"/>
        <w:bidi w:val="0"/>
        <w:spacing w:lineRule="auto" w:line="288" w:before="0" w:after="180"/>
        <w:ind w:left="0" w:right="0" w:hanging="360"/>
        <w:jc w:val="left"/>
        <w:rPr>
          <w:rFonts w:ascii="Arial;sans-serif" w:hAnsi="Arial;sans-serif"/>
          <w:b w:val="false"/>
          <w:color w:val="000000"/>
          <w:sz w:val="14"/>
        </w:rPr>
      </w:pPr>
      <w:r>
        <w:rPr>
          <w:rFonts w:ascii="Arial;sans-serif" w:hAnsi="Arial;sans-serif"/>
          <w:b w:val="false"/>
          <w:color w:val="000000"/>
          <w:sz w:val="14"/>
        </w:rPr>
        <w:t>(a)Spark spreads are computed based on day-ahead PJM West Hub ATC prices, TETCO M-3 natural gas prices, and a heat rate of 7 MMBtu/MWh.</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16840"/>
                <wp:effectExtent l="0" t="0" r="0" b="0"/>
                <wp:wrapNone/>
                <wp:docPr id="31" name="Frame31"/>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29</w:t>
                      </w:r>
                    </w:p>
                  </w:txbxContent>
                </v:textbox>
                <w10:wrap type="none"/>
              </v:rect>
            </w:pict>
          </mc:Fallback>
        </mc:AlternateContent>
      </w:r>
    </w:p>
    <w:p>
      <w:pPr>
        <w:pStyle w:val="TextBody"/>
        <w:bidi w:val="0"/>
        <w:spacing w:lineRule="auto" w:line="288" w:before="0" w:after="180"/>
        <w:jc w:val="left"/>
        <w:rPr/>
      </w:pPr>
      <w:hyperlink w:anchor="if20e1f3d5a734e3eabbb6aa8f57c7562_45">
        <w:r>
          <w:rPr>
            <w:rStyle w:val="InternetLink"/>
            <w:rFonts w:ascii="Arial;sans-serif" w:hAnsi="Arial;sans-serif"/>
            <w:b w:val="false"/>
            <w:color w:val="0000FF"/>
            <w:sz w:val="18"/>
            <w:u w:val="single"/>
          </w:rPr>
          <w:t>Table of Contents</w:t>
        </w:r>
      </w:hyperlink>
    </w:p>
    <w:p>
      <w:pPr>
        <w:pStyle w:val="TextBody"/>
        <w:bidi w:val="0"/>
        <w:spacing w:lineRule="auto" w:line="288" w:before="0" w:after="180"/>
        <w:ind w:left="0" w:right="0" w:firstLine="360"/>
        <w:jc w:val="left"/>
        <w:rPr>
          <w:rFonts w:ascii="Arial;sans-serif" w:hAnsi="Arial;sans-serif"/>
          <w:b/>
          <w:i/>
          <w:color w:val="000000"/>
          <w:sz w:val="18"/>
        </w:rPr>
      </w:pPr>
      <w:r>
        <w:rPr>
          <w:rFonts w:ascii="Arial;sans-serif" w:hAnsi="Arial;sans-serif"/>
          <w:b/>
          <w:i/>
          <w:color w:val="000000"/>
          <w:sz w:val="18"/>
        </w:rPr>
        <w:t>Capacity Markets</w:t>
      </w:r>
    </w:p>
    <w:p>
      <w:pPr>
        <w:pStyle w:val="TextBody"/>
        <w:bidi w:val="0"/>
        <w:spacing w:lineRule="auto" w:line="288" w:before="0" w:after="180"/>
        <w:ind w:left="0" w:right="0" w:firstLine="360"/>
        <w:jc w:val="left"/>
        <w:rPr>
          <w:rFonts w:ascii="Arial;sans-serif" w:hAnsi="Arial;sans-serif"/>
          <w:b w:val="false"/>
          <w:color w:val="000000"/>
          <w:sz w:val="18"/>
        </w:rPr>
      </w:pPr>
      <w:r>
        <w:rPr>
          <w:rFonts w:ascii="Arial;sans-serif" w:hAnsi="Arial;sans-serif"/>
          <w:b w:val="false"/>
          <w:color w:val="000000"/>
          <w:sz w:val="18"/>
        </w:rPr>
        <w:t>Our generation facilities are located primarily in markets with capacity products, which are intended to ensure long-term grid reliability for customers by securing sufficient power supply resources to meet predicted future demand. Capacity prices are affected by supply and demand fundamentals, such as generation facility additions and retirements, capacity imports from and exports to adjacent markets, generation facility retrofit costs, non-performance risk premium penalties, demand response products, power demand forecasts, reserve margin targets and, in PJM, adjustments to the PJM market seller offer cap as determined by the PJM independent market monitor. Additionally, capacity prices may be affected by regulatory proceedings and (or) interventions by government stakeholders.</w:t>
      </w:r>
    </w:p>
    <w:p>
      <w:pPr>
        <w:pStyle w:val="TextBody"/>
        <w:bidi w:val="0"/>
        <w:spacing w:lineRule="auto" w:line="288" w:before="0" w:after="180"/>
        <w:ind w:left="0" w:right="0" w:firstLine="360"/>
        <w:jc w:val="left"/>
        <w:rPr/>
      </w:pPr>
      <w:r>
        <w:rPr>
          <w:rFonts w:ascii="Arial;sans-serif" w:hAnsi="Arial;sans-serif"/>
          <w:b w:val="false"/>
          <w:i/>
          <w:color w:val="000000"/>
          <w:sz w:val="18"/>
        </w:rPr>
        <w:t xml:space="preserve">PJM Capacity Auctions. </w:t>
      </w:r>
      <w:r>
        <w:rPr>
          <w:rFonts w:ascii="Arial;sans-serif" w:hAnsi="Arial;sans-serif"/>
          <w:b w:val="false"/>
          <w:color w:val="000000"/>
          <w:sz w:val="18"/>
        </w:rPr>
        <w:t xml:space="preserve">Under the PJM Reliability Pricing Model, when held on schedule, the PJM BRA is required to be conducted in the month of May three years prior to the start of the applicable PJM Capacity Year in order for PJM to secure commitments from capacity resources. The results of each PJM BRA impact our capacity revenues expected to be earned for the specific PJM Capacity Year. </w:t>
      </w:r>
    </w:p>
    <w:p>
      <w:pPr>
        <w:pStyle w:val="TextBody"/>
        <w:bidi w:val="0"/>
        <w:spacing w:lineRule="auto" w:line="288" w:before="0" w:after="180"/>
        <w:ind w:left="0" w:right="0" w:firstLine="360"/>
        <w:jc w:val="left"/>
        <w:rPr>
          <w:rFonts w:ascii="Arial;sans-serif" w:hAnsi="Arial;sans-serif"/>
          <w:b w:val="false"/>
          <w:color w:val="000000"/>
          <w:sz w:val="18"/>
        </w:rPr>
      </w:pPr>
      <w:r>
        <w:rPr>
          <w:rFonts w:ascii="Arial;sans-serif" w:hAnsi="Arial;sans-serif"/>
          <w:b w:val="false"/>
          <w:color w:val="000000"/>
          <w:sz w:val="18"/>
        </w:rPr>
        <w:t>Recently, PJM has delayed its auctions, which has resulted in less than 3 years between each auction and the start of the relevant PJM Capacity Year. The PJM BRA for the 2027/2028 PJM Capacity Year was held in December 2025. The capacity market construct provides generation owners some opportunity for revenue visibility on a multiyear basis and is intended to provide a price signal for new generation to be built in the future. See Note 9 to the Interim Financial Statements for additional information on the PJM capacity market, systemic risks, auction delays, and related legal actions.</w:t>
      </w:r>
    </w:p>
    <w:p>
      <w:pPr>
        <w:pStyle w:val="TextBody"/>
        <w:bidi w:val="0"/>
        <w:spacing w:lineRule="auto" w:line="288" w:before="0" w:after="180"/>
        <w:ind w:left="0" w:right="0" w:firstLine="360"/>
        <w:jc w:val="left"/>
        <w:rPr/>
      </w:pPr>
      <w:r>
        <w:rPr>
          <w:rFonts w:ascii="Arial;sans-serif" w:hAnsi="Arial;sans-serif"/>
          <w:b w:val="false"/>
          <w:i/>
          <w:color w:val="000000"/>
          <w:sz w:val="18"/>
        </w:rPr>
        <w:t>Capacity Prices.</w:t>
      </w:r>
      <w:r>
        <w:rPr>
          <w:color w:val="000000"/>
        </w:rPr>
        <w:t xml:space="preserve"> </w:t>
      </w:r>
      <w:r>
        <w:rPr>
          <w:rFonts w:ascii="Arial;sans-serif" w:hAnsi="Arial;sans-serif"/>
          <w:b w:val="false"/>
          <w:color w:val="000000"/>
          <w:sz w:val="18"/>
        </w:rPr>
        <w:t>The following table displays the cleared capacity prices for completed PJM BRAs for the markets and zones in which we primarily operate:</w:t>
      </w:r>
    </w:p>
    <w:tbl>
      <w:tblPr>
        <w:tblW w:w="9799" w:type="dxa"/>
        <w:jc w:val="left"/>
        <w:tblInd w:w="0" w:type="dxa"/>
        <w:tblLayout w:type="fixed"/>
        <w:tblCellMar>
          <w:top w:w="28" w:type="dxa"/>
          <w:left w:w="28" w:type="dxa"/>
          <w:bottom w:w="28" w:type="dxa"/>
          <w:right w:w="28" w:type="dxa"/>
        </w:tblCellMar>
      </w:tblPr>
      <w:tblGrid>
        <w:gridCol w:w="1120"/>
        <w:gridCol w:w="982"/>
        <w:gridCol w:w="988"/>
        <w:gridCol w:w="109"/>
        <w:gridCol w:w="109"/>
        <w:gridCol w:w="109"/>
        <w:gridCol w:w="196"/>
        <w:gridCol w:w="646"/>
        <w:gridCol w:w="109"/>
        <w:gridCol w:w="109"/>
        <w:gridCol w:w="109"/>
        <w:gridCol w:w="109"/>
        <w:gridCol w:w="196"/>
        <w:gridCol w:w="646"/>
        <w:gridCol w:w="109"/>
        <w:gridCol w:w="109"/>
        <w:gridCol w:w="109"/>
        <w:gridCol w:w="109"/>
        <w:gridCol w:w="196"/>
        <w:gridCol w:w="646"/>
        <w:gridCol w:w="109"/>
        <w:gridCol w:w="109"/>
        <w:gridCol w:w="109"/>
        <w:gridCol w:w="109"/>
        <w:gridCol w:w="198"/>
        <w:gridCol w:w="562"/>
        <w:gridCol w:w="110"/>
        <w:gridCol w:w="109"/>
        <w:gridCol w:w="109"/>
        <w:gridCol w:w="109"/>
        <w:gridCol w:w="198"/>
        <w:gridCol w:w="562"/>
        <w:gridCol w:w="110"/>
        <w:gridCol w:w="109"/>
        <w:gridCol w:w="109"/>
        <w:gridCol w:w="109"/>
        <w:gridCol w:w="154"/>
      </w:tblGrid>
      <w:tr>
        <w:trPr/>
        <w:tc>
          <w:tcPr>
            <w:tcW w:w="1120"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2027/2028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2026/2027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90"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6"/>
              </w:rPr>
              <w:t xml:space="preserve">PJM Capacity Performance ($/MWd) </w:t>
            </w:r>
            <w:r>
              <w:rPr>
                <w:rFonts w:ascii="Arial;sans-serif" w:hAnsi="Arial;sans-serif"/>
                <w:b/>
                <w:color w:val="000000"/>
                <w:sz w:val="10"/>
              </w:rPr>
              <w:t>(a)</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E1E1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E1E1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E1E1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top w:val="single" w:sz="8" w:space="0" w:color="000000"/>
            </w:tcBorders>
            <w:shd w:fill="E1E1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top w:val="single" w:sz="8" w:space="0" w:color="000000"/>
            </w:tcBorders>
            <w:shd w:fill="E1E1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MAAC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333.44 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329.17 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269.92 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49.49 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49.49 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90" w:type="dxa"/>
            <w:gridSpan w:val="3"/>
            <w:tcBorders>
              <w:bottom w:val="single" w:sz="8" w:space="0" w:color="000000"/>
            </w:tcBorders>
            <w:shd w:fill="E1E1E2"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PPL</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bottom w:val="single" w:sz="8" w:space="0" w:color="000000"/>
            </w:tcBorders>
            <w:shd w:fill="E1E1E2"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333.44 </w:t>
            </w:r>
          </w:p>
        </w:tc>
        <w:tc>
          <w:tcPr>
            <w:tcW w:w="109" w:type="dxa"/>
            <w:tcBorders>
              <w:bottom w:val="single" w:sz="8" w:space="0" w:color="000000"/>
            </w:tcBorders>
            <w:shd w:fill="E1E1E2"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bottom w:val="single" w:sz="8" w:space="0" w:color="000000"/>
            </w:tcBorders>
            <w:shd w:fill="E1E1E2"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329.17 </w:t>
            </w:r>
          </w:p>
        </w:tc>
        <w:tc>
          <w:tcPr>
            <w:tcW w:w="109" w:type="dxa"/>
            <w:tcBorders>
              <w:bottom w:val="single" w:sz="8" w:space="0" w:color="000000"/>
            </w:tcBorders>
            <w:shd w:fill="E1E1E2"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bottom w:val="single" w:sz="8" w:space="0" w:color="000000"/>
            </w:tcBorders>
            <w:shd w:fill="E1E1E2"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269.92 </w:t>
            </w:r>
          </w:p>
        </w:tc>
        <w:tc>
          <w:tcPr>
            <w:tcW w:w="109" w:type="dxa"/>
            <w:tcBorders>
              <w:bottom w:val="single" w:sz="8" w:space="0" w:color="000000"/>
            </w:tcBorders>
            <w:shd w:fill="E1E1E2"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bottom w:val="single" w:sz="8" w:space="0" w:color="000000"/>
            </w:tcBorders>
            <w:shd w:fill="E1E1E2"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49.49 </w:t>
            </w:r>
          </w:p>
        </w:tc>
        <w:tc>
          <w:tcPr>
            <w:tcW w:w="110" w:type="dxa"/>
            <w:tcBorders>
              <w:bottom w:val="single" w:sz="8" w:space="0" w:color="000000"/>
            </w:tcBorders>
            <w:shd w:fill="E1E1E2"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bottom w:val="single" w:sz="8" w:space="0" w:color="000000"/>
            </w:tcBorders>
            <w:shd w:fill="E1E1E2"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49.49 </w:t>
            </w:r>
          </w:p>
        </w:tc>
        <w:tc>
          <w:tcPr>
            <w:tcW w:w="110" w:type="dxa"/>
            <w:tcBorders>
              <w:bottom w:val="single" w:sz="8" w:space="0" w:color="000000"/>
            </w:tcBorders>
            <w:shd w:fill="E1E1E2"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14"/>
        </w:rPr>
      </w:pPr>
      <w:r>
        <w:rPr>
          <w:rFonts w:ascii="Arial;sans-serif" w:hAnsi="Arial;sans-serif"/>
          <w:b w:val="false"/>
          <w:color w:val="000000"/>
          <w:sz w:val="14"/>
        </w:rPr>
        <w:t>__________________</w:t>
      </w:r>
    </w:p>
    <w:p>
      <w:pPr>
        <w:pStyle w:val="TextBody"/>
        <w:bidi w:val="0"/>
        <w:spacing w:lineRule="auto" w:line="288" w:before="0" w:after="180"/>
        <w:ind w:left="0" w:right="0" w:hanging="360"/>
        <w:jc w:val="left"/>
        <w:rPr>
          <w:rFonts w:ascii="Arial;sans-serif" w:hAnsi="Arial;sans-serif"/>
          <w:b w:val="false"/>
          <w:color w:val="000000"/>
          <w:sz w:val="14"/>
        </w:rPr>
      </w:pPr>
      <w:r>
        <w:rPr>
          <w:rFonts w:ascii="Arial;sans-serif" w:hAnsi="Arial;sans-serif"/>
          <w:b w:val="false"/>
          <w:color w:val="000000"/>
          <w:sz w:val="14"/>
        </w:rPr>
        <w:t>(a)Displayed prices are from the applicable market publications.</w:t>
      </w:r>
    </w:p>
    <w:p>
      <w:pPr>
        <w:pStyle w:val="TextBody"/>
        <w:bidi w:val="0"/>
        <w:spacing w:lineRule="auto" w:line="288" w:before="0" w:after="180"/>
        <w:ind w:left="0" w:right="0" w:firstLine="360"/>
        <w:jc w:val="left"/>
        <w:rPr>
          <w:rFonts w:ascii="Arial;sans-serif" w:hAnsi="Arial;sans-serif"/>
          <w:b w:val="false"/>
          <w:color w:val="000000"/>
          <w:sz w:val="18"/>
        </w:rPr>
      </w:pPr>
      <w:r>
        <w:rPr>
          <w:rFonts w:ascii="Arial;sans-serif" w:hAnsi="Arial;sans-serif"/>
          <w:b w:val="false"/>
          <w:color w:val="000000"/>
          <w:sz w:val="18"/>
        </w:rPr>
        <w:t>For the 2027/2028 PJM Capacity Year, the Company cleared 8,745 MW at a price of $333.44/MWd.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ind w:left="0" w:right="0" w:firstLine="360"/>
        <w:jc w:val="left"/>
        <w:rPr>
          <w:rFonts w:ascii="Arial;sans-serif" w:hAnsi="Arial;sans-serif"/>
          <w:b/>
          <w:i/>
          <w:color w:val="000000"/>
          <w:sz w:val="18"/>
        </w:rPr>
      </w:pPr>
      <w:bookmarkStart w:id="13" w:name="i5e023b0ce8324820aefec2d5d1761da3_36232"/>
      <w:bookmarkEnd w:id="13"/>
      <w:r>
        <w:rPr>
          <w:rFonts w:ascii="Arial;sans-serif" w:hAnsi="Arial;sans-serif"/>
          <w:b/>
          <w:i/>
          <w:color w:val="000000"/>
          <w:sz w:val="18"/>
        </w:rPr>
        <w:t>Seasonality/Scheduled Maintenance</w:t>
      </w:r>
    </w:p>
    <w:p>
      <w:pPr>
        <w:pStyle w:val="TextBody"/>
        <w:bidi w:val="0"/>
        <w:spacing w:lineRule="auto" w:line="288" w:before="0" w:after="180"/>
        <w:ind w:left="0" w:right="0" w:firstLine="360"/>
        <w:jc w:val="left"/>
        <w:rPr>
          <w:rFonts w:ascii="Arial;sans-serif" w:hAnsi="Arial;sans-serif"/>
          <w:b w:val="false"/>
          <w:color w:val="000000"/>
          <w:sz w:val="18"/>
        </w:rPr>
      </w:pPr>
      <w:r>
        <w:rPr>
          <w:rFonts w:ascii="Arial;sans-serif" w:hAnsi="Arial;sans-serif"/>
          <w:b w:val="false"/>
          <w:color w:val="000000"/>
          <w:sz w:val="18"/>
        </w:rPr>
        <w:t>The demand for and market prices of electricity and natural gas are affected considerably by weather and, as a result, our operating results may fluctuate significantly on a seasonal basis. In general, below-average temperatures in the winter and above-average temperatures in the summer tend to increase electricity demand, energy prices, and revenues. Alternatively, moderate temperatures tend to decrease electricity demand and may adversely affect resulting energy margins, particularly in PJM. In addition, our operating expenses typically fluctuate geographically on a seasonal basis, with peak power generation and expenses during the winter in the Mid-Atlantic. We ordinarily perform planned facility maintenance during milder non-peak demand periods in the spring and fall to ensure reliability during peak periods. The pattern of fluctuations in our operating results varies depending on the type and location of the facilities being serviced, the capacity markets served, the maintenance requirements of our facilities, and the terms of bilateral contracts to purchase or sell electricity. We maintain our fossil generation fleet through a combination of self-service and contracted maintenance activity (including long-term service agreements at certain facilities). Our largest recurring maintenance project is the annual spring refueling outage at Susquehanna.</w:t>
      </w:r>
    </w:p>
    <w:p>
      <w:pPr>
        <w:pStyle w:val="TextBody"/>
        <w:bidi w:val="0"/>
        <w:spacing w:lineRule="auto" w:line="288" w:before="0" w:after="180"/>
        <w:ind w:left="0" w:right="0" w:firstLine="360"/>
        <w:jc w:val="left"/>
        <w:rPr>
          <w:rFonts w:ascii="Arial;sans-serif" w:hAnsi="Arial;sans-serif"/>
          <w:b w:val="false"/>
          <w:color w:val="000000"/>
          <w:sz w:val="18"/>
        </w:rPr>
      </w:pPr>
      <w:r>
        <w:rPr>
          <w:rFonts w:ascii="Arial;sans-serif" w:hAnsi="Arial;sans-serif"/>
          <w:b w:val="false"/>
          <w:color w:val="000000"/>
          <w:sz w:val="18"/>
        </w:rPr>
        <w:t>Susquehanna commenced its planned refueling outage on Unit 1 on March 23, 2026. We expect similar incremental maintenance activities that were performed on Unit 2 in 2025 to be performed during this outage on Unit 1, and anticipate the completion of the work in the first half of May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16840"/>
                <wp:effectExtent l="0" t="0" r="0" b="0"/>
                <wp:wrapNone/>
                <wp:docPr id="32" name="Frame32"/>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30</w:t>
                      </w:r>
                    </w:p>
                  </w:txbxContent>
                </v:textbox>
                <w10:wrap type="none"/>
              </v:rect>
            </w:pict>
          </mc:Fallback>
        </mc:AlternateContent>
      </w:r>
    </w:p>
    <w:p>
      <w:pPr>
        <w:pStyle w:val="TextBody"/>
        <w:bidi w:val="0"/>
        <w:spacing w:lineRule="auto" w:line="288" w:before="0" w:after="180"/>
        <w:jc w:val="left"/>
        <w:rPr/>
      </w:pPr>
      <w:hyperlink w:anchor="if20e1f3d5a734e3eabbb6aa8f57c7562_45">
        <w:r>
          <w:rPr>
            <w:rStyle w:val="InternetLink"/>
            <w:rFonts w:ascii="Arial;sans-serif" w:hAnsi="Arial;sans-serif"/>
            <w:b w:val="false"/>
            <w:color w:val="0000FF"/>
            <w:sz w:val="18"/>
            <w:u w:val="single"/>
          </w:rPr>
          <w:t>Table of Contents</w:t>
        </w:r>
      </w:hyperlink>
    </w:p>
    <w:p>
      <w:pPr>
        <w:pStyle w:val="TextBody"/>
        <w:bidi w:val="0"/>
        <w:spacing w:lineRule="auto" w:line="288" w:before="0" w:after="180"/>
        <w:jc w:val="left"/>
        <w:rPr>
          <w:rFonts w:ascii="Arial;sans-serif" w:hAnsi="Arial;sans-serif"/>
          <w:b/>
          <w:color w:val="000000"/>
          <w:sz w:val="18"/>
        </w:rPr>
      </w:pPr>
      <w:r>
        <w:rPr>
          <w:rFonts w:ascii="Arial;sans-serif" w:hAnsi="Arial;sans-serif"/>
          <w:b/>
          <w:color w:val="000000"/>
          <w:sz w:val="18"/>
        </w:rPr>
        <w:t>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ind w:left="0" w:right="0" w:firstLine="360"/>
        <w:jc w:val="left"/>
        <w:rPr>
          <w:rFonts w:ascii="Arial;sans-serif" w:hAnsi="Arial;sans-serif"/>
          <w:b w:val="false"/>
          <w:color w:val="000000"/>
          <w:sz w:val="18"/>
        </w:rPr>
      </w:pPr>
      <w:r>
        <w:rPr>
          <w:rFonts w:ascii="Arial;sans-serif" w:hAnsi="Arial;sans-serif"/>
          <w:b w:val="false"/>
          <w:color w:val="000000"/>
          <w:sz w:val="18"/>
        </w:rPr>
        <w:t xml:space="preserve">The results of operations presented below are prepared in accordance with GAAP and should be reviewed in conjunction with the Interim Financial Statements and the related Notes in this Report. The following discussion provides an analysis of the changes in our results of operations for the three months ended March 31, 2026, compared to the three months ended March 31, 2025. </w:t>
      </w:r>
    </w:p>
    <w:p>
      <w:pPr>
        <w:pStyle w:val="TextBody"/>
        <w:bidi w:val="0"/>
        <w:spacing w:lineRule="auto" w:line="288" w:before="0" w:after="180"/>
        <w:ind w:left="0" w:right="0" w:firstLine="360"/>
        <w:jc w:val="left"/>
        <w:rPr>
          <w:rFonts w:ascii="Arial;sans-serif" w:hAnsi="Arial;sans-serif"/>
          <w:b w:val="false"/>
          <w:color w:val="000000"/>
          <w:sz w:val="18"/>
        </w:rPr>
      </w:pPr>
      <w:r>
        <w:rPr>
          <w:rFonts w:ascii="Arial;sans-serif" w:hAnsi="Arial;sans-serif"/>
          <w:b w:val="false"/>
          <w:color w:val="000000"/>
          <w:sz w:val="18"/>
        </w:rPr>
        <w:t>In the explanations below, “Energy and other revenues” and “Fuel and energy purchases” are evaluated collectively because the price for power is generally determined by the variable operating cost of the next marginal generator dispatched to meet demand. “Energy and other revenues” relate to sales to an RTO or ISO, and sales under wholesale bilateral contracts. “Fuel and energy purchases” includes costs for fuel to generate electricity and settlements of financial and physical transactions related to fuel and energy purchases.</w:t>
      </w:r>
    </w:p>
    <w:p>
      <w:pPr>
        <w:pStyle w:val="TextBody"/>
        <w:bidi w:val="0"/>
        <w:spacing w:lineRule="auto" w:line="288" w:before="0" w:after="180"/>
        <w:ind w:left="0" w:right="0" w:firstLine="360"/>
        <w:jc w:val="left"/>
        <w:rPr>
          <w:rFonts w:ascii="Arial;sans-serif" w:hAnsi="Arial;sans-serif"/>
          <w:b w:val="false"/>
          <w:color w:val="000000"/>
          <w:sz w:val="18"/>
        </w:rPr>
      </w:pPr>
      <w:r>
        <w:rPr>
          <w:rFonts w:ascii="Arial;sans-serif" w:hAnsi="Arial;sans-serif"/>
          <w:b w:val="false"/>
          <w:color w:val="000000"/>
          <w:sz w:val="18"/>
        </w:rPr>
        <w:t>Unrealized gains (losses) on derivative instruments resulting from changes in fair value during the periods are presented separately as revenues within “Operating Revenues” and expenses within “Energy Expenses.” We evaluate them collectively because they represent the changes in fair value of our economic hedging activities.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ind w:left="0" w:right="0" w:firstLine="360"/>
        <w:jc w:val="left"/>
        <w:rPr>
          <w:rFonts w:ascii="Arial;sans-serif" w:hAnsi="Arial;sans-serif"/>
          <w:b/>
          <w:i/>
          <w:color w:val="000000"/>
          <w:sz w:val="18"/>
        </w:rPr>
      </w:pPr>
      <w:r>
        <w:rPr>
          <w:rFonts w:ascii="Arial;sans-serif" w:hAnsi="Arial;sans-serif"/>
          <w:b/>
          <w:i/>
          <w:color w:val="000000"/>
          <w:sz w:val="18"/>
        </w:rPr>
        <w:t>Results for the Three Months Ended March 31, 2026 and 2025</w:t>
      </w:r>
    </w:p>
    <w:tbl>
      <w:tblPr>
        <w:tblW w:w="10205" w:type="dxa"/>
        <w:jc w:val="left"/>
        <w:tblInd w:w="0" w:type="dxa"/>
        <w:tblLayout w:type="fixed"/>
        <w:tblCellMar>
          <w:top w:w="28" w:type="dxa"/>
          <w:left w:w="28" w:type="dxa"/>
          <w:bottom w:w="28" w:type="dxa"/>
          <w:right w:w="28" w:type="dxa"/>
        </w:tblCellMar>
      </w:tblPr>
      <w:tblGrid>
        <w:gridCol w:w="1480"/>
        <w:gridCol w:w="1184"/>
        <w:gridCol w:w="1188"/>
        <w:gridCol w:w="109"/>
        <w:gridCol w:w="109"/>
        <w:gridCol w:w="109"/>
        <w:gridCol w:w="238"/>
        <w:gridCol w:w="677"/>
        <w:gridCol w:w="132"/>
        <w:gridCol w:w="132"/>
        <w:gridCol w:w="132"/>
        <w:gridCol w:w="132"/>
        <w:gridCol w:w="238"/>
        <w:gridCol w:w="590"/>
        <w:gridCol w:w="132"/>
        <w:gridCol w:w="109"/>
        <w:gridCol w:w="109"/>
        <w:gridCol w:w="109"/>
        <w:gridCol w:w="626"/>
        <w:gridCol w:w="1396"/>
        <w:gridCol w:w="352"/>
        <w:gridCol w:w="109"/>
        <w:gridCol w:w="109"/>
        <w:gridCol w:w="109"/>
        <w:gridCol w:w="109"/>
        <w:gridCol w:w="109"/>
        <w:gridCol w:w="109"/>
        <w:gridCol w:w="109"/>
        <w:gridCol w:w="159"/>
      </w:tblGrid>
      <w:tr>
        <w:trPr/>
        <w:tc>
          <w:tcPr>
            <w:tcW w:w="1480"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11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8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4"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Favorable (Unfavorable) Variance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gridSpan w:val="2"/>
            <w:tcBorders/>
          </w:tcPr>
          <w:p>
            <w:pPr>
              <w:pStyle w:val="TableContents"/>
              <w:bidi w:val="0"/>
              <w:spacing w:before="0" w:after="283"/>
              <w:jc w:val="left"/>
              <w:rPr>
                <w:sz w:val="4"/>
                <w:szCs w:val="4"/>
              </w:rPr>
            </w:pPr>
            <w:r>
              <w:rPr>
                <w:sz w:val="4"/>
                <w:szCs w:val="4"/>
              </w:rPr>
            </w:r>
          </w:p>
        </w:tc>
      </w:tr>
      <w:tr>
        <w:trPr/>
        <w:tc>
          <w:tcPr>
            <w:tcW w:w="38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4"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852"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Energy and other revenues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77"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1,034 </w:t>
            </w:r>
          </w:p>
        </w:tc>
        <w:tc>
          <w:tcPr>
            <w:tcW w:w="132"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90"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582 </w:t>
            </w:r>
          </w:p>
        </w:tc>
        <w:tc>
          <w:tcPr>
            <w:tcW w:w="132"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39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452 </w:t>
            </w:r>
          </w:p>
        </w:tc>
        <w:tc>
          <w:tcPr>
            <w:tcW w:w="352"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8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Capacity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207 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158 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852"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Unrealized gain (loss) on derivative instruments (Note 2)</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(112)</w:t>
            </w:r>
          </w:p>
        </w:tc>
        <w:tc>
          <w:tcPr>
            <w:tcW w:w="132"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(241)</w:t>
            </w:r>
          </w:p>
        </w:tc>
        <w:tc>
          <w:tcPr>
            <w:tcW w:w="132"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129 </w:t>
            </w:r>
          </w:p>
        </w:tc>
        <w:tc>
          <w:tcPr>
            <w:tcW w:w="352"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85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Operating Revenues (Note 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1,129</w:t>
            </w:r>
            <w:r>
              <w:rPr>
                <w:color w:val="000000"/>
              </w:rPr>
              <w:t>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390</w:t>
            </w:r>
            <w:r>
              <w:rPr>
                <w:color w:val="000000"/>
              </w:rPr>
              <w:t>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739</w:t>
            </w:r>
            <w:r>
              <w:rPr>
                <w:color w:val="000000"/>
              </w:rPr>
              <w:t> </w:t>
            </w:r>
          </w:p>
        </w:tc>
        <w:tc>
          <w:tcPr>
            <w:tcW w:w="3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8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852"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Fuel and energy purchases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(563)</w:t>
            </w:r>
          </w:p>
        </w:tc>
        <w:tc>
          <w:tcPr>
            <w:tcW w:w="132"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(268)</w:t>
            </w:r>
          </w:p>
        </w:tc>
        <w:tc>
          <w:tcPr>
            <w:tcW w:w="132"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(295)</w:t>
            </w:r>
          </w:p>
        </w:tc>
        <w:tc>
          <w:tcPr>
            <w:tcW w:w="352"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8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Nuclear fuel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852"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Unrealized gain (loss) on derivative instruments (Note 2)</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w:t>
            </w:r>
          </w:p>
        </w:tc>
        <w:tc>
          <w:tcPr>
            <w:tcW w:w="132"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59 </w:t>
            </w:r>
          </w:p>
        </w:tc>
        <w:tc>
          <w:tcPr>
            <w:tcW w:w="132"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(101)</w:t>
            </w:r>
          </w:p>
        </w:tc>
        <w:tc>
          <w:tcPr>
            <w:tcW w:w="352"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85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Energy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(629)</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(235)</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(394)</w:t>
            </w:r>
          </w:p>
        </w:tc>
        <w:tc>
          <w:tcPr>
            <w:tcW w:w="3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8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852"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Operating Expenses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4"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8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Operation, maintenance and development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(165)</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(146)</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852"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General and administrative</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w:t>
            </w:r>
          </w:p>
        </w:tc>
        <w:tc>
          <w:tcPr>
            <w:tcW w:w="132"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w:t>
            </w:r>
          </w:p>
        </w:tc>
        <w:tc>
          <w:tcPr>
            <w:tcW w:w="132"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10 </w:t>
            </w:r>
          </w:p>
        </w:tc>
        <w:tc>
          <w:tcPr>
            <w:tcW w:w="352"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8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Depreciation, amortization and accretion (Note 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(92)</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8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9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7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8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9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7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852"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operating income (expense), net</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w:t>
            </w:r>
          </w:p>
        </w:tc>
        <w:tc>
          <w:tcPr>
            <w:tcW w:w="132"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w:t>
            </w:r>
          </w:p>
        </w:tc>
        <w:tc>
          <w:tcPr>
            <w:tcW w:w="132"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w:t>
            </w:r>
          </w:p>
        </w:tc>
        <w:tc>
          <w:tcPr>
            <w:tcW w:w="352"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85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 xml:space="preserve">Operating Income (Loss)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210</w:t>
            </w:r>
            <w:r>
              <w:rPr>
                <w:color w:val="000000"/>
              </w:rPr>
              <w:t>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(106)</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316</w:t>
            </w:r>
            <w:r>
              <w:rPr>
                <w:color w:val="000000"/>
              </w:rPr>
              <w:t> </w:t>
            </w:r>
          </w:p>
        </w:tc>
        <w:tc>
          <w:tcPr>
            <w:tcW w:w="3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852"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Nuclear decommissioning trust funds gain (loss), net (Note 6)</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w:t>
            </w:r>
          </w:p>
        </w:tc>
        <w:tc>
          <w:tcPr>
            <w:tcW w:w="132"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w:t>
            </w:r>
          </w:p>
        </w:tc>
        <w:tc>
          <w:tcPr>
            <w:tcW w:w="132"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w:t>
            </w:r>
          </w:p>
        </w:tc>
        <w:tc>
          <w:tcPr>
            <w:tcW w:w="352"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8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expense and other finance charges (Note 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(119)</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8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9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7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8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9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7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8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9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7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852"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non-operating income (expense), net</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12 </w:t>
            </w:r>
          </w:p>
        </w:tc>
        <w:tc>
          <w:tcPr>
            <w:tcW w:w="132"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5 </w:t>
            </w:r>
          </w:p>
        </w:tc>
        <w:tc>
          <w:tcPr>
            <w:tcW w:w="132"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7 </w:t>
            </w:r>
          </w:p>
        </w:tc>
        <w:tc>
          <w:tcPr>
            <w:tcW w:w="352"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85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 xml:space="preserve">Income (Loss) Before Income Taxes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81</w:t>
            </w:r>
            <w:r>
              <w:rPr>
                <w:color w:val="000000"/>
              </w:rPr>
              <w:t>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(187)</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268</w:t>
            </w:r>
            <w:r>
              <w:rPr>
                <w:color w:val="000000"/>
              </w:rPr>
              <w:t> </w:t>
            </w:r>
          </w:p>
        </w:tc>
        <w:tc>
          <w:tcPr>
            <w:tcW w:w="3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852"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Income tax benefit (expense) (Note 4)</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w:t>
            </w:r>
          </w:p>
        </w:tc>
        <w:tc>
          <w:tcPr>
            <w:tcW w:w="132"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52 </w:t>
            </w:r>
          </w:p>
        </w:tc>
        <w:tc>
          <w:tcPr>
            <w:tcW w:w="132"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w:t>
            </w:r>
          </w:p>
        </w:tc>
        <w:tc>
          <w:tcPr>
            <w:tcW w:w="352"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852"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 xml:space="preserve">Net Income (Loss)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63</w:t>
            </w:r>
            <w:r>
              <w:rPr>
                <w:color w:val="000000"/>
              </w:rPr>
              <w:t> </w:t>
            </w:r>
          </w:p>
        </w:tc>
        <w:tc>
          <w:tcPr>
            <w:tcW w:w="1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(135)</w:t>
            </w:r>
          </w:p>
        </w:tc>
        <w:tc>
          <w:tcPr>
            <w:tcW w:w="1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3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198</w:t>
            </w:r>
            <w:r>
              <w:rPr>
                <w:color w:val="000000"/>
              </w:rPr>
              <w:t> </w:t>
            </w:r>
          </w:p>
        </w:tc>
        <w:tc>
          <w:tcPr>
            <w:tcW w:w="3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8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9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7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8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9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7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8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9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7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ind w:left="0" w:right="0" w:firstLine="360"/>
        <w:jc w:val="left"/>
        <w:rPr>
          <w:rFonts w:ascii="Arial;sans-serif" w:hAnsi="Arial;sans-serif"/>
          <w:b/>
          <w:i/>
          <w:color w:val="000000"/>
          <w:sz w:val="18"/>
        </w:rPr>
      </w:pPr>
      <w:r>
        <w:rPr>
          <w:rFonts w:ascii="Arial;sans-serif" w:hAnsi="Arial;sans-serif"/>
          <w:b/>
          <w:i/>
          <w:color w:val="000000"/>
          <w:sz w:val="18"/>
        </w:rPr>
        <w:t>Three Months Ended March 31, 2026 compared to Three Months Ended March 31, 2025</w:t>
      </w:r>
    </w:p>
    <w:p>
      <w:pPr>
        <w:pStyle w:val="TextBody"/>
        <w:bidi w:val="0"/>
        <w:spacing w:lineRule="auto" w:line="288" w:before="0" w:after="180"/>
        <w:ind w:left="0" w:right="0" w:firstLine="360"/>
        <w:jc w:val="left"/>
        <w:rPr>
          <w:rFonts w:ascii="Arial;sans-serif" w:hAnsi="Arial;sans-serif"/>
          <w:b w:val="false"/>
          <w:color w:val="000000"/>
          <w:sz w:val="18"/>
        </w:rPr>
      </w:pPr>
      <w:r>
        <w:rPr>
          <w:rFonts w:ascii="Arial;sans-serif" w:hAnsi="Arial;sans-serif"/>
          <w:b w:val="false"/>
          <w:color w:val="000000"/>
          <w:sz w:val="18"/>
        </w:rPr>
        <w:t>Net Income (Loss) increased by $198 million, primarily driven by the factors discussed below.</w:t>
      </w:r>
    </w:p>
    <w:p>
      <w:pPr>
        <w:pStyle w:val="TextBody"/>
        <w:bidi w:val="0"/>
        <w:spacing w:lineRule="auto" w:line="288" w:before="0" w:after="180"/>
        <w:ind w:left="0" w:right="0" w:hanging="360"/>
        <w:jc w:val="left"/>
        <w:rPr/>
      </w:pPr>
      <w:r>
        <w:rPr>
          <w:color w:val="000000"/>
        </w:rPr>
        <w:t>•</w:t>
      </w:r>
      <w:r>
        <w:rPr>
          <w:rFonts w:ascii="Arial;sans-serif" w:hAnsi="Arial;sans-serif"/>
          <w:b w:val="false"/>
          <w:i/>
          <w:color w:val="000000"/>
          <w:sz w:val="18"/>
        </w:rPr>
        <w:t>Operating Revenues, net of Energy Expenses.</w:t>
      </w:r>
      <w:r>
        <w:rPr>
          <w:color w:val="000000"/>
        </w:rPr>
        <w:t xml:space="preserve"> </w:t>
      </w:r>
      <w:r>
        <w:rPr>
          <w:rFonts w:ascii="Arial;sans-serif" w:hAnsi="Arial;sans-serif"/>
          <w:b w:val="false"/>
          <w:color w:val="000000"/>
          <w:sz w:val="18"/>
        </w:rPr>
        <w:t xml:space="preserve">$345 million favorable increase, primarily due to the following: </w:t>
      </w:r>
    </w:p>
    <w:p>
      <w:pPr>
        <w:pStyle w:val="TextBody"/>
        <w:bidi w:val="0"/>
        <w:spacing w:lineRule="auto" w:line="288" w:before="0" w:after="180"/>
        <w:ind w:left="0" w:right="0" w:hanging="360"/>
        <w:jc w:val="left"/>
        <w:rPr/>
      </w:pPr>
      <w:r>
        <w:rPr>
          <w:color w:val="000000"/>
        </w:rPr>
        <w:t>◦</w:t>
      </w:r>
      <w:r>
        <w:rPr>
          <w:rFonts w:ascii="Arial;sans-serif" w:hAnsi="Arial;sans-serif"/>
          <w:b w:val="false"/>
          <w:i/>
          <w:color w:val="000000"/>
          <w:sz w:val="18"/>
        </w:rPr>
        <w:t xml:space="preserve">Energy and Other Revenues, net of Fuel and Energy Purchases. </w:t>
      </w:r>
      <w:r>
        <w:rPr>
          <w:rFonts w:ascii="Arial;sans-serif" w:hAnsi="Arial;sans-serif"/>
          <w:b w:val="false"/>
          <w:color w:val="000000"/>
          <w:sz w:val="18"/>
        </w:rPr>
        <w:t>$157 million favorable increase. This is primarily related to the combined effects of: (i) $432 million increase in margin associated with electric generation and ancillary revenue, primarily due to higher realized prices received at Susquehanna and our PJM fossil fleet; and (ii) higher generation volumes at Freedom and Guernsey. Such amounts are partially offset by $(271) million decrease in realized hedge results.</w:t>
      </w:r>
    </w:p>
    <w:p>
      <w:pPr>
        <w:pStyle w:val="TextBody"/>
        <w:bidi w:val="0"/>
        <w:spacing w:lineRule="auto" w:line="288" w:before="0" w:after="180"/>
        <w:ind w:left="0" w:right="0" w:hanging="360"/>
        <w:jc w:val="left"/>
        <w:rPr/>
      </w:pPr>
      <w:r>
        <w:rPr>
          <w:color w:val="000000"/>
        </w:rPr>
        <w:t>◦</w:t>
      </w:r>
      <w:r>
        <w:rPr>
          <w:rFonts w:ascii="Arial;sans-serif" w:hAnsi="Arial;sans-serif"/>
          <w:b w:val="false"/>
          <w:i/>
          <w:color w:val="000000"/>
          <w:sz w:val="18"/>
        </w:rPr>
        <w:t xml:space="preserve">Capacity Revenues. </w:t>
      </w:r>
      <w:r>
        <w:rPr>
          <w:rFonts w:ascii="Arial;sans-serif" w:hAnsi="Arial;sans-serif"/>
          <w:b w:val="false"/>
          <w:color w:val="000000"/>
          <w:sz w:val="18"/>
        </w:rPr>
        <w:t>$158 million favorable increase. This is primarily driven by higher cleared capacity prices, partially offset by lower volumes cleared through the 2025/2026 PJM BRA compared to the 2024/2025 PJM BRA.</w:t>
      </w:r>
    </w:p>
    <w:p>
      <w:pPr>
        <w:pStyle w:val="TextBody"/>
        <w:bidi w:val="0"/>
        <w:spacing w:lineRule="auto" w:line="288" w:before="0" w:after="180"/>
        <w:ind w:left="0" w:right="0" w:hanging="360"/>
        <w:jc w:val="left"/>
        <w:rPr/>
      </w:pPr>
      <w:r>
        <w:rPr>
          <w:color w:val="000000"/>
        </w:rPr>
        <w:t>◦</w:t>
      </w:r>
      <w:r>
        <w:rPr>
          <w:rFonts w:ascii="Arial;sans-serif" w:hAnsi="Arial;sans-serif"/>
          <w:b w:val="false"/>
          <w:i/>
          <w:color w:val="000000"/>
          <w:sz w:val="18"/>
        </w:rPr>
        <w:t xml:space="preserve">Unrealized Gain (Loss) on Derivative Instruments, net. </w:t>
      </w:r>
      <w:r>
        <w:rPr>
          <w:rFonts w:ascii="Arial;sans-serif" w:hAnsi="Arial;sans-serif"/>
          <w:b w:val="false"/>
          <w:color w:val="000000"/>
          <w:sz w:val="18"/>
        </w:rPr>
        <w:t>$28 million favorable increase. This is primarily related to the combined effects of: (i) $142 million increase due to the reversal of positions previously recognized as mark-to-market liabilities which settled during the period, partially offset by $(114) million decrease in net short power positions resulting from higher forward power prices.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16840"/>
                <wp:effectExtent l="0" t="0" r="0" b="0"/>
                <wp:wrapNone/>
                <wp:docPr id="33" name="Frame33"/>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31</w:t>
                      </w:r>
                    </w:p>
                  </w:txbxContent>
                </v:textbox>
                <w10:wrap type="none"/>
              </v:rect>
            </w:pict>
          </mc:Fallback>
        </mc:AlternateContent>
      </w:r>
    </w:p>
    <w:p>
      <w:pPr>
        <w:pStyle w:val="TextBody"/>
        <w:bidi w:val="0"/>
        <w:spacing w:lineRule="auto" w:line="288" w:before="0" w:after="180"/>
        <w:jc w:val="left"/>
        <w:rPr/>
      </w:pPr>
      <w:hyperlink w:anchor="if20e1f3d5a734e3eabbb6aa8f57c7562_45">
        <w:r>
          <w:rPr>
            <w:rStyle w:val="InternetLink"/>
            <w:rFonts w:ascii="Arial;sans-serif" w:hAnsi="Arial;sans-serif"/>
            <w:b w:val="false"/>
            <w:color w:val="0000FF"/>
            <w:sz w:val="18"/>
            <w:u w:val="single"/>
          </w:rPr>
          <w:t>Table of Contents</w:t>
        </w:r>
      </w:hyperlink>
    </w:p>
    <w:p>
      <w:pPr>
        <w:pStyle w:val="TextBody"/>
        <w:bidi w:val="0"/>
        <w:spacing w:lineRule="auto" w:line="288" w:before="0" w:after="180"/>
        <w:ind w:left="0" w:right="0" w:hanging="360"/>
        <w:jc w:val="left"/>
        <w:rPr/>
      </w:pPr>
      <w:r>
        <w:rPr>
          <w:color w:val="000000"/>
        </w:rPr>
        <w:t>•</w:t>
      </w:r>
      <w:r>
        <w:rPr>
          <w:rFonts w:ascii="Arial;sans-serif" w:hAnsi="Arial;sans-serif"/>
          <w:b w:val="false"/>
          <w:i/>
          <w:color w:val="000000"/>
          <w:sz w:val="18"/>
        </w:rPr>
        <w:t xml:space="preserve">Interest Expense and Other Finance Charges. </w:t>
      </w:r>
      <w:r>
        <w:rPr>
          <w:rFonts w:ascii="Arial;sans-serif" w:hAnsi="Arial;sans-serif"/>
          <w:b w:val="false"/>
          <w:color w:val="000000"/>
          <w:sz w:val="18"/>
        </w:rPr>
        <w:t xml:space="preserve">$(45) million unfavorable increase. This primarily consisted of: (i) a $(60) million increase in cash interest expense on the TLB-3 and Unsecured Notes due 2034 and 2036, each issued in October 2025 in connection with the Freedom and Guernsey Acquisitions, offset by (ii) a $15 million decrease in non-cash interest expense resulting from changes in unrealized positions on interest rate swaps. </w:t>
      </w:r>
    </w:p>
    <w:p>
      <w:pPr>
        <w:pStyle w:val="TextBody"/>
        <w:bidi w:val="0"/>
        <w:spacing w:lineRule="auto" w:line="288" w:before="0" w:after="180"/>
        <w:ind w:left="0" w:right="0" w:hanging="360"/>
        <w:jc w:val="left"/>
        <w:rPr/>
      </w:pPr>
      <w:r>
        <w:rPr>
          <w:color w:val="000000"/>
        </w:rPr>
        <w:t>•</w:t>
      </w:r>
      <w:r>
        <w:rPr>
          <w:rFonts w:ascii="Arial;sans-serif" w:hAnsi="Arial;sans-serif"/>
          <w:b w:val="false"/>
          <w:i/>
          <w:color w:val="000000"/>
          <w:sz w:val="18"/>
        </w:rPr>
        <w:t>Income Tax Benefit (Expense).</w:t>
      </w:r>
      <w:r>
        <w:rPr>
          <w:color w:val="000000"/>
        </w:rPr>
        <w:t xml:space="preserve"> </w:t>
      </w:r>
      <w:r>
        <w:rPr>
          <w:rFonts w:ascii="Arial;sans-serif" w:hAnsi="Arial;sans-serif"/>
          <w:b w:val="false"/>
          <w:color w:val="000000"/>
          <w:sz w:val="18"/>
        </w:rPr>
        <w:t>$(70) million unfavorable increase. This is primarily related to an increase in pre-tax income for the three months ended March 31,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0000"/>
          <w:sz w:val="18"/>
        </w:rPr>
      </w:pPr>
      <w:r>
        <w:rPr>
          <w:rFonts w:ascii="Arial;sans-serif" w:hAnsi="Arial;sans-serif"/>
          <w:b/>
          <w:color w:val="000000"/>
          <w:sz w:val="18"/>
        </w:rPr>
        <w:t>Liquidity and Capital Resources</w:t>
      </w:r>
    </w:p>
    <w:p>
      <w:pPr>
        <w:pStyle w:val="TextBody"/>
        <w:bidi w:val="0"/>
        <w:spacing w:lineRule="auto" w:line="288" w:before="0" w:after="180"/>
        <w:ind w:left="0" w:right="0" w:firstLine="360"/>
        <w:jc w:val="left"/>
        <w:rPr>
          <w:rFonts w:ascii="Arial;sans-serif" w:hAnsi="Arial;sans-serif"/>
          <w:b w:val="false"/>
          <w:color w:val="000000"/>
          <w:sz w:val="18"/>
        </w:rPr>
      </w:pPr>
      <w:r>
        <w:rPr>
          <w:rFonts w:ascii="Arial;sans-serif" w:hAnsi="Arial;sans-serif"/>
          <w:b w:val="false"/>
          <w:color w:val="000000"/>
          <w:sz w:val="18"/>
        </w:rPr>
        <w:t>Our liquidity and capital requirements are generally a function of: (i) debt service requirements; (ii) capital expenditures; (iii) maintenance activities; (iv) liquidity requirements for our hedging activities including cash collateral and other forms of credit support; (v) the settlement of, or forms of credit in support of, legacy asset retirement and (or) environmental obligations; (vi) other working capital requirements; and (or) (vii) discretionary expenditures, including share repurchase activities.</w:t>
      </w:r>
    </w:p>
    <w:p>
      <w:pPr>
        <w:pStyle w:val="TextBody"/>
        <w:bidi w:val="0"/>
        <w:spacing w:lineRule="auto" w:line="288" w:before="0" w:after="180"/>
        <w:ind w:left="0" w:right="0" w:firstLine="360"/>
        <w:jc w:val="left"/>
        <w:rPr>
          <w:rFonts w:ascii="Arial;sans-serif" w:hAnsi="Arial;sans-serif"/>
          <w:b w:val="false"/>
          <w:color w:val="000000"/>
          <w:sz w:val="18"/>
        </w:rPr>
      </w:pPr>
      <w:r>
        <w:rPr>
          <w:rFonts w:ascii="Arial;sans-serif" w:hAnsi="Arial;sans-serif"/>
          <w:b w:val="false"/>
          <w:color w:val="000000"/>
          <w:sz w:val="18"/>
        </w:rPr>
        <w:t>Our primary sources of liquidity and capital include available cash deposits, cash flows from operations, amounts available under our debt and credit facilities, and potential incremental financing proceeds. Generating sufficient cash flows for our business is primarily dependent on capacity revenue, the production and sale of power at margins sufficient to cover fixed and variable expenses, hedging strategies to manage price risk exposure, and the ability to access a wide range of capital market financing options.</w:t>
      </w:r>
    </w:p>
    <w:p>
      <w:pPr>
        <w:pStyle w:val="TextBody"/>
        <w:bidi w:val="0"/>
        <w:spacing w:lineRule="auto" w:line="288" w:before="0" w:after="180"/>
        <w:ind w:left="0" w:right="0" w:firstLine="360"/>
        <w:jc w:val="left"/>
        <w:rPr>
          <w:rFonts w:ascii="Arial;sans-serif" w:hAnsi="Arial;sans-serif"/>
          <w:b w:val="false"/>
          <w:color w:val="000000"/>
          <w:sz w:val="18"/>
        </w:rPr>
      </w:pPr>
      <w:r>
        <w:rPr>
          <w:rFonts w:ascii="Arial;sans-serif" w:hAnsi="Arial;sans-serif"/>
          <w:b w:val="false"/>
          <w:color w:val="000000"/>
          <w:sz w:val="18"/>
        </w:rPr>
        <w:t xml:space="preserve">Our hedging strategy is focused on maintaining appropriate risk tolerances with an emphasis on protecting cash flows across our generation fleet. Our strong balance sheet provides ample capacity and counterparty appetite for lien-based hedging, which limits the use of margin posting requirements. Specifically, our hedging strategy prioritizes a first lien-based hedging program, in which hedging counterparties are granted a lien in the same collateral securing our first-lien debt obligations, while minimizing exchange-based hedging and the associated margin requirements. Additionally, the stability provided by contracted cash flows associated with long-term contracts lowers our overall hedging requirements. </w:t>
      </w:r>
    </w:p>
    <w:p>
      <w:pPr>
        <w:pStyle w:val="TextBody"/>
        <w:bidi w:val="0"/>
        <w:spacing w:lineRule="auto" w:line="288" w:before="0" w:after="180"/>
        <w:ind w:left="0" w:right="0" w:firstLine="360"/>
        <w:jc w:val="left"/>
        <w:rPr>
          <w:rFonts w:ascii="Arial;sans-serif" w:hAnsi="Arial;sans-serif"/>
          <w:b w:val="false"/>
          <w:color w:val="000000"/>
          <w:sz w:val="18"/>
        </w:rPr>
      </w:pPr>
      <w:r>
        <w:rPr>
          <w:rFonts w:ascii="Arial;sans-serif" w:hAnsi="Arial;sans-serif"/>
          <w:b w:val="false"/>
          <w:color w:val="000000"/>
          <w:sz w:val="18"/>
        </w:rPr>
        <w:t>We are partially exposed to financial risks arising from natural business exposures including commodity price and interest rate volatility. Within the bounds of our risk management program and policies, we use a variety of derivative instruments to enhance the stability of future cash flows to maintain sufficient financial resources for working capital, debt service, capital expenditures, debt covenant compliance, and (or) other needs.</w:t>
      </w:r>
    </w:p>
    <w:p>
      <w:pPr>
        <w:pStyle w:val="TextBody"/>
        <w:bidi w:val="0"/>
        <w:spacing w:lineRule="auto" w:line="288" w:before="0" w:after="180"/>
        <w:ind w:left="0" w:right="0" w:firstLine="360"/>
        <w:jc w:val="left"/>
        <w:rPr>
          <w:rFonts w:ascii="Arial;sans-serif" w:hAnsi="Arial;sans-serif"/>
          <w:b w:val="false"/>
          <w:color w:val="000000"/>
          <w:sz w:val="18"/>
        </w:rPr>
      </w:pPr>
      <w:r>
        <w:rPr>
          <w:rFonts w:ascii="Arial;sans-serif" w:hAnsi="Arial;sans-serif"/>
          <w:b w:val="false"/>
          <w:color w:val="000000"/>
          <w:sz w:val="18"/>
        </w:rPr>
        <w:t>See the following Notes to the Interim Financial Statements for additional information on liquidity topics discussed below: Note 2 for derivatives and hedging, Note 8 for AROs and environmental obligations, Note 10 for long-term debt and credit facilities, and Note 16 for supplemental cash flow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ind w:left="0" w:right="0" w:firstLine="360"/>
        <w:jc w:val="left"/>
        <w:rPr>
          <w:rFonts w:ascii="Arial;sans-serif" w:hAnsi="Arial;sans-serif"/>
          <w:b/>
          <w:i/>
          <w:color w:val="000000"/>
          <w:sz w:val="18"/>
        </w:rPr>
      </w:pPr>
      <w:r>
        <w:rPr>
          <w:rFonts w:ascii="Arial;sans-serif" w:hAnsi="Arial;sans-serif"/>
          <w:b/>
          <w:i/>
          <w:color w:val="000000"/>
          <w:sz w:val="18"/>
        </w:rPr>
        <w:t>Liquidity and Letter of Credit Capacity</w:t>
      </w:r>
    </w:p>
    <w:tbl>
      <w:tblPr>
        <w:tblW w:w="5804" w:type="dxa"/>
        <w:jc w:val="left"/>
        <w:tblInd w:w="0" w:type="dxa"/>
        <w:tblLayout w:type="fixed"/>
        <w:tblCellMar>
          <w:top w:w="28" w:type="dxa"/>
          <w:left w:w="28" w:type="dxa"/>
          <w:bottom w:w="28" w:type="dxa"/>
          <w:right w:w="28" w:type="dxa"/>
        </w:tblCellMar>
      </w:tblPr>
      <w:tblGrid>
        <w:gridCol w:w="1108"/>
        <w:gridCol w:w="972"/>
        <w:gridCol w:w="979"/>
        <w:gridCol w:w="109"/>
        <w:gridCol w:w="109"/>
        <w:gridCol w:w="109"/>
        <w:gridCol w:w="196"/>
        <w:gridCol w:w="571"/>
        <w:gridCol w:w="109"/>
        <w:gridCol w:w="109"/>
        <w:gridCol w:w="109"/>
        <w:gridCol w:w="109"/>
        <w:gridCol w:w="258"/>
        <w:gridCol w:w="753"/>
        <w:gridCol w:w="204"/>
      </w:tblGrid>
      <w:tr>
        <w:trPr/>
        <w:tc>
          <w:tcPr>
            <w:tcW w:w="1108"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r>
      <w:tr>
        <w:trPr/>
        <w:tc>
          <w:tcPr>
            <w:tcW w:w="30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1542" w:type="dxa"/>
            <w:gridSpan w:val="6"/>
            <w:tcBorders/>
          </w:tcPr>
          <w:p>
            <w:pPr>
              <w:pStyle w:val="TableContents"/>
              <w:bidi w:val="0"/>
              <w:spacing w:before="0" w:after="283"/>
              <w:jc w:val="left"/>
              <w:rPr>
                <w:sz w:val="4"/>
                <w:szCs w:val="4"/>
              </w:rPr>
            </w:pPr>
            <w:r>
              <w:rPr>
                <w:sz w:val="4"/>
                <w:szCs w:val="4"/>
              </w:rPr>
            </w:r>
          </w:p>
        </w:tc>
      </w:tr>
      <w:tr>
        <w:trPr/>
        <w:tc>
          <w:tcPr>
            <w:tcW w:w="3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March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w:t>
              <w:br/>
              <w:t>2025</w:t>
            </w:r>
          </w:p>
        </w:tc>
      </w:tr>
      <w:tr>
        <w:trPr/>
        <w:tc>
          <w:tcPr>
            <w:tcW w:w="3059"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and cash equivalents, unrestricted</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71"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1,025 </w:t>
            </w:r>
          </w:p>
        </w:tc>
        <w:tc>
          <w:tcPr>
            <w:tcW w:w="109"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3"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689 </w:t>
            </w:r>
          </w:p>
        </w:tc>
        <w:tc>
          <w:tcPr>
            <w:tcW w:w="204"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Unutilized RCF capacity </w:t>
            </w:r>
            <w:r>
              <w:rPr>
                <w:rFonts w:ascii="Arial;sans-serif" w:hAnsi="Arial;sans-serif"/>
                <w:b w:val="false"/>
                <w:color w:val="000000"/>
                <w:sz w:val="10"/>
              </w:rPr>
              <w:t>(a)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900 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r>
      <w:tr>
        <w:trPr/>
        <w:tc>
          <w:tcPr>
            <w:tcW w:w="3059"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300" w:after="283"/>
              <w:jc w:val="left"/>
              <w:rPr>
                <w:rFonts w:ascii="Arial;sans-serif" w:hAnsi="Arial;sans-serif"/>
                <w:b/>
                <w:color w:val="000000"/>
                <w:sz w:val="16"/>
              </w:rPr>
            </w:pPr>
            <w:r>
              <w:rPr>
                <w:rFonts w:ascii="Arial;sans-serif" w:hAnsi="Arial;sans-serif"/>
                <w:b/>
                <w:color w:val="000000"/>
                <w:sz w:val="16"/>
              </w:rPr>
              <w:t xml:space="preserve">Total available liquidity </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1,925</w:t>
            </w:r>
            <w:r>
              <w:rPr>
                <w:color w:val="000000"/>
              </w:rPr>
              <w:t> </w:t>
            </w:r>
          </w:p>
        </w:tc>
        <w:tc>
          <w:tcPr>
            <w:tcW w:w="109"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3"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1,589</w:t>
            </w:r>
            <w:r>
              <w:rPr>
                <w:color w:val="000000"/>
              </w:rPr>
              <w:t> </w:t>
            </w:r>
          </w:p>
        </w:tc>
        <w:tc>
          <w:tcPr>
            <w:tcW w:w="204"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top w:val="doub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300" w:after="283"/>
              <w:jc w:val="left"/>
              <w:rPr/>
            </w:pPr>
            <w:r>
              <w:rPr>
                <w:rFonts w:ascii="Arial;sans-serif" w:hAnsi="Arial;sans-serif"/>
                <w:b/>
                <w:color w:val="000000"/>
                <w:sz w:val="16"/>
              </w:rPr>
              <w:t xml:space="preserve">Additional unutilized LC capacity </w:t>
            </w:r>
            <w:r>
              <w:rPr>
                <w:rFonts w:ascii="Arial;sans-serif" w:hAnsi="Arial;sans-serif"/>
                <w:b/>
                <w:color w:val="000000"/>
                <w:sz w:val="10"/>
              </w:rPr>
              <w:t>(b)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op w:val="doub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655</w:t>
            </w:r>
            <w:r>
              <w:rPr>
                <w:color w:val="000000"/>
              </w:rPr>
              <w:t> </w:t>
            </w:r>
          </w:p>
        </w:tc>
        <w:tc>
          <w:tcPr>
            <w:tcW w:w="109" w:type="dxa"/>
            <w:tcBorders>
              <w:top w:val="doub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doub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3" w:type="dxa"/>
            <w:tcBorders>
              <w:top w:val="doub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652</w:t>
            </w:r>
            <w:r>
              <w:rPr>
                <w:color w:val="000000"/>
              </w:rPr>
              <w:t> </w:t>
            </w:r>
          </w:p>
        </w:tc>
        <w:tc>
          <w:tcPr>
            <w:tcW w:w="204" w:type="dxa"/>
            <w:tcBorders>
              <w:top w:val="doub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14"/>
        </w:rPr>
      </w:pPr>
      <w:r>
        <w:rPr>
          <w:rFonts w:ascii="Arial;sans-serif" w:hAnsi="Arial;sans-serif"/>
          <w:b w:val="false"/>
          <w:color w:val="000000"/>
          <w:sz w:val="14"/>
        </w:rPr>
        <w:t>__________________</w:t>
      </w:r>
    </w:p>
    <w:p>
      <w:pPr>
        <w:pStyle w:val="TextBody"/>
        <w:bidi w:val="0"/>
        <w:spacing w:lineRule="auto" w:line="288" w:before="0" w:after="0"/>
        <w:ind w:left="0" w:right="0" w:hanging="360"/>
        <w:jc w:val="left"/>
        <w:rPr>
          <w:rFonts w:ascii="Arial;sans-serif" w:hAnsi="Arial;sans-serif"/>
          <w:b w:val="false"/>
          <w:color w:val="000000"/>
          <w:sz w:val="14"/>
        </w:rPr>
      </w:pPr>
      <w:r>
        <w:rPr>
          <w:rFonts w:ascii="Arial;sans-serif" w:hAnsi="Arial;sans-serif"/>
          <w:b w:val="false"/>
          <w:color w:val="000000"/>
          <w:sz w:val="14"/>
        </w:rPr>
        <w:t>(a)RCF committed capacity can be used for direct cash borrowings and (or) LCs.</w:t>
      </w:r>
    </w:p>
    <w:p>
      <w:pPr>
        <w:pStyle w:val="TextBody"/>
        <w:bidi w:val="0"/>
        <w:spacing w:lineRule="auto" w:line="288" w:before="0" w:after="180"/>
        <w:ind w:left="0" w:right="0" w:hanging="360"/>
        <w:jc w:val="left"/>
        <w:rPr>
          <w:rFonts w:ascii="Arial;sans-serif" w:hAnsi="Arial;sans-serif"/>
          <w:b w:val="false"/>
          <w:color w:val="000000"/>
          <w:sz w:val="14"/>
        </w:rPr>
      </w:pPr>
      <w:r>
        <w:rPr>
          <w:rFonts w:ascii="Arial;sans-serif" w:hAnsi="Arial;sans-serif"/>
          <w:b w:val="false"/>
          <w:color w:val="000000"/>
          <w:sz w:val="14"/>
        </w:rPr>
        <w:t>(b)Includes LC capacity under the LCF and excludes LC capacity available under the RCF.</w:t>
      </w:r>
    </w:p>
    <w:p>
      <w:pPr>
        <w:pStyle w:val="TextBody"/>
        <w:bidi w:val="0"/>
        <w:spacing w:lineRule="auto" w:line="288" w:before="0" w:after="180"/>
        <w:ind w:left="0" w:right="0" w:firstLine="360"/>
        <w:jc w:val="left"/>
        <w:rPr>
          <w:rFonts w:ascii="Arial;sans-serif" w:hAnsi="Arial;sans-serif"/>
          <w:b w:val="false"/>
          <w:color w:val="000000"/>
          <w:sz w:val="18"/>
        </w:rPr>
      </w:pPr>
      <w:r>
        <w:rPr>
          <w:rFonts w:ascii="Arial;sans-serif" w:hAnsi="Arial;sans-serif"/>
          <w:b w:val="false"/>
          <w:color w:val="000000"/>
          <w:sz w:val="18"/>
        </w:rPr>
        <w:t>Based on current and anticipated levels of operations, industry conditions, and market environments in which we transact, we believe available liquidity from financing activities, cash on hand, and cash flows from operations (including changes in working capital) will be adequate to meet working capital, debt service, capital expenditures, and (or) other future requirements for the next twelve months and beyond. See Note 10 to the Interim Financial Statements for additional information on the RCF and LCF.</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ind w:left="0" w:right="0" w:firstLine="360"/>
        <w:jc w:val="left"/>
        <w:rPr>
          <w:rFonts w:ascii="Arial;sans-serif" w:hAnsi="Arial;sans-serif"/>
          <w:b/>
          <w:i/>
          <w:color w:val="000000"/>
          <w:sz w:val="18"/>
        </w:rPr>
      </w:pPr>
      <w:r>
        <w:rPr>
          <w:rFonts w:ascii="Arial;sans-serif" w:hAnsi="Arial;sans-serif"/>
          <w:b/>
          <w:i/>
          <w:color w:val="000000"/>
          <w:sz w:val="18"/>
        </w:rPr>
        <w:t>Financial Performance Assurances</w:t>
      </w:r>
    </w:p>
    <w:p>
      <w:pPr>
        <w:pStyle w:val="TextBody"/>
        <w:bidi w:val="0"/>
        <w:spacing w:lineRule="auto" w:line="288" w:before="0" w:after="180"/>
        <w:ind w:left="0" w:right="0" w:firstLine="360"/>
        <w:jc w:val="left"/>
        <w:rPr>
          <w:rFonts w:ascii="Arial;sans-serif" w:hAnsi="Arial;sans-serif"/>
          <w:b w:val="false"/>
          <w:color w:val="000000"/>
          <w:sz w:val="18"/>
        </w:rPr>
      </w:pPr>
      <w:r>
        <w:rPr>
          <w:rFonts w:ascii="Arial;sans-serif" w:hAnsi="Arial;sans-serif"/>
          <w:b w:val="false"/>
          <w:color w:val="000000"/>
          <w:sz w:val="18"/>
        </w:rPr>
        <w:t>TES has provided financial performance assurances in the form of surety bonds to third parties on behalf of certain subsidiaries for obligations including but not limited to environmental obligations and AROs. Surety bond providers generally have the right to request additional collateral to backstop surety bonds.</w:t>
      </w:r>
    </w:p>
    <w:tbl>
      <w:tblPr>
        <w:tblW w:w="4733" w:type="dxa"/>
        <w:jc w:val="left"/>
        <w:tblInd w:w="0" w:type="dxa"/>
        <w:tblLayout w:type="fixed"/>
        <w:tblCellMar>
          <w:top w:w="28" w:type="dxa"/>
          <w:left w:w="28" w:type="dxa"/>
          <w:bottom w:w="28" w:type="dxa"/>
          <w:right w:w="28" w:type="dxa"/>
        </w:tblCellMar>
      </w:tblPr>
      <w:tblGrid>
        <w:gridCol w:w="727"/>
        <w:gridCol w:w="639"/>
        <w:gridCol w:w="643"/>
        <w:gridCol w:w="109"/>
        <w:gridCol w:w="109"/>
        <w:gridCol w:w="109"/>
        <w:gridCol w:w="231"/>
        <w:gridCol w:w="496"/>
        <w:gridCol w:w="128"/>
        <w:gridCol w:w="109"/>
        <w:gridCol w:w="109"/>
        <w:gridCol w:w="109"/>
        <w:gridCol w:w="308"/>
        <w:gridCol w:w="663"/>
        <w:gridCol w:w="244"/>
      </w:tblGrid>
      <w:tr>
        <w:trPr/>
        <w:tc>
          <w:tcPr>
            <w:tcW w:w="727"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5" w:type="dxa"/>
            <w:gridSpan w:val="3"/>
            <w:tcBorders/>
            <w:vAlign w:val="center"/>
          </w:tcPr>
          <w:p>
            <w:pPr>
              <w:pStyle w:val="TableContents"/>
              <w:bidi w:val="0"/>
              <w:spacing w:before="0" w:after="283"/>
              <w:jc w:val="left"/>
              <w:rPr>
                <w:sz w:val="4"/>
                <w:szCs w:val="4"/>
              </w:rPr>
            </w:pPr>
            <w:r>
              <w:rPr>
                <w:sz w:val="4"/>
                <w:szCs w:val="4"/>
              </w:rPr>
            </w:r>
          </w:p>
        </w:tc>
        <w:tc>
          <w:tcPr>
            <w:tcW w:w="1542" w:type="dxa"/>
            <w:gridSpan w:val="6"/>
            <w:tcBorders/>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March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w:t>
              <w:br/>
              <w:t>2025</w:t>
            </w:r>
          </w:p>
        </w:tc>
      </w:tr>
      <w:tr>
        <w:trPr/>
        <w:tc>
          <w:tcPr>
            <w:tcW w:w="2009" w:type="dxa"/>
            <w:gridSpan w:val="3"/>
            <w:tcBorders>
              <w:top w:val="single" w:sz="8" w:space="0" w:color="000000"/>
              <w:bottom w:val="sing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Outstanding surety bonds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sing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96" w:type="dxa"/>
            <w:tcBorders>
              <w:top w:val="single" w:sz="8" w:space="0" w:color="000000"/>
              <w:bottom w:val="sing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211 </w:t>
            </w:r>
          </w:p>
        </w:tc>
        <w:tc>
          <w:tcPr>
            <w:tcW w:w="128" w:type="dxa"/>
            <w:tcBorders>
              <w:top w:val="single" w:sz="8" w:space="0" w:color="000000"/>
              <w:bottom w:val="single" w:sz="8" w:space="0" w:color="000000"/>
            </w:tcBorders>
            <w:shd w:fill="E1E1E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bottom w:val="sing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3" w:type="dxa"/>
            <w:tcBorders>
              <w:top w:val="single" w:sz="8" w:space="0" w:color="000000"/>
              <w:bottom w:val="sing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228 </w:t>
            </w:r>
          </w:p>
        </w:tc>
        <w:tc>
          <w:tcPr>
            <w:tcW w:w="244" w:type="dxa"/>
            <w:tcBorders>
              <w:top w:val="single" w:sz="8" w:space="0" w:color="000000"/>
              <w:bottom w:val="single" w:sz="8" w:space="0" w:color="000000"/>
            </w:tcBorders>
            <w:shd w:fill="E1E1E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16840"/>
                <wp:effectExtent l="0" t="0" r="0" b="0"/>
                <wp:wrapNone/>
                <wp:docPr id="34" name="Frame34"/>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32</w:t>
                      </w:r>
                    </w:p>
                  </w:txbxContent>
                </v:textbox>
                <w10:wrap type="none"/>
              </v:rect>
            </w:pict>
          </mc:Fallback>
        </mc:AlternateContent>
      </w:r>
    </w:p>
    <w:p>
      <w:pPr>
        <w:pStyle w:val="TextBody"/>
        <w:bidi w:val="0"/>
        <w:spacing w:lineRule="auto" w:line="288" w:before="0" w:after="180"/>
        <w:jc w:val="left"/>
        <w:rPr/>
      </w:pPr>
      <w:hyperlink w:anchor="if20e1f3d5a734e3eabbb6aa8f57c7562_45">
        <w:r>
          <w:rPr>
            <w:rStyle w:val="InternetLink"/>
            <w:rFonts w:ascii="Arial;sans-serif" w:hAnsi="Arial;sans-serif"/>
            <w:b w:val="false"/>
            <w:color w:val="0000FF"/>
            <w:sz w:val="18"/>
            <w:u w:val="single"/>
          </w:rPr>
          <w:t>Table of Contents</w:t>
        </w:r>
      </w:hyperlink>
    </w:p>
    <w:p>
      <w:pPr>
        <w:pStyle w:val="TextBody"/>
        <w:bidi w:val="0"/>
        <w:spacing w:lineRule="auto" w:line="288" w:before="0" w:after="180"/>
        <w:jc w:val="left"/>
        <w:rPr>
          <w:rFonts w:ascii="Arial;sans-serif" w:hAnsi="Arial;sans-serif"/>
          <w:b/>
          <w:color w:val="000000"/>
          <w:sz w:val="18"/>
        </w:rPr>
      </w:pPr>
      <w:r>
        <w:rPr>
          <w:rFonts w:ascii="Arial;sans-serif" w:hAnsi="Arial;sans-serif"/>
          <w:b/>
          <w:color w:val="000000"/>
          <w:sz w:val="18"/>
        </w:rPr>
        <w:t>Cash Flow Activities</w:t>
      </w:r>
    </w:p>
    <w:p>
      <w:pPr>
        <w:pStyle w:val="TextBody"/>
        <w:bidi w:val="0"/>
        <w:spacing w:lineRule="auto" w:line="288" w:before="0" w:after="180"/>
        <w:ind w:left="0" w:right="0" w:firstLine="360"/>
        <w:jc w:val="left"/>
        <w:rPr>
          <w:rFonts w:ascii="Arial;sans-serif" w:hAnsi="Arial;sans-serif"/>
          <w:b w:val="false"/>
          <w:color w:val="000000"/>
          <w:sz w:val="18"/>
        </w:rPr>
      </w:pPr>
      <w:r>
        <w:rPr>
          <w:rFonts w:ascii="Arial;sans-serif" w:hAnsi="Arial;sans-serif"/>
          <w:b w:val="false"/>
          <w:color w:val="000000"/>
          <w:sz w:val="18"/>
        </w:rPr>
        <w:t>Net cash provided by (used in) operating, investing, and financing activities for the periods was:</w:t>
      </w:r>
    </w:p>
    <w:tbl>
      <w:tblPr>
        <w:tblW w:w="8036" w:type="dxa"/>
        <w:jc w:val="left"/>
        <w:tblInd w:w="0" w:type="dxa"/>
        <w:tblLayout w:type="fixed"/>
        <w:tblCellMar>
          <w:top w:w="28" w:type="dxa"/>
          <w:left w:w="28" w:type="dxa"/>
          <w:bottom w:w="28" w:type="dxa"/>
          <w:right w:w="28" w:type="dxa"/>
        </w:tblCellMar>
      </w:tblPr>
      <w:tblGrid>
        <w:gridCol w:w="547"/>
        <w:gridCol w:w="483"/>
        <w:gridCol w:w="484"/>
        <w:gridCol w:w="109"/>
        <w:gridCol w:w="109"/>
        <w:gridCol w:w="109"/>
        <w:gridCol w:w="281"/>
        <w:gridCol w:w="603"/>
        <w:gridCol w:w="156"/>
        <w:gridCol w:w="156"/>
        <w:gridCol w:w="156"/>
        <w:gridCol w:w="156"/>
        <w:gridCol w:w="281"/>
        <w:gridCol w:w="603"/>
        <w:gridCol w:w="156"/>
        <w:gridCol w:w="109"/>
        <w:gridCol w:w="109"/>
        <w:gridCol w:w="109"/>
        <w:gridCol w:w="109"/>
        <w:gridCol w:w="109"/>
        <w:gridCol w:w="109"/>
        <w:gridCol w:w="109"/>
        <w:gridCol w:w="109"/>
        <w:gridCol w:w="703"/>
        <w:gridCol w:w="1515"/>
        <w:gridCol w:w="557"/>
      </w:tblGrid>
      <w:tr>
        <w:trPr/>
        <w:tc>
          <w:tcPr>
            <w:tcW w:w="547"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1515"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r>
      <w:tr>
        <w:trPr/>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Favorable (Unfavorable) Variance</w:t>
            </w:r>
          </w:p>
        </w:tc>
      </w:tr>
      <w:tr>
        <w:trPr/>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4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514"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activities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03"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461 </w:t>
            </w:r>
          </w:p>
        </w:tc>
        <w:tc>
          <w:tcPr>
            <w:tcW w:w="156"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03"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119 </w:t>
            </w:r>
          </w:p>
        </w:tc>
        <w:tc>
          <w:tcPr>
            <w:tcW w:w="156"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515"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342 </w:t>
            </w:r>
          </w:p>
        </w:tc>
        <w:tc>
          <w:tcPr>
            <w:tcW w:w="557"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(72)</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(68)</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w:t>
            </w:r>
          </w:p>
        </w:tc>
        <w:tc>
          <w:tcPr>
            <w:tcW w:w="5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4" w:type="dxa"/>
            <w:gridSpan w:val="3"/>
            <w:tcBorders>
              <w:bottom w:val="single" w:sz="8" w:space="0" w:color="000000"/>
            </w:tcBorders>
            <w:shd w:fill="E1E1E2"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Financing activities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bottom w:val="single" w:sz="8" w:space="0" w:color="000000"/>
            </w:tcBorders>
            <w:shd w:fill="E1E1E2"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(114)</w:t>
            </w:r>
          </w:p>
        </w:tc>
        <w:tc>
          <w:tcPr>
            <w:tcW w:w="156" w:type="dxa"/>
            <w:tcBorders>
              <w:bottom w:val="single" w:sz="8" w:space="0" w:color="000000"/>
            </w:tcBorders>
            <w:shd w:fill="E1E1E2"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bottom w:val="single" w:sz="8" w:space="0" w:color="000000"/>
            </w:tcBorders>
            <w:shd w:fill="E1E1E2"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(96)</w:t>
            </w:r>
          </w:p>
        </w:tc>
        <w:tc>
          <w:tcPr>
            <w:tcW w:w="156" w:type="dxa"/>
            <w:tcBorders>
              <w:bottom w:val="single" w:sz="8" w:space="0" w:color="000000"/>
            </w:tcBorders>
            <w:shd w:fill="E1E1E2"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8" w:type="dxa"/>
            <w:gridSpan w:val="2"/>
            <w:tcBorders>
              <w:bottom w:val="single" w:sz="8" w:space="0" w:color="000000"/>
            </w:tcBorders>
            <w:shd w:fill="E1E1E2"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w:t>
            </w:r>
          </w:p>
        </w:tc>
        <w:tc>
          <w:tcPr>
            <w:tcW w:w="557" w:type="dxa"/>
            <w:tcBorders>
              <w:bottom w:val="single" w:sz="8" w:space="0" w:color="000000"/>
            </w:tcBorders>
            <w:shd w:fill="E1E1E2"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ind w:left="0" w:right="0" w:firstLine="360"/>
        <w:jc w:val="left"/>
        <w:rPr>
          <w:rFonts w:ascii="Arial;sans-serif" w:hAnsi="Arial;sans-serif"/>
          <w:b/>
          <w:i/>
          <w:color w:val="000000"/>
          <w:sz w:val="18"/>
        </w:rPr>
      </w:pPr>
      <w:r>
        <w:rPr>
          <w:rFonts w:ascii="Arial;sans-serif" w:hAnsi="Arial;sans-serif"/>
          <w:b/>
          <w:i/>
          <w:color w:val="000000"/>
          <w:sz w:val="18"/>
        </w:rPr>
        <w:t>Operating activities</w:t>
      </w:r>
    </w:p>
    <w:p>
      <w:pPr>
        <w:pStyle w:val="TextBody"/>
        <w:bidi w:val="0"/>
        <w:spacing w:lineRule="auto" w:line="288" w:before="0" w:after="180"/>
        <w:ind w:left="0" w:right="0" w:firstLine="360"/>
        <w:jc w:val="left"/>
        <w:rPr>
          <w:rFonts w:ascii="Arial;sans-serif" w:hAnsi="Arial;sans-serif"/>
          <w:b w:val="false"/>
          <w:color w:val="000000"/>
          <w:sz w:val="18"/>
        </w:rPr>
      </w:pPr>
      <w:r>
        <w:rPr>
          <w:rFonts w:ascii="Arial;sans-serif" w:hAnsi="Arial;sans-serif"/>
          <w:b w:val="false"/>
          <w:color w:val="000000"/>
          <w:sz w:val="18"/>
        </w:rPr>
        <w:t>A change of $342 million in net cash provided by (used in) operating activities is generally aligned with results from operations combined with working capital changes in the normal course of business. See “—Results of Operations” for additional information.</w:t>
      </w:r>
    </w:p>
    <w:p>
      <w:pPr>
        <w:pStyle w:val="TextBody"/>
        <w:bidi w:val="0"/>
        <w:spacing w:lineRule="auto" w:line="288" w:before="0" w:after="180"/>
        <w:ind w:left="0" w:right="0" w:firstLine="360"/>
        <w:jc w:val="left"/>
        <w:rPr>
          <w:rFonts w:ascii="Arial;sans-serif" w:hAnsi="Arial;sans-serif"/>
          <w:b/>
          <w:i/>
          <w:color w:val="000000"/>
          <w:sz w:val="18"/>
        </w:rPr>
      </w:pPr>
      <w:r>
        <w:rPr>
          <w:rFonts w:ascii="Arial;sans-serif" w:hAnsi="Arial;sans-serif"/>
          <w:b/>
          <w:i/>
          <w:color w:val="000000"/>
          <w:sz w:val="18"/>
        </w:rPr>
        <w:t>Investing activities</w:t>
      </w:r>
    </w:p>
    <w:p>
      <w:pPr>
        <w:pStyle w:val="TextBody"/>
        <w:bidi w:val="0"/>
        <w:spacing w:lineRule="auto" w:line="288" w:before="0" w:after="180"/>
        <w:ind w:left="0" w:right="0" w:firstLine="360"/>
        <w:jc w:val="left"/>
        <w:rPr>
          <w:rFonts w:ascii="Arial;sans-serif" w:hAnsi="Arial;sans-serif"/>
          <w:b w:val="false"/>
          <w:color w:val="000000"/>
          <w:sz w:val="18"/>
        </w:rPr>
      </w:pPr>
      <w:r>
        <w:rPr>
          <w:rFonts w:ascii="Arial;sans-serif" w:hAnsi="Arial;sans-serif"/>
          <w:b w:val="false"/>
          <w:color w:val="000000"/>
          <w:sz w:val="18"/>
        </w:rPr>
        <w:t>A change of $(4) million in net cash provided by (used in) investing activities was primarily due to normal course of business activity related to NDT fund investment sales and purchases, and capital expenditures.</w:t>
      </w:r>
    </w:p>
    <w:p>
      <w:pPr>
        <w:pStyle w:val="TextBody"/>
        <w:bidi w:val="0"/>
        <w:spacing w:lineRule="auto" w:line="288" w:before="0" w:after="180"/>
        <w:ind w:left="0" w:right="0" w:firstLine="360"/>
        <w:jc w:val="left"/>
        <w:rPr>
          <w:rFonts w:ascii="Arial;sans-serif" w:hAnsi="Arial;sans-serif"/>
          <w:b/>
          <w:i/>
          <w:color w:val="000000"/>
          <w:sz w:val="18"/>
        </w:rPr>
      </w:pPr>
      <w:r>
        <w:rPr>
          <w:rFonts w:ascii="Arial;sans-serif" w:hAnsi="Arial;sans-serif"/>
          <w:b/>
          <w:i/>
          <w:color w:val="000000"/>
          <w:sz w:val="18"/>
        </w:rPr>
        <w:t>Financing activities</w:t>
      </w:r>
    </w:p>
    <w:p>
      <w:pPr>
        <w:pStyle w:val="TextBody"/>
        <w:bidi w:val="0"/>
        <w:spacing w:lineRule="auto" w:line="288" w:before="0" w:after="180"/>
        <w:ind w:left="0" w:right="0" w:firstLine="360"/>
        <w:jc w:val="left"/>
        <w:rPr>
          <w:rFonts w:ascii="Arial;sans-serif" w:hAnsi="Arial;sans-serif"/>
          <w:b w:val="false"/>
          <w:color w:val="000000"/>
          <w:sz w:val="18"/>
        </w:rPr>
      </w:pPr>
      <w:r>
        <w:rPr>
          <w:rFonts w:ascii="Arial;sans-serif" w:hAnsi="Arial;sans-serif"/>
          <w:b w:val="false"/>
          <w:color w:val="000000"/>
          <w:sz w:val="18"/>
        </w:rPr>
        <w:t>A change of $(18) million in net cash provided by (used in) financing activities was primarily due to normal course of business activity related to debt repayments, RCF borrowing and repayments, and share repurchases.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0000"/>
          <w:sz w:val="18"/>
        </w:rPr>
      </w:pPr>
      <w:r>
        <w:rPr>
          <w:rFonts w:ascii="Arial;sans-serif" w:hAnsi="Arial;sans-serif"/>
          <w:b/>
          <w:color w:val="000000"/>
          <w:sz w:val="18"/>
        </w:rPr>
        <w:t>Contractual Obligations and Commitments</w:t>
      </w:r>
    </w:p>
    <w:p>
      <w:pPr>
        <w:pStyle w:val="TextBody"/>
        <w:bidi w:val="0"/>
        <w:spacing w:lineRule="auto" w:line="288" w:before="0" w:after="180"/>
        <w:ind w:left="0" w:right="0" w:firstLine="360"/>
        <w:jc w:val="left"/>
        <w:rPr>
          <w:rFonts w:ascii="Arial;sans-serif" w:hAnsi="Arial;sans-serif"/>
          <w:b/>
          <w:i/>
          <w:color w:val="000000"/>
          <w:sz w:val="18"/>
        </w:rPr>
      </w:pPr>
      <w:r>
        <w:rPr>
          <w:rFonts w:ascii="Arial;sans-serif" w:hAnsi="Arial;sans-serif"/>
          <w:b/>
          <w:i/>
          <w:color w:val="000000"/>
          <w:sz w:val="18"/>
        </w:rPr>
        <w:t>Guarantees of Subsidiary Obligations</w:t>
      </w:r>
    </w:p>
    <w:p>
      <w:pPr>
        <w:pStyle w:val="TextBody"/>
        <w:bidi w:val="0"/>
        <w:spacing w:lineRule="auto" w:line="288" w:before="0" w:after="180"/>
        <w:ind w:left="0" w:right="0" w:firstLine="360"/>
        <w:jc w:val="left"/>
        <w:rPr>
          <w:rFonts w:ascii="Arial;sans-serif" w:hAnsi="Arial;sans-serif"/>
          <w:b w:val="false"/>
          <w:color w:val="000000"/>
          <w:sz w:val="18"/>
        </w:rPr>
      </w:pPr>
      <w:r>
        <w:rPr>
          <w:rFonts w:ascii="Arial;sans-serif" w:hAnsi="Arial;sans-serif"/>
          <w:b w:val="false"/>
          <w:color w:val="000000"/>
          <w:sz w:val="18"/>
        </w:rPr>
        <w:t>TES guarantees certain agreements and obligations for its subsidiaries. Certain agreements may contingently require payments to a guaranteed or indemnified party. See “Guarantees and Other Assurances” in Note 9 to the Interim Financial Statements for additional information regarding guarantees.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0000"/>
          <w:sz w:val="18"/>
        </w:rPr>
      </w:pPr>
      <w:r>
        <w:rPr>
          <w:rFonts w:ascii="Arial;sans-serif" w:hAnsi="Arial;sans-serif"/>
          <w:b/>
          <w:color w:val="000000"/>
          <w:sz w:val="18"/>
        </w:rPr>
        <w:t>Non-GAAP Financial Measure</w:t>
      </w:r>
    </w:p>
    <w:p>
      <w:pPr>
        <w:pStyle w:val="TextBody"/>
        <w:bidi w:val="0"/>
        <w:spacing w:lineRule="auto" w:line="288" w:before="0" w:after="180"/>
        <w:ind w:left="0" w:right="0" w:firstLine="360"/>
        <w:jc w:val="left"/>
        <w:rPr>
          <w:rFonts w:ascii="Arial;sans-serif" w:hAnsi="Arial;sans-serif"/>
          <w:b w:val="false"/>
          <w:color w:val="000000"/>
          <w:sz w:val="18"/>
        </w:rPr>
      </w:pPr>
      <w:r>
        <w:rPr>
          <w:rFonts w:ascii="Arial;sans-serif" w:hAnsi="Arial;sans-serif"/>
          <w:b w:val="false"/>
          <w:color w:val="000000"/>
          <w:sz w:val="18"/>
        </w:rPr>
        <w:t>Adjusted EBITDA, which we use as a measure of our performance, is not a financial measure prepared under GAAP. Non-GAAP financial measures do not have definitions under GAAP and may be defined and calculated differently by, and not be comparable to, similarly titled measures used by other companies. Non-GAAP measures are not intended to replace the most comparable GAAP measures as indicators of performance. Generally, a non-GAAP financial measure is a numerical measure of financial performance, financial position, or cash flows that excludes (or includes) amounts that are included in (or excluded from) the most directly comparable measure calculated and presented in accordance with GAAP. Management cautions readers not to place undue reliance on the following non-GAAP financial measure, but to also consider it along with its most directly comparable GAAP financial measure. Non-GAAP measures have limitations as analytical tools and should not be considered in isolation or as a substitute for analyzing our results as reported under GAAP.</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ind w:left="0" w:right="0" w:firstLine="360"/>
        <w:jc w:val="left"/>
        <w:rPr>
          <w:rFonts w:ascii="Arial;sans-serif" w:hAnsi="Arial;sans-serif"/>
          <w:b/>
          <w:i/>
          <w:color w:val="000000"/>
          <w:sz w:val="18"/>
        </w:rPr>
      </w:pPr>
      <w:r>
        <w:rPr>
          <w:rFonts w:ascii="Arial;sans-serif" w:hAnsi="Arial;sans-serif"/>
          <w:b/>
          <w:i/>
          <w:color w:val="000000"/>
          <w:sz w:val="18"/>
        </w:rPr>
        <w:t>Adjusted EBITDA</w:t>
      </w:r>
    </w:p>
    <w:p>
      <w:pPr>
        <w:pStyle w:val="TextBody"/>
        <w:bidi w:val="0"/>
        <w:spacing w:lineRule="auto" w:line="288" w:before="0" w:after="180"/>
        <w:ind w:left="0" w:right="0" w:firstLine="360"/>
        <w:jc w:val="left"/>
        <w:rPr>
          <w:rFonts w:ascii="Arial;sans-serif" w:hAnsi="Arial;sans-serif"/>
          <w:b w:val="false"/>
          <w:color w:val="000000"/>
          <w:sz w:val="18"/>
        </w:rPr>
      </w:pPr>
      <w:r>
        <w:rPr>
          <w:rFonts w:ascii="Arial;sans-serif" w:hAnsi="Arial;sans-serif"/>
          <w:b w:val="false"/>
          <w:color w:val="000000"/>
          <w:sz w:val="18"/>
        </w:rPr>
        <w:t>We use Adjusted EBITDA to: (i) assist in comparing operating performance and readily view operating trends on a consistent basis from period to period without certain items that may distort financial results; (ii) plan and forecast overall expectations and evaluate actual results against such expectations; (iii) communicate with our Board of Directors, shareholders, creditors, analysts, and the broader financial community concerning our financial performance; (iv) set performance metrics for our annual short-term incentive compensation; and (v) assess compliance with our indebtedness.</w:t>
      </w:r>
    </w:p>
    <w:p>
      <w:pPr>
        <w:pStyle w:val="TextBody"/>
        <w:bidi w:val="0"/>
        <w:spacing w:lineRule="auto" w:line="288" w:before="0" w:after="180"/>
        <w:ind w:left="0" w:right="0" w:firstLine="360"/>
        <w:jc w:val="left"/>
        <w:rPr>
          <w:rFonts w:ascii="Arial;sans-serif" w:hAnsi="Arial;sans-serif"/>
          <w:b w:val="false"/>
          <w:color w:val="000000"/>
          <w:sz w:val="18"/>
        </w:rPr>
      </w:pPr>
      <w:r>
        <w:rPr>
          <w:rFonts w:ascii="Arial;sans-serif" w:hAnsi="Arial;sans-serif"/>
          <w:b w:val="false"/>
          <w:color w:val="000000"/>
          <w:sz w:val="18"/>
        </w:rPr>
        <w:t>Adjusted EBITDA is computed as net income (loss) adjusted, among other things, for certain: (i) nonrecurring charges; (ii) non-recurring gains; (iii) non-cash and other items; (iv) unusual market events; (v) any depreciation, amortization, or accretion; (vi) mark-to-market gains or losses; (vii) gains and losses on the NDT; (viii) gains and losses on asset sales, dispositions, and asset retirement; (ix) impairments, obsolescence, and net realizable value charges; (x) interest expense; (xi) income taxes; (xii) legal settlements, liquidated damages, and contractual terminations; (xiii) development expenses; (xiv) noncontrolling interests, except where otherwise noted; and (xv) other adjustments. Such adjustments are computed consistently with the provisions of our indebtedness to the extent that they can be derived from the financial records of the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16840"/>
                <wp:effectExtent l="0" t="0" r="0" b="0"/>
                <wp:wrapNone/>
                <wp:docPr id="35" name="Frame35"/>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33</w:t>
                      </w:r>
                    </w:p>
                  </w:txbxContent>
                </v:textbox>
                <w10:wrap type="none"/>
              </v:rect>
            </w:pict>
          </mc:Fallback>
        </mc:AlternateContent>
      </w:r>
    </w:p>
    <w:p>
      <w:pPr>
        <w:pStyle w:val="TextBody"/>
        <w:bidi w:val="0"/>
        <w:spacing w:lineRule="auto" w:line="288" w:before="0" w:after="180"/>
        <w:jc w:val="left"/>
        <w:rPr/>
      </w:pPr>
      <w:hyperlink w:anchor="if20e1f3d5a734e3eabbb6aa8f57c7562_45">
        <w:r>
          <w:rPr>
            <w:rStyle w:val="InternetLink"/>
            <w:rFonts w:ascii="Arial;sans-serif" w:hAnsi="Arial;sans-serif"/>
            <w:b w:val="false"/>
            <w:color w:val="0000FF"/>
            <w:sz w:val="18"/>
            <w:u w:val="single"/>
          </w:rPr>
          <w:t>Table of Contents</w:t>
        </w:r>
      </w:hyperlink>
    </w:p>
    <w:p>
      <w:pPr>
        <w:pStyle w:val="TextBody"/>
        <w:bidi w:val="0"/>
        <w:spacing w:lineRule="auto" w:line="288" w:before="0" w:after="180"/>
        <w:ind w:left="0" w:right="0" w:firstLine="360"/>
        <w:jc w:val="left"/>
        <w:rPr>
          <w:rFonts w:ascii="Arial;sans-serif" w:hAnsi="Arial;sans-serif"/>
          <w:b w:val="false"/>
          <w:color w:val="000000"/>
          <w:sz w:val="18"/>
        </w:rPr>
      </w:pPr>
      <w:r>
        <w:rPr>
          <w:rFonts w:ascii="Arial;sans-serif" w:hAnsi="Arial;sans-serif"/>
          <w:b w:val="false"/>
          <w:color w:val="000000"/>
          <w:sz w:val="18"/>
        </w:rPr>
        <w:t>Additionally, we believe investors commonly adjust net income (loss) information to eliminate the effect of nonrecurring restructuring expenses and other non-cash charges, which can vary widely from company to company and from period to period and impair comparability. We believe Adjusted EBITDA is useful to investors and other users of our financial statements to evaluate our operating performance because it provides an additional tool to compare business performance across companies and between periods. Adjusted EBITDA is widely used by investors to measure a company’s operating performance without regard to such items described above. These adjustments can vary substantially from company to company and period to period depending upon accounting policies, book value of assets, capital structure, and the method by which assets were acquired.</w:t>
      </w:r>
    </w:p>
    <w:p>
      <w:pPr>
        <w:pStyle w:val="TextBody"/>
        <w:bidi w:val="0"/>
        <w:spacing w:lineRule="auto" w:line="288" w:before="0" w:after="180"/>
        <w:ind w:left="0" w:right="0" w:firstLine="360"/>
        <w:jc w:val="left"/>
        <w:rPr>
          <w:rFonts w:ascii="Arial;sans-serif" w:hAnsi="Arial;sans-serif"/>
          <w:b w:val="false"/>
          <w:color w:val="000000"/>
          <w:sz w:val="18"/>
        </w:rPr>
      </w:pPr>
      <w:r>
        <w:rPr>
          <w:rFonts w:ascii="Arial;sans-serif" w:hAnsi="Arial;sans-serif"/>
          <w:b w:val="false"/>
          <w:color w:val="000000"/>
          <w:sz w:val="18"/>
        </w:rPr>
        <w:t>The following table presents a reconciliation of the GAAP financial measure of “Net Income (Loss)” presented on the Consolidated Statements of Operations to the non-GAAP financial measure of Adjusted EBITDA:</w:t>
      </w:r>
    </w:p>
    <w:tbl>
      <w:tblPr>
        <w:tblW w:w="9759" w:type="dxa"/>
        <w:jc w:val="left"/>
        <w:tblInd w:w="0" w:type="dxa"/>
        <w:tblLayout w:type="fixed"/>
        <w:tblCellMar>
          <w:top w:w="28" w:type="dxa"/>
          <w:left w:w="28" w:type="dxa"/>
          <w:bottom w:w="28" w:type="dxa"/>
          <w:right w:w="28" w:type="dxa"/>
        </w:tblCellMar>
      </w:tblPr>
      <w:tblGrid>
        <w:gridCol w:w="1789"/>
        <w:gridCol w:w="1573"/>
        <w:gridCol w:w="1587"/>
        <w:gridCol w:w="109"/>
        <w:gridCol w:w="109"/>
        <w:gridCol w:w="109"/>
        <w:gridCol w:w="109"/>
        <w:gridCol w:w="109"/>
        <w:gridCol w:w="289"/>
        <w:gridCol w:w="289"/>
        <w:gridCol w:w="521"/>
        <w:gridCol w:w="1159"/>
        <w:gridCol w:w="289"/>
        <w:gridCol w:w="109"/>
        <w:gridCol w:w="109"/>
        <w:gridCol w:w="109"/>
        <w:gridCol w:w="196"/>
        <w:gridCol w:w="496"/>
        <w:gridCol w:w="109"/>
        <w:gridCol w:w="109"/>
        <w:gridCol w:w="109"/>
        <w:gridCol w:w="109"/>
        <w:gridCol w:w="109"/>
        <w:gridCol w:w="154"/>
      </w:tblGrid>
      <w:tr>
        <w:trPr/>
        <w:tc>
          <w:tcPr>
            <w:tcW w:w="1789" w:type="dxa"/>
            <w:tcBorders/>
            <w:vAlign w:val="center"/>
          </w:tcPr>
          <w:p>
            <w:pPr>
              <w:pStyle w:val="TableContents"/>
              <w:bidi w:val="0"/>
              <w:spacing w:before="0" w:after="283"/>
              <w:jc w:val="left"/>
              <w:rPr>
                <w:sz w:val="4"/>
                <w:szCs w:val="4"/>
              </w:rPr>
            </w:pPr>
            <w:r>
              <w:rPr>
                <w:sz w:val="4"/>
                <w:szCs w:val="4"/>
              </w:rPr>
            </w:r>
          </w:p>
        </w:tc>
        <w:tc>
          <w:tcPr>
            <w:tcW w:w="1573" w:type="dxa"/>
            <w:tcBorders/>
            <w:vAlign w:val="center"/>
          </w:tcPr>
          <w:p>
            <w:pPr>
              <w:pStyle w:val="TableContents"/>
              <w:bidi w:val="0"/>
              <w:spacing w:before="0" w:after="283"/>
              <w:jc w:val="left"/>
              <w:rPr>
                <w:sz w:val="4"/>
                <w:szCs w:val="4"/>
              </w:rPr>
            </w:pPr>
            <w:r>
              <w:rPr>
                <w:sz w:val="4"/>
                <w:szCs w:val="4"/>
              </w:rPr>
            </w:r>
          </w:p>
        </w:tc>
        <w:tc>
          <w:tcPr>
            <w:tcW w:w="15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7"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March 31,</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49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(Millions of Dollars)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19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49"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 (Loss)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521"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159"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63 </w:t>
            </w:r>
          </w:p>
        </w:tc>
        <w:tc>
          <w:tcPr>
            <w:tcW w:w="289"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9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(135)</w:t>
            </w:r>
          </w:p>
        </w:tc>
        <w:tc>
          <w:tcPr>
            <w:tcW w:w="109"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4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196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49"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expense and other finance charges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1680"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119 </w:t>
            </w:r>
          </w:p>
        </w:tc>
        <w:tc>
          <w:tcPr>
            <w:tcW w:w="28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Income tax (benefit)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16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49" w:type="dxa"/>
            <w:gridSpan w:val="3"/>
            <w:tcBorders/>
            <w:shd w:fill="E1E1E2"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Depreciation, amortization and accretion </w:t>
            </w:r>
            <w:r>
              <w:rPr>
                <w:rFonts w:ascii="Arial;sans-serif" w:hAnsi="Arial;sans-serif"/>
                <w:b w:val="false"/>
                <w:color w:val="000000"/>
                <w:sz w:val="10"/>
              </w:rPr>
              <w:t>(a)</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1680"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63 </w:t>
            </w:r>
          </w:p>
        </w:tc>
        <w:tc>
          <w:tcPr>
            <w:tcW w:w="28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Nuclear fuel amortization </w:t>
            </w:r>
            <w:r>
              <w:rPr>
                <w:rFonts w:ascii="Arial;sans-serif" w:hAnsi="Arial;sans-serif"/>
                <w:b w:val="false"/>
                <w:color w:val="000000"/>
                <w:sz w:val="10"/>
              </w:rPr>
              <w:t>(a)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16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19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49"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Unrealized (gain) loss on commodity derivative contracts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1680"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154 </w:t>
            </w:r>
          </w:p>
        </w:tc>
        <w:tc>
          <w:tcPr>
            <w:tcW w:w="28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182 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Nuclear decommissioning trust funds (gain) loss,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16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49" w:type="dxa"/>
            <w:gridSpan w:val="3"/>
            <w:tcBorders/>
            <w:shd w:fill="E1E1E2"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Arial;sans-serif" w:hAnsi="Arial;sans-serif"/>
                <w:b w:val="false"/>
                <w:color w:val="000000"/>
                <w:sz w:val="16"/>
              </w:rPr>
            </w:pPr>
            <w:r>
              <w:rPr>
                <w:rFonts w:ascii="Arial;sans-serif" w:hAnsi="Arial;sans-serif"/>
                <w:b w:val="false"/>
                <w:color w:val="000000"/>
                <w:sz w:val="16"/>
              </w:rPr>
              <w:t>Stock-based and other long-term incentive compensation expense</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1680"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28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19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19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19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19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19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Acquisition and divestiture activities </w:t>
            </w:r>
            <w:r>
              <w:rPr>
                <w:rFonts w:ascii="Arial;sans-serif" w:hAnsi="Arial;sans-serif"/>
                <w:b w:val="false"/>
                <w:color w:val="000000"/>
                <w:sz w:val="10"/>
              </w:rPr>
              <w:t>(b)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16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19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19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49" w:type="dxa"/>
            <w:gridSpan w:val="3"/>
            <w:tcBorders/>
            <w:shd w:fill="E1E1E2"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6"/>
              </w:rPr>
              <w:t xml:space="preserve">Operational and other restructuring activities </w:t>
            </w:r>
            <w:r>
              <w:rPr>
                <w:rFonts w:ascii="Arial;sans-serif" w:hAnsi="Arial;sans-serif"/>
                <w:b w:val="false"/>
                <w:color w:val="000000"/>
                <w:sz w:val="10"/>
              </w:rPr>
              <w:t>(c)</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1680"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9 </w:t>
            </w:r>
          </w:p>
        </w:tc>
        <w:tc>
          <w:tcPr>
            <w:tcW w:w="28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19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19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19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19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16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49" w:type="dxa"/>
            <w:gridSpan w:val="3"/>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Adjusted EBITDA</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521"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159"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473</w:t>
            </w:r>
            <w:r>
              <w:rPr>
                <w:color w:val="000000"/>
              </w:rPr>
              <w:t> </w:t>
            </w:r>
          </w:p>
        </w:tc>
        <w:tc>
          <w:tcPr>
            <w:tcW w:w="289"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96"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200</w:t>
            </w:r>
            <w:r>
              <w:rPr>
                <w:color w:val="000000"/>
              </w:rPr>
              <w:t> </w:t>
            </w:r>
          </w:p>
        </w:tc>
        <w:tc>
          <w:tcPr>
            <w:tcW w:w="109"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14"/>
        </w:rPr>
      </w:pPr>
      <w:r>
        <w:rPr>
          <w:rFonts w:ascii="Arial;sans-serif" w:hAnsi="Arial;sans-serif"/>
          <w:b w:val="false"/>
          <w:color w:val="000000"/>
          <w:sz w:val="14"/>
        </w:rPr>
        <w:t>__________________</w:t>
      </w:r>
    </w:p>
    <w:p>
      <w:pPr>
        <w:pStyle w:val="TextBody"/>
        <w:bidi w:val="0"/>
        <w:spacing w:lineRule="auto" w:line="288" w:before="0" w:after="0"/>
        <w:ind w:left="0" w:right="0" w:hanging="360"/>
        <w:jc w:val="left"/>
        <w:rPr>
          <w:rFonts w:ascii="Arial;sans-serif" w:hAnsi="Arial;sans-serif"/>
          <w:b w:val="false"/>
          <w:color w:val="000000"/>
          <w:sz w:val="14"/>
        </w:rPr>
      </w:pPr>
      <w:r>
        <w:rPr>
          <w:rFonts w:ascii="Arial;sans-serif" w:hAnsi="Arial;sans-serif"/>
          <w:b w:val="false"/>
          <w:color w:val="000000"/>
          <w:sz w:val="14"/>
        </w:rPr>
        <w:t>(a)Includes the periodic amortization of fair value adjustments associated with acquired fuel supply contract liabilities and intangible assets.</w:t>
      </w:r>
    </w:p>
    <w:p>
      <w:pPr>
        <w:pStyle w:val="TextBody"/>
        <w:bidi w:val="0"/>
        <w:spacing w:lineRule="auto" w:line="288" w:before="0" w:after="0"/>
        <w:ind w:left="0" w:right="0" w:hanging="360"/>
        <w:jc w:val="left"/>
        <w:rPr>
          <w:rFonts w:ascii="Arial;sans-serif" w:hAnsi="Arial;sans-serif"/>
          <w:b w:val="false"/>
          <w:color w:val="000000"/>
          <w:sz w:val="14"/>
        </w:rPr>
      </w:pPr>
      <w:r>
        <w:rPr>
          <w:rFonts w:ascii="Arial;sans-serif" w:hAnsi="Arial;sans-serif"/>
          <w:b w:val="false"/>
          <w:color w:val="000000"/>
          <w:sz w:val="14"/>
        </w:rPr>
        <w:t xml:space="preserve">(b)Includes the non-recurring: (i) advisory fees associated with completed acquisitions and divestitures; (ii) remaining settlements on contracts of divested assets; and (iii) non-recurring finance fees charged to the Consolidated Statement of Operations associated with acquisition financing fee arrangements. </w:t>
      </w:r>
    </w:p>
    <w:p>
      <w:pPr>
        <w:pStyle w:val="TextBody"/>
        <w:bidi w:val="0"/>
        <w:spacing w:lineRule="auto" w:line="288" w:before="0" w:after="180"/>
        <w:ind w:left="0" w:right="0" w:hanging="360"/>
        <w:jc w:val="left"/>
        <w:rPr>
          <w:rFonts w:ascii="Arial;sans-serif" w:hAnsi="Arial;sans-serif"/>
          <w:b w:val="false"/>
          <w:color w:val="000000"/>
          <w:sz w:val="14"/>
        </w:rPr>
      </w:pPr>
      <w:r>
        <w:rPr>
          <w:rFonts w:ascii="Arial;sans-serif" w:hAnsi="Arial;sans-serif"/>
          <w:b w:val="false"/>
          <w:color w:val="000000"/>
          <w:sz w:val="14"/>
        </w:rPr>
        <w:t>(c)Non-recurring severance and retention costs and strategic initiative costs.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0000"/>
          <w:sz w:val="18"/>
        </w:rPr>
      </w:pPr>
      <w:r>
        <w:rPr>
          <w:rFonts w:ascii="Arial;sans-serif" w:hAnsi="Arial;sans-serif"/>
          <w:b/>
          <w:color w:val="000000"/>
          <w:sz w:val="18"/>
        </w:rPr>
        <w:t>Critical Accounting Estimates</w:t>
      </w:r>
    </w:p>
    <w:p>
      <w:pPr>
        <w:pStyle w:val="TextBody"/>
        <w:bidi w:val="0"/>
        <w:spacing w:lineRule="auto" w:line="288" w:before="0" w:after="180"/>
        <w:ind w:left="0" w:right="0" w:firstLine="360"/>
        <w:jc w:val="left"/>
        <w:rPr>
          <w:rFonts w:ascii="Arial;sans-serif" w:hAnsi="Arial;sans-serif"/>
          <w:b w:val="false"/>
          <w:color w:val="000000"/>
          <w:sz w:val="18"/>
        </w:rPr>
      </w:pPr>
      <w:r>
        <w:rPr>
          <w:rFonts w:ascii="Arial;sans-serif" w:hAnsi="Arial;sans-serif"/>
          <w:b w:val="false"/>
          <w:color w:val="000000"/>
          <w:sz w:val="18"/>
        </w:rPr>
        <w:t>The Company’s financial statements are prepared in conformity with GAAP, which requires the application of appropriate accounting policies to form the basis of estimates utilizing methods, judgments, and (or) assumptions that materially affect: (i) the measurement and carrying values of assets and liabilities as of the date of the financial statements; (ii) the revenues recognized and expenses incurred during the presented reporting periods; and (iii) financial statement disclosures of commitments, contingencies, and other significant matters. Such judgments and assumptions may include significant subjectivity due to inherent uncertainties of future events which exist to such an extent that there is a reasonable likelihood that materially different amounts would have been reported under different conditions or if different assumptions had been used. See our 2025 Annual Report for a description of our significant accounting policies and estimates.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0000"/>
          <w:sz w:val="18"/>
        </w:rPr>
      </w:pPr>
      <w:r>
        <w:rPr>
          <w:rFonts w:ascii="Arial;sans-serif" w:hAnsi="Arial;sans-serif"/>
          <w:b/>
          <w:color w:val="000000"/>
          <w:sz w:val="18"/>
        </w:rPr>
        <w:t>ITEM 3. QUANTITATIVE AND QUALITATIVE DISCLOSURES ABOUT MARKET RISK</w:t>
      </w:r>
    </w:p>
    <w:p>
      <w:pPr>
        <w:pStyle w:val="TextBody"/>
        <w:bidi w:val="0"/>
        <w:spacing w:lineRule="auto" w:line="288" w:before="0" w:after="180"/>
        <w:ind w:left="0" w:right="0" w:firstLine="360"/>
        <w:jc w:val="left"/>
        <w:rPr>
          <w:rFonts w:ascii="Arial;sans-serif" w:hAnsi="Arial;sans-serif"/>
          <w:b w:val="false"/>
          <w:color w:val="000000"/>
          <w:sz w:val="18"/>
        </w:rPr>
      </w:pPr>
      <w:r>
        <w:rPr>
          <w:rFonts w:ascii="Arial;sans-serif" w:hAnsi="Arial;sans-serif"/>
          <w:b w:val="false"/>
          <w:color w:val="000000"/>
          <w:sz w:val="18"/>
        </w:rPr>
        <w:t>See Note 2 to the Interim Financial Statements for a description of our market risk.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0000"/>
          <w:sz w:val="18"/>
        </w:rPr>
      </w:pPr>
      <w:bookmarkStart w:id="14" w:name="ib4f82f200d17434a9b8b42cd0b95952c_5906"/>
      <w:bookmarkEnd w:id="14"/>
      <w:r>
        <w:rPr>
          <w:rFonts w:ascii="Arial;sans-serif" w:hAnsi="Arial;sans-serif"/>
          <w:b/>
          <w:color w:val="000000"/>
          <w:sz w:val="18"/>
        </w:rPr>
        <w:t>ITEM 4. CONTROLS AND PROCEDURES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0000"/>
          <w:sz w:val="18"/>
        </w:rPr>
      </w:pPr>
      <w:r>
        <w:rPr>
          <w:rFonts w:ascii="Arial;sans-serif" w:hAnsi="Arial;sans-serif"/>
          <w:b/>
          <w:color w:val="000000"/>
          <w:sz w:val="18"/>
        </w:rPr>
        <w:t>Evaluation of Disclosure Controls and Procedures</w:t>
      </w:r>
    </w:p>
    <w:p>
      <w:pPr>
        <w:pStyle w:val="TextBody"/>
        <w:bidi w:val="0"/>
        <w:spacing w:lineRule="auto" w:line="288" w:before="0" w:after="180"/>
        <w:ind w:left="0" w:right="0" w:firstLine="360"/>
        <w:jc w:val="left"/>
        <w:rPr>
          <w:rFonts w:ascii="Arial;sans-serif" w:hAnsi="Arial;sans-serif"/>
          <w:b w:val="false"/>
          <w:color w:val="000000"/>
          <w:sz w:val="18"/>
        </w:rPr>
      </w:pPr>
      <w:r>
        <w:rPr>
          <w:rFonts w:ascii="Arial;sans-serif" w:hAnsi="Arial;sans-serif"/>
          <w:b w:val="false"/>
          <w:color w:val="000000"/>
          <w:sz w:val="18"/>
        </w:rPr>
        <w:t>We have evaluated, under the supervision and with the participation of management, including our principal executive officer and principal financial officer, the effectiveness of our disclosure controls and procedures (as defined in Rules 13a-15(e) and 15d-15(e) under the Exchange Act). Based on that evaluation, our principal executive officer and principal financial officer concluded that our disclosure controls and procedures were effective as of March 31, 2026.</w:t>
      </w:r>
    </w:p>
    <w:p>
      <w:pPr>
        <w:pStyle w:val="TextBody"/>
        <w:bidi w:val="0"/>
        <w:spacing w:lineRule="auto" w:line="288" w:before="0" w:after="180"/>
        <w:jc w:val="left"/>
        <w:rPr>
          <w:rFonts w:ascii="Arial;sans-serif" w:hAnsi="Arial;sans-serif"/>
          <w:b/>
          <w:color w:val="000000"/>
          <w:sz w:val="18"/>
        </w:rPr>
      </w:pPr>
      <w:r>
        <w:rPr>
          <w:rFonts w:ascii="Arial;sans-serif" w:hAnsi="Arial;sans-serif"/>
          <w:b/>
          <w:color w:val="000000"/>
          <w:sz w:val="18"/>
        </w:rPr>
        <w:t>Changes in Internal Control Over Financial Reporting</w:t>
      </w:r>
    </w:p>
    <w:p>
      <w:pPr>
        <w:pStyle w:val="TextBody"/>
        <w:bidi w:val="0"/>
        <w:spacing w:lineRule="auto" w:line="288" w:before="0" w:after="180"/>
        <w:ind w:left="0" w:right="0" w:firstLine="360"/>
        <w:jc w:val="left"/>
        <w:rPr>
          <w:rFonts w:ascii="Arial;sans-serif" w:hAnsi="Arial;sans-serif"/>
          <w:b w:val="false"/>
          <w:color w:val="000000"/>
          <w:sz w:val="18"/>
        </w:rPr>
      </w:pPr>
      <w:r>
        <w:rPr>
          <w:rFonts w:ascii="Arial;sans-serif" w:hAnsi="Arial;sans-serif"/>
          <w:b w:val="false"/>
          <w:color w:val="000000"/>
          <w:sz w:val="18"/>
        </w:rPr>
        <w:t xml:space="preserve">There were no changes in our internal control over financial reporting that occurred during the three months ended March 31, 2026 that materially affected, or are reasonably likely to materially affect, our internal control over financial reporting.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0000"/>
          <w:sz w:val="18"/>
        </w:rPr>
      </w:pPr>
      <w:r>
        <w:rPr>
          <w:rFonts w:ascii="Arial;sans-serif" w:hAnsi="Arial;sans-serif"/>
          <w:b/>
          <w:color w:val="000000"/>
          <w:sz w:val="18"/>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16840"/>
                <wp:effectExtent l="0" t="0" r="0" b="0"/>
                <wp:wrapNone/>
                <wp:docPr id="36" name="Frame36"/>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34</w:t>
                      </w:r>
                    </w:p>
                  </w:txbxContent>
                </v:textbox>
                <w10:wrap type="none"/>
              </v:rect>
            </w:pict>
          </mc:Fallback>
        </mc:AlternateContent>
      </w:r>
    </w:p>
    <w:p>
      <w:pPr>
        <w:pStyle w:val="TextBody"/>
        <w:bidi w:val="0"/>
        <w:spacing w:lineRule="auto" w:line="288" w:before="0" w:after="180"/>
        <w:jc w:val="left"/>
        <w:rPr/>
      </w:pPr>
      <w:hyperlink w:anchor="if20e1f3d5a734e3eabbb6aa8f57c7562_45">
        <w:r>
          <w:rPr>
            <w:rStyle w:val="InternetLink"/>
            <w:rFonts w:ascii="Arial;sans-serif" w:hAnsi="Arial;sans-serif"/>
            <w:b w:val="false"/>
            <w:color w:val="0000FF"/>
            <w:sz w:val="18"/>
            <w:u w:val="single"/>
          </w:rPr>
          <w:t>Table of Contents</w:t>
        </w:r>
      </w:hyperlink>
    </w:p>
    <w:p>
      <w:pPr>
        <w:pStyle w:val="TextBody"/>
        <w:bidi w:val="0"/>
        <w:spacing w:lineRule="auto" w:line="288" w:before="0" w:after="180"/>
        <w:jc w:val="left"/>
        <w:rPr>
          <w:rFonts w:ascii="Arial;sans-serif" w:hAnsi="Arial;sans-serif"/>
          <w:b/>
          <w:color w:val="000000"/>
          <w:sz w:val="18"/>
        </w:rPr>
      </w:pPr>
      <w:r>
        <w:rPr>
          <w:rFonts w:ascii="Arial;sans-serif" w:hAnsi="Arial;sans-serif"/>
          <w:b/>
          <w:color w:val="000000"/>
          <w:sz w:val="18"/>
        </w:rPr>
        <w:t>ITEM 1. LEGAL PROCEEDINGS</w:t>
      </w:r>
    </w:p>
    <w:p>
      <w:pPr>
        <w:pStyle w:val="TextBody"/>
        <w:bidi w:val="0"/>
        <w:spacing w:lineRule="auto" w:line="288" w:before="0" w:after="180"/>
        <w:ind w:left="0" w:right="0" w:firstLine="360"/>
        <w:jc w:val="left"/>
        <w:rPr>
          <w:rFonts w:ascii="Arial;sans-serif" w:hAnsi="Arial;sans-serif"/>
          <w:b w:val="false"/>
          <w:color w:val="000000"/>
          <w:sz w:val="18"/>
        </w:rPr>
      </w:pPr>
      <w:r>
        <w:rPr>
          <w:rFonts w:ascii="Arial;sans-serif" w:hAnsi="Arial;sans-serif"/>
          <w:b w:val="false"/>
          <w:color w:val="000000"/>
          <w:sz w:val="18"/>
        </w:rPr>
        <w:t>There have been no additional material developments with respect to the information previously reported under “Part I, Item 3. Legal Proceedings” of our 2025 Annual Report.</w:t>
      </w:r>
    </w:p>
    <w:p>
      <w:pPr>
        <w:pStyle w:val="TextBody"/>
        <w:bidi w:val="0"/>
        <w:spacing w:lineRule="auto" w:line="288" w:before="0" w:after="180"/>
        <w:ind w:left="0" w:right="0" w:firstLine="360"/>
        <w:jc w:val="left"/>
        <w:rPr>
          <w:rFonts w:ascii="Arial;sans-serif" w:hAnsi="Arial;sans-serif"/>
          <w:b w:val="false"/>
          <w:color w:val="000000"/>
          <w:sz w:val="18"/>
        </w:rPr>
      </w:pPr>
      <w:r>
        <w:rPr>
          <w:rFonts w:ascii="Arial;sans-serif" w:hAnsi="Arial;sans-serif"/>
          <w:b w:val="false"/>
          <w:color w:val="000000"/>
          <w:sz w:val="18"/>
        </w:rPr>
        <w:t>See Note 9 to the Interim Financial Statements for information about other material legal proceedings to which we are subject.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0000"/>
          <w:sz w:val="18"/>
        </w:rPr>
      </w:pPr>
      <w:bookmarkStart w:id="15" w:name="i0390e12e5a304b65bb07a86287de109b_3639"/>
      <w:bookmarkEnd w:id="15"/>
      <w:r>
        <w:rPr>
          <w:rFonts w:ascii="Arial;sans-serif" w:hAnsi="Arial;sans-serif"/>
          <w:b/>
          <w:color w:val="000000"/>
          <w:sz w:val="18"/>
        </w:rPr>
        <w:t>ITEM 1A. RISK FACTORS</w:t>
      </w:r>
    </w:p>
    <w:p>
      <w:pPr>
        <w:pStyle w:val="TextBody"/>
        <w:bidi w:val="0"/>
        <w:spacing w:lineRule="auto" w:line="288" w:before="0" w:after="180"/>
        <w:ind w:left="0" w:right="0" w:firstLine="360"/>
        <w:jc w:val="left"/>
        <w:rPr>
          <w:rFonts w:ascii="Arial;sans-serif" w:hAnsi="Arial;sans-serif"/>
          <w:b w:val="false"/>
          <w:color w:val="000000"/>
          <w:sz w:val="18"/>
        </w:rPr>
      </w:pPr>
      <w:r>
        <w:rPr>
          <w:rFonts w:ascii="Arial;sans-serif" w:hAnsi="Arial;sans-serif"/>
          <w:b w:val="false"/>
          <w:color w:val="000000"/>
          <w:sz w:val="18"/>
        </w:rPr>
        <w:t>For information related to the Company’s risk factors, see “Part I, Item 1A. Risk Factors” in our 2025 Annual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0000"/>
          <w:sz w:val="18"/>
        </w:rPr>
      </w:pPr>
      <w:r>
        <w:rPr>
          <w:rFonts w:ascii="Arial;sans-serif" w:hAnsi="Arial;sans-serif"/>
          <w:b/>
          <w:color w:val="000000"/>
          <w:sz w:val="18"/>
        </w:rPr>
        <w:t>ITEM 2. UNREGISTERED SALES OF EQUITY SECURITIES AND USE OF PROCEEDS</w:t>
      </w:r>
    </w:p>
    <w:p>
      <w:pPr>
        <w:pStyle w:val="TextBody"/>
        <w:bidi w:val="0"/>
        <w:spacing w:lineRule="auto" w:line="288" w:before="0" w:after="180"/>
        <w:jc w:val="left"/>
        <w:rPr>
          <w:rFonts w:ascii="Arial;sans-serif" w:hAnsi="Arial;sans-serif"/>
          <w:b/>
          <w:color w:val="000000"/>
          <w:sz w:val="18"/>
        </w:rPr>
      </w:pPr>
      <w:r>
        <w:rPr>
          <w:rFonts w:ascii="Arial;sans-serif" w:hAnsi="Arial;sans-serif"/>
          <w:b/>
          <w:color w:val="000000"/>
          <w:sz w:val="18"/>
        </w:rPr>
        <w:t>Issuer Purchases of Equity Securities</w:t>
      </w:r>
    </w:p>
    <w:p>
      <w:pPr>
        <w:pStyle w:val="TextBody"/>
        <w:bidi w:val="0"/>
        <w:spacing w:lineRule="auto" w:line="288" w:before="0" w:after="180"/>
        <w:ind w:left="0" w:right="0" w:firstLine="360"/>
        <w:jc w:val="left"/>
        <w:rPr>
          <w:rFonts w:ascii="Arial;sans-serif" w:hAnsi="Arial;sans-serif"/>
          <w:b w:val="false"/>
          <w:color w:val="000000"/>
          <w:sz w:val="18"/>
        </w:rPr>
      </w:pPr>
      <w:r>
        <w:rPr>
          <w:rFonts w:ascii="Arial;sans-serif" w:hAnsi="Arial;sans-serif"/>
          <w:b w:val="false"/>
          <w:color w:val="000000"/>
          <w:sz w:val="18"/>
        </w:rPr>
        <w:t>In October 2023, we announced the Board of Directors approved the SRP, initially authorizing the Company to repurchase up to $300 million of TEC’s outstanding common stock. In May 2024, the Board of Directors approved an increase in the then-remaining SRP capacity to $1 billion through the end of 2025. In September 2024, the Board of Directors again approved an increase in the then-remaining SRP capacity to $1.25 billion through December 31, 2026. In September 2025, the Board of Directors approved an increase in the then-remaining SRP capacity to $2 billion through December 31, 2028. See “Item 5. Market for Registrant’s Common Equity, Related Stockholder Matters and Issuer Purchases of Equity Securities” in our 2025 Annual Report for additional information related to the SRP and shares repurchased under the SRP.</w:t>
      </w:r>
    </w:p>
    <w:p>
      <w:pPr>
        <w:pStyle w:val="TextBody"/>
        <w:bidi w:val="0"/>
        <w:spacing w:lineRule="auto" w:line="288" w:before="0" w:after="180"/>
        <w:ind w:left="0" w:right="0" w:firstLine="360"/>
        <w:jc w:val="left"/>
        <w:rPr>
          <w:rFonts w:ascii="Arial;sans-serif" w:hAnsi="Arial;sans-serif"/>
          <w:b w:val="false"/>
          <w:color w:val="000000"/>
          <w:sz w:val="18"/>
        </w:rPr>
      </w:pPr>
      <w:r>
        <w:rPr>
          <w:rFonts w:ascii="Arial;sans-serif" w:hAnsi="Arial;sans-serif"/>
          <w:b w:val="false"/>
          <w:color w:val="000000"/>
          <w:sz w:val="18"/>
        </w:rPr>
        <w:t>The following table contains information regarding our purchases of TEC common stock during the three months ended March 31, 2026:</w:t>
      </w:r>
    </w:p>
    <w:tbl>
      <w:tblPr>
        <w:tblW w:w="10205" w:type="dxa"/>
        <w:jc w:val="left"/>
        <w:tblInd w:w="0" w:type="dxa"/>
        <w:tblLayout w:type="fixed"/>
        <w:tblCellMar>
          <w:top w:w="28" w:type="dxa"/>
          <w:left w:w="28" w:type="dxa"/>
          <w:bottom w:w="28" w:type="dxa"/>
          <w:right w:w="28" w:type="dxa"/>
        </w:tblCellMar>
      </w:tblPr>
      <w:tblGrid>
        <w:gridCol w:w="356"/>
        <w:gridCol w:w="295"/>
        <w:gridCol w:w="296"/>
        <w:gridCol w:w="109"/>
        <w:gridCol w:w="109"/>
        <w:gridCol w:w="109"/>
        <w:gridCol w:w="588"/>
        <w:gridCol w:w="502"/>
        <w:gridCol w:w="504"/>
        <w:gridCol w:w="109"/>
        <w:gridCol w:w="109"/>
        <w:gridCol w:w="109"/>
        <w:gridCol w:w="287"/>
        <w:gridCol w:w="971"/>
        <w:gridCol w:w="159"/>
        <w:gridCol w:w="109"/>
        <w:gridCol w:w="109"/>
        <w:gridCol w:w="109"/>
        <w:gridCol w:w="858"/>
        <w:gridCol w:w="800"/>
        <w:gridCol w:w="803"/>
        <w:gridCol w:w="109"/>
        <w:gridCol w:w="109"/>
        <w:gridCol w:w="109"/>
        <w:gridCol w:w="534"/>
        <w:gridCol w:w="1516"/>
        <w:gridCol w:w="428"/>
      </w:tblGrid>
      <w:tr>
        <w:trPr/>
        <w:tc>
          <w:tcPr>
            <w:tcW w:w="35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r>
      <w:tr>
        <w:trPr/>
        <w:tc>
          <w:tcPr>
            <w:tcW w:w="9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Monthly 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Total number of shares purchased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6"/>
              </w:rPr>
              <w:t xml:space="preserve">Average price paid per share </w:t>
            </w:r>
            <w:r>
              <w:rPr>
                <w:rFonts w:ascii="Arial;sans-serif" w:hAnsi="Arial;sans-serif"/>
                <w:b/>
                <w:color w:val="000000"/>
                <w:sz w:val="10"/>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1"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6"/>
              </w:rPr>
              <w:t xml:space="preserve">Total number of shares purchased as part of publicly announced plan </w:t>
            </w:r>
            <w:r>
              <w:rPr>
                <w:rFonts w:ascii="Arial;sans-serif" w:hAnsi="Arial;sans-serif"/>
                <w:b/>
                <w:color w:val="000000"/>
                <w:sz w:val="10"/>
              </w:rPr>
              <w:t>(b)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8"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6"/>
              </w:rPr>
              <w:t xml:space="preserve">Approximate dollar value that may yet be purchased under the plan </w:t>
            </w:r>
            <w:r>
              <w:rPr>
                <w:rFonts w:ascii="Arial;sans-serif" w:hAnsi="Arial;sans-serif"/>
                <w:b/>
                <w:color w:val="000000"/>
                <w:sz w:val="10"/>
              </w:rPr>
              <w:t>(c)</w:t>
            </w:r>
          </w:p>
        </w:tc>
      </w:tr>
      <w:tr>
        <w:trPr/>
        <w:tc>
          <w:tcPr>
            <w:tcW w:w="947"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January</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4"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71"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8" w:type="dxa"/>
            <w:gridSpan w:val="2"/>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03"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51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2,000 </w:t>
            </w:r>
          </w:p>
        </w:tc>
        <w:tc>
          <w:tcPr>
            <w:tcW w:w="428"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February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2,000 </w:t>
            </w:r>
          </w:p>
        </w:tc>
        <w:tc>
          <w:tcPr>
            <w:tcW w:w="4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7"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March</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300,000 </w:t>
            </w:r>
          </w:p>
        </w:tc>
        <w:tc>
          <w:tcPr>
            <w:tcW w:w="50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333.08 </w:t>
            </w:r>
          </w:p>
        </w:tc>
        <w:tc>
          <w:tcPr>
            <w:tcW w:w="15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8"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300,000 </w:t>
            </w:r>
          </w:p>
        </w:tc>
        <w:tc>
          <w:tcPr>
            <w:tcW w:w="803"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0"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1,900 </w:t>
            </w:r>
          </w:p>
        </w:tc>
        <w:tc>
          <w:tcPr>
            <w:tcW w:w="428"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78" w:type="dxa"/>
            <w:gridSpan w:val="3"/>
            <w:tcBorders/>
            <w:vAlign w:val="center"/>
          </w:tcPr>
          <w:p>
            <w:pPr>
              <w:pStyle w:val="TableContents"/>
              <w:bidi w:val="0"/>
              <w:spacing w:before="0" w:after="283"/>
              <w:jc w:val="left"/>
              <w:rPr>
                <w:sz w:val="4"/>
                <w:szCs w:val="4"/>
              </w:rPr>
            </w:pPr>
            <w:r>
              <w:rPr>
                <w:sz w:val="4"/>
                <w:szCs w:val="4"/>
              </w:rPr>
            </w:r>
          </w:p>
        </w:tc>
      </w:tr>
      <w:tr>
        <w:trPr/>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78" w:type="dxa"/>
            <w:gridSpan w:val="3"/>
            <w:tcBorders/>
            <w:vAlign w:val="center"/>
          </w:tcPr>
          <w:p>
            <w:pPr>
              <w:pStyle w:val="TableContents"/>
              <w:bidi w:val="0"/>
              <w:spacing w:before="0" w:after="283"/>
              <w:jc w:val="left"/>
              <w:rPr>
                <w:sz w:val="4"/>
                <w:szCs w:val="4"/>
              </w:rPr>
            </w:pPr>
            <w:r>
              <w:rPr>
                <w:sz w:val="4"/>
                <w:szCs w:val="4"/>
              </w:rPr>
            </w:r>
          </w:p>
        </w:tc>
      </w:tr>
      <w:tr>
        <w:trPr/>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78" w:type="dxa"/>
            <w:gridSpan w:val="3"/>
            <w:tcBorders/>
            <w:vAlign w:val="center"/>
          </w:tcPr>
          <w:p>
            <w:pPr>
              <w:pStyle w:val="TableContents"/>
              <w:bidi w:val="0"/>
              <w:spacing w:before="0" w:after="283"/>
              <w:jc w:val="left"/>
              <w:rPr>
                <w:sz w:val="4"/>
                <w:szCs w:val="4"/>
              </w:rPr>
            </w:pPr>
            <w:r>
              <w:rPr>
                <w:sz w:val="4"/>
                <w:szCs w:val="4"/>
              </w:rPr>
            </w:r>
          </w:p>
        </w:tc>
      </w:tr>
      <w:tr>
        <w:trPr/>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78" w:type="dxa"/>
            <w:gridSpan w:val="3"/>
            <w:tcBorders/>
            <w:vAlign w:val="center"/>
          </w:tcPr>
          <w:p>
            <w:pPr>
              <w:pStyle w:val="TableContents"/>
              <w:bidi w:val="0"/>
              <w:spacing w:before="0" w:after="283"/>
              <w:jc w:val="left"/>
              <w:rPr>
                <w:sz w:val="4"/>
                <w:szCs w:val="4"/>
              </w:rPr>
            </w:pPr>
            <w:r>
              <w:rPr>
                <w:sz w:val="4"/>
                <w:szCs w:val="4"/>
              </w:rPr>
            </w:r>
          </w:p>
        </w:tc>
      </w:tr>
      <w:tr>
        <w:trPr/>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78" w:type="dxa"/>
            <w:gridSpan w:val="3"/>
            <w:tcBorders/>
            <w:vAlign w:val="center"/>
          </w:tcPr>
          <w:p>
            <w:pPr>
              <w:pStyle w:val="TableContents"/>
              <w:bidi w:val="0"/>
              <w:spacing w:before="0" w:after="283"/>
              <w:jc w:val="left"/>
              <w:rPr>
                <w:sz w:val="4"/>
                <w:szCs w:val="4"/>
              </w:rPr>
            </w:pPr>
            <w:r>
              <w:rPr>
                <w:sz w:val="4"/>
                <w:szCs w:val="4"/>
              </w:rPr>
            </w:r>
          </w:p>
        </w:tc>
      </w:tr>
      <w:tr>
        <w:trPr/>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78" w:type="dxa"/>
            <w:gridSpan w:val="3"/>
            <w:tcBorders/>
            <w:vAlign w:val="center"/>
          </w:tcPr>
          <w:p>
            <w:pPr>
              <w:pStyle w:val="TableContents"/>
              <w:bidi w:val="0"/>
              <w:spacing w:before="0" w:after="283"/>
              <w:jc w:val="left"/>
              <w:rPr>
                <w:sz w:val="4"/>
                <w:szCs w:val="4"/>
              </w:rPr>
            </w:pPr>
            <w:r>
              <w:rPr>
                <w:sz w:val="4"/>
                <w:szCs w:val="4"/>
              </w:rPr>
            </w:r>
          </w:p>
        </w:tc>
      </w:tr>
      <w:tr>
        <w:trPr/>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78" w:type="dxa"/>
            <w:gridSpan w:val="3"/>
            <w:tcBorders/>
            <w:vAlign w:val="center"/>
          </w:tcPr>
          <w:p>
            <w:pPr>
              <w:pStyle w:val="TableContents"/>
              <w:bidi w:val="0"/>
              <w:spacing w:before="0" w:after="283"/>
              <w:jc w:val="left"/>
              <w:rPr>
                <w:sz w:val="4"/>
                <w:szCs w:val="4"/>
              </w:rPr>
            </w:pPr>
            <w:r>
              <w:rPr>
                <w:sz w:val="4"/>
                <w:szCs w:val="4"/>
              </w:rPr>
            </w:r>
          </w:p>
        </w:tc>
      </w:tr>
      <w:tr>
        <w:trPr/>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78" w:type="dxa"/>
            <w:gridSpan w:val="3"/>
            <w:tcBorders/>
            <w:vAlign w:val="center"/>
          </w:tcPr>
          <w:p>
            <w:pPr>
              <w:pStyle w:val="TableContents"/>
              <w:bidi w:val="0"/>
              <w:spacing w:before="0" w:after="283"/>
              <w:jc w:val="left"/>
              <w:rPr>
                <w:sz w:val="4"/>
                <w:szCs w:val="4"/>
              </w:rPr>
            </w:pPr>
            <w:r>
              <w:rPr>
                <w:sz w:val="4"/>
                <w:szCs w:val="4"/>
              </w:rPr>
            </w:r>
          </w:p>
        </w:tc>
      </w:tr>
      <w:tr>
        <w:trPr/>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78" w:type="dxa"/>
            <w:gridSpan w:val="3"/>
            <w:tcBorders/>
            <w:vAlign w:val="center"/>
          </w:tcPr>
          <w:p>
            <w:pPr>
              <w:pStyle w:val="TableContents"/>
              <w:bidi w:val="0"/>
              <w:spacing w:before="0" w:after="283"/>
              <w:jc w:val="left"/>
              <w:rPr>
                <w:sz w:val="4"/>
                <w:szCs w:val="4"/>
              </w:rPr>
            </w:pPr>
            <w:r>
              <w:rPr>
                <w:sz w:val="4"/>
                <w:szCs w:val="4"/>
              </w:rPr>
            </w:r>
          </w:p>
        </w:tc>
      </w:tr>
      <w:tr>
        <w:trPr/>
        <w:tc>
          <w:tcPr>
            <w:tcW w:w="947"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300,000</w:t>
            </w:r>
            <w:r>
              <w:rPr>
                <w:color w:val="000000"/>
              </w:rPr>
              <w:t> </w:t>
            </w:r>
          </w:p>
        </w:tc>
        <w:tc>
          <w:tcPr>
            <w:tcW w:w="5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9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333.08</w:t>
            </w:r>
            <w:r>
              <w:rPr>
                <w:color w:val="000000"/>
              </w:rPr>
              <w:t> </w:t>
            </w:r>
          </w:p>
        </w:tc>
        <w:tc>
          <w:tcPr>
            <w:tcW w:w="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300,000</w:t>
            </w:r>
            <w:r>
              <w:rPr>
                <w:color w:val="000000"/>
              </w:rPr>
              <w:t> </w:t>
            </w:r>
          </w:p>
        </w:tc>
        <w:tc>
          <w:tcPr>
            <w:tcW w:w="8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8"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r>
      <w:tr>
        <w:trPr/>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78"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14"/>
        </w:rPr>
      </w:pPr>
      <w:r>
        <w:rPr>
          <w:rFonts w:ascii="Arial;sans-serif" w:hAnsi="Arial;sans-serif"/>
          <w:b w:val="false"/>
          <w:color w:val="000000"/>
          <w:sz w:val="14"/>
        </w:rPr>
        <w:t>__________________</w:t>
      </w:r>
    </w:p>
    <w:p>
      <w:pPr>
        <w:pStyle w:val="TextBody"/>
        <w:bidi w:val="0"/>
        <w:spacing w:lineRule="auto" w:line="288" w:before="0" w:after="0"/>
        <w:ind w:left="0" w:right="0" w:hanging="360"/>
        <w:jc w:val="left"/>
        <w:rPr>
          <w:rFonts w:ascii="Arial;sans-serif" w:hAnsi="Arial;sans-serif"/>
          <w:b w:val="false"/>
          <w:color w:val="000000"/>
          <w:sz w:val="14"/>
          <w:shd w:fill="FFFFFF" w:val="clear"/>
        </w:rPr>
      </w:pPr>
      <w:r>
        <w:rPr>
          <w:rFonts w:ascii="Arial;sans-serif" w:hAnsi="Arial;sans-serif"/>
          <w:b w:val="false"/>
          <w:color w:val="000000"/>
          <w:sz w:val="14"/>
          <w:shd w:fill="FFFFFF" w:val="clear"/>
        </w:rPr>
        <w:t>(a)Excludes transaction costs and excise taxes.</w:t>
      </w:r>
    </w:p>
    <w:p>
      <w:pPr>
        <w:pStyle w:val="TextBody"/>
        <w:bidi w:val="0"/>
        <w:spacing w:lineRule="auto" w:line="288" w:before="0" w:after="0"/>
        <w:ind w:left="0" w:right="0" w:hanging="360"/>
        <w:jc w:val="left"/>
        <w:rPr>
          <w:rFonts w:ascii="Arial;sans-serif" w:hAnsi="Arial;sans-serif"/>
          <w:b w:val="false"/>
          <w:color w:val="000000"/>
          <w:sz w:val="14"/>
          <w:shd w:fill="FFFFFF" w:val="clear"/>
        </w:rPr>
      </w:pPr>
      <w:r>
        <w:rPr>
          <w:rFonts w:ascii="Arial;sans-serif" w:hAnsi="Arial;sans-serif"/>
          <w:b w:val="false"/>
          <w:color w:val="000000"/>
          <w:sz w:val="14"/>
          <w:shd w:fill="FFFFFF" w:val="clear"/>
        </w:rPr>
        <w:t>(b)Represents shares repurchased under the SRP. See above for a description of the SRP.</w:t>
      </w:r>
    </w:p>
    <w:p>
      <w:pPr>
        <w:pStyle w:val="TextBody"/>
        <w:bidi w:val="0"/>
        <w:spacing w:lineRule="auto" w:line="288" w:before="0" w:after="180"/>
        <w:ind w:left="0" w:right="0" w:hanging="360"/>
        <w:jc w:val="left"/>
        <w:rPr>
          <w:rFonts w:ascii="Arial;sans-serif" w:hAnsi="Arial;sans-serif"/>
          <w:b w:val="false"/>
          <w:color w:val="000000"/>
          <w:sz w:val="14"/>
          <w:shd w:fill="FFFFFF" w:val="clear"/>
        </w:rPr>
      </w:pPr>
      <w:r>
        <w:rPr>
          <w:rFonts w:ascii="Arial;sans-serif" w:hAnsi="Arial;sans-serif"/>
          <w:b w:val="false"/>
          <w:color w:val="000000"/>
          <w:sz w:val="14"/>
          <w:shd w:fill="FFFFFF" w:val="clear"/>
        </w:rPr>
        <w:t>(c)Dollars in millions.</w:t>
      </w:r>
    </w:p>
    <w:p>
      <w:pPr>
        <w:pStyle w:val="TextBody"/>
        <w:bidi w:val="0"/>
        <w:spacing w:lineRule="auto" w:line="288" w:before="0" w:after="180"/>
        <w:ind w:left="0" w:right="0" w:firstLine="360"/>
        <w:jc w:val="left"/>
        <w:rPr>
          <w:rFonts w:ascii="Arial;sans-serif" w:hAnsi="Arial;sans-serif"/>
          <w:b w:val="false"/>
          <w:color w:val="000000"/>
          <w:sz w:val="18"/>
        </w:rPr>
      </w:pPr>
      <w:r>
        <w:rPr>
          <w:rFonts w:ascii="Arial;sans-serif" w:hAnsi="Arial;sans-serif"/>
          <w:b w:val="false"/>
          <w:color w:val="000000"/>
          <w:sz w:val="18"/>
        </w:rPr>
        <w:t>For a description of limitations on the payment of our dividends, see “Part II, Item 5. Market for Registrant’s Common Equity, Related Stockholder Matters and Issuer Purchases of Equity Securities” in our 2025 Annual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0000"/>
          <w:sz w:val="18"/>
        </w:rPr>
      </w:pPr>
      <w:r>
        <w:rPr>
          <w:rFonts w:ascii="Arial;sans-serif" w:hAnsi="Arial;sans-serif"/>
          <w:b/>
          <w:color w:val="000000"/>
          <w:sz w:val="18"/>
        </w:rPr>
        <w:t>ITEM 3. DEFAULTS UPON SENIOR SECURITIES</w:t>
      </w:r>
    </w:p>
    <w:p>
      <w:pPr>
        <w:pStyle w:val="TextBody"/>
        <w:bidi w:val="0"/>
        <w:spacing w:lineRule="auto" w:line="288" w:before="0" w:after="180"/>
        <w:ind w:left="0" w:right="0" w:firstLine="360"/>
        <w:jc w:val="left"/>
        <w:rPr>
          <w:rFonts w:ascii="Arial;sans-serif" w:hAnsi="Arial;sans-serif"/>
          <w:b w:val="false"/>
          <w:color w:val="000000"/>
          <w:sz w:val="18"/>
        </w:rPr>
      </w:pPr>
      <w:r>
        <w:rPr>
          <w:rFonts w:ascii="Arial;sans-serif" w:hAnsi="Arial;sans-serif"/>
          <w:b w:val="false"/>
          <w:color w:val="000000"/>
          <w:sz w:val="18"/>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0000"/>
          <w:sz w:val="18"/>
        </w:rPr>
      </w:pPr>
      <w:bookmarkStart w:id="16" w:name="i029e02ee5b44422289f62612912cfb6f_304"/>
      <w:bookmarkEnd w:id="16"/>
      <w:r>
        <w:rPr>
          <w:rFonts w:ascii="Arial;sans-serif" w:hAnsi="Arial;sans-serif"/>
          <w:b/>
          <w:color w:val="000000"/>
          <w:sz w:val="18"/>
        </w:rPr>
        <w:t>ITEM 4. MINE SAFETY DISCLOSURES</w:t>
      </w:r>
    </w:p>
    <w:p>
      <w:pPr>
        <w:pStyle w:val="TextBody"/>
        <w:bidi w:val="0"/>
        <w:spacing w:lineRule="auto" w:line="288" w:before="0" w:after="180"/>
        <w:ind w:left="0" w:right="0" w:firstLine="360"/>
        <w:jc w:val="left"/>
        <w:rPr>
          <w:rFonts w:ascii="Arial;sans-serif" w:hAnsi="Arial;sans-serif"/>
          <w:b w:val="false"/>
          <w:color w:val="000000"/>
          <w:sz w:val="18"/>
        </w:rPr>
      </w:pPr>
      <w:r>
        <w:rPr>
          <w:rFonts w:ascii="Arial;sans-serif" w:hAnsi="Arial;sans-serif"/>
          <w:b w:val="false"/>
          <w:color w:val="000000"/>
          <w:sz w:val="18"/>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0000"/>
          <w:sz w:val="18"/>
        </w:rPr>
      </w:pPr>
      <w:r>
        <w:rPr>
          <w:rFonts w:ascii="Arial;sans-serif" w:hAnsi="Arial;sans-serif"/>
          <w:b/>
          <w:color w:val="000000"/>
          <w:sz w:val="18"/>
        </w:rPr>
        <w:t>ITEM 5. OTHER INFORMATION</w:t>
      </w:r>
    </w:p>
    <w:p>
      <w:pPr>
        <w:pStyle w:val="TextBody"/>
        <w:bidi w:val="0"/>
        <w:spacing w:lineRule="auto" w:line="288" w:before="0" w:after="180"/>
        <w:jc w:val="left"/>
        <w:rPr>
          <w:rFonts w:ascii="Arial;sans-serif" w:hAnsi="Arial;sans-serif"/>
          <w:b/>
          <w:color w:val="000000"/>
          <w:sz w:val="18"/>
        </w:rPr>
      </w:pPr>
      <w:r>
        <w:rPr>
          <w:rFonts w:ascii="Arial;sans-serif" w:hAnsi="Arial;sans-serif"/>
          <w:b/>
          <w:color w:val="000000"/>
          <w:sz w:val="18"/>
        </w:rPr>
        <w:t>Rule 10b5-1 Trading Plans</w:t>
      </w:r>
    </w:p>
    <w:p>
      <w:pPr>
        <w:pStyle w:val="TextBody"/>
        <w:bidi w:val="0"/>
        <w:spacing w:lineRule="auto" w:line="288" w:before="0" w:after="180"/>
        <w:ind w:left="0" w:right="0" w:firstLine="360"/>
        <w:jc w:val="left"/>
        <w:rPr>
          <w:rFonts w:ascii="Arial;sans-serif" w:hAnsi="Arial;sans-serif"/>
          <w:b w:val="false"/>
          <w:color w:val="000000"/>
          <w:sz w:val="18"/>
        </w:rPr>
      </w:pPr>
      <w:r>
        <w:rPr>
          <w:rFonts w:ascii="Arial;sans-serif" w:hAnsi="Arial;sans-serif"/>
          <w:b w:val="false"/>
          <w:color w:val="000000"/>
          <w:sz w:val="18"/>
        </w:rPr>
        <w:t xml:space="preserve">During the three months ended March 31, 2026, none of our directors or “officers” (as such term is defined in Rule 16(a)-1(f) under the Exchange Act) adopted or terminated a “Rule 10b5-1 trading agreement” or “non-Rule 10b5-1 trading arrangement” (each as defined in Item 408 of Regulation S-K).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16840"/>
                <wp:effectExtent l="0" t="0" r="0" b="0"/>
                <wp:wrapNone/>
                <wp:docPr id="37" name="Frame37"/>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35</w:t>
                      </w:r>
                    </w:p>
                  </w:txbxContent>
                </v:textbox>
                <w10:wrap type="none"/>
              </v:rect>
            </w:pict>
          </mc:Fallback>
        </mc:AlternateContent>
      </w:r>
    </w:p>
    <w:p>
      <w:pPr>
        <w:pStyle w:val="TextBody"/>
        <w:bidi w:val="0"/>
        <w:spacing w:lineRule="auto" w:line="288" w:before="0" w:after="180"/>
        <w:jc w:val="left"/>
        <w:rPr/>
      </w:pPr>
      <w:hyperlink w:anchor="if20e1f3d5a734e3eabbb6aa8f57c7562_45">
        <w:r>
          <w:rPr>
            <w:rStyle w:val="InternetLink"/>
            <w:rFonts w:ascii="Arial;sans-serif" w:hAnsi="Arial;sans-serif"/>
            <w:b w:val="false"/>
            <w:color w:val="0000FF"/>
            <w:sz w:val="18"/>
            <w:u w:val="single"/>
          </w:rPr>
          <w:t>Table of Contents</w:t>
        </w:r>
      </w:hyperlink>
    </w:p>
    <w:p>
      <w:pPr>
        <w:pStyle w:val="TextBody"/>
        <w:bidi w:val="0"/>
        <w:spacing w:lineRule="auto" w:line="288" w:before="0" w:after="180"/>
        <w:jc w:val="left"/>
        <w:rPr>
          <w:rFonts w:ascii="Arial;sans-serif" w:hAnsi="Arial;sans-serif"/>
          <w:b/>
          <w:color w:val="000000"/>
          <w:sz w:val="18"/>
        </w:rPr>
      </w:pPr>
      <w:r>
        <w:rPr>
          <w:rFonts w:ascii="Arial;sans-serif" w:hAnsi="Arial;sans-serif"/>
          <w:b/>
          <w:color w:val="000000"/>
          <w:sz w:val="18"/>
        </w:rPr>
        <w:t>Financing Transactions</w:t>
      </w:r>
    </w:p>
    <w:p>
      <w:pPr>
        <w:pStyle w:val="TextBody"/>
        <w:bidi w:val="0"/>
        <w:spacing w:lineRule="auto" w:line="288" w:before="0" w:after="180"/>
        <w:ind w:left="0" w:right="0" w:firstLine="360"/>
        <w:jc w:val="left"/>
        <w:rPr/>
      </w:pPr>
      <w:r>
        <w:rPr>
          <w:rFonts w:ascii="Arial;sans-serif" w:hAnsi="Arial;sans-serif"/>
          <w:b w:val="false"/>
          <w:i/>
          <w:color w:val="000000"/>
          <w:sz w:val="18"/>
        </w:rPr>
        <w:t>Unsecured Notes due 2031 and 2033.</w:t>
      </w:r>
      <w:r>
        <w:rPr>
          <w:color w:val="000000"/>
        </w:rPr>
        <w:t xml:space="preserve"> </w:t>
      </w:r>
      <w:r>
        <w:rPr>
          <w:rFonts w:ascii="Arial;sans-serif" w:hAnsi="Arial;sans-serif"/>
          <w:b w:val="false"/>
          <w:color w:val="000000"/>
          <w:sz w:val="18"/>
        </w:rPr>
        <w:t>In April 2026, TES issued in private placement transactions not involving a public offering, and each at par: (i) $1.5 billion in aggregate principal amount of 6.125% Senior Unsecured Notes due 2031, with interest payable on May 1 and November 1 of each year, and (ii) $2.5 billion in aggregate principal amount of 6.375% Senior Unsecured Notes due 2033, with interest payable on May 1 and November 1 of each year. We intend to use the net proceeds from the issuance and sale of the Unsecured Notes due 2031 and 2033 to fund the cash portion of the Cornerstone Acquisition and we have used a portion of the net proceeds to redeem the Company’s outstanding Secured Notes. The Unsecured Notes due 2031 were issued under an indenture, dated April 29, 2026 (the “2031 Unsecured Notes Indenture”), by and among TES, the guarantors party thereto and Wilmington Savings Fund Society, FSB, as trustee. The Unsecured Notes due 2033 were issued under an indenture, dated April 29, 2026 (the “2033 Unsecured Notes Indenture”), by and among TES, the guarantors party thereto and Wilmington Savings Fund Society, FSB, as trustee.</w:t>
      </w:r>
    </w:p>
    <w:p>
      <w:pPr>
        <w:pStyle w:val="TextBody"/>
        <w:bidi w:val="0"/>
        <w:spacing w:lineRule="auto" w:line="288" w:before="0" w:after="180"/>
        <w:ind w:left="0" w:right="0" w:firstLine="360"/>
        <w:jc w:val="left"/>
        <w:rPr>
          <w:rFonts w:ascii="Arial;sans-serif" w:hAnsi="Arial;sans-serif"/>
          <w:b w:val="false"/>
          <w:color w:val="000000"/>
          <w:sz w:val="18"/>
        </w:rPr>
      </w:pPr>
      <w:r>
        <w:rPr>
          <w:rFonts w:ascii="Arial;sans-serif" w:hAnsi="Arial;sans-serif"/>
          <w:b w:val="false"/>
          <w:color w:val="000000"/>
          <w:sz w:val="18"/>
        </w:rPr>
        <w:t>The Unsecured Notes due 2031 and 2033 are subject to customary negative covenants, including but not limited to, certain limitations on incurrence of liens and transactions involving the Susquehanna assets, but do not contain any financial covenants. The Unsecured Notes due 2031 and 2033 also contain customary affirmative covenants, events of default, and remedies (including acceleration) and are subject to mandatory redemption provisions in the event that the Cornerstone Acquisition is not completed pursuant to the note purchase agreement. In the event that the Cornerstone Acquisition has not been consummated by January 15, 2027 (or, to the extent such date is automatically extended pursuant to the terms of the Cornerstone Merger Agreement,July 15, 2027), $1.05 billion in aggregate principal amount of the Unsecured Notes due 2031 and $1.75 billion in aggregate principal amount of the Unsecured Notes due 2033 will be redeemed, in each case, at a price equal to 100% of the issue price, plus accrued and unpaid interest.</w:t>
      </w:r>
    </w:p>
    <w:p>
      <w:pPr>
        <w:pStyle w:val="TextBody"/>
        <w:bidi w:val="0"/>
        <w:spacing w:lineRule="auto" w:line="288" w:before="0" w:after="180"/>
        <w:ind w:left="0" w:right="0" w:firstLine="360"/>
        <w:jc w:val="left"/>
        <w:rPr/>
      </w:pPr>
      <w:r>
        <w:rPr>
          <w:rFonts w:ascii="Arial;sans-serif" w:hAnsi="Arial;sans-serif"/>
          <w:b w:val="false"/>
          <w:i/>
          <w:color w:val="000000"/>
          <w:sz w:val="18"/>
        </w:rPr>
        <w:t>Secured Notes.</w:t>
      </w:r>
      <w:r>
        <w:rPr>
          <w:color w:val="000000"/>
        </w:rPr>
        <w:t xml:space="preserve"> </w:t>
      </w:r>
      <w:r>
        <w:rPr>
          <w:rFonts w:ascii="Arial;sans-serif" w:hAnsi="Arial;sans-serif"/>
          <w:b w:val="false"/>
          <w:color w:val="000000"/>
          <w:sz w:val="18"/>
        </w:rPr>
        <w:t>In April 2026, TES redeemed in full, the Company’s outstanding Secured Notes in aggregate principal amount of $1.2 billion, using a portion of the net proceeds of the Unsecured Notes due 2031 and 2033. In connection with the redemption, approximately $60 million of expenses are expected to be incurred, primarily consisting of a make-whole payment and derecognition of capitalized deferred finance costs.</w:t>
      </w:r>
    </w:p>
    <w:p>
      <w:pPr>
        <w:pStyle w:val="TextBody"/>
        <w:bidi w:val="0"/>
        <w:spacing w:lineRule="auto" w:line="288" w:before="0" w:after="180"/>
        <w:ind w:left="0" w:right="0" w:firstLine="360"/>
        <w:jc w:val="left"/>
        <w:rPr/>
      </w:pPr>
      <w:r>
        <w:rPr>
          <w:rFonts w:ascii="Arial;sans-serif" w:hAnsi="Arial;sans-serif"/>
          <w:b w:val="false"/>
          <w:i/>
          <w:color w:val="000000"/>
          <w:sz w:val="18"/>
        </w:rPr>
        <w:t xml:space="preserve">Credit Facility Transactions. </w:t>
      </w:r>
      <w:r>
        <w:rPr>
          <w:rFonts w:ascii="Arial;sans-serif" w:hAnsi="Arial;sans-serif"/>
          <w:b w:val="false"/>
          <w:color w:val="000000"/>
          <w:sz w:val="18"/>
        </w:rPr>
        <w:t>Also in April 2026, TES undertook the following financing transactions that are expected to become effective concurrently with the closing of the Cornerstone Acquisition: (i) received commitments to increase its existing RCF (including its revolving LC capacity) from $900 million to $1.35 billion; and (ii) received commitments to upsize its existing $1.1 billion LCF to $1.5 billion and extend the maturity from December 2027 to December 2029.</w:t>
      </w:r>
    </w:p>
    <w:p>
      <w:pPr>
        <w:pStyle w:val="TextBody"/>
        <w:bidi w:val="0"/>
        <w:spacing w:lineRule="auto" w:line="288" w:before="0" w:after="180"/>
        <w:ind w:left="0" w:right="0" w:firstLine="360"/>
        <w:jc w:val="left"/>
        <w:rPr>
          <w:rFonts w:ascii="Arial;sans-serif" w:hAnsi="Arial;sans-serif"/>
          <w:b w:val="false"/>
          <w:color w:val="000000"/>
          <w:sz w:val="18"/>
        </w:rPr>
      </w:pPr>
      <w:r>
        <w:rPr>
          <w:rFonts w:ascii="Arial;sans-serif" w:hAnsi="Arial;sans-serif"/>
          <w:b w:val="false"/>
          <w:color w:val="000000"/>
          <w:sz w:val="18"/>
        </w:rPr>
        <w:t>The foregoing description is qualified in its entirety by reference to the full text of the 2031 Unsecured Notes Indenture and the 2033 Unsecured Notes Indenture,and the forms of the Unsecured Notes due 2031 and the Unsecured Notes due 2033, copies of which are filed as Exhibits 4.2, 4.3, 4.4 and 4.5 to this Quarterly Report on Form 10-Q and each of which is incorporated by reference into this Item 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16840"/>
                <wp:effectExtent l="0" t="0" r="0" b="0"/>
                <wp:wrapNone/>
                <wp:docPr id="38" name="Frame38"/>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36</w:t>
                      </w:r>
                    </w:p>
                  </w:txbxContent>
                </v:textbox>
                <w10:wrap type="none"/>
              </v:rect>
            </w:pict>
          </mc:Fallback>
        </mc:AlternateContent>
      </w:r>
    </w:p>
    <w:p>
      <w:pPr>
        <w:pStyle w:val="TextBody"/>
        <w:bidi w:val="0"/>
        <w:spacing w:lineRule="auto" w:line="288" w:before="0" w:after="0"/>
        <w:jc w:val="left"/>
        <w:rPr/>
      </w:pPr>
      <w:hyperlink w:anchor="if20e1f3d5a734e3eabbb6aa8f57c7562_45">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ITEM 6. EXHIBITS</w:t>
      </w:r>
    </w:p>
    <w:tbl>
      <w:tblPr>
        <w:tblW w:w="10205" w:type="dxa"/>
        <w:jc w:val="left"/>
        <w:tblInd w:w="0" w:type="dxa"/>
        <w:tblLayout w:type="fixed"/>
        <w:tblCellMar>
          <w:top w:w="28" w:type="dxa"/>
          <w:left w:w="28" w:type="dxa"/>
          <w:bottom w:w="28" w:type="dxa"/>
          <w:right w:w="28" w:type="dxa"/>
        </w:tblCellMar>
      </w:tblPr>
      <w:tblGrid>
        <w:gridCol w:w="259"/>
        <w:gridCol w:w="227"/>
        <w:gridCol w:w="228"/>
        <w:gridCol w:w="109"/>
        <w:gridCol w:w="109"/>
        <w:gridCol w:w="109"/>
        <w:gridCol w:w="1662"/>
        <w:gridCol w:w="1570"/>
        <w:gridCol w:w="1586"/>
        <w:gridCol w:w="109"/>
        <w:gridCol w:w="109"/>
        <w:gridCol w:w="109"/>
        <w:gridCol w:w="176"/>
        <w:gridCol w:w="176"/>
        <w:gridCol w:w="177"/>
        <w:gridCol w:w="109"/>
        <w:gridCol w:w="109"/>
        <w:gridCol w:w="109"/>
        <w:gridCol w:w="258"/>
        <w:gridCol w:w="258"/>
        <w:gridCol w:w="260"/>
        <w:gridCol w:w="109"/>
        <w:gridCol w:w="109"/>
        <w:gridCol w:w="109"/>
        <w:gridCol w:w="401"/>
        <w:gridCol w:w="241"/>
        <w:gridCol w:w="224"/>
        <w:gridCol w:w="109"/>
        <w:gridCol w:w="109"/>
        <w:gridCol w:w="109"/>
        <w:gridCol w:w="250"/>
        <w:gridCol w:w="250"/>
        <w:gridCol w:w="367"/>
      </w:tblGrid>
      <w:tr>
        <w:trPr/>
        <w:tc>
          <w:tcPr>
            <w:tcW w:w="25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2" w:type="dxa"/>
            <w:tcBorders/>
            <w:vAlign w:val="center"/>
          </w:tcPr>
          <w:p>
            <w:pPr>
              <w:pStyle w:val="TableContents"/>
              <w:bidi w:val="0"/>
              <w:spacing w:before="0" w:after="283"/>
              <w:jc w:val="left"/>
              <w:rPr>
                <w:sz w:val="4"/>
                <w:szCs w:val="4"/>
              </w:rPr>
            </w:pPr>
            <w:r>
              <w:rPr>
                <w:sz w:val="4"/>
                <w:szCs w:val="4"/>
              </w:rPr>
            </w:r>
          </w:p>
        </w:tc>
        <w:tc>
          <w:tcPr>
            <w:tcW w:w="1570" w:type="dxa"/>
            <w:tcBorders/>
            <w:vAlign w:val="center"/>
          </w:tcPr>
          <w:p>
            <w:pPr>
              <w:pStyle w:val="TableContents"/>
              <w:bidi w:val="0"/>
              <w:spacing w:before="0" w:after="283"/>
              <w:jc w:val="left"/>
              <w:rPr>
                <w:sz w:val="4"/>
                <w:szCs w:val="4"/>
              </w:rPr>
            </w:pPr>
            <w:r>
              <w:rPr>
                <w:sz w:val="4"/>
                <w:szCs w:val="4"/>
              </w:rPr>
            </w:r>
          </w:p>
        </w:tc>
        <w:tc>
          <w:tcPr>
            <w:tcW w:w="1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r>
      <w:tr>
        <w:trPr/>
        <w:tc>
          <w:tcPr>
            <w:tcW w:w="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9"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Incorporated by Reference</w:t>
            </w:r>
          </w:p>
        </w:tc>
      </w:tr>
      <w:tr>
        <w:trPr/>
        <w:tc>
          <w:tcPr>
            <w:tcW w:w="71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Form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File Number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Date of Filing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Exhibit Number</w:t>
            </w:r>
          </w:p>
        </w:tc>
      </w:tr>
      <w:tr>
        <w:trPr/>
        <w:tc>
          <w:tcPr>
            <w:tcW w:w="7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2.1</w:t>
            </w:r>
            <w:r>
              <w:rPr>
                <w:rFonts w:ascii="Arial;sans-serif" w:hAnsi="Arial;sans-serif"/>
                <w:b w:val="false"/>
                <w:color w:val="000000"/>
                <w:sz w:val="10"/>
              </w:rPr>
              <w:t>#</w:t>
            </w:r>
            <w:r>
              <w:rPr>
                <w:rFonts w:ascii="Arial;sans-serif" w:hAnsi="Arial;sans-serif"/>
                <w:b w:val="false"/>
                <w:color w:val="000000"/>
                <w:sz w:val="16"/>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8"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hyperlink r:id="rId2">
              <w:r>
                <w:rPr>
                  <w:rStyle w:val="InternetLink"/>
                  <w:rFonts w:ascii="Arial;sans-serif" w:hAnsi="Arial;sans-serif"/>
                  <w:b w:val="false"/>
                  <w:color w:val="0000FF"/>
                  <w:sz w:val="16"/>
                  <w:u w:val="single"/>
                </w:rPr>
                <w:t>Agreement and Plan of Merger, dated as of January 15, 2026, by and among Talen Energy Corporation, Cornerstone Generation Holdings, LP, ECP Cornerstone Generation Holdings GP, LLC, ECP V-B (AG IP) Blocker Corp, ECP V-C (AG IP) Blocker Corp, ECP V-D (AG IP) Blocker Corp, ECP V-D, as a holder representative, and solely for the limited purposes set forth therein, ECP GP V, LP.</w:t>
              </w:r>
            </w:hyperlink>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10-K</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001-37388</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February 24, 2026</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2.1</w:t>
            </w:r>
          </w:p>
        </w:tc>
      </w:tr>
      <w:tr>
        <w:trPr/>
        <w:tc>
          <w:tcPr>
            <w:tcW w:w="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Arial;sans-serif" w:hAnsi="Arial;sans-serif"/>
                  <w:b w:val="false"/>
                  <w:color w:val="0000FF"/>
                  <w:sz w:val="16"/>
                  <w:u w:val="single"/>
                </w:rPr>
                <w:t>Third Amended and Restated Certificate of Incorporation of Talen Energy Corporation.</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333-280341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June 20,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3.1</w:t>
            </w:r>
          </w:p>
        </w:tc>
      </w:tr>
      <w:tr>
        <w:trPr/>
        <w:tc>
          <w:tcPr>
            <w:tcW w:w="71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3.2</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8"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Arial;sans-serif" w:hAnsi="Arial;sans-serif"/>
                  <w:b w:val="false"/>
                  <w:color w:val="0000FF"/>
                  <w:sz w:val="16"/>
                  <w:u w:val="single"/>
                </w:rPr>
                <w:t>Second Amended and Restated Bylaws of Talen Energy Corporation</w:t>
              </w:r>
            </w:hyperlink>
            <w:r>
              <w:rPr>
                <w:rFonts w:ascii="Arial;sans-serif" w:hAnsi="Arial;sans-serif"/>
                <w:b w:val="false"/>
                <w:color w:val="000000"/>
                <w:sz w:val="16"/>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S-1</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333-280341</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June 20, 2024</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3.2</w:t>
            </w:r>
          </w:p>
        </w:tc>
      </w:tr>
      <w:tr>
        <w:trPr/>
        <w:tc>
          <w:tcPr>
            <w:tcW w:w="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5">
              <w:r>
                <w:rPr>
                  <w:rStyle w:val="InternetLink"/>
                  <w:rFonts w:ascii="Arial;sans-serif" w:hAnsi="Arial;sans-serif"/>
                  <w:b w:val="false"/>
                  <w:color w:val="000080"/>
                  <w:sz w:val="16"/>
                  <w:u w:val="single"/>
                </w:rPr>
                <w:t>F</w:t>
              </w:r>
            </w:hyperlink>
            <w:hyperlink r:id="rId6">
              <w:r>
                <w:rPr>
                  <w:rStyle w:val="InternetLink"/>
                  <w:rFonts w:ascii="Arial;sans-serif" w:hAnsi="Arial;sans-serif"/>
                  <w:b w:val="false"/>
                  <w:color w:val="000080"/>
                  <w:sz w:val="16"/>
                  <w:u w:val="single"/>
                </w:rPr>
                <w:t xml:space="preserve">orm </w:t>
              </w:r>
            </w:hyperlink>
            <w:hyperlink r:id="rId7">
              <w:r>
                <w:rPr>
                  <w:rStyle w:val="InternetLink"/>
                  <w:rFonts w:ascii="Arial;sans-serif" w:hAnsi="Arial;sans-serif"/>
                  <w:b w:val="false"/>
                  <w:color w:val="000080"/>
                  <w:sz w:val="16"/>
                  <w:u w:val="single"/>
                </w:rPr>
                <w:t xml:space="preserve">of </w:t>
              </w:r>
            </w:hyperlink>
            <w:hyperlink r:id="rId8">
              <w:r>
                <w:rPr>
                  <w:rStyle w:val="InternetLink"/>
                  <w:rFonts w:ascii="Arial;sans-serif" w:hAnsi="Arial;sans-serif"/>
                  <w:b w:val="false"/>
                  <w:color w:val="000080"/>
                  <w:sz w:val="16"/>
                  <w:u w:val="single"/>
                </w:rPr>
                <w:t>Cornerstone</w:t>
              </w:r>
            </w:hyperlink>
            <w:hyperlink r:id="rId9">
              <w:r>
                <w:rPr>
                  <w:rStyle w:val="InternetLink"/>
                  <w:rFonts w:ascii="Arial;sans-serif" w:hAnsi="Arial;sans-serif"/>
                  <w:b w:val="false"/>
                  <w:color w:val="000080"/>
                  <w:sz w:val="16"/>
                  <w:u w:val="single"/>
                </w:rPr>
                <w:t xml:space="preserve"> </w:t>
              </w:r>
            </w:hyperlink>
            <w:hyperlink r:id="rId10">
              <w:r>
                <w:rPr>
                  <w:rStyle w:val="InternetLink"/>
                  <w:rFonts w:ascii="Arial;sans-serif" w:hAnsi="Arial;sans-serif"/>
                  <w:b w:val="false"/>
                  <w:color w:val="000080"/>
                  <w:sz w:val="16"/>
                  <w:u w:val="single"/>
                </w:rPr>
                <w:t>Registration Rights Agreeme</w:t>
              </w:r>
            </w:hyperlink>
            <w:hyperlink r:id="rId11">
              <w:r>
                <w:rPr>
                  <w:rStyle w:val="InternetLink"/>
                  <w:rFonts w:ascii="Arial;sans-serif" w:hAnsi="Arial;sans-serif"/>
                  <w:b w:val="false"/>
                  <w:color w:val="000080"/>
                  <w:sz w:val="16"/>
                  <w:u w:val="single"/>
                </w:rPr>
                <w:t>nt</w:t>
              </w:r>
            </w:hyperlink>
            <w:hyperlink r:id="rId12">
              <w:r>
                <w:rPr>
                  <w:rStyle w:val="InternetLink"/>
                  <w:rFonts w:ascii="Arial;sans-serif" w:hAnsi="Arial;sans-serif"/>
                  <w:b w:val="false"/>
                  <w:color w:val="000080"/>
                  <w:sz w:val="16"/>
                  <w:u w:val="single"/>
                </w:rPr>
                <w:t>.</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10-K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001-37388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February 24,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4.16</w:t>
            </w:r>
          </w:p>
        </w:tc>
      </w:tr>
      <w:tr>
        <w:trPr/>
        <w:tc>
          <w:tcPr>
            <w:tcW w:w="714"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4.2*</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8"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hyperlink w:anchor="tec-20260331ex42indentures.htm">
              <w:r>
                <w:rPr>
                  <w:rStyle w:val="InternetLink"/>
                  <w:rFonts w:ascii="Arial;sans-serif" w:hAnsi="Arial;sans-serif"/>
                  <w:b w:val="false"/>
                  <w:color w:val="000080"/>
                  <w:sz w:val="16"/>
                  <w:u w:val="single"/>
                </w:rPr>
                <w:t xml:space="preserve">Indenture, dated as of April 29, 2026, by and among Talen Energy Supply, LLC, the guarantors party thereto and Wilmington Savings Fund Society, FSB, as Trustee (relating to the </w:t>
              </w:r>
            </w:hyperlink>
            <w:hyperlink w:anchor="tec-20260331ex42indentures.htm">
              <w:r>
                <w:rPr>
                  <w:rStyle w:val="InternetLink"/>
                  <w:rFonts w:ascii="Arial;sans-serif" w:hAnsi="Arial;sans-serif"/>
                  <w:b w:val="false"/>
                  <w:color w:val="000080"/>
                  <w:sz w:val="16"/>
                  <w:u w:val="single"/>
                </w:rPr>
                <w:t xml:space="preserve">Senior Unsecured Notes due </w:t>
              </w:r>
            </w:hyperlink>
            <w:hyperlink w:anchor="tec-20260331ex42indentures.htm">
              <w:r>
                <w:rPr>
                  <w:rStyle w:val="InternetLink"/>
                  <w:rFonts w:ascii="Arial;sans-serif" w:hAnsi="Arial;sans-serif"/>
                  <w:b w:val="false"/>
                  <w:color w:val="000080"/>
                  <w:sz w:val="16"/>
                  <w:u w:val="single"/>
                </w:rPr>
                <w:t>2031</w:t>
              </w:r>
            </w:hyperlink>
            <w:hyperlink w:anchor="tec-20260331ex42indentures.htm">
              <w:r>
                <w:rPr>
                  <w:rStyle w:val="InternetLink"/>
                  <w:rFonts w:ascii="Arial;sans-serif" w:hAnsi="Arial;sans-serif"/>
                  <w:b w:val="false"/>
                  <w:color w:val="000080"/>
                  <w:sz w:val="16"/>
                  <w:u w:val="single"/>
                </w:rPr>
                <w:t>).</w:t>
              </w:r>
            </w:hyperlink>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7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4.3*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tec-20260331ex42indentures.htm">
              <w:r>
                <w:rPr>
                  <w:rStyle w:val="InternetLink"/>
                  <w:rFonts w:ascii="Arial;sans-serif" w:hAnsi="Arial;sans-serif"/>
                  <w:b w:val="false"/>
                  <w:color w:val="000080"/>
                  <w:sz w:val="16"/>
                  <w:u w:val="single"/>
                </w:rPr>
                <w:t>F</w:t>
              </w:r>
            </w:hyperlink>
            <w:hyperlink w:anchor="tec-20260331ex42indentures.htm">
              <w:r>
                <w:rPr>
                  <w:rStyle w:val="InternetLink"/>
                  <w:rFonts w:ascii="Arial;sans-serif" w:hAnsi="Arial;sans-serif"/>
                  <w:b w:val="false"/>
                  <w:color w:val="000080"/>
                  <w:sz w:val="16"/>
                  <w:u w:val="single"/>
                </w:rPr>
                <w:t>orm of 6.</w:t>
              </w:r>
            </w:hyperlink>
            <w:hyperlink w:anchor="tec-20260331ex42indentures.htm">
              <w:r>
                <w:rPr>
                  <w:rStyle w:val="InternetLink"/>
                  <w:rFonts w:ascii="Arial;sans-serif" w:hAnsi="Arial;sans-serif"/>
                  <w:b w:val="false"/>
                  <w:color w:val="000080"/>
                  <w:sz w:val="16"/>
                  <w:u w:val="single"/>
                </w:rPr>
                <w:t>125% Senior Unsec</w:t>
              </w:r>
            </w:hyperlink>
            <w:hyperlink w:anchor="tec-20260331ex42indentures.htm">
              <w:r>
                <w:rPr>
                  <w:rStyle w:val="InternetLink"/>
                  <w:rFonts w:ascii="Arial;sans-serif" w:hAnsi="Arial;sans-serif"/>
                  <w:b w:val="false"/>
                  <w:color w:val="000080"/>
                  <w:sz w:val="16"/>
                  <w:u w:val="single"/>
                </w:rPr>
                <w:t xml:space="preserve">ured Notes </w:t>
              </w:r>
            </w:hyperlink>
            <w:hyperlink w:anchor="tec-20260331ex42indentures.htm">
              <w:r>
                <w:rPr>
                  <w:rStyle w:val="InternetLink"/>
                  <w:rFonts w:ascii="Arial;sans-serif" w:hAnsi="Arial;sans-serif"/>
                  <w:b w:val="false"/>
                  <w:color w:val="000080"/>
                  <w:sz w:val="16"/>
                  <w:u w:val="single"/>
                </w:rPr>
                <w:t>due 2031 (included as Exhi</w:t>
              </w:r>
            </w:hyperlink>
            <w:hyperlink w:anchor="tec-20260331ex42indentures.htm">
              <w:r>
                <w:rPr>
                  <w:rStyle w:val="InternetLink"/>
                  <w:rFonts w:ascii="Arial;sans-serif" w:hAnsi="Arial;sans-serif"/>
                  <w:b w:val="false"/>
                  <w:color w:val="000080"/>
                  <w:sz w:val="16"/>
                  <w:u w:val="single"/>
                </w:rPr>
                <w:t xml:space="preserve">bit </w:t>
              </w:r>
            </w:hyperlink>
            <w:hyperlink w:anchor="tec-20260331ex42indentures.htm">
              <w:r>
                <w:rPr>
                  <w:rStyle w:val="InternetLink"/>
                  <w:rFonts w:ascii="Arial;sans-serif" w:hAnsi="Arial;sans-serif"/>
                  <w:b w:val="false"/>
                  <w:color w:val="000080"/>
                  <w:sz w:val="16"/>
                  <w:u w:val="single"/>
                </w:rPr>
                <w:t>A</w:t>
              </w:r>
            </w:hyperlink>
            <w:hyperlink w:anchor="tec-20260331ex42indentures.htm">
              <w:r>
                <w:rPr>
                  <w:rStyle w:val="InternetLink"/>
                  <w:rFonts w:ascii="Arial;sans-serif" w:hAnsi="Arial;sans-serif"/>
                  <w:b w:val="false"/>
                  <w:color w:val="000080"/>
                  <w:sz w:val="16"/>
                  <w:u w:val="single"/>
                </w:rPr>
                <w:t xml:space="preserve"> to Exhibit 4.2</w:t>
              </w:r>
            </w:hyperlink>
            <w:hyperlink w:anchor="tec-20260331ex42indentures.htm">
              <w:r>
                <w:rPr>
                  <w:rStyle w:val="InternetLink"/>
                  <w:rFonts w:ascii="Arial;sans-serif" w:hAnsi="Arial;sans-serif"/>
                  <w:b w:val="false"/>
                  <w:color w:val="000080"/>
                  <w:sz w:val="16"/>
                  <w:u w:val="single"/>
                </w:rPr>
                <w:t xml:space="preserve"> hereto)</w:t>
              </w:r>
            </w:hyperlink>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714"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4.4*</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8"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hyperlink w:anchor="tec-20260331ex44indentures.htm">
              <w:r>
                <w:rPr>
                  <w:rStyle w:val="InternetLink"/>
                  <w:rFonts w:ascii="Arial;sans-serif" w:hAnsi="Arial;sans-serif"/>
                  <w:b w:val="false"/>
                  <w:color w:val="000080"/>
                  <w:sz w:val="16"/>
                  <w:u w:val="single"/>
                </w:rPr>
                <w:t xml:space="preserve">Indenture, dated as of April 29, 2026, by and among Talen Energy Supply, LLC, the guarantors party thereto and Wilmington Savings Fund Society, FSB, as Trustee (relating to the </w:t>
              </w:r>
            </w:hyperlink>
            <w:hyperlink w:anchor="tec-20260331ex44indentures.htm">
              <w:r>
                <w:rPr>
                  <w:rStyle w:val="InternetLink"/>
                  <w:rFonts w:ascii="Arial;sans-serif" w:hAnsi="Arial;sans-serif"/>
                  <w:b w:val="false"/>
                  <w:color w:val="000080"/>
                  <w:sz w:val="16"/>
                  <w:u w:val="single"/>
                </w:rPr>
                <w:t>Senio</w:t>
              </w:r>
            </w:hyperlink>
            <w:hyperlink w:anchor="tec-20260331ex44indentures.htm">
              <w:r>
                <w:rPr>
                  <w:rStyle w:val="InternetLink"/>
                  <w:rFonts w:ascii="Arial;sans-serif" w:hAnsi="Arial;sans-serif"/>
                  <w:b w:val="false"/>
                  <w:color w:val="000080"/>
                  <w:sz w:val="16"/>
                  <w:u w:val="single"/>
                </w:rPr>
                <w:t xml:space="preserve">r Unsecured Notes </w:t>
              </w:r>
            </w:hyperlink>
            <w:hyperlink w:anchor="tec-20260331ex44indentures.htm">
              <w:r>
                <w:rPr>
                  <w:rStyle w:val="InternetLink"/>
                  <w:rFonts w:ascii="Arial;sans-serif" w:hAnsi="Arial;sans-serif"/>
                  <w:b w:val="false"/>
                  <w:color w:val="000080"/>
                  <w:sz w:val="16"/>
                  <w:u w:val="single"/>
                </w:rPr>
                <w:t xml:space="preserve">due </w:t>
              </w:r>
            </w:hyperlink>
            <w:hyperlink w:anchor="tec-20260331ex44indentures.htm">
              <w:r>
                <w:rPr>
                  <w:rStyle w:val="InternetLink"/>
                  <w:rFonts w:ascii="Arial;sans-serif" w:hAnsi="Arial;sans-serif"/>
                  <w:b w:val="false"/>
                  <w:color w:val="000080"/>
                  <w:sz w:val="16"/>
                  <w:u w:val="single"/>
                </w:rPr>
                <w:t>2033</w:t>
              </w:r>
            </w:hyperlink>
            <w:hyperlink w:anchor="tec-20260331ex44indentures.htm">
              <w:r>
                <w:rPr>
                  <w:rStyle w:val="InternetLink"/>
                  <w:rFonts w:ascii="Arial;sans-serif" w:hAnsi="Arial;sans-serif"/>
                  <w:b w:val="false"/>
                  <w:color w:val="000080"/>
                  <w:sz w:val="16"/>
                  <w:u w:val="single"/>
                </w:rPr>
                <w:t>).</w:t>
              </w:r>
            </w:hyperlink>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7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4.5*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tec-20260331ex44indentures.htm">
              <w:r>
                <w:rPr>
                  <w:rStyle w:val="InternetLink"/>
                  <w:rFonts w:ascii="Arial;sans-serif" w:hAnsi="Arial;sans-serif"/>
                  <w:b w:val="false"/>
                  <w:color w:val="000080"/>
                  <w:sz w:val="16"/>
                  <w:u w:val="single"/>
                </w:rPr>
                <w:t>F</w:t>
              </w:r>
            </w:hyperlink>
            <w:hyperlink w:anchor="tec-20260331ex44indentures.htm">
              <w:r>
                <w:rPr>
                  <w:rStyle w:val="InternetLink"/>
                  <w:rFonts w:ascii="Arial;sans-serif" w:hAnsi="Arial;sans-serif"/>
                  <w:b w:val="false"/>
                  <w:color w:val="000080"/>
                  <w:sz w:val="16"/>
                  <w:u w:val="single"/>
                </w:rPr>
                <w:t xml:space="preserve">orm of 6.375% Senior Unsecured Note due 2033 (included as Exhibit </w:t>
              </w:r>
            </w:hyperlink>
            <w:hyperlink w:anchor="tec-20260331ex44indentures.htm">
              <w:r>
                <w:rPr>
                  <w:rStyle w:val="InternetLink"/>
                  <w:rFonts w:ascii="Arial;sans-serif" w:hAnsi="Arial;sans-serif"/>
                  <w:b w:val="false"/>
                  <w:color w:val="000080"/>
                  <w:sz w:val="16"/>
                  <w:u w:val="single"/>
                </w:rPr>
                <w:t>A</w:t>
              </w:r>
            </w:hyperlink>
            <w:hyperlink w:anchor="tec-20260331ex44indentures.htm">
              <w:r>
                <w:rPr>
                  <w:rStyle w:val="InternetLink"/>
                  <w:rFonts w:ascii="Arial;sans-serif" w:hAnsi="Arial;sans-serif"/>
                  <w:b w:val="false"/>
                  <w:color w:val="000080"/>
                  <w:sz w:val="16"/>
                  <w:u w:val="single"/>
                </w:rPr>
                <w:t xml:space="preserve"> to Exhibit 4.4 hereto).</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71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31.1*</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8"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hyperlink w:anchor="tec-20260331ex311302certif.htm">
              <w:r>
                <w:rPr>
                  <w:rStyle w:val="InternetLink"/>
                  <w:rFonts w:ascii="Arial;sans-serif" w:hAnsi="Arial;sans-serif"/>
                  <w:b w:val="false"/>
                  <w:color w:val="000080"/>
                  <w:sz w:val="16"/>
                  <w:u w:val="single"/>
                </w:rPr>
                <w:t xml:space="preserve">Certification of </w:t>
              </w:r>
            </w:hyperlink>
            <w:hyperlink w:anchor="tec-20260331ex311302certif.htm">
              <w:r>
                <w:rPr>
                  <w:rStyle w:val="InternetLink"/>
                  <w:rFonts w:ascii="Arial;sans-serif" w:hAnsi="Arial;sans-serif"/>
                  <w:b w:val="false"/>
                  <w:color w:val="000080"/>
                  <w:sz w:val="16"/>
                  <w:u w:val="single"/>
                </w:rPr>
                <w:t>Principal Executive Officer</w:t>
              </w:r>
            </w:hyperlink>
            <w:hyperlink w:anchor="tec-20260331ex311302certif.htm">
              <w:r>
                <w:rPr>
                  <w:rStyle w:val="InternetLink"/>
                  <w:rFonts w:ascii="Arial;sans-serif" w:hAnsi="Arial;sans-serif"/>
                  <w:b w:val="false"/>
                  <w:color w:val="000080"/>
                  <w:sz w:val="16"/>
                  <w:u w:val="single"/>
                </w:rPr>
                <w:t xml:space="preserve"> </w:t>
              </w:r>
            </w:hyperlink>
            <w:hyperlink w:anchor="tec-20260331ex311302certif.htm">
              <w:r>
                <w:rPr>
                  <w:rStyle w:val="InternetLink"/>
                  <w:rFonts w:ascii="Arial;sans-serif" w:hAnsi="Arial;sans-serif"/>
                  <w:b w:val="false"/>
                  <w:color w:val="000080"/>
                  <w:sz w:val="16"/>
                  <w:u w:val="single"/>
                </w:rPr>
                <w:t>p</w:t>
              </w:r>
            </w:hyperlink>
            <w:hyperlink w:anchor="tec-20260331ex311302certif.htm">
              <w:r>
                <w:rPr>
                  <w:rStyle w:val="InternetLink"/>
                  <w:rFonts w:ascii="Arial;sans-serif" w:hAnsi="Arial;sans-serif"/>
                  <w:b w:val="false"/>
                  <w:color w:val="000080"/>
                  <w:sz w:val="16"/>
                  <w:u w:val="single"/>
                </w:rPr>
                <w:t xml:space="preserve">ursuant to </w:t>
              </w:r>
            </w:hyperlink>
            <w:hyperlink w:anchor="tec-20260331ex311302certif.htm">
              <w:r>
                <w:rPr>
                  <w:rStyle w:val="InternetLink"/>
                  <w:rFonts w:ascii="Arial;sans-serif" w:hAnsi="Arial;sans-serif"/>
                  <w:b w:val="false"/>
                  <w:color w:val="000080"/>
                  <w:sz w:val="16"/>
                  <w:u w:val="single"/>
                </w:rPr>
                <w:t>Section 302 of the Sarbanes-Oxley Act of 2002.</w:t>
              </w:r>
            </w:hyperlink>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31.2*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tec-20260331ex312302certif.htm">
              <w:r>
                <w:rPr>
                  <w:rStyle w:val="InternetLink"/>
                  <w:rFonts w:ascii="Arial;sans-serif" w:hAnsi="Arial;sans-serif"/>
                  <w:b w:val="false"/>
                  <w:color w:val="000080"/>
                  <w:sz w:val="16"/>
                  <w:u w:val="single"/>
                </w:rPr>
                <w:t xml:space="preserve">Certification of </w:t>
              </w:r>
            </w:hyperlink>
            <w:hyperlink w:anchor="tec-20260331ex312302certif.htm">
              <w:r>
                <w:rPr>
                  <w:rStyle w:val="InternetLink"/>
                  <w:rFonts w:ascii="Arial;sans-serif" w:hAnsi="Arial;sans-serif"/>
                  <w:b w:val="false"/>
                  <w:color w:val="000080"/>
                  <w:sz w:val="16"/>
                  <w:u w:val="single"/>
                </w:rPr>
                <w:t>Principal Financial</w:t>
              </w:r>
            </w:hyperlink>
            <w:hyperlink w:anchor="tec-20260331ex312302certif.htm">
              <w:r>
                <w:rPr>
                  <w:rStyle w:val="InternetLink"/>
                  <w:rFonts w:ascii="Arial;sans-serif" w:hAnsi="Arial;sans-serif"/>
                  <w:b w:val="false"/>
                  <w:color w:val="000080"/>
                  <w:sz w:val="16"/>
                  <w:u w:val="single"/>
                </w:rPr>
                <w:t xml:space="preserve"> </w:t>
              </w:r>
            </w:hyperlink>
            <w:hyperlink w:anchor="tec-20260331ex312302certif.htm">
              <w:r>
                <w:rPr>
                  <w:rStyle w:val="InternetLink"/>
                  <w:rFonts w:ascii="Arial;sans-serif" w:hAnsi="Arial;sans-serif"/>
                  <w:b w:val="false"/>
                  <w:color w:val="000080"/>
                  <w:sz w:val="16"/>
                  <w:u w:val="single"/>
                </w:rPr>
                <w:t>Officer</w:t>
              </w:r>
            </w:hyperlink>
            <w:hyperlink w:anchor="tec-20260331ex312302certif.htm">
              <w:r>
                <w:rPr>
                  <w:rStyle w:val="InternetLink"/>
                  <w:rFonts w:ascii="Arial;sans-serif" w:hAnsi="Arial;sans-serif"/>
                  <w:b w:val="false"/>
                  <w:color w:val="000080"/>
                  <w:sz w:val="16"/>
                  <w:u w:val="single"/>
                </w:rPr>
                <w:t xml:space="preserve"> </w:t>
              </w:r>
            </w:hyperlink>
            <w:hyperlink w:anchor="tec-20260331ex312302certif.htm">
              <w:r>
                <w:rPr>
                  <w:rStyle w:val="InternetLink"/>
                  <w:rFonts w:ascii="Arial;sans-serif" w:hAnsi="Arial;sans-serif"/>
                  <w:b w:val="false"/>
                  <w:color w:val="000080"/>
                  <w:sz w:val="16"/>
                  <w:u w:val="single"/>
                </w:rPr>
                <w:t>p</w:t>
              </w:r>
            </w:hyperlink>
            <w:hyperlink w:anchor="tec-20260331ex312302certif.htm">
              <w:r>
                <w:rPr>
                  <w:rStyle w:val="InternetLink"/>
                  <w:rFonts w:ascii="Arial;sans-serif" w:hAnsi="Arial;sans-serif"/>
                  <w:b w:val="false"/>
                  <w:color w:val="000080"/>
                  <w:sz w:val="16"/>
                  <w:u w:val="single"/>
                </w:rPr>
                <w:t>ursuant to</w:t>
              </w:r>
            </w:hyperlink>
            <w:hyperlink w:anchor="tec-20260331ex312302certif.htm">
              <w:r>
                <w:rPr>
                  <w:rStyle w:val="InternetLink"/>
                  <w:rFonts w:ascii="Arial;sans-serif" w:hAnsi="Arial;sans-serif"/>
                  <w:b w:val="false"/>
                  <w:color w:val="000080"/>
                  <w:sz w:val="16"/>
                  <w:u w:val="single"/>
                </w:rPr>
                <w:t xml:space="preserve"> Section 302 of the Sarbanes-Oxley Act of 2002.</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71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32.1**</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8"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hyperlink w:anchor="tec-20260331ex321906certif.htm">
              <w:r>
                <w:rPr>
                  <w:rStyle w:val="InternetLink"/>
                  <w:rFonts w:ascii="Arial;sans-serif" w:hAnsi="Arial;sans-serif"/>
                  <w:b w:val="false"/>
                  <w:color w:val="000080"/>
                  <w:sz w:val="16"/>
                  <w:u w:val="single"/>
                </w:rPr>
                <w:t xml:space="preserve">Certification of </w:t>
              </w:r>
            </w:hyperlink>
            <w:hyperlink w:anchor="tec-20260331ex321906certif.htm">
              <w:r>
                <w:rPr>
                  <w:rStyle w:val="InternetLink"/>
                  <w:rFonts w:ascii="Arial;sans-serif" w:hAnsi="Arial;sans-serif"/>
                  <w:b w:val="false"/>
                  <w:color w:val="000080"/>
                  <w:sz w:val="16"/>
                  <w:u w:val="single"/>
                </w:rPr>
                <w:t>Principal Executive Officer</w:t>
              </w:r>
            </w:hyperlink>
            <w:hyperlink w:anchor="tec-20260331ex321906certif.htm">
              <w:r>
                <w:rPr>
                  <w:rStyle w:val="InternetLink"/>
                  <w:rFonts w:ascii="Arial;sans-serif" w:hAnsi="Arial;sans-serif"/>
                  <w:b w:val="false"/>
                  <w:color w:val="000080"/>
                  <w:sz w:val="16"/>
                  <w:u w:val="single"/>
                </w:rPr>
                <w:t xml:space="preserve"> and </w:t>
              </w:r>
            </w:hyperlink>
            <w:hyperlink w:anchor="tec-20260331ex321906certif.htm">
              <w:r>
                <w:rPr>
                  <w:rStyle w:val="InternetLink"/>
                  <w:rFonts w:ascii="Arial;sans-serif" w:hAnsi="Arial;sans-serif"/>
                  <w:b w:val="false"/>
                  <w:color w:val="000080"/>
                  <w:sz w:val="16"/>
                  <w:u w:val="single"/>
                </w:rPr>
                <w:t>Principal Financial</w:t>
              </w:r>
            </w:hyperlink>
            <w:hyperlink w:anchor="tec-20260331ex321906certif.htm">
              <w:r>
                <w:rPr>
                  <w:rStyle w:val="InternetLink"/>
                  <w:rFonts w:ascii="Arial;sans-serif" w:hAnsi="Arial;sans-serif"/>
                  <w:b w:val="false"/>
                  <w:color w:val="000080"/>
                  <w:sz w:val="16"/>
                  <w:u w:val="single"/>
                </w:rPr>
                <w:t xml:space="preserve"> </w:t>
              </w:r>
            </w:hyperlink>
            <w:hyperlink w:anchor="tec-20260331ex321906certif.htm">
              <w:r>
                <w:rPr>
                  <w:rStyle w:val="InternetLink"/>
                  <w:rFonts w:ascii="Arial;sans-serif" w:hAnsi="Arial;sans-serif"/>
                  <w:b w:val="false"/>
                  <w:color w:val="000080"/>
                  <w:sz w:val="16"/>
                  <w:u w:val="single"/>
                </w:rPr>
                <w:t>Officer</w:t>
              </w:r>
            </w:hyperlink>
            <w:hyperlink w:anchor="tec-20260331ex321906certif.htm">
              <w:r>
                <w:rPr>
                  <w:rStyle w:val="InternetLink"/>
                  <w:rFonts w:ascii="Arial;sans-serif" w:hAnsi="Arial;sans-serif"/>
                  <w:b w:val="false"/>
                  <w:color w:val="000080"/>
                  <w:sz w:val="16"/>
                  <w:u w:val="single"/>
                </w:rPr>
                <w:t xml:space="preserve"> </w:t>
              </w:r>
            </w:hyperlink>
            <w:hyperlink w:anchor="tec-20260331ex321906certif.htm">
              <w:r>
                <w:rPr>
                  <w:rStyle w:val="InternetLink"/>
                  <w:rFonts w:ascii="Arial;sans-serif" w:hAnsi="Arial;sans-serif"/>
                  <w:b w:val="false"/>
                  <w:color w:val="000080"/>
                  <w:sz w:val="16"/>
                  <w:u w:val="single"/>
                </w:rPr>
                <w:t>p</w:t>
              </w:r>
            </w:hyperlink>
            <w:hyperlink w:anchor="tec-20260331ex321906certif.htm">
              <w:r>
                <w:rPr>
                  <w:rStyle w:val="InternetLink"/>
                  <w:rFonts w:ascii="Arial;sans-serif" w:hAnsi="Arial;sans-serif"/>
                  <w:b w:val="false"/>
                  <w:color w:val="000080"/>
                  <w:sz w:val="16"/>
                  <w:u w:val="single"/>
                </w:rPr>
                <w:t>ursuant to</w:t>
              </w:r>
            </w:hyperlink>
            <w:hyperlink w:anchor="tec-20260331ex321906certif.htm">
              <w:r>
                <w:rPr>
                  <w:rStyle w:val="InternetLink"/>
                  <w:rFonts w:ascii="Arial;sans-serif" w:hAnsi="Arial;sans-serif"/>
                  <w:b w:val="false"/>
                  <w:color w:val="000080"/>
                  <w:sz w:val="16"/>
                  <w:u w:val="single"/>
                </w:rPr>
                <w:t xml:space="preserve"> Section 906 of the Sarbanes-Oxley Act of 2002.</w:t>
              </w:r>
            </w:hyperlink>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101.INS*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Inline XBRL Instance Document.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71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101.SCH*</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Inline XBRL Taxonomy Extension Schema Document.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101.CAL*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Inline XBRL Taxonomy Extension Calculation Linkbase Document.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71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101.DEF*</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Inline XBRL Taxonomy Extension Definition Linkbase Document.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101.LAB*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Inline XBRL Taxonomy Extension Label Linkbase Document.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71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101.PRE*</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Inline XBRL Taxonomy Extension Presentation Linkbase Document.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104*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Cover Page Interactive Data File (embedded within the Inline XBRL document).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714"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8"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7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7" w:type="dxa"/>
            <w:gridSpan w:val="3"/>
            <w:tcBorders/>
            <w:vAlign w:val="center"/>
          </w:tcPr>
          <w:p>
            <w:pPr>
              <w:pStyle w:val="TableContents"/>
              <w:bidi w:val="0"/>
              <w:spacing w:before="0" w:after="283"/>
              <w:jc w:val="left"/>
              <w:rPr>
                <w:sz w:val="4"/>
                <w:szCs w:val="4"/>
              </w:rPr>
            </w:pPr>
            <w:r>
              <w:rPr>
                <w:sz w:val="4"/>
                <w:szCs w:val="4"/>
              </w:rPr>
            </w:r>
          </w:p>
        </w:tc>
      </w:tr>
      <w:tr>
        <w:trPr/>
        <w:tc>
          <w:tcPr>
            <w:tcW w:w="7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7" w:type="dxa"/>
            <w:gridSpan w:val="3"/>
            <w:tcBorders/>
            <w:vAlign w:val="center"/>
          </w:tcPr>
          <w:p>
            <w:pPr>
              <w:pStyle w:val="TableContents"/>
              <w:bidi w:val="0"/>
              <w:spacing w:before="0" w:after="283"/>
              <w:jc w:val="left"/>
              <w:rPr>
                <w:sz w:val="4"/>
                <w:szCs w:val="4"/>
              </w:rPr>
            </w:pPr>
            <w:r>
              <w:rPr>
                <w:sz w:val="4"/>
                <w:szCs w:val="4"/>
              </w:rPr>
            </w:r>
          </w:p>
        </w:tc>
      </w:tr>
      <w:tr>
        <w:trPr/>
        <w:tc>
          <w:tcPr>
            <w:tcW w:w="7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7" w:type="dxa"/>
            <w:gridSpan w:val="3"/>
            <w:tcBorders/>
            <w:vAlign w:val="center"/>
          </w:tcPr>
          <w:p>
            <w:pPr>
              <w:pStyle w:val="TableContents"/>
              <w:bidi w:val="0"/>
              <w:spacing w:before="0" w:after="283"/>
              <w:jc w:val="left"/>
              <w:rPr>
                <w:sz w:val="4"/>
                <w:szCs w:val="4"/>
              </w:rPr>
            </w:pPr>
            <w:r>
              <w:rPr>
                <w:sz w:val="4"/>
                <w:szCs w:val="4"/>
              </w:rPr>
            </w:r>
          </w:p>
        </w:tc>
      </w:tr>
      <w:tr>
        <w:trPr/>
        <w:tc>
          <w:tcPr>
            <w:tcW w:w="7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7"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14"/>
        </w:rPr>
      </w:pPr>
      <w:r>
        <w:rPr>
          <w:rFonts w:ascii="Arial;sans-serif" w:hAnsi="Arial;sans-serif"/>
          <w:b w:val="false"/>
          <w:color w:val="000000"/>
          <w:sz w:val="14"/>
        </w:rPr>
        <w:t>________________</w:t>
      </w:r>
    </w:p>
    <w:p>
      <w:pPr>
        <w:pStyle w:val="TextBody"/>
        <w:bidi w:val="0"/>
        <w:spacing w:lineRule="auto" w:line="288" w:before="0" w:after="0"/>
        <w:ind w:left="0" w:right="0" w:hanging="360"/>
        <w:jc w:val="left"/>
        <w:rPr>
          <w:rFonts w:ascii="Arial;sans-serif" w:hAnsi="Arial;sans-serif"/>
          <w:b w:val="false"/>
          <w:color w:val="000000"/>
          <w:sz w:val="14"/>
        </w:rPr>
      </w:pPr>
      <w:r>
        <w:rPr>
          <w:rFonts w:ascii="Arial;sans-serif" w:hAnsi="Arial;sans-serif"/>
          <w:b w:val="false"/>
          <w:color w:val="000000"/>
          <w:sz w:val="14"/>
        </w:rPr>
        <w:t>*    Filed herewith.</w:t>
      </w:r>
    </w:p>
    <w:p>
      <w:pPr>
        <w:pStyle w:val="TextBody"/>
        <w:bidi w:val="0"/>
        <w:spacing w:lineRule="auto" w:line="288" w:before="0" w:after="0"/>
        <w:ind w:left="0" w:right="0" w:hanging="360"/>
        <w:jc w:val="left"/>
        <w:rPr>
          <w:rFonts w:ascii="Arial;sans-serif" w:hAnsi="Arial;sans-serif"/>
          <w:b w:val="false"/>
          <w:color w:val="000000"/>
          <w:sz w:val="14"/>
        </w:rPr>
      </w:pPr>
      <w:r>
        <w:rPr>
          <w:rFonts w:ascii="Arial;sans-serif" w:hAnsi="Arial;sans-serif"/>
          <w:b w:val="false"/>
          <w:color w:val="000000"/>
          <w:sz w:val="14"/>
        </w:rPr>
        <w:t>**    Furnished herewith.</w:t>
      </w:r>
    </w:p>
    <w:p>
      <w:pPr>
        <w:pStyle w:val="TextBody"/>
        <w:bidi w:val="0"/>
        <w:spacing w:lineRule="auto" w:line="288" w:before="0" w:after="0"/>
        <w:ind w:left="0" w:right="0" w:hanging="360"/>
        <w:jc w:val="left"/>
        <w:rPr/>
      </w:pPr>
      <w:r>
        <w:rPr>
          <w:rFonts w:ascii="Arial;sans-serif" w:hAnsi="Arial;sans-serif"/>
          <w:b w:val="false"/>
          <w:color w:val="000000"/>
          <w:sz w:val="9"/>
        </w:rPr>
        <w:t>#    </w:t>
      </w:r>
      <w:r>
        <w:rPr>
          <w:rFonts w:ascii="Arial;sans-serif" w:hAnsi="Arial;sans-serif"/>
          <w:b w:val="false"/>
          <w:color w:val="000000"/>
          <w:sz w:val="14"/>
        </w:rPr>
        <w:t>Certain of the schedules and attachments to the exhibit have been omitted pursuant to Item 601(a)(5) of Regulation S-K. A copy of any omitted schedule or attachment will be furnished to the SEC upon request.</w:t>
      </w:r>
    </w:p>
    <w:p>
      <w:pPr>
        <w:pStyle w:val="TextBody"/>
        <w:bidi w:val="0"/>
        <w:spacing w:lineRule="auto" w:line="288" w:before="0" w:after="0"/>
        <w:ind w:left="0" w:right="0" w:hanging="360"/>
        <w:jc w:val="left"/>
        <w:rPr/>
      </w:pPr>
      <w:r>
        <w:rPr>
          <w:rFonts w:ascii="Arial;sans-serif" w:hAnsi="Arial;sans-serif"/>
          <w:b w:val="false"/>
          <w:color w:val="000000"/>
          <w:sz w:val="9"/>
        </w:rPr>
        <w:t>^    </w:t>
      </w:r>
      <w:r>
        <w:rPr>
          <w:rFonts w:ascii="Arial;sans-serif" w:hAnsi="Arial;sans-serif"/>
          <w:b w:val="false"/>
          <w:color w:val="000000"/>
          <w:sz w:val="14"/>
        </w:rPr>
        <w:t>Certain private and immaterial portions of the exhibit have been redacted pursuant to Item 601(a)(6) of Regulation S-K.</w:t>
      </w:r>
    </w:p>
    <w:p>
      <w:pPr>
        <w:pStyle w:val="TextBody"/>
        <w:bidi w:val="0"/>
        <w:spacing w:lineRule="auto" w:line="288" w:before="0" w:after="0"/>
        <w:ind w:left="0" w:right="0" w:hanging="360"/>
        <w:jc w:val="left"/>
        <w:rPr/>
      </w:pPr>
      <w:r>
        <w:rPr>
          <w:color w:val="000000"/>
        </w:rPr>
        <w:t>†     </w:t>
      </w:r>
      <w:r>
        <w:rPr>
          <w:rFonts w:ascii="Arial;sans-serif" w:hAnsi="Arial;sans-serif"/>
          <w:b w:val="false"/>
          <w:color w:val="000000"/>
          <w:sz w:val="14"/>
        </w:rPr>
        <w:t>Management contract or compensatory plan or arrangement.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16840"/>
                <wp:effectExtent l="0" t="0" r="0" b="0"/>
                <wp:wrapNone/>
                <wp:docPr id="39" name="Frame39"/>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37</w:t>
                      </w:r>
                    </w:p>
                  </w:txbxContent>
                </v:textbox>
                <w10:wrap type="none"/>
              </v:rect>
            </w:pict>
          </mc:Fallback>
        </mc:AlternateContent>
      </w:r>
    </w:p>
    <w:p>
      <w:pPr>
        <w:pStyle w:val="TextBody"/>
        <w:bidi w:val="0"/>
        <w:spacing w:lineRule="auto" w:line="288" w:before="0" w:after="180"/>
        <w:jc w:val="left"/>
        <w:rPr/>
      </w:pPr>
      <w:hyperlink w:anchor="if20e1f3d5a734e3eabbb6aa8f57c7562_45">
        <w:r>
          <w:rPr>
            <w:rStyle w:val="InternetLink"/>
            <w:rFonts w:ascii="Arial;sans-serif" w:hAnsi="Arial;sans-serif"/>
            <w:b w:val="false"/>
            <w:color w:val="0000FF"/>
            <w:sz w:val="18"/>
            <w:u w:val="single"/>
          </w:rPr>
          <w:t>Table of Contents</w:t>
        </w:r>
      </w:hyperlink>
    </w:p>
    <w:p>
      <w:pPr>
        <w:pStyle w:val="TextBody"/>
        <w:bidi w:val="0"/>
        <w:spacing w:lineRule="auto" w:line="288" w:before="0" w:after="180"/>
        <w:jc w:val="center"/>
        <w:rPr>
          <w:rFonts w:ascii="Arial;sans-serif" w:hAnsi="Arial;sans-serif"/>
          <w:b/>
          <w:color w:val="000000"/>
          <w:sz w:val="18"/>
        </w:rPr>
      </w:pPr>
      <w:bookmarkStart w:id="17" w:name="i3820191e5a5e4caaab6e50f6b441fcd8_202745"/>
      <w:bookmarkEnd w:id="17"/>
      <w:r>
        <w:rPr>
          <w:rFonts w:ascii="Arial;sans-serif" w:hAnsi="Arial;sans-serif"/>
          <w:b/>
          <w:color w:val="000000"/>
          <w:sz w:val="18"/>
        </w:rPr>
        <w:t>GLOSSARY OF TERMS AND ABBREVIATIONS</w:t>
      </w:r>
    </w:p>
    <w:p>
      <w:pPr>
        <w:pStyle w:val="TextBody"/>
        <w:bidi w:val="0"/>
        <w:spacing w:lineRule="auto" w:line="288" w:before="0" w:after="180"/>
        <w:ind w:left="0" w:right="0" w:firstLine="360"/>
        <w:jc w:val="left"/>
        <w:rPr/>
      </w:pPr>
      <w:r>
        <w:rPr>
          <w:rFonts w:ascii="Arial;sans-serif" w:hAnsi="Arial;sans-serif"/>
          <w:b/>
          <w:i/>
          <w:color w:val="000000"/>
          <w:sz w:val="18"/>
        </w:rPr>
        <w:t>Adjusted EBITDA.</w:t>
      </w:r>
      <w:r>
        <w:rPr>
          <w:color w:val="000000"/>
        </w:rPr>
        <w:t xml:space="preserve"> </w:t>
      </w:r>
      <w:r>
        <w:rPr>
          <w:rFonts w:ascii="Arial;sans-serif" w:hAnsi="Arial;sans-serif"/>
          <w:b w:val="false"/>
          <w:color w:val="000000"/>
          <w:sz w:val="18"/>
        </w:rPr>
        <w:t>Net income (loss) adjusted, among other things, for certain: (i) nonrecurring charges; (ii) non-recurring gains; (iii) non-cash and other items; (iv) unusual market events; (v) any depreciation, amortization, or accretion; (vi) mark-to-market gains or losses; (vii) gains and losses on the NDT; (viii) gains and losses on asset sales, dispositions, and asset retirement; (ix) impairments, obsolescence, and net realizable value charges; (x) interest expense; (xi) income taxes; (xii) legal settlements, liquidated damages, and contractual terminations; (xiii) development expenses; (xiv) noncontrolling interests, except where otherwise noted; and (xv) other adjustments. Such adjustments are computed consistently with the provisions of our indebtedness to the extent that they can be derived from the financial records of the business.</w:t>
      </w:r>
    </w:p>
    <w:p>
      <w:pPr>
        <w:pStyle w:val="TextBody"/>
        <w:bidi w:val="0"/>
        <w:spacing w:lineRule="auto" w:line="288" w:before="0" w:after="180"/>
        <w:ind w:left="0" w:right="0" w:firstLine="360"/>
        <w:jc w:val="left"/>
        <w:rPr/>
      </w:pPr>
      <w:r>
        <w:rPr>
          <w:rFonts w:ascii="Arial;sans-serif" w:hAnsi="Arial;sans-serif"/>
          <w:b/>
          <w:i/>
          <w:color w:val="000000"/>
          <w:sz w:val="18"/>
        </w:rPr>
        <w:t>Annual Financial Statements.</w:t>
      </w:r>
      <w:r>
        <w:rPr>
          <w:color w:val="000000"/>
        </w:rPr>
        <w:t xml:space="preserve"> </w:t>
      </w:r>
      <w:r>
        <w:rPr>
          <w:rFonts w:ascii="Arial;sans-serif" w:hAnsi="Arial;sans-serif"/>
          <w:b w:val="false"/>
          <w:color w:val="000000"/>
          <w:sz w:val="18"/>
        </w:rPr>
        <w:t>The audited consolidated balance sheets of TEC as of December 31, 2025 and December 31, 2024; the related audited consolidated statements of operations, statements of comprehensive income, statements of cash flows, and statements of equity for the years ended December 31, 2025 and December 31, 2024, for the period from May 18, 2023 through December 31, 2023, and for the period from January 1, 2023 through May 17, 2023; and the related notes included in the Company’s Form 10-K filed on February 26, 2026.</w:t>
      </w:r>
    </w:p>
    <w:p>
      <w:pPr>
        <w:pStyle w:val="TextBody"/>
        <w:bidi w:val="0"/>
        <w:spacing w:lineRule="auto" w:line="288" w:before="0" w:after="180"/>
        <w:ind w:left="0" w:right="0" w:firstLine="360"/>
        <w:jc w:val="left"/>
        <w:rPr/>
      </w:pPr>
      <w:r>
        <w:rPr>
          <w:rFonts w:ascii="Arial;sans-serif" w:hAnsi="Arial;sans-serif"/>
          <w:b/>
          <w:i/>
          <w:color w:val="000000"/>
          <w:sz w:val="18"/>
        </w:rPr>
        <w:t>AOCI.</w:t>
      </w:r>
      <w:r>
        <w:rPr>
          <w:color w:val="000000"/>
        </w:rPr>
        <w:t xml:space="preserve"> </w:t>
      </w:r>
      <w:r>
        <w:rPr>
          <w:rFonts w:ascii="Arial;sans-serif" w:hAnsi="Arial;sans-serif"/>
          <w:b w:val="false"/>
          <w:color w:val="000000"/>
          <w:sz w:val="18"/>
        </w:rPr>
        <w:t>Accumulated other comprehensive income or loss, which is a component of stockholders’ equity on the Consolidated Balance Sheets.</w:t>
      </w:r>
    </w:p>
    <w:p>
      <w:pPr>
        <w:pStyle w:val="TextBody"/>
        <w:bidi w:val="0"/>
        <w:spacing w:lineRule="auto" w:line="288" w:before="0" w:after="180"/>
        <w:ind w:left="0" w:right="0" w:firstLine="360"/>
        <w:jc w:val="left"/>
        <w:rPr/>
      </w:pPr>
      <w:r>
        <w:rPr>
          <w:rFonts w:ascii="Arial;sans-serif" w:hAnsi="Arial;sans-serif"/>
          <w:b/>
          <w:i/>
          <w:color w:val="000000"/>
          <w:sz w:val="18"/>
        </w:rPr>
        <w:t>ARO.</w:t>
      </w:r>
      <w:r>
        <w:rPr>
          <w:color w:val="000000"/>
        </w:rPr>
        <w:t xml:space="preserve"> </w:t>
      </w:r>
      <w:r>
        <w:rPr>
          <w:rFonts w:ascii="Arial;sans-serif" w:hAnsi="Arial;sans-serif"/>
          <w:b w:val="false"/>
          <w:color w:val="000000"/>
          <w:sz w:val="18"/>
        </w:rPr>
        <w:t>Asset retirement obligation.</w:t>
      </w:r>
    </w:p>
    <w:p>
      <w:pPr>
        <w:pStyle w:val="TextBody"/>
        <w:bidi w:val="0"/>
        <w:spacing w:lineRule="auto" w:line="288" w:before="0" w:after="180"/>
        <w:ind w:left="0" w:right="0" w:firstLine="360"/>
        <w:jc w:val="left"/>
        <w:rPr/>
      </w:pPr>
      <w:r>
        <w:rPr>
          <w:rFonts w:ascii="Arial;sans-serif" w:hAnsi="Arial;sans-serif"/>
          <w:b/>
          <w:i/>
          <w:color w:val="000000"/>
          <w:sz w:val="18"/>
        </w:rPr>
        <w:t>AWS.</w:t>
      </w:r>
      <w:r>
        <w:rPr>
          <w:color w:val="000000"/>
        </w:rPr>
        <w:t xml:space="preserve"> </w:t>
      </w:r>
      <w:r>
        <w:rPr>
          <w:rFonts w:ascii="Arial;sans-serif" w:hAnsi="Arial;sans-serif"/>
          <w:b w:val="false"/>
          <w:color w:val="000000"/>
          <w:sz w:val="18"/>
        </w:rPr>
        <w:t>Amazon Web Services, Inc. and its affiliates.</w:t>
      </w:r>
    </w:p>
    <w:p>
      <w:pPr>
        <w:pStyle w:val="TextBody"/>
        <w:bidi w:val="0"/>
        <w:spacing w:lineRule="auto" w:line="288" w:before="0" w:after="180"/>
        <w:ind w:left="0" w:right="0" w:firstLine="360"/>
        <w:jc w:val="left"/>
        <w:rPr/>
      </w:pPr>
      <w:r>
        <w:rPr>
          <w:rFonts w:ascii="Arial;sans-serif" w:hAnsi="Arial;sans-serif"/>
          <w:b/>
          <w:i/>
          <w:color w:val="000000"/>
          <w:sz w:val="18"/>
        </w:rPr>
        <w:t>AWS Data Campus.</w:t>
      </w:r>
      <w:r>
        <w:rPr>
          <w:color w:val="000000"/>
        </w:rPr>
        <w:t xml:space="preserve"> </w:t>
      </w:r>
      <w:r>
        <w:rPr>
          <w:rFonts w:ascii="Arial;sans-serif" w:hAnsi="Arial;sans-serif"/>
          <w:b w:val="false"/>
          <w:color w:val="000000"/>
          <w:sz w:val="18"/>
        </w:rPr>
        <w:t xml:space="preserve">The data center campus initially developed by a subsidiary of Cumulus Digital adjacent to Susquehanna. </w:t>
      </w:r>
    </w:p>
    <w:p>
      <w:pPr>
        <w:pStyle w:val="TextBody"/>
        <w:bidi w:val="0"/>
        <w:spacing w:lineRule="auto" w:line="288" w:before="0" w:after="180"/>
        <w:ind w:left="0" w:right="0" w:firstLine="360"/>
        <w:jc w:val="left"/>
        <w:rPr/>
      </w:pPr>
      <w:r>
        <w:rPr>
          <w:rFonts w:ascii="Arial;sans-serif" w:hAnsi="Arial;sans-serif"/>
          <w:b/>
          <w:i/>
          <w:color w:val="000000"/>
          <w:sz w:val="18"/>
        </w:rPr>
        <w:t>AWS PPA.</w:t>
      </w:r>
      <w:r>
        <w:rPr>
          <w:color w:val="000000"/>
        </w:rPr>
        <w:t xml:space="preserve"> </w:t>
      </w:r>
      <w:r>
        <w:rPr>
          <w:rFonts w:ascii="Arial;sans-serif" w:hAnsi="Arial;sans-serif"/>
          <w:b w:val="false"/>
          <w:color w:val="000000"/>
          <w:sz w:val="18"/>
        </w:rPr>
        <w:t>The March 2024 (as revised in June 2025) power purchase agreement between the Company and AWS pursuant to which, among other things, the Company agreed to supply up to 960 MW of long-term power to the AWS Data Campus from Susquehanna. In June 2025, the Company and AWS entered into a revised AWS PPA, under which the Company is expected to provide AWS with up to 1,920 MW of power in a “front-of-the-meter” model through 2042. The transition to the revised AWS PPA occurred in April 2026.</w:t>
      </w:r>
    </w:p>
    <w:p>
      <w:pPr>
        <w:pStyle w:val="TextBody"/>
        <w:bidi w:val="0"/>
        <w:spacing w:lineRule="auto" w:line="288" w:before="0" w:after="180"/>
        <w:ind w:left="0" w:right="0" w:firstLine="360"/>
        <w:jc w:val="left"/>
        <w:rPr/>
      </w:pPr>
      <w:r>
        <w:rPr>
          <w:rFonts w:ascii="Arial;sans-serif" w:hAnsi="Arial;sans-serif"/>
          <w:b/>
          <w:i/>
          <w:color w:val="000000"/>
          <w:sz w:val="18"/>
        </w:rPr>
        <w:t>Board of Directors.</w:t>
      </w:r>
      <w:r>
        <w:rPr>
          <w:color w:val="000000"/>
        </w:rPr>
        <w:t xml:space="preserve"> </w:t>
      </w:r>
      <w:r>
        <w:rPr>
          <w:rFonts w:ascii="Arial;sans-serif" w:hAnsi="Arial;sans-serif"/>
          <w:b w:val="false"/>
          <w:color w:val="000000"/>
          <w:sz w:val="18"/>
        </w:rPr>
        <w:t>The board of directors of Talen Energy Corporation.</w:t>
      </w:r>
    </w:p>
    <w:p>
      <w:pPr>
        <w:pStyle w:val="TextBody"/>
        <w:bidi w:val="0"/>
        <w:spacing w:lineRule="auto" w:line="288" w:before="0" w:after="180"/>
        <w:ind w:left="0" w:right="0" w:firstLine="360"/>
        <w:jc w:val="left"/>
        <w:rPr/>
      </w:pPr>
      <w:r>
        <w:rPr>
          <w:rFonts w:ascii="Arial;sans-serif" w:hAnsi="Arial;sans-serif"/>
          <w:b/>
          <w:i/>
          <w:color w:val="000000"/>
          <w:sz w:val="18"/>
        </w:rPr>
        <w:t>Brandon Shores.</w:t>
      </w:r>
      <w:r>
        <w:rPr>
          <w:color w:val="000000"/>
        </w:rPr>
        <w:t xml:space="preserve"> </w:t>
      </w:r>
      <w:r>
        <w:rPr>
          <w:rFonts w:ascii="Arial;sans-serif" w:hAnsi="Arial;sans-serif"/>
          <w:b w:val="false"/>
          <w:color w:val="000000"/>
          <w:sz w:val="18"/>
        </w:rPr>
        <w:t>A Talen-owned and operated generation facility in Curtis Bay, Maryland.</w:t>
      </w:r>
    </w:p>
    <w:p>
      <w:pPr>
        <w:pStyle w:val="TextBody"/>
        <w:bidi w:val="0"/>
        <w:spacing w:lineRule="auto" w:line="288" w:before="0" w:after="180"/>
        <w:ind w:left="0" w:right="0" w:firstLine="360"/>
        <w:jc w:val="left"/>
        <w:rPr/>
      </w:pPr>
      <w:r>
        <w:rPr>
          <w:rFonts w:ascii="Arial;sans-serif" w:hAnsi="Arial;sans-serif"/>
          <w:b/>
          <w:i/>
          <w:color w:val="000000"/>
          <w:sz w:val="18"/>
        </w:rPr>
        <w:t>Brunner Island.</w:t>
      </w:r>
      <w:r>
        <w:rPr>
          <w:color w:val="000000"/>
        </w:rPr>
        <w:t xml:space="preserve"> </w:t>
      </w:r>
      <w:r>
        <w:rPr>
          <w:rFonts w:ascii="Arial;sans-serif" w:hAnsi="Arial;sans-serif"/>
          <w:b w:val="false"/>
          <w:color w:val="000000"/>
          <w:sz w:val="18"/>
        </w:rPr>
        <w:t>A Talen-owned and operated generation facility in York Haven, Pennsylvania.</w:t>
      </w:r>
    </w:p>
    <w:p>
      <w:pPr>
        <w:pStyle w:val="TextBody"/>
        <w:bidi w:val="0"/>
        <w:spacing w:lineRule="auto" w:line="288" w:before="0" w:after="180"/>
        <w:ind w:left="0" w:right="0" w:firstLine="360"/>
        <w:jc w:val="left"/>
        <w:rPr/>
      </w:pPr>
      <w:r>
        <w:rPr>
          <w:rFonts w:ascii="Arial;sans-serif" w:hAnsi="Arial;sans-serif"/>
          <w:b/>
          <w:i/>
          <w:color w:val="000000"/>
          <w:sz w:val="18"/>
        </w:rPr>
        <w:t>Capacity Performance.</w:t>
      </w:r>
      <w:r>
        <w:rPr>
          <w:color w:val="000000"/>
        </w:rPr>
        <w:t xml:space="preserve"> </w:t>
      </w:r>
      <w:r>
        <w:rPr>
          <w:rFonts w:ascii="Arial;sans-serif" w:hAnsi="Arial;sans-serif"/>
          <w:b w:val="false"/>
          <w:color w:val="000000"/>
          <w:sz w:val="18"/>
        </w:rPr>
        <w:t>The sole class of capacity product that electricity providers within PJM can offer to satisfy PJM’s capacity obligation and thereby receive capacity payments from PJM. Auctions for this opportunity, generally referred to as capacity auctions, are scheduled by PJM periodically, up to three years in advance of the applicable PJM Capacity Year and in accordance with the terms of PJM’s Tariff and the FERC’s orders. Capacity Performance providers assume higher performance requirements during system emergencies and are subject to penalties for non-performance.</w:t>
      </w:r>
    </w:p>
    <w:p>
      <w:pPr>
        <w:pStyle w:val="TextBody"/>
        <w:bidi w:val="0"/>
        <w:spacing w:lineRule="auto" w:line="288" w:before="0" w:after="180"/>
        <w:ind w:left="0" w:right="0" w:firstLine="360"/>
        <w:jc w:val="left"/>
        <w:rPr/>
      </w:pPr>
      <w:r>
        <w:rPr>
          <w:rFonts w:ascii="Arial;sans-serif" w:hAnsi="Arial;sans-serif"/>
          <w:b/>
          <w:i/>
          <w:color w:val="000000"/>
          <w:sz w:val="18"/>
        </w:rPr>
        <w:t>CCR.</w:t>
      </w:r>
      <w:r>
        <w:rPr>
          <w:color w:val="000000"/>
        </w:rPr>
        <w:t xml:space="preserve"> </w:t>
      </w:r>
      <w:r>
        <w:rPr>
          <w:rFonts w:ascii="Arial;sans-serif" w:hAnsi="Arial;sans-serif"/>
          <w:b w:val="false"/>
          <w:color w:val="000000"/>
          <w:sz w:val="18"/>
        </w:rPr>
        <w:t>Coal Combustion Residuals, including but not limited to fly ash, bottom ash, and gypsum, that are produced from coal-fired electric generation facilities.</w:t>
      </w:r>
    </w:p>
    <w:p>
      <w:pPr>
        <w:pStyle w:val="TextBody"/>
        <w:bidi w:val="0"/>
        <w:spacing w:lineRule="auto" w:line="288" w:before="0" w:after="180"/>
        <w:ind w:left="0" w:right="0" w:firstLine="360"/>
        <w:jc w:val="left"/>
        <w:rPr/>
      </w:pPr>
      <w:r>
        <w:rPr>
          <w:rFonts w:ascii="Arial;sans-serif" w:hAnsi="Arial;sans-serif"/>
          <w:b/>
          <w:i/>
          <w:color w:val="000000"/>
          <w:sz w:val="18"/>
        </w:rPr>
        <w:t>Colstrip.</w:t>
      </w:r>
      <w:r>
        <w:rPr>
          <w:color w:val="000000"/>
        </w:rPr>
        <w:t xml:space="preserve"> </w:t>
      </w:r>
      <w:r>
        <w:rPr>
          <w:rFonts w:ascii="Arial;sans-serif" w:hAnsi="Arial;sans-serif"/>
          <w:b w:val="false"/>
          <w:color w:val="000000"/>
          <w:sz w:val="18"/>
        </w:rPr>
        <w:t>A generation facility comprised of four coal-fired generation units located in Colstrip, Montana. Talen Montana operates Colstrip, owns an undivided interest in Colstrip Unit 3, and has an economic interest in Colstrip Unit 4. Colstrip Units 1 and 2 were permanently retired in January 2020. See Note 7 to the Annual Financial Statements for additional information on jointly owned facilities and Talen Montana’s ownership interests in Colstrip.</w:t>
      </w:r>
    </w:p>
    <w:p>
      <w:pPr>
        <w:pStyle w:val="TextBody"/>
        <w:bidi w:val="0"/>
        <w:spacing w:lineRule="auto" w:line="288" w:before="0" w:after="180"/>
        <w:ind w:left="0" w:right="0" w:firstLine="360"/>
        <w:jc w:val="left"/>
        <w:rPr/>
      </w:pPr>
      <w:r>
        <w:rPr>
          <w:rFonts w:ascii="Arial;sans-serif" w:hAnsi="Arial;sans-serif"/>
          <w:b/>
          <w:i/>
          <w:color w:val="000000"/>
          <w:sz w:val="18"/>
        </w:rPr>
        <w:t xml:space="preserve">Cornerstone Acquisition. </w:t>
      </w:r>
      <w:r>
        <w:rPr>
          <w:rFonts w:ascii="Arial;sans-serif" w:hAnsi="Arial;sans-serif"/>
          <w:b w:val="false"/>
          <w:color w:val="000000"/>
          <w:sz w:val="18"/>
        </w:rPr>
        <w:t>Our pending acquisition of the 875 MW Waterford Energy Center and 456 MW Darby Generating Station in Ohio and the 1,120 MW Lawrenceburg Power Plant in Indiana from affiliates of Energy Capital Partners. See Note 17 to the Interim Financial Statements for additional information.</w:t>
      </w:r>
    </w:p>
    <w:p>
      <w:pPr>
        <w:pStyle w:val="TextBody"/>
        <w:bidi w:val="0"/>
        <w:spacing w:lineRule="auto" w:line="288" w:before="0" w:after="180"/>
        <w:ind w:left="0" w:right="0" w:firstLine="360"/>
        <w:jc w:val="left"/>
        <w:rPr/>
      </w:pPr>
      <w:r>
        <w:rPr>
          <w:rFonts w:ascii="Arial;sans-serif" w:hAnsi="Arial;sans-serif"/>
          <w:b/>
          <w:i/>
          <w:color w:val="000000"/>
          <w:sz w:val="18"/>
        </w:rPr>
        <w:t xml:space="preserve">Cornerstone Merger Agreement. </w:t>
      </w:r>
      <w:r>
        <w:rPr>
          <w:rFonts w:ascii="Arial;sans-serif" w:hAnsi="Arial;sans-serif"/>
          <w:b w:val="false"/>
          <w:color w:val="000000"/>
          <w:sz w:val="18"/>
        </w:rPr>
        <w:t>Agreement and Plan of Merger, dated January 15, 2026, pursuant to which the Company will effectuate the Cornerstone Acquisition.</w:t>
      </w:r>
    </w:p>
    <w:p>
      <w:pPr>
        <w:pStyle w:val="TextBody"/>
        <w:bidi w:val="0"/>
        <w:spacing w:lineRule="auto" w:line="288" w:before="0" w:after="180"/>
        <w:ind w:left="0" w:right="0" w:firstLine="360"/>
        <w:jc w:val="left"/>
        <w:rPr/>
      </w:pPr>
      <w:r>
        <w:rPr>
          <w:rFonts w:ascii="Arial;sans-serif" w:hAnsi="Arial;sans-serif"/>
          <w:b/>
          <w:i/>
          <w:color w:val="000000"/>
          <w:sz w:val="18"/>
        </w:rPr>
        <w:t xml:space="preserve">Cornerstone RRA. </w:t>
      </w:r>
      <w:r>
        <w:rPr>
          <w:rFonts w:ascii="Arial;sans-serif" w:hAnsi="Arial;sans-serif"/>
          <w:b w:val="false"/>
          <w:color w:val="000000"/>
          <w:sz w:val="18"/>
        </w:rPr>
        <w:t>A registration rights agreement that the Company intends to enter into with certain parties affiliated with Energy Capital Partners at the closing of the pending Cornerstone Acquisition in connection with the issuance of stock consideration.</w:t>
      </w:r>
    </w:p>
    <w:p>
      <w:pPr>
        <w:pStyle w:val="TextBody"/>
        <w:bidi w:val="0"/>
        <w:spacing w:lineRule="auto" w:line="288" w:before="0" w:after="180"/>
        <w:ind w:left="0" w:right="0" w:firstLine="360"/>
        <w:jc w:val="left"/>
        <w:rPr/>
      </w:pPr>
      <w:r>
        <w:rPr>
          <w:rFonts w:ascii="Arial;sans-serif" w:hAnsi="Arial;sans-serif"/>
          <w:b/>
          <w:i/>
          <w:color w:val="000000"/>
          <w:sz w:val="18"/>
        </w:rPr>
        <w:t>Credit Agreement.</w:t>
      </w:r>
      <w:r>
        <w:rPr>
          <w:color w:val="000000"/>
        </w:rPr>
        <w:t xml:space="preserve"> </w:t>
      </w:r>
      <w:r>
        <w:rPr>
          <w:rFonts w:ascii="Arial;sans-serif" w:hAnsi="Arial;sans-serif"/>
          <w:b w:val="false"/>
          <w:color w:val="000000"/>
          <w:sz w:val="18"/>
        </w:rPr>
        <w:t>The Credit Agreement, dated as of May 17, 2023, by and among TES, as borrower, the lending institutions from time to time parties thereto, Citibank, N.A., as administrative agent and collateral agent, and the joint lead arrangers and joint bookrunners parties thereto, which governs the RCF, TLB-1, TLB-2, TLB-3, and LCF, as the same may be amended, amended and restated, supplemented, or otherwise modified from time-to-time.</w:t>
      </w:r>
    </w:p>
    <w:p>
      <w:pPr>
        <w:pStyle w:val="TextBody"/>
        <w:bidi w:val="0"/>
        <w:spacing w:lineRule="auto" w:line="288" w:before="0" w:after="180"/>
        <w:ind w:left="0" w:right="0" w:firstLine="360"/>
        <w:jc w:val="left"/>
        <w:rPr/>
      </w:pPr>
      <w:r>
        <w:rPr>
          <w:rFonts w:ascii="Arial;sans-serif" w:hAnsi="Arial;sans-serif"/>
          <w:b/>
          <w:i/>
          <w:color w:val="000000"/>
          <w:sz w:val="18"/>
        </w:rPr>
        <w:t>Credit Facilities.</w:t>
      </w:r>
      <w:r>
        <w:rPr>
          <w:color w:val="000000"/>
        </w:rPr>
        <w:t xml:space="preserve"> </w:t>
      </w:r>
      <w:r>
        <w:rPr>
          <w:rFonts w:ascii="Arial;sans-serif" w:hAnsi="Arial;sans-serif"/>
          <w:b w:val="false"/>
          <w:color w:val="000000"/>
          <w:sz w:val="18"/>
        </w:rPr>
        <w:t>Collectively, the RCF, TLB-1, TLB-2, TLB-3 and LCF.</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16840"/>
                <wp:effectExtent l="0" t="0" r="0" b="0"/>
                <wp:wrapNone/>
                <wp:docPr id="40" name="Frame40"/>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38</w:t>
                      </w:r>
                    </w:p>
                  </w:txbxContent>
                </v:textbox>
                <w10:wrap type="none"/>
              </v:rect>
            </w:pict>
          </mc:Fallback>
        </mc:AlternateContent>
      </w:r>
    </w:p>
    <w:p>
      <w:pPr>
        <w:pStyle w:val="TextBody"/>
        <w:bidi w:val="0"/>
        <w:spacing w:lineRule="auto" w:line="288" w:before="0" w:after="180"/>
        <w:jc w:val="left"/>
        <w:rPr/>
      </w:pPr>
      <w:hyperlink w:anchor="if20e1f3d5a734e3eabbb6aa8f57c7562_45">
        <w:r>
          <w:rPr>
            <w:rStyle w:val="InternetLink"/>
            <w:rFonts w:ascii="Arial;sans-serif" w:hAnsi="Arial;sans-serif"/>
            <w:b w:val="false"/>
            <w:color w:val="0000FF"/>
            <w:sz w:val="18"/>
            <w:u w:val="single"/>
          </w:rPr>
          <w:t>Table of Contents</w:t>
        </w:r>
      </w:hyperlink>
    </w:p>
    <w:p>
      <w:pPr>
        <w:pStyle w:val="TextBody"/>
        <w:bidi w:val="0"/>
        <w:spacing w:lineRule="auto" w:line="288" w:before="0" w:after="180"/>
        <w:ind w:left="0" w:right="0" w:firstLine="360"/>
        <w:jc w:val="left"/>
        <w:rPr/>
      </w:pPr>
      <w:r>
        <w:rPr>
          <w:rFonts w:ascii="Arial;sans-serif" w:hAnsi="Arial;sans-serif"/>
          <w:b/>
          <w:i/>
          <w:color w:val="000000"/>
          <w:sz w:val="18"/>
        </w:rPr>
        <w:t>Cumulus Digital.</w:t>
      </w:r>
      <w:r>
        <w:rPr>
          <w:color w:val="000000"/>
        </w:rPr>
        <w:t xml:space="preserve"> </w:t>
      </w:r>
      <w:r>
        <w:rPr>
          <w:rFonts w:ascii="Arial;sans-serif" w:hAnsi="Arial;sans-serif"/>
          <w:b w:val="false"/>
          <w:color w:val="000000"/>
          <w:sz w:val="18"/>
        </w:rPr>
        <w:t>Cumulus Digital Holdings LLC, a subsidiary of TES that, through its subsidiaries, initially developed the AWS Data Campus.</w:t>
      </w:r>
    </w:p>
    <w:p>
      <w:pPr>
        <w:pStyle w:val="TextBody"/>
        <w:bidi w:val="0"/>
        <w:spacing w:lineRule="auto" w:line="288" w:before="0" w:after="180"/>
        <w:ind w:left="0" w:right="0" w:firstLine="360"/>
        <w:jc w:val="left"/>
        <w:rPr/>
      </w:pPr>
      <w:r>
        <w:rPr>
          <w:rFonts w:ascii="Arial;sans-serif" w:hAnsi="Arial;sans-serif"/>
          <w:b/>
          <w:i/>
          <w:color w:val="000000"/>
          <w:sz w:val="18"/>
        </w:rPr>
        <w:t>DOE.</w:t>
      </w:r>
      <w:r>
        <w:rPr>
          <w:color w:val="000000"/>
        </w:rPr>
        <w:t xml:space="preserve"> </w:t>
      </w:r>
      <w:r>
        <w:rPr>
          <w:rFonts w:ascii="Arial;sans-serif" w:hAnsi="Arial;sans-serif"/>
          <w:b w:val="false"/>
          <w:color w:val="000000"/>
          <w:sz w:val="18"/>
        </w:rPr>
        <w:t>U.S. Department of Energy.</w:t>
      </w:r>
    </w:p>
    <w:p>
      <w:pPr>
        <w:pStyle w:val="TextBody"/>
        <w:bidi w:val="0"/>
        <w:spacing w:lineRule="auto" w:line="288" w:before="0" w:after="180"/>
        <w:ind w:left="0" w:right="0" w:firstLine="360"/>
        <w:jc w:val="left"/>
        <w:rPr/>
      </w:pPr>
      <w:r>
        <w:rPr>
          <w:rFonts w:ascii="Arial;sans-serif" w:hAnsi="Arial;sans-serif"/>
          <w:b/>
          <w:i/>
          <w:color w:val="000000"/>
          <w:sz w:val="18"/>
        </w:rPr>
        <w:t>EPA.</w:t>
      </w:r>
      <w:r>
        <w:rPr>
          <w:color w:val="000000"/>
        </w:rPr>
        <w:t xml:space="preserve"> </w:t>
      </w:r>
      <w:r>
        <w:rPr>
          <w:rFonts w:ascii="Arial;sans-serif" w:hAnsi="Arial;sans-serif"/>
          <w:b w:val="false"/>
          <w:color w:val="000000"/>
          <w:sz w:val="18"/>
        </w:rPr>
        <w:t>U.S. Environmental Protection Agency.</w:t>
      </w:r>
    </w:p>
    <w:p>
      <w:pPr>
        <w:pStyle w:val="TextBody"/>
        <w:bidi w:val="0"/>
        <w:spacing w:lineRule="auto" w:line="288" w:before="0" w:after="180"/>
        <w:ind w:left="0" w:right="0" w:firstLine="360"/>
        <w:jc w:val="left"/>
        <w:rPr/>
      </w:pPr>
      <w:r>
        <w:rPr>
          <w:rFonts w:ascii="Arial;sans-serif" w:hAnsi="Arial;sans-serif"/>
          <w:b/>
          <w:i/>
          <w:color w:val="000000"/>
          <w:sz w:val="18"/>
        </w:rPr>
        <w:t>EPA CCR Rule.</w:t>
      </w:r>
      <w:r>
        <w:rPr>
          <w:color w:val="000000"/>
        </w:rPr>
        <w:t xml:space="preserve"> </w:t>
      </w:r>
      <w:r>
        <w:rPr>
          <w:rFonts w:ascii="Arial;sans-serif" w:hAnsi="Arial;sans-serif"/>
          <w:b w:val="false"/>
          <w:color w:val="000000"/>
          <w:sz w:val="18"/>
        </w:rPr>
        <w:t>The national regulatory standards required by the EPA for the management of coal combustion residuals in landfills and surface impoundments.</w:t>
      </w:r>
    </w:p>
    <w:p>
      <w:pPr>
        <w:pStyle w:val="TextBody"/>
        <w:bidi w:val="0"/>
        <w:spacing w:lineRule="auto" w:line="288" w:before="0" w:after="180"/>
        <w:ind w:left="0" w:right="0" w:firstLine="360"/>
        <w:jc w:val="left"/>
        <w:rPr/>
      </w:pPr>
      <w:r>
        <w:rPr>
          <w:rFonts w:ascii="Arial;sans-serif" w:hAnsi="Arial;sans-serif"/>
          <w:b/>
          <w:i/>
          <w:color w:val="000000"/>
          <w:sz w:val="18"/>
        </w:rPr>
        <w:t>EPA CSAPR.</w:t>
      </w:r>
      <w:r>
        <w:rPr>
          <w:color w:val="000000"/>
        </w:rPr>
        <w:t xml:space="preserve"> </w:t>
      </w:r>
      <w:r>
        <w:rPr>
          <w:rFonts w:ascii="Arial;sans-serif" w:hAnsi="Arial;sans-serif"/>
          <w:b w:val="false"/>
          <w:color w:val="000000"/>
          <w:sz w:val="18"/>
        </w:rPr>
        <w:t>The Cross-State Air Pollution Rule, a federal program that aims to reduce power plant emissions that cross state lines and contribute to ground-level ozone and fine particle pollution in other states. A cap-and-trade system for both annual and ozone season periods is used to reduce the target pollutants—sulfur dioxide and nitrogen oxides. CSAPR regulations have been changed over time, and different versions of the regulations have been referred to as the “CSAPR Update,” the “Revised CSAPR Update,” and the “Good Neighbor Plan.”</w:t>
      </w:r>
    </w:p>
    <w:p>
      <w:pPr>
        <w:pStyle w:val="TextBody"/>
        <w:bidi w:val="0"/>
        <w:spacing w:lineRule="auto" w:line="288" w:before="0" w:after="180"/>
        <w:ind w:left="0" w:right="0" w:firstLine="360"/>
        <w:jc w:val="left"/>
        <w:rPr/>
      </w:pPr>
      <w:r>
        <w:rPr>
          <w:rFonts w:ascii="Arial;sans-serif" w:hAnsi="Arial;sans-serif"/>
          <w:b/>
          <w:i/>
          <w:color w:val="000000"/>
          <w:sz w:val="18"/>
        </w:rPr>
        <w:t>EPA ELG Rule.</w:t>
      </w:r>
      <w:r>
        <w:rPr>
          <w:color w:val="000000"/>
        </w:rPr>
        <w:t xml:space="preserve"> </w:t>
      </w:r>
      <w:r>
        <w:rPr>
          <w:rFonts w:ascii="Arial;sans-serif" w:hAnsi="Arial;sans-serif"/>
          <w:b w:val="false"/>
          <w:color w:val="000000"/>
          <w:sz w:val="18"/>
        </w:rPr>
        <w:t>The effluent limitation guidelines, which are national regulatory standards required by the EPA for wastewater discharged from specific industrial categories, including but not limited to coal-fired electric generation facilities, to surface waters and municipal sewage treatment plants.</w:t>
      </w:r>
    </w:p>
    <w:p>
      <w:pPr>
        <w:pStyle w:val="TextBody"/>
        <w:bidi w:val="0"/>
        <w:spacing w:lineRule="auto" w:line="288" w:before="0" w:after="180"/>
        <w:ind w:left="0" w:right="0" w:firstLine="360"/>
        <w:jc w:val="left"/>
        <w:rPr/>
      </w:pPr>
      <w:r>
        <w:rPr>
          <w:rFonts w:ascii="Arial;sans-serif" w:hAnsi="Arial;sans-serif"/>
          <w:b/>
          <w:i/>
          <w:color w:val="000000"/>
          <w:sz w:val="18"/>
        </w:rPr>
        <w:t>EPA GHG Rule.</w:t>
      </w:r>
      <w:r>
        <w:rPr>
          <w:color w:val="000000"/>
        </w:rPr>
        <w:t xml:space="preserve"> </w:t>
      </w:r>
      <w:r>
        <w:rPr>
          <w:rFonts w:ascii="Arial;sans-serif" w:hAnsi="Arial;sans-serif"/>
          <w:b w:val="false"/>
          <w:color w:val="000000"/>
          <w:sz w:val="18"/>
        </w:rPr>
        <w:t>An EPA rule that establishes carbon dioxide limits for new electric generating units and GHG guidelines for certain existing electric generating units.</w:t>
      </w:r>
    </w:p>
    <w:p>
      <w:pPr>
        <w:pStyle w:val="TextBody"/>
        <w:bidi w:val="0"/>
        <w:spacing w:lineRule="auto" w:line="288" w:before="0" w:after="180"/>
        <w:ind w:left="0" w:right="0" w:firstLine="360"/>
        <w:jc w:val="left"/>
        <w:rPr/>
      </w:pPr>
      <w:r>
        <w:rPr>
          <w:rFonts w:ascii="Arial;sans-serif" w:hAnsi="Arial;sans-serif"/>
          <w:b/>
          <w:i/>
          <w:color w:val="000000"/>
          <w:sz w:val="18"/>
        </w:rPr>
        <w:t>EPA MATS Rule.</w:t>
      </w:r>
      <w:r>
        <w:rPr>
          <w:color w:val="000000"/>
        </w:rPr>
        <w:t xml:space="preserve"> </w:t>
      </w:r>
      <w:r>
        <w:rPr>
          <w:rFonts w:ascii="Arial;sans-serif" w:hAnsi="Arial;sans-serif"/>
          <w:b w:val="false"/>
          <w:color w:val="000000"/>
          <w:sz w:val="18"/>
        </w:rPr>
        <w:t>The Mercury and Air Toxics Standards, EPA technology-based emissions standards for mercury and other hazardous air pollutants emitted by generation units with a capacity of more than 25 MW.</w:t>
      </w:r>
    </w:p>
    <w:p>
      <w:pPr>
        <w:pStyle w:val="TextBody"/>
        <w:bidi w:val="0"/>
        <w:spacing w:lineRule="auto" w:line="288" w:before="0" w:after="180"/>
        <w:ind w:left="0" w:right="0" w:firstLine="360"/>
        <w:jc w:val="left"/>
        <w:rPr/>
      </w:pPr>
      <w:r>
        <w:rPr>
          <w:rFonts w:ascii="Arial;sans-serif" w:hAnsi="Arial;sans-serif"/>
          <w:b/>
          <w:i/>
          <w:color w:val="000000"/>
          <w:sz w:val="18"/>
        </w:rPr>
        <w:t>EPS</w:t>
      </w:r>
      <w:r>
        <w:rPr>
          <w:rFonts w:ascii="Arial;sans-serif" w:hAnsi="Arial;sans-serif"/>
          <w:b/>
          <w:color w:val="000000"/>
          <w:sz w:val="18"/>
        </w:rPr>
        <w:t>.</w:t>
      </w:r>
      <w:r>
        <w:rPr>
          <w:color w:val="000000"/>
        </w:rPr>
        <w:t xml:space="preserve"> </w:t>
      </w:r>
      <w:r>
        <w:rPr>
          <w:rFonts w:ascii="Arial;sans-serif" w:hAnsi="Arial;sans-serif"/>
          <w:b w:val="false"/>
          <w:color w:val="000000"/>
          <w:sz w:val="18"/>
        </w:rPr>
        <w:t>Earnings per share.</w:t>
      </w:r>
    </w:p>
    <w:p>
      <w:pPr>
        <w:pStyle w:val="TextBody"/>
        <w:bidi w:val="0"/>
        <w:spacing w:lineRule="auto" w:line="288" w:before="0" w:after="180"/>
        <w:ind w:left="0" w:right="0" w:firstLine="360"/>
        <w:jc w:val="left"/>
        <w:rPr/>
      </w:pPr>
      <w:r>
        <w:rPr>
          <w:rFonts w:ascii="Arial;sans-serif" w:hAnsi="Arial;sans-serif"/>
          <w:b/>
          <w:i/>
          <w:color w:val="000000"/>
          <w:sz w:val="18"/>
        </w:rPr>
        <w:t>Exchange Act.</w:t>
      </w:r>
      <w:r>
        <w:rPr>
          <w:color w:val="000000"/>
        </w:rPr>
        <w:t xml:space="preserve"> </w:t>
      </w:r>
      <w:r>
        <w:rPr>
          <w:rFonts w:ascii="Arial;sans-serif" w:hAnsi="Arial;sans-serif"/>
          <w:b w:val="false"/>
          <w:color w:val="000000"/>
          <w:sz w:val="18"/>
        </w:rPr>
        <w:t>The Securities Exchange Act of 1934, as amended.</w:t>
      </w:r>
    </w:p>
    <w:p>
      <w:pPr>
        <w:pStyle w:val="TextBody"/>
        <w:bidi w:val="0"/>
        <w:spacing w:lineRule="auto" w:line="288" w:before="0" w:after="180"/>
        <w:ind w:left="0" w:right="0" w:firstLine="360"/>
        <w:jc w:val="left"/>
        <w:rPr/>
      </w:pPr>
      <w:r>
        <w:rPr>
          <w:rFonts w:ascii="Arial;sans-serif" w:hAnsi="Arial;sans-serif"/>
          <w:b/>
          <w:i/>
          <w:color w:val="000000"/>
          <w:sz w:val="18"/>
        </w:rPr>
        <w:t xml:space="preserve">FERC. </w:t>
      </w:r>
      <w:r>
        <w:rPr>
          <w:rFonts w:ascii="Arial;sans-serif" w:hAnsi="Arial;sans-serif"/>
          <w:b w:val="false"/>
          <w:color w:val="000000"/>
          <w:sz w:val="18"/>
        </w:rPr>
        <w:t>U.S. Federal Energy Regulatory Commission.</w:t>
      </w:r>
    </w:p>
    <w:p>
      <w:pPr>
        <w:pStyle w:val="TextBody"/>
        <w:bidi w:val="0"/>
        <w:spacing w:lineRule="auto" w:line="288" w:before="0" w:after="180"/>
        <w:ind w:left="0" w:right="0" w:firstLine="360"/>
        <w:jc w:val="left"/>
        <w:rPr/>
      </w:pPr>
      <w:r>
        <w:rPr>
          <w:rFonts w:ascii="Arial;sans-serif" w:hAnsi="Arial;sans-serif"/>
          <w:b/>
          <w:i/>
          <w:color w:val="000000"/>
          <w:sz w:val="18"/>
        </w:rPr>
        <w:t xml:space="preserve">Freedom. </w:t>
      </w:r>
      <w:r>
        <w:rPr>
          <w:rFonts w:ascii="Arial;sans-serif" w:hAnsi="Arial;sans-serif"/>
          <w:b w:val="false"/>
          <w:color w:val="000000"/>
          <w:sz w:val="18"/>
        </w:rPr>
        <w:t>A</w:t>
      </w:r>
      <w:r>
        <w:rPr>
          <w:color w:val="000000"/>
        </w:rPr>
        <w:t xml:space="preserve"> </w:t>
      </w:r>
      <w:r>
        <w:rPr>
          <w:rFonts w:ascii="Arial;sans-serif" w:hAnsi="Arial;sans-serif"/>
          <w:b w:val="false"/>
          <w:color w:val="000000"/>
          <w:sz w:val="18"/>
        </w:rPr>
        <w:t>Talen-owned and operated generation facility in Salem Township, Luzerne County, Pennsylvania.</w:t>
      </w:r>
    </w:p>
    <w:p>
      <w:pPr>
        <w:pStyle w:val="TextBody"/>
        <w:bidi w:val="0"/>
        <w:spacing w:lineRule="auto" w:line="288" w:before="0" w:after="180"/>
        <w:ind w:left="0" w:right="0" w:firstLine="360"/>
        <w:jc w:val="left"/>
        <w:rPr/>
      </w:pPr>
      <w:r>
        <w:rPr>
          <w:rFonts w:ascii="Arial;sans-serif" w:hAnsi="Arial;sans-serif"/>
          <w:b/>
          <w:i/>
          <w:color w:val="000000"/>
          <w:sz w:val="18"/>
        </w:rPr>
        <w:t>Freedom and Guernsey Acquisitions.</w:t>
      </w:r>
      <w:r>
        <w:rPr>
          <w:color w:val="000000"/>
        </w:rPr>
        <w:t xml:space="preserve"> </w:t>
      </w:r>
      <w:r>
        <w:rPr>
          <w:rFonts w:ascii="Arial;sans-serif" w:hAnsi="Arial;sans-serif"/>
          <w:b w:val="false"/>
          <w:color w:val="000000"/>
          <w:sz w:val="18"/>
        </w:rPr>
        <w:t>Our acquisitions of Freedom and Guernsey from affiliates of Caithness Energy, which closed in November 2025.</w:t>
      </w:r>
    </w:p>
    <w:p>
      <w:pPr>
        <w:pStyle w:val="TextBody"/>
        <w:bidi w:val="0"/>
        <w:spacing w:lineRule="auto" w:line="288" w:before="0" w:after="180"/>
        <w:ind w:left="0" w:right="0" w:firstLine="360"/>
        <w:jc w:val="left"/>
        <w:rPr/>
      </w:pPr>
      <w:r>
        <w:rPr>
          <w:rFonts w:ascii="Arial;sans-serif" w:hAnsi="Arial;sans-serif"/>
          <w:b/>
          <w:i/>
          <w:color w:val="000000"/>
          <w:sz w:val="18"/>
        </w:rPr>
        <w:t>GAAP.</w:t>
      </w:r>
      <w:r>
        <w:rPr>
          <w:color w:val="000000"/>
        </w:rPr>
        <w:t xml:space="preserve"> </w:t>
      </w:r>
      <w:r>
        <w:rPr>
          <w:rFonts w:ascii="Arial;sans-serif" w:hAnsi="Arial;sans-serif"/>
          <w:b w:val="false"/>
          <w:color w:val="000000"/>
          <w:sz w:val="18"/>
        </w:rPr>
        <w:t>Generally Accepted Accounting Principles in the United States.</w:t>
      </w:r>
    </w:p>
    <w:p>
      <w:pPr>
        <w:pStyle w:val="TextBody"/>
        <w:bidi w:val="0"/>
        <w:spacing w:lineRule="auto" w:line="288" w:before="0" w:after="180"/>
        <w:ind w:left="0" w:right="0" w:firstLine="360"/>
        <w:jc w:val="left"/>
        <w:rPr/>
      </w:pPr>
      <w:r>
        <w:rPr>
          <w:rFonts w:ascii="Arial;sans-serif" w:hAnsi="Arial;sans-serif"/>
          <w:b/>
          <w:i/>
          <w:color w:val="000000"/>
          <w:sz w:val="18"/>
        </w:rPr>
        <w:t xml:space="preserve">Guernsey. </w:t>
      </w:r>
      <w:r>
        <w:rPr>
          <w:rFonts w:ascii="Arial;sans-serif" w:hAnsi="Arial;sans-serif"/>
          <w:b w:val="false"/>
          <w:color w:val="000000"/>
          <w:sz w:val="18"/>
        </w:rPr>
        <w:t>A</w:t>
      </w:r>
      <w:r>
        <w:rPr>
          <w:color w:val="000000"/>
        </w:rPr>
        <w:t xml:space="preserve"> </w:t>
      </w:r>
      <w:r>
        <w:rPr>
          <w:rFonts w:ascii="Arial;sans-serif" w:hAnsi="Arial;sans-serif"/>
          <w:b w:val="false"/>
          <w:color w:val="000000"/>
          <w:sz w:val="18"/>
        </w:rPr>
        <w:t>Talen-owned and operated generation facility in Byesville, Ohio.</w:t>
      </w:r>
    </w:p>
    <w:p>
      <w:pPr>
        <w:pStyle w:val="TextBody"/>
        <w:bidi w:val="0"/>
        <w:spacing w:lineRule="auto" w:line="288" w:before="0" w:after="180"/>
        <w:ind w:left="0" w:right="0" w:firstLine="360"/>
        <w:jc w:val="left"/>
        <w:rPr/>
      </w:pPr>
      <w:r>
        <w:rPr>
          <w:rFonts w:ascii="Arial;sans-serif" w:hAnsi="Arial;sans-serif"/>
          <w:b/>
          <w:i/>
          <w:color w:val="000000"/>
          <w:sz w:val="18"/>
        </w:rPr>
        <w:t>GW.</w:t>
      </w:r>
      <w:r>
        <w:rPr>
          <w:color w:val="000000"/>
        </w:rPr>
        <w:t xml:space="preserve"> </w:t>
      </w:r>
      <w:r>
        <w:rPr>
          <w:rFonts w:ascii="Arial;sans-serif" w:hAnsi="Arial;sans-serif"/>
          <w:b w:val="false"/>
          <w:color w:val="000000"/>
          <w:sz w:val="18"/>
        </w:rPr>
        <w:t>Gigawatt.</w:t>
      </w:r>
    </w:p>
    <w:p>
      <w:pPr>
        <w:pStyle w:val="TextBody"/>
        <w:bidi w:val="0"/>
        <w:spacing w:lineRule="auto" w:line="288" w:before="0" w:after="180"/>
        <w:ind w:left="0" w:right="0" w:firstLine="360"/>
        <w:jc w:val="left"/>
        <w:rPr/>
      </w:pPr>
      <w:r>
        <w:rPr>
          <w:rFonts w:ascii="Arial;sans-serif" w:hAnsi="Arial;sans-serif"/>
          <w:b/>
          <w:i/>
          <w:color w:val="000000"/>
          <w:sz w:val="18"/>
        </w:rPr>
        <w:t>H.A. Wagner.</w:t>
      </w:r>
      <w:r>
        <w:rPr>
          <w:color w:val="000000"/>
        </w:rPr>
        <w:t xml:space="preserve"> </w:t>
      </w:r>
      <w:r>
        <w:rPr>
          <w:rFonts w:ascii="Arial;sans-serif" w:hAnsi="Arial;sans-serif"/>
          <w:b w:val="false"/>
          <w:color w:val="000000"/>
          <w:sz w:val="18"/>
        </w:rPr>
        <w:t>A Talen-owned and operated generation facility in Curtis Bay, Maryland.</w:t>
      </w:r>
    </w:p>
    <w:p>
      <w:pPr>
        <w:pStyle w:val="TextBody"/>
        <w:bidi w:val="0"/>
        <w:spacing w:lineRule="auto" w:line="288" w:before="0" w:after="180"/>
        <w:ind w:left="0" w:right="0" w:firstLine="360"/>
        <w:jc w:val="left"/>
        <w:rPr/>
      </w:pPr>
      <w:r>
        <w:rPr>
          <w:rFonts w:ascii="Arial;sans-serif" w:hAnsi="Arial;sans-serif"/>
          <w:b/>
          <w:i/>
          <w:color w:val="000000"/>
          <w:sz w:val="18"/>
        </w:rPr>
        <w:t xml:space="preserve">Interim Financial Statements. </w:t>
      </w:r>
      <w:r>
        <w:rPr>
          <w:rFonts w:ascii="Arial;sans-serif" w:hAnsi="Arial;sans-serif"/>
          <w:b w:val="false"/>
          <w:color w:val="000000"/>
          <w:sz w:val="18"/>
        </w:rPr>
        <w:t>The condensed consolidated balance sheets of TEC as of March 31, 2026 and December 31, 2025; the related condensed consolidated statements of operations, statements of comprehensive income, statements of cash flows, and statements of equity for the three months ended March 31, 2026 and 2025, and the related notes.</w:t>
      </w:r>
    </w:p>
    <w:p>
      <w:pPr>
        <w:pStyle w:val="TextBody"/>
        <w:bidi w:val="0"/>
        <w:spacing w:lineRule="auto" w:line="288" w:before="0" w:after="180"/>
        <w:ind w:left="0" w:right="0" w:firstLine="360"/>
        <w:jc w:val="left"/>
        <w:rPr/>
      </w:pPr>
      <w:r>
        <w:rPr>
          <w:rFonts w:ascii="Arial;sans-serif" w:hAnsi="Arial;sans-serif"/>
          <w:b/>
          <w:i/>
          <w:color w:val="000000"/>
          <w:sz w:val="18"/>
        </w:rPr>
        <w:t>ISA.</w:t>
      </w:r>
      <w:r>
        <w:rPr>
          <w:color w:val="000000"/>
        </w:rPr>
        <w:t xml:space="preserve"> </w:t>
      </w:r>
      <w:r>
        <w:rPr>
          <w:rFonts w:ascii="Arial;sans-serif" w:hAnsi="Arial;sans-serif"/>
          <w:b w:val="false"/>
          <w:color w:val="000000"/>
          <w:sz w:val="18"/>
        </w:rPr>
        <w:t>Interconnection Service Agreement.</w:t>
      </w:r>
    </w:p>
    <w:p>
      <w:pPr>
        <w:pStyle w:val="TextBody"/>
        <w:bidi w:val="0"/>
        <w:spacing w:lineRule="auto" w:line="288" w:before="0" w:after="180"/>
        <w:ind w:left="0" w:right="0" w:firstLine="360"/>
        <w:jc w:val="left"/>
        <w:rPr/>
      </w:pPr>
      <w:r>
        <w:rPr>
          <w:rFonts w:ascii="Arial;sans-serif" w:hAnsi="Arial;sans-serif"/>
          <w:b/>
          <w:i/>
          <w:color w:val="000000"/>
          <w:sz w:val="18"/>
        </w:rPr>
        <w:t>ISO.</w:t>
      </w:r>
      <w:r>
        <w:rPr>
          <w:color w:val="000000"/>
        </w:rPr>
        <w:t xml:space="preserve"> </w:t>
      </w:r>
      <w:r>
        <w:rPr>
          <w:rFonts w:ascii="Arial;sans-serif" w:hAnsi="Arial;sans-serif"/>
          <w:b w:val="false"/>
          <w:color w:val="000000"/>
          <w:sz w:val="18"/>
        </w:rPr>
        <w:t>Independent System Operator.</w:t>
      </w:r>
    </w:p>
    <w:p>
      <w:pPr>
        <w:pStyle w:val="TextBody"/>
        <w:bidi w:val="0"/>
        <w:spacing w:lineRule="auto" w:line="288" w:before="0" w:after="180"/>
        <w:ind w:left="0" w:right="0" w:firstLine="360"/>
        <w:jc w:val="left"/>
        <w:rPr/>
      </w:pPr>
      <w:r>
        <w:rPr>
          <w:rFonts w:ascii="Arial;sans-serif" w:hAnsi="Arial;sans-serif"/>
          <w:b/>
          <w:i/>
          <w:color w:val="000000"/>
          <w:sz w:val="18"/>
        </w:rPr>
        <w:t>LC.</w:t>
      </w:r>
      <w:r>
        <w:rPr>
          <w:color w:val="000000"/>
        </w:rPr>
        <w:t xml:space="preserve"> </w:t>
      </w:r>
      <w:r>
        <w:rPr>
          <w:rFonts w:ascii="Arial;sans-serif" w:hAnsi="Arial;sans-serif"/>
          <w:b w:val="false"/>
          <w:color w:val="000000"/>
          <w:sz w:val="18"/>
        </w:rPr>
        <w:t>Letter of credit.</w:t>
      </w:r>
    </w:p>
    <w:p>
      <w:pPr>
        <w:pStyle w:val="TextBody"/>
        <w:bidi w:val="0"/>
        <w:spacing w:lineRule="auto" w:line="288" w:before="0" w:after="180"/>
        <w:ind w:left="0" w:right="0" w:firstLine="360"/>
        <w:jc w:val="left"/>
        <w:rPr/>
      </w:pPr>
      <w:r>
        <w:rPr>
          <w:rFonts w:ascii="Arial;sans-serif" w:hAnsi="Arial;sans-serif"/>
          <w:b/>
          <w:i/>
          <w:color w:val="000000"/>
          <w:sz w:val="18"/>
        </w:rPr>
        <w:t>LCF.</w:t>
      </w:r>
      <w:r>
        <w:rPr>
          <w:color w:val="000000"/>
        </w:rPr>
        <w:t xml:space="preserve"> </w:t>
      </w:r>
      <w:r>
        <w:rPr>
          <w:rFonts w:ascii="Arial;sans-serif" w:hAnsi="Arial;sans-serif"/>
          <w:b w:val="false"/>
          <w:color w:val="000000"/>
          <w:sz w:val="18"/>
        </w:rPr>
        <w:t>The $1.1 billion stand-alone letter of credit facility established under the Credit Agreement.</w:t>
      </w:r>
    </w:p>
    <w:p>
      <w:pPr>
        <w:pStyle w:val="TextBody"/>
        <w:bidi w:val="0"/>
        <w:spacing w:lineRule="auto" w:line="288" w:before="0" w:after="180"/>
        <w:ind w:left="0" w:right="0" w:firstLine="360"/>
        <w:jc w:val="left"/>
        <w:rPr/>
      </w:pPr>
      <w:r>
        <w:rPr>
          <w:rFonts w:ascii="Arial;sans-serif" w:hAnsi="Arial;sans-serif"/>
          <w:b/>
          <w:i/>
          <w:color w:val="000000"/>
          <w:sz w:val="18"/>
        </w:rPr>
        <w:t>Martins Creek.</w:t>
      </w:r>
      <w:r>
        <w:rPr>
          <w:color w:val="000000"/>
        </w:rPr>
        <w:t xml:space="preserve"> </w:t>
      </w:r>
      <w:r>
        <w:rPr>
          <w:rFonts w:ascii="Arial;sans-serif" w:hAnsi="Arial;sans-serif"/>
          <w:b w:val="false"/>
          <w:color w:val="000000"/>
          <w:sz w:val="18"/>
        </w:rPr>
        <w:t>A Talen-owned and operated generation facility in Bangor, Pennsylvania.</w:t>
      </w:r>
    </w:p>
    <w:p>
      <w:pPr>
        <w:pStyle w:val="TextBody"/>
        <w:bidi w:val="0"/>
        <w:spacing w:lineRule="auto" w:line="288" w:before="0" w:after="180"/>
        <w:ind w:left="0" w:right="0" w:firstLine="360"/>
        <w:jc w:val="left"/>
        <w:rPr/>
      </w:pPr>
      <w:r>
        <w:rPr>
          <w:rFonts w:ascii="Arial;sans-serif" w:hAnsi="Arial;sans-serif"/>
          <w:b/>
          <w:i/>
          <w:color w:val="000000"/>
          <w:sz w:val="18"/>
        </w:rPr>
        <w:t>MMBtu.</w:t>
      </w:r>
      <w:r>
        <w:rPr>
          <w:color w:val="000000"/>
        </w:rPr>
        <w:t xml:space="preserve"> </w:t>
      </w:r>
      <w:r>
        <w:rPr>
          <w:rFonts w:ascii="Arial;sans-serif" w:hAnsi="Arial;sans-serif"/>
          <w:b w:val="false"/>
          <w:color w:val="000000"/>
          <w:sz w:val="18"/>
        </w:rPr>
        <w:t>One million British Thermal Units.</w:t>
      </w:r>
    </w:p>
    <w:p>
      <w:pPr>
        <w:pStyle w:val="TextBody"/>
        <w:bidi w:val="0"/>
        <w:spacing w:lineRule="auto" w:line="288" w:before="0" w:after="180"/>
        <w:ind w:left="0" w:right="0" w:firstLine="360"/>
        <w:jc w:val="left"/>
        <w:rPr/>
      </w:pPr>
      <w:r>
        <w:rPr>
          <w:rFonts w:ascii="Arial;sans-serif" w:hAnsi="Arial;sans-serif"/>
          <w:b/>
          <w:i/>
          <w:color w:val="000000"/>
          <w:sz w:val="18"/>
        </w:rPr>
        <w:t>Montour.</w:t>
      </w:r>
      <w:r>
        <w:rPr>
          <w:color w:val="000000"/>
        </w:rPr>
        <w:t xml:space="preserve"> </w:t>
      </w:r>
      <w:r>
        <w:rPr>
          <w:rFonts w:ascii="Arial;sans-serif" w:hAnsi="Arial;sans-serif"/>
          <w:b w:val="false"/>
          <w:color w:val="000000"/>
          <w:sz w:val="18"/>
        </w:rPr>
        <w:t>A Talen-owned and operated generation facility in Washingtonville, Pennsylvania.</w:t>
      </w:r>
    </w:p>
    <w:p>
      <w:pPr>
        <w:pStyle w:val="TextBody"/>
        <w:bidi w:val="0"/>
        <w:spacing w:lineRule="auto" w:line="288" w:before="0" w:after="180"/>
        <w:ind w:left="0" w:right="0" w:firstLine="360"/>
        <w:jc w:val="left"/>
        <w:rPr/>
      </w:pPr>
      <w:r>
        <w:rPr>
          <w:rFonts w:ascii="Arial;sans-serif" w:hAnsi="Arial;sans-serif"/>
          <w:b/>
          <w:i/>
          <w:color w:val="000000"/>
          <w:sz w:val="18"/>
        </w:rPr>
        <w:t>MW.</w:t>
      </w:r>
      <w:r>
        <w:rPr>
          <w:color w:val="000000"/>
        </w:rPr>
        <w:t xml:space="preserve"> </w:t>
      </w:r>
      <w:r>
        <w:rPr>
          <w:rFonts w:ascii="Arial;sans-serif" w:hAnsi="Arial;sans-serif"/>
          <w:b w:val="false"/>
          <w:color w:val="000000"/>
          <w:sz w:val="18"/>
        </w:rPr>
        <w:t>Megawatt.</w:t>
      </w:r>
    </w:p>
    <w:p>
      <w:pPr>
        <w:pStyle w:val="TextBody"/>
        <w:bidi w:val="0"/>
        <w:spacing w:lineRule="auto" w:line="288" w:before="0" w:after="180"/>
        <w:ind w:left="0" w:right="0" w:firstLine="360"/>
        <w:jc w:val="left"/>
        <w:rPr/>
      </w:pPr>
      <w:r>
        <w:rPr>
          <w:rFonts w:ascii="Arial;sans-serif" w:hAnsi="Arial;sans-serif"/>
          <w:b/>
          <w:i/>
          <w:color w:val="000000"/>
          <w:sz w:val="18"/>
        </w:rPr>
        <w:t>MWd.</w:t>
      </w:r>
      <w:r>
        <w:rPr>
          <w:color w:val="000000"/>
        </w:rPr>
        <w:t xml:space="preserve"> </w:t>
      </w:r>
      <w:r>
        <w:rPr>
          <w:rFonts w:ascii="Arial;sans-serif" w:hAnsi="Arial;sans-serif"/>
          <w:b w:val="false"/>
          <w:color w:val="000000"/>
          <w:sz w:val="18"/>
        </w:rPr>
        <w:t>Megawatt-day.</w:t>
      </w:r>
    </w:p>
    <w:p>
      <w:pPr>
        <w:pStyle w:val="TextBody"/>
        <w:bidi w:val="0"/>
        <w:spacing w:lineRule="auto" w:line="288" w:before="0" w:after="180"/>
        <w:ind w:left="0" w:right="0" w:firstLine="360"/>
        <w:jc w:val="left"/>
        <w:rPr/>
      </w:pPr>
      <w:r>
        <w:rPr>
          <w:rFonts w:ascii="Arial;sans-serif" w:hAnsi="Arial;sans-serif"/>
          <w:b/>
          <w:i/>
          <w:color w:val="000000"/>
          <w:sz w:val="18"/>
        </w:rPr>
        <w:t>MWh.</w:t>
      </w:r>
      <w:r>
        <w:rPr>
          <w:color w:val="000000"/>
        </w:rPr>
        <w:t xml:space="preserve"> </w:t>
      </w:r>
      <w:r>
        <w:rPr>
          <w:rFonts w:ascii="Arial;sans-serif" w:hAnsi="Arial;sans-serif"/>
          <w:b w:val="false"/>
          <w:color w:val="000000"/>
          <w:sz w:val="18"/>
        </w:rPr>
        <w:t>Megawatt-hour.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16840"/>
                <wp:effectExtent l="0" t="0" r="0" b="0"/>
                <wp:wrapNone/>
                <wp:docPr id="41" name="Frame41"/>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39</w:t>
                      </w:r>
                    </w:p>
                  </w:txbxContent>
                </v:textbox>
                <w10:wrap type="none"/>
              </v:rect>
            </w:pict>
          </mc:Fallback>
        </mc:AlternateContent>
      </w:r>
    </w:p>
    <w:p>
      <w:pPr>
        <w:pStyle w:val="TextBody"/>
        <w:bidi w:val="0"/>
        <w:spacing w:lineRule="auto" w:line="288" w:before="0" w:after="180"/>
        <w:jc w:val="left"/>
        <w:rPr/>
      </w:pPr>
      <w:hyperlink w:anchor="if20e1f3d5a734e3eabbb6aa8f57c7562_45">
        <w:r>
          <w:rPr>
            <w:rStyle w:val="InternetLink"/>
            <w:rFonts w:ascii="Arial;sans-serif" w:hAnsi="Arial;sans-serif"/>
            <w:b w:val="false"/>
            <w:color w:val="0000FF"/>
            <w:sz w:val="18"/>
            <w:u w:val="single"/>
          </w:rPr>
          <w:t>Table of Contents</w:t>
        </w:r>
      </w:hyperlink>
    </w:p>
    <w:p>
      <w:pPr>
        <w:pStyle w:val="TextBody"/>
        <w:bidi w:val="0"/>
        <w:spacing w:lineRule="auto" w:line="288" w:before="0" w:after="180"/>
        <w:ind w:left="0" w:right="0" w:firstLine="360"/>
        <w:jc w:val="left"/>
        <w:rPr/>
      </w:pPr>
      <w:r>
        <w:rPr>
          <w:rFonts w:ascii="Arial;sans-serif" w:hAnsi="Arial;sans-serif"/>
          <w:b/>
          <w:i/>
          <w:color w:val="000000"/>
          <w:sz w:val="18"/>
        </w:rPr>
        <w:t>NAV.</w:t>
      </w:r>
      <w:r>
        <w:rPr>
          <w:color w:val="000000"/>
        </w:rPr>
        <w:t xml:space="preserve"> </w:t>
      </w:r>
      <w:r>
        <w:rPr>
          <w:rFonts w:ascii="Arial;sans-serif" w:hAnsi="Arial;sans-serif"/>
          <w:b w:val="false"/>
          <w:color w:val="000000"/>
          <w:sz w:val="18"/>
        </w:rPr>
        <w:t>Net asset value.</w:t>
      </w:r>
    </w:p>
    <w:p>
      <w:pPr>
        <w:pStyle w:val="TextBody"/>
        <w:bidi w:val="0"/>
        <w:spacing w:lineRule="auto" w:line="288" w:before="0" w:after="180"/>
        <w:ind w:left="0" w:right="0" w:firstLine="360"/>
        <w:jc w:val="left"/>
        <w:rPr/>
      </w:pPr>
      <w:r>
        <w:rPr>
          <w:rFonts w:ascii="Arial;sans-serif" w:hAnsi="Arial;sans-serif"/>
          <w:b/>
          <w:i/>
          <w:color w:val="000000"/>
          <w:sz w:val="18"/>
        </w:rPr>
        <w:t>NDT.</w:t>
      </w:r>
      <w:r>
        <w:rPr>
          <w:color w:val="000000"/>
        </w:rPr>
        <w:t xml:space="preserve"> </w:t>
      </w:r>
      <w:r>
        <w:rPr>
          <w:rFonts w:ascii="Arial;sans-serif" w:hAnsi="Arial;sans-serif"/>
          <w:b w:val="false"/>
          <w:color w:val="000000"/>
          <w:sz w:val="18"/>
        </w:rPr>
        <w:t>Nuclear facility decommissioning trust that is expected to fund Talen’s proportionate costs associated with the future decommissioning activities of Susquehanna.</w:t>
      </w:r>
    </w:p>
    <w:p>
      <w:pPr>
        <w:pStyle w:val="TextBody"/>
        <w:bidi w:val="0"/>
        <w:spacing w:lineRule="auto" w:line="288" w:before="0" w:after="180"/>
        <w:ind w:left="0" w:right="0" w:firstLine="360"/>
        <w:jc w:val="left"/>
        <w:rPr/>
      </w:pPr>
      <w:r>
        <w:rPr>
          <w:rFonts w:ascii="Arial;sans-serif" w:hAnsi="Arial;sans-serif"/>
          <w:b/>
          <w:i/>
          <w:color w:val="000000"/>
          <w:sz w:val="18"/>
        </w:rPr>
        <w:t>NRC.</w:t>
      </w:r>
      <w:r>
        <w:rPr>
          <w:color w:val="000000"/>
        </w:rPr>
        <w:t xml:space="preserve"> </w:t>
      </w:r>
      <w:r>
        <w:rPr>
          <w:rFonts w:ascii="Arial;sans-serif" w:hAnsi="Arial;sans-serif"/>
          <w:b w:val="false"/>
          <w:color w:val="000000"/>
          <w:sz w:val="18"/>
        </w:rPr>
        <w:t>U.S. Nuclear Regulatory Commission.</w:t>
      </w:r>
    </w:p>
    <w:p>
      <w:pPr>
        <w:pStyle w:val="TextBody"/>
        <w:bidi w:val="0"/>
        <w:spacing w:lineRule="auto" w:line="288" w:before="0" w:after="180"/>
        <w:ind w:left="0" w:right="0" w:firstLine="360"/>
        <w:jc w:val="left"/>
        <w:rPr/>
      </w:pPr>
      <w:r>
        <w:rPr>
          <w:rFonts w:ascii="Arial;sans-serif" w:hAnsi="Arial;sans-serif"/>
          <w:b/>
          <w:i/>
          <w:color w:val="000000"/>
          <w:sz w:val="18"/>
        </w:rPr>
        <w:t>Nuclear PTC.</w:t>
      </w:r>
      <w:r>
        <w:rPr>
          <w:color w:val="000000"/>
        </w:rPr>
        <w:t xml:space="preserve"> </w:t>
      </w:r>
      <w:r>
        <w:rPr>
          <w:rFonts w:ascii="Arial;sans-serif" w:hAnsi="Arial;sans-serif"/>
          <w:b w:val="false"/>
          <w:color w:val="000000"/>
          <w:sz w:val="18"/>
        </w:rPr>
        <w:t>The nuclear production tax credit under the Inflation Reduction Act.</w:t>
      </w:r>
    </w:p>
    <w:p>
      <w:pPr>
        <w:pStyle w:val="TextBody"/>
        <w:bidi w:val="0"/>
        <w:spacing w:lineRule="auto" w:line="288" w:before="0" w:after="180"/>
        <w:ind w:left="0" w:right="0" w:firstLine="360"/>
        <w:jc w:val="left"/>
        <w:rPr/>
      </w:pPr>
      <w:r>
        <w:rPr>
          <w:rFonts w:ascii="Arial;sans-serif" w:hAnsi="Arial;sans-serif"/>
          <w:b/>
          <w:i/>
          <w:color w:val="000000"/>
          <w:sz w:val="18"/>
        </w:rPr>
        <w:t>PEDFA Bonds.</w:t>
      </w:r>
      <w:r>
        <w:rPr>
          <w:color w:val="000000"/>
        </w:rPr>
        <w:t xml:space="preserve"> </w:t>
      </w:r>
      <w:r>
        <w:rPr>
          <w:rFonts w:ascii="Arial;sans-serif" w:hAnsi="Arial;sans-serif"/>
          <w:b w:val="false"/>
          <w:color w:val="000000"/>
          <w:sz w:val="18"/>
        </w:rPr>
        <w:t>The following series of Pennsylvania Economic Development Financing Authority (“PEDFA”) Exempt Facilities Revenue Refunding Bonds: Series 2009A, due December 2038 (“PEDFA 2009A Bonds”); Series 2009B, due December 2038 (“PEDFA 2009B Bonds”); and Series 2009C, due December 2037 (“PEDFA 2009C Bonds”). The PEDFA 2009A Bonds were extinguished at emergence from bankruptcy in 2023; the PEDFA 2009B Bonds and PEDFA 2009C Bonds remain outstanding and are guaranteed by certain of the Subsidiary Guarantors.</w:t>
      </w:r>
    </w:p>
    <w:p>
      <w:pPr>
        <w:pStyle w:val="TextBody"/>
        <w:bidi w:val="0"/>
        <w:spacing w:lineRule="auto" w:line="288" w:before="0" w:after="180"/>
        <w:ind w:left="0" w:right="0" w:firstLine="360"/>
        <w:jc w:val="left"/>
        <w:rPr/>
      </w:pPr>
      <w:r>
        <w:rPr>
          <w:rFonts w:ascii="Arial;sans-serif" w:hAnsi="Arial;sans-serif"/>
          <w:b/>
          <w:i/>
          <w:color w:val="000000"/>
          <w:sz w:val="18"/>
        </w:rPr>
        <w:t>PJM.</w:t>
      </w:r>
      <w:r>
        <w:rPr>
          <w:color w:val="000000"/>
        </w:rPr>
        <w:t xml:space="preserve"> </w:t>
      </w:r>
      <w:r>
        <w:rPr>
          <w:rFonts w:ascii="Arial;sans-serif" w:hAnsi="Arial;sans-serif"/>
          <w:b w:val="false"/>
          <w:color w:val="000000"/>
          <w:sz w:val="18"/>
        </w:rPr>
        <w:t>PJM Interconnection, L.L.C., the RTO that coordinates the movement of wholesale electricity in all or parts of Pennsylvania, New Jersey, Maryland, 10 other states, and the District of Columbia.</w:t>
      </w:r>
    </w:p>
    <w:p>
      <w:pPr>
        <w:pStyle w:val="TextBody"/>
        <w:bidi w:val="0"/>
        <w:spacing w:lineRule="auto" w:line="288" w:before="0" w:after="180"/>
        <w:ind w:left="0" w:right="0" w:firstLine="360"/>
        <w:jc w:val="left"/>
        <w:rPr/>
      </w:pPr>
      <w:r>
        <w:rPr>
          <w:rFonts w:ascii="Arial;sans-serif" w:hAnsi="Arial;sans-serif"/>
          <w:b/>
          <w:i/>
          <w:color w:val="000000"/>
          <w:sz w:val="18"/>
        </w:rPr>
        <w:t>PJM BRA (or “BRA”).</w:t>
      </w:r>
      <w:r>
        <w:rPr>
          <w:color w:val="000000"/>
        </w:rPr>
        <w:t xml:space="preserve"> </w:t>
      </w:r>
      <w:r>
        <w:rPr>
          <w:rFonts w:ascii="Arial;sans-serif" w:hAnsi="Arial;sans-serif"/>
          <w:b w:val="false"/>
          <w:color w:val="000000"/>
          <w:sz w:val="18"/>
        </w:rPr>
        <w:t>PJM Base Residual Auction, a component of PJM’s capacity market intended to secure power supply resources from market participants in advance of the PJM Capacity Year. It is usually held during the month of May three years prior to the start of the PJM Capacity Year. Under PJM’s “pay-for-performance” model, generation resources are required to deliver on demand during system emergencies or owe a payment for non-performance.</w:t>
      </w:r>
    </w:p>
    <w:p>
      <w:pPr>
        <w:pStyle w:val="TextBody"/>
        <w:bidi w:val="0"/>
        <w:spacing w:lineRule="auto" w:line="288" w:before="0" w:after="180"/>
        <w:ind w:left="0" w:right="0" w:firstLine="360"/>
        <w:jc w:val="left"/>
        <w:rPr/>
      </w:pPr>
      <w:r>
        <w:rPr>
          <w:rFonts w:ascii="Arial;sans-serif" w:hAnsi="Arial;sans-serif"/>
          <w:b/>
          <w:i/>
          <w:color w:val="000000"/>
          <w:sz w:val="18"/>
        </w:rPr>
        <w:t>PJM Capacity Year.</w:t>
      </w:r>
      <w:r>
        <w:rPr>
          <w:color w:val="000000"/>
        </w:rPr>
        <w:t xml:space="preserve"> </w:t>
      </w:r>
      <w:r>
        <w:rPr>
          <w:rFonts w:ascii="Arial;sans-serif" w:hAnsi="Arial;sans-serif"/>
          <w:b w:val="false"/>
          <w:color w:val="000000"/>
          <w:sz w:val="18"/>
        </w:rPr>
        <w:t>PJM capacity revenues for each delivery year covering the period from June 1 to May 31.</w:t>
      </w:r>
    </w:p>
    <w:p>
      <w:pPr>
        <w:pStyle w:val="TextBody"/>
        <w:bidi w:val="0"/>
        <w:spacing w:lineRule="auto" w:line="288" w:before="0" w:after="180"/>
        <w:ind w:left="0" w:right="0" w:firstLine="360"/>
        <w:jc w:val="left"/>
        <w:rPr/>
      </w:pPr>
      <w:r>
        <w:rPr>
          <w:rFonts w:ascii="Arial;sans-serif" w:hAnsi="Arial;sans-serif"/>
          <w:b/>
          <w:i/>
          <w:color w:val="000000"/>
          <w:sz w:val="18"/>
        </w:rPr>
        <w:t>PJM Reliability Pricing Model.</w:t>
      </w:r>
      <w:r>
        <w:rPr>
          <w:color w:val="000000"/>
        </w:rPr>
        <w:t xml:space="preserve"> </w:t>
      </w:r>
      <w:r>
        <w:rPr>
          <w:rFonts w:ascii="Arial;sans-serif" w:hAnsi="Arial;sans-serif"/>
          <w:b w:val="false"/>
          <w:color w:val="000000"/>
          <w:sz w:val="18"/>
        </w:rPr>
        <w:t>PJM’s capacity market, or the Reliability Pricing Model, formed under PJM’s Open Access Transmission Tariff, which is intended to ensure long-term grid reliability by securing the appropriate amount of power supply resources needed to meet predicted energy demand in the future. Under PJM’s “pay-for-performance” model, generation resources are required to deliver on demand during system emergencies or owe a payment for non-performance.</w:t>
      </w:r>
    </w:p>
    <w:p>
      <w:pPr>
        <w:pStyle w:val="TextBody"/>
        <w:bidi w:val="0"/>
        <w:spacing w:lineRule="auto" w:line="288" w:before="0" w:after="180"/>
        <w:ind w:left="0" w:right="0" w:firstLine="360"/>
        <w:jc w:val="left"/>
        <w:rPr/>
      </w:pPr>
      <w:r>
        <w:rPr>
          <w:rFonts w:ascii="Arial;sans-serif" w:hAnsi="Arial;sans-serif"/>
          <w:b/>
          <w:i/>
          <w:color w:val="000000"/>
          <w:sz w:val="18"/>
        </w:rPr>
        <w:t>PP&amp;E.</w:t>
      </w:r>
      <w:r>
        <w:rPr>
          <w:color w:val="000000"/>
        </w:rPr>
        <w:t xml:space="preserve"> </w:t>
      </w:r>
      <w:r>
        <w:rPr>
          <w:rFonts w:ascii="Arial;sans-serif" w:hAnsi="Arial;sans-serif"/>
          <w:b w:val="false"/>
          <w:color w:val="000000"/>
          <w:sz w:val="18"/>
        </w:rPr>
        <w:t>Property, plant and equipment.</w:t>
      </w:r>
    </w:p>
    <w:p>
      <w:pPr>
        <w:pStyle w:val="TextBody"/>
        <w:bidi w:val="0"/>
        <w:spacing w:lineRule="auto" w:line="288" w:before="0" w:after="180"/>
        <w:ind w:left="0" w:right="0" w:firstLine="360"/>
        <w:jc w:val="left"/>
        <w:rPr/>
      </w:pPr>
      <w:r>
        <w:rPr>
          <w:rFonts w:ascii="Arial;sans-serif" w:hAnsi="Arial;sans-serif"/>
          <w:b/>
          <w:i/>
          <w:color w:val="000000"/>
          <w:sz w:val="18"/>
        </w:rPr>
        <w:t>RCF.</w:t>
      </w:r>
      <w:r>
        <w:rPr>
          <w:color w:val="000000"/>
        </w:rPr>
        <w:t xml:space="preserve"> </w:t>
      </w:r>
      <w:r>
        <w:rPr>
          <w:rFonts w:ascii="Arial;sans-serif" w:hAnsi="Arial;sans-serif"/>
          <w:b w:val="false"/>
          <w:color w:val="000000"/>
          <w:sz w:val="18"/>
        </w:rPr>
        <w:t>The senior secured revolving credit facility that provides $900 million in aggregate revolving loan and LC commitments under the Credit Agreement.</w:t>
      </w:r>
    </w:p>
    <w:p>
      <w:pPr>
        <w:pStyle w:val="TextBody"/>
        <w:bidi w:val="0"/>
        <w:spacing w:lineRule="auto" w:line="288" w:before="0" w:after="180"/>
        <w:ind w:left="0" w:right="0" w:firstLine="360"/>
        <w:jc w:val="left"/>
        <w:rPr/>
      </w:pPr>
      <w:r>
        <w:rPr>
          <w:rFonts w:ascii="Arial;sans-serif" w:hAnsi="Arial;sans-serif"/>
          <w:b/>
          <w:i/>
          <w:color w:val="000000"/>
          <w:sz w:val="18"/>
        </w:rPr>
        <w:t>RCRA.</w:t>
      </w:r>
      <w:r>
        <w:rPr>
          <w:color w:val="000000"/>
        </w:rPr>
        <w:t xml:space="preserve"> </w:t>
      </w:r>
      <w:r>
        <w:rPr>
          <w:rFonts w:ascii="Arial;sans-serif" w:hAnsi="Arial;sans-serif"/>
          <w:b w:val="false"/>
          <w:color w:val="000000"/>
          <w:sz w:val="18"/>
        </w:rPr>
        <w:t>The Resource Conservation and Recovery Act, a federal law enacted in 1976 giving the EPA authority to control hazardous and non-hazardous solid waste from its creation to its disposal.</w:t>
      </w:r>
    </w:p>
    <w:p>
      <w:pPr>
        <w:pStyle w:val="TextBody"/>
        <w:bidi w:val="0"/>
        <w:spacing w:lineRule="auto" w:line="288" w:before="0" w:after="180"/>
        <w:ind w:left="0" w:right="0" w:firstLine="360"/>
        <w:jc w:val="left"/>
        <w:rPr/>
      </w:pPr>
      <w:r>
        <w:rPr>
          <w:rFonts w:ascii="Arial;sans-serif" w:hAnsi="Arial;sans-serif"/>
          <w:b/>
          <w:i/>
          <w:color w:val="000000"/>
          <w:sz w:val="18"/>
        </w:rPr>
        <w:t>RGGI.</w:t>
      </w:r>
      <w:r>
        <w:rPr>
          <w:color w:val="000000"/>
        </w:rPr>
        <w:t xml:space="preserve"> </w:t>
      </w:r>
      <w:r>
        <w:rPr>
          <w:rFonts w:ascii="Arial;sans-serif" w:hAnsi="Arial;sans-serif"/>
          <w:b w:val="false"/>
          <w:color w:val="000000"/>
          <w:sz w:val="18"/>
        </w:rPr>
        <w:t>The Regional Greenhouse Gas Initiative, a mandatory market-based program among certain states, including Maryland, New Jersey and Massachusetts, to cap and reduce carbon dioxide emissions from the power sector. RGGI requires certain electric power generators to hold allowances equal to their carbon dioxide emissions over a three-year control period. Pennsylvania has proposed joining this program.</w:t>
      </w:r>
    </w:p>
    <w:p>
      <w:pPr>
        <w:pStyle w:val="TextBody"/>
        <w:bidi w:val="0"/>
        <w:spacing w:lineRule="auto" w:line="288" w:before="0" w:after="180"/>
        <w:ind w:left="0" w:right="0" w:firstLine="360"/>
        <w:jc w:val="left"/>
        <w:rPr/>
      </w:pPr>
      <w:r>
        <w:rPr>
          <w:rFonts w:ascii="Arial;sans-serif" w:hAnsi="Arial;sans-serif"/>
          <w:b/>
          <w:i/>
          <w:color w:val="000000"/>
          <w:sz w:val="18"/>
        </w:rPr>
        <w:t>RMR.</w:t>
      </w:r>
      <w:r>
        <w:rPr>
          <w:color w:val="000000"/>
        </w:rPr>
        <w:t xml:space="preserve"> </w:t>
      </w:r>
      <w:r>
        <w:rPr>
          <w:rFonts w:ascii="Arial;sans-serif" w:hAnsi="Arial;sans-serif"/>
          <w:b w:val="false"/>
          <w:color w:val="000000"/>
          <w:sz w:val="18"/>
        </w:rPr>
        <w:t>A generation unit that is otherwise slated to be retired but agrees with PJM to remain operational beyond its requested deactivation date as a reliability-must-run resource to mitigate reliability concerns until necessary upgrades can be established.</w:t>
      </w:r>
    </w:p>
    <w:p>
      <w:pPr>
        <w:pStyle w:val="TextBody"/>
        <w:bidi w:val="0"/>
        <w:spacing w:lineRule="auto" w:line="288" w:before="0" w:after="180"/>
        <w:ind w:left="0" w:right="0" w:firstLine="360"/>
        <w:jc w:val="left"/>
        <w:rPr/>
      </w:pPr>
      <w:r>
        <w:rPr>
          <w:rFonts w:ascii="Arial;sans-serif" w:hAnsi="Arial;sans-serif"/>
          <w:b/>
          <w:i/>
          <w:color w:val="000000"/>
          <w:sz w:val="18"/>
        </w:rPr>
        <w:t>RTO.</w:t>
      </w:r>
      <w:r>
        <w:rPr>
          <w:color w:val="000000"/>
        </w:rPr>
        <w:t xml:space="preserve"> </w:t>
      </w:r>
      <w:r>
        <w:rPr>
          <w:rFonts w:ascii="Arial;sans-serif" w:hAnsi="Arial;sans-serif"/>
          <w:b w:val="false"/>
          <w:color w:val="000000"/>
          <w:sz w:val="18"/>
        </w:rPr>
        <w:t>Regional Transmission Organization.</w:t>
      </w:r>
    </w:p>
    <w:p>
      <w:pPr>
        <w:pStyle w:val="TextBody"/>
        <w:bidi w:val="0"/>
        <w:spacing w:lineRule="auto" w:line="288" w:before="0" w:after="180"/>
        <w:ind w:left="0" w:right="0" w:firstLine="360"/>
        <w:jc w:val="left"/>
        <w:rPr/>
      </w:pPr>
      <w:r>
        <w:rPr>
          <w:rFonts w:ascii="Arial;sans-serif" w:hAnsi="Arial;sans-serif"/>
          <w:b/>
          <w:i/>
          <w:color w:val="000000"/>
          <w:sz w:val="18"/>
        </w:rPr>
        <w:t>Secured ISDAs.</w:t>
      </w:r>
      <w:r>
        <w:rPr>
          <w:color w:val="000000"/>
        </w:rPr>
        <w:t xml:space="preserve"> </w:t>
      </w:r>
      <w:r>
        <w:rPr>
          <w:rFonts w:ascii="Arial;sans-serif" w:hAnsi="Arial;sans-serif"/>
          <w:b w:val="false"/>
          <w:color w:val="000000"/>
          <w:sz w:val="18"/>
        </w:rPr>
        <w:t>Certain bilateral secured International Swaps and Derivatives Association (“ISDA”) agreements and Base Contracts for Sale and Purchase of Natural Gas as published by the North American Energy Standards Board (“NAESB”) of Talen.</w:t>
      </w:r>
    </w:p>
    <w:p>
      <w:pPr>
        <w:pStyle w:val="TextBody"/>
        <w:bidi w:val="0"/>
        <w:spacing w:lineRule="auto" w:line="288" w:before="0" w:after="180"/>
        <w:ind w:left="0" w:right="0" w:firstLine="360"/>
        <w:jc w:val="left"/>
        <w:rPr/>
      </w:pPr>
      <w:r>
        <w:rPr>
          <w:rFonts w:ascii="Arial;sans-serif" w:hAnsi="Arial;sans-serif"/>
          <w:b/>
          <w:i/>
          <w:color w:val="000000"/>
          <w:sz w:val="18"/>
        </w:rPr>
        <w:t>Secured Notes</w:t>
      </w:r>
      <w:r>
        <w:rPr>
          <w:rFonts w:ascii="Arial;sans-serif" w:hAnsi="Arial;sans-serif"/>
          <w:b w:val="false"/>
          <w:color w:val="000000"/>
          <w:sz w:val="18"/>
        </w:rPr>
        <w:t>. The 8.625% Senior Secured Notes due 2030 issued by Talen Energy Supply.</w:t>
      </w:r>
    </w:p>
    <w:p>
      <w:pPr>
        <w:pStyle w:val="TextBody"/>
        <w:bidi w:val="0"/>
        <w:spacing w:lineRule="auto" w:line="288" w:before="0" w:after="180"/>
        <w:ind w:left="0" w:right="0" w:firstLine="360"/>
        <w:jc w:val="left"/>
        <w:rPr/>
      </w:pPr>
      <w:r>
        <w:rPr>
          <w:rFonts w:ascii="Arial;sans-serif" w:hAnsi="Arial;sans-serif"/>
          <w:b/>
          <w:i/>
          <w:color w:val="000000"/>
          <w:sz w:val="18"/>
        </w:rPr>
        <w:t>Secured Notes Indenture.</w:t>
      </w:r>
      <w:r>
        <w:rPr>
          <w:color w:val="000000"/>
        </w:rPr>
        <w:t xml:space="preserve"> </w:t>
      </w:r>
      <w:r>
        <w:rPr>
          <w:rFonts w:ascii="Arial;sans-serif" w:hAnsi="Arial;sans-serif"/>
          <w:b w:val="false"/>
          <w:color w:val="000000"/>
          <w:sz w:val="18"/>
        </w:rPr>
        <w:t>The Indenture, dated as of May 12, 2023, as supplemented by the First Supplemental Indenture, dated as of May 17, 2023, the Second Supplemental Indenture, dated as of October 6, 2023, the Third Supplemental Indenture, dated as of June 22, 2024, the Fourth Supplemental Indenture, dated as of January 13, 2025, and the Fifth Supplemental Indenture, dated as of November 25, 2025, each between TES, the Subsidiary Guarantors and Wilmington Savings Fund Society, FSB, as trustee, which governs the Secured Notes, as the same may be further amended, amended and restated, supplemented or otherwise modified from time-to-time.</w:t>
      </w:r>
    </w:p>
    <w:p>
      <w:pPr>
        <w:pStyle w:val="TextBody"/>
        <w:bidi w:val="0"/>
        <w:spacing w:lineRule="auto" w:line="288" w:before="0" w:after="180"/>
        <w:ind w:left="0" w:right="0" w:firstLine="360"/>
        <w:jc w:val="left"/>
        <w:rPr/>
      </w:pPr>
      <w:r>
        <w:rPr>
          <w:rFonts w:ascii="Arial;sans-serif" w:hAnsi="Arial;sans-serif"/>
          <w:b/>
          <w:i/>
          <w:color w:val="000000"/>
          <w:sz w:val="18"/>
        </w:rPr>
        <w:t>SRP.</w:t>
      </w:r>
      <w:r>
        <w:rPr>
          <w:color w:val="000000"/>
        </w:rPr>
        <w:t xml:space="preserve"> </w:t>
      </w:r>
      <w:r>
        <w:rPr>
          <w:rFonts w:ascii="Arial;sans-serif" w:hAnsi="Arial;sans-serif"/>
          <w:b w:val="false"/>
          <w:color w:val="000000"/>
          <w:sz w:val="18"/>
        </w:rPr>
        <w:t>The share repurchase program, under which the Board of Directors has authorized the Company to repurchase shares of TEC’s outstanding common stock.</w:t>
      </w:r>
    </w:p>
    <w:p>
      <w:pPr>
        <w:pStyle w:val="TextBody"/>
        <w:bidi w:val="0"/>
        <w:spacing w:lineRule="auto" w:line="288" w:before="0" w:after="180"/>
        <w:ind w:left="0" w:right="0" w:firstLine="360"/>
        <w:jc w:val="left"/>
        <w:rPr/>
      </w:pPr>
      <w:r>
        <w:rPr>
          <w:rFonts w:ascii="Arial;sans-serif" w:hAnsi="Arial;sans-serif"/>
          <w:b/>
          <w:i/>
          <w:color w:val="000000"/>
          <w:sz w:val="18"/>
        </w:rPr>
        <w:t>Subsidiary Guarantors.</w:t>
      </w:r>
      <w:r>
        <w:rPr>
          <w:color w:val="000000"/>
        </w:rPr>
        <w:t xml:space="preserve"> </w:t>
      </w:r>
      <w:r>
        <w:rPr>
          <w:rFonts w:ascii="Arial;sans-serif" w:hAnsi="Arial;sans-serif"/>
          <w:b w:val="false"/>
          <w:color w:val="000000"/>
          <w:sz w:val="18"/>
        </w:rPr>
        <w:t>The subsidiaries of TES that guarantee: (i) the obligations of TES under the Credit Facilities, the Secured Notes, and the Unsecured Notes; and (ii) the obligations of Talen Energy Marketing under the Secured ISDAs.</w:t>
      </w:r>
    </w:p>
    <w:p>
      <w:pPr>
        <w:pStyle w:val="TextBody"/>
        <w:bidi w:val="0"/>
        <w:spacing w:lineRule="auto" w:line="288" w:before="0" w:after="180"/>
        <w:ind w:left="0" w:right="0" w:firstLine="360"/>
        <w:jc w:val="left"/>
        <w:rPr/>
      </w:pPr>
      <w:r>
        <w:rPr>
          <w:rFonts w:ascii="Arial;sans-serif" w:hAnsi="Arial;sans-serif"/>
          <w:b/>
          <w:i/>
          <w:color w:val="000000"/>
          <w:sz w:val="18"/>
        </w:rPr>
        <w:t>Susquehanna.</w:t>
      </w:r>
      <w:r>
        <w:rPr>
          <w:color w:val="000000"/>
        </w:rPr>
        <w:t xml:space="preserve"> </w:t>
      </w:r>
      <w:r>
        <w:rPr>
          <w:rFonts w:ascii="Arial;sans-serif" w:hAnsi="Arial;sans-serif"/>
          <w:b w:val="false"/>
          <w:color w:val="000000"/>
          <w:sz w:val="18"/>
        </w:rPr>
        <w:t>A nuclear-powered generation facility located near Berwick, Pennsylvania. A subsidiary of Talen Energy Supply operates and owns a 90% undivided interest in Susquehanna.</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16840"/>
                <wp:effectExtent l="0" t="0" r="0" b="0"/>
                <wp:wrapNone/>
                <wp:docPr id="42" name="Frame42"/>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40</w:t>
                      </w:r>
                    </w:p>
                  </w:txbxContent>
                </v:textbox>
                <w10:wrap type="none"/>
              </v:rect>
            </w:pict>
          </mc:Fallback>
        </mc:AlternateContent>
      </w:r>
    </w:p>
    <w:p>
      <w:pPr>
        <w:pStyle w:val="TextBody"/>
        <w:bidi w:val="0"/>
        <w:spacing w:lineRule="auto" w:line="288" w:before="0" w:after="180"/>
        <w:jc w:val="left"/>
        <w:rPr/>
      </w:pPr>
      <w:hyperlink w:anchor="if20e1f3d5a734e3eabbb6aa8f57c7562_45">
        <w:r>
          <w:rPr>
            <w:rStyle w:val="InternetLink"/>
            <w:rFonts w:ascii="Arial;sans-serif" w:hAnsi="Arial;sans-serif"/>
            <w:b w:val="false"/>
            <w:color w:val="0000FF"/>
            <w:sz w:val="18"/>
            <w:u w:val="single"/>
          </w:rPr>
          <w:t>Table of Contents</w:t>
        </w:r>
      </w:hyperlink>
    </w:p>
    <w:p>
      <w:pPr>
        <w:pStyle w:val="TextBody"/>
        <w:bidi w:val="0"/>
        <w:spacing w:lineRule="auto" w:line="288" w:before="0" w:after="180"/>
        <w:ind w:left="0" w:right="0" w:firstLine="360"/>
        <w:jc w:val="left"/>
        <w:rPr/>
      </w:pPr>
      <w:r>
        <w:rPr>
          <w:rFonts w:ascii="Arial;sans-serif" w:hAnsi="Arial;sans-serif"/>
          <w:b/>
          <w:i/>
          <w:color w:val="000000"/>
          <w:sz w:val="18"/>
        </w:rPr>
        <w:t xml:space="preserve">Talen (or the “Company,” “we,” “us,” or “our”). </w:t>
      </w:r>
      <w:r>
        <w:rPr>
          <w:rFonts w:ascii="Arial;sans-serif" w:hAnsi="Arial;sans-serif"/>
          <w:b w:val="false"/>
          <w:color w:val="000000"/>
          <w:sz w:val="18"/>
        </w:rPr>
        <w:t>Talen Energy Corporation and its consolidated subsidiaries, unless the context clearly indicates otherwise.</w:t>
      </w:r>
    </w:p>
    <w:p>
      <w:pPr>
        <w:pStyle w:val="TextBody"/>
        <w:bidi w:val="0"/>
        <w:spacing w:lineRule="auto" w:line="288" w:before="0" w:after="180"/>
        <w:ind w:left="0" w:right="0" w:firstLine="360"/>
        <w:jc w:val="left"/>
        <w:rPr/>
      </w:pPr>
      <w:r>
        <w:rPr>
          <w:rFonts w:ascii="Arial;sans-serif" w:hAnsi="Arial;sans-serif"/>
          <w:b/>
          <w:i/>
          <w:color w:val="000000"/>
          <w:sz w:val="18"/>
        </w:rPr>
        <w:t>Talen Energy Corporation (or “TEC”).</w:t>
      </w:r>
      <w:r>
        <w:rPr>
          <w:color w:val="000000"/>
        </w:rPr>
        <w:t xml:space="preserve"> </w:t>
      </w:r>
      <w:r>
        <w:rPr>
          <w:rFonts w:ascii="Arial;sans-serif" w:hAnsi="Arial;sans-serif"/>
          <w:b w:val="false"/>
          <w:color w:val="000000"/>
          <w:sz w:val="18"/>
        </w:rPr>
        <w:t>Talen Energy Corporation, the parent company of Talen Energy Supply and its consolidated subsidiaries.</w:t>
      </w:r>
    </w:p>
    <w:p>
      <w:pPr>
        <w:pStyle w:val="TextBody"/>
        <w:bidi w:val="0"/>
        <w:spacing w:lineRule="auto" w:line="288" w:before="0" w:after="180"/>
        <w:ind w:left="0" w:right="0" w:firstLine="360"/>
        <w:jc w:val="left"/>
        <w:rPr/>
      </w:pPr>
      <w:r>
        <w:rPr>
          <w:rFonts w:ascii="Arial;sans-serif" w:hAnsi="Arial;sans-serif"/>
          <w:b/>
          <w:i/>
          <w:color w:val="000000"/>
          <w:sz w:val="18"/>
        </w:rPr>
        <w:t>Talen Energy Marketing.</w:t>
      </w:r>
      <w:r>
        <w:rPr>
          <w:color w:val="000000"/>
        </w:rPr>
        <w:t xml:space="preserve"> </w:t>
      </w:r>
      <w:r>
        <w:rPr>
          <w:rFonts w:ascii="Arial;sans-serif" w:hAnsi="Arial;sans-serif"/>
          <w:b w:val="false"/>
          <w:color w:val="000000"/>
          <w:sz w:val="18"/>
        </w:rPr>
        <w:t>Talen Energy Marketing, LLC, a direct subsidiary of Talen Energy Supply that provides energy management services to Talen-owned and operated generation facilities and engages in wholesale commodity marketing activities.</w:t>
      </w:r>
    </w:p>
    <w:p>
      <w:pPr>
        <w:pStyle w:val="TextBody"/>
        <w:bidi w:val="0"/>
        <w:spacing w:lineRule="auto" w:line="288" w:before="0" w:after="180"/>
        <w:ind w:left="0" w:right="0" w:firstLine="360"/>
        <w:jc w:val="left"/>
        <w:rPr/>
      </w:pPr>
      <w:r>
        <w:rPr>
          <w:rFonts w:ascii="Arial;sans-serif" w:hAnsi="Arial;sans-serif"/>
          <w:b/>
          <w:i/>
          <w:color w:val="000000"/>
          <w:sz w:val="18"/>
        </w:rPr>
        <w:t>Talen Energy Supply (or “TES”).</w:t>
      </w:r>
      <w:r>
        <w:rPr>
          <w:color w:val="000000"/>
        </w:rPr>
        <w:t xml:space="preserve"> </w:t>
      </w:r>
      <w:r>
        <w:rPr>
          <w:rFonts w:ascii="Arial;sans-serif" w:hAnsi="Arial;sans-serif"/>
          <w:b w:val="false"/>
          <w:color w:val="000000"/>
          <w:sz w:val="18"/>
        </w:rPr>
        <w:t>Talen Energy Supply, LLC, a direct subsidiary of Talen Energy Corporation that, thorough subsidiaries, indirectly holds all of Talen’s assets and operations.</w:t>
      </w:r>
    </w:p>
    <w:p>
      <w:pPr>
        <w:pStyle w:val="TextBody"/>
        <w:bidi w:val="0"/>
        <w:spacing w:lineRule="auto" w:line="288" w:before="0" w:after="180"/>
        <w:ind w:left="0" w:right="0" w:firstLine="360"/>
        <w:jc w:val="left"/>
        <w:rPr/>
      </w:pPr>
      <w:r>
        <w:rPr>
          <w:rFonts w:ascii="Arial;sans-serif" w:hAnsi="Arial;sans-serif"/>
          <w:b/>
          <w:i/>
          <w:color w:val="000000"/>
          <w:sz w:val="18"/>
        </w:rPr>
        <w:t>Talen Montana.</w:t>
      </w:r>
      <w:r>
        <w:rPr>
          <w:color w:val="000000"/>
        </w:rPr>
        <w:t xml:space="preserve"> </w:t>
      </w:r>
      <w:r>
        <w:rPr>
          <w:rFonts w:ascii="Arial;sans-serif" w:hAnsi="Arial;sans-serif"/>
          <w:b w:val="false"/>
          <w:color w:val="000000"/>
          <w:sz w:val="18"/>
        </w:rPr>
        <w:t>Talen Montana, LLC, a Talen subsidiary that operates Colstrip, owns an undivided interest in Colstrip Unit 3, and is party to a contractual economic sharing agreement for Colstrip Units 3 and 4.</w:t>
      </w:r>
    </w:p>
    <w:p>
      <w:pPr>
        <w:pStyle w:val="TextBody"/>
        <w:bidi w:val="0"/>
        <w:spacing w:lineRule="auto" w:line="288" w:before="0" w:after="180"/>
        <w:ind w:left="0" w:right="0" w:firstLine="360"/>
        <w:jc w:val="left"/>
        <w:rPr/>
      </w:pPr>
      <w:r>
        <w:rPr>
          <w:rFonts w:ascii="Arial;sans-serif" w:hAnsi="Arial;sans-serif"/>
          <w:b/>
          <w:i/>
          <w:color w:val="000000"/>
          <w:sz w:val="18"/>
        </w:rPr>
        <w:t>TLB-1.</w:t>
      </w:r>
      <w:r>
        <w:rPr>
          <w:color w:val="000000"/>
        </w:rPr>
        <w:t xml:space="preserve"> </w:t>
      </w:r>
      <w:r>
        <w:rPr>
          <w:rFonts w:ascii="Arial;sans-serif" w:hAnsi="Arial;sans-serif"/>
          <w:b w:val="false"/>
          <w:color w:val="000000"/>
          <w:sz w:val="18"/>
        </w:rPr>
        <w:t>The $580 million (subsequently increased to $870 million) senior secured term loan B facility, due May 2030, under the Credit Agreement.</w:t>
      </w:r>
    </w:p>
    <w:p>
      <w:pPr>
        <w:pStyle w:val="TextBody"/>
        <w:bidi w:val="0"/>
        <w:spacing w:lineRule="auto" w:line="288" w:before="0" w:after="180"/>
        <w:ind w:left="0" w:right="0" w:firstLine="360"/>
        <w:jc w:val="left"/>
        <w:rPr/>
      </w:pPr>
      <w:r>
        <w:rPr>
          <w:rFonts w:ascii="Arial;sans-serif" w:hAnsi="Arial;sans-serif"/>
          <w:b/>
          <w:i/>
          <w:color w:val="000000"/>
          <w:sz w:val="18"/>
        </w:rPr>
        <w:t>TLB-2.</w:t>
      </w:r>
      <w:r>
        <w:rPr>
          <w:color w:val="000000"/>
        </w:rPr>
        <w:t xml:space="preserve"> </w:t>
      </w:r>
      <w:r>
        <w:rPr>
          <w:rFonts w:ascii="Arial;sans-serif" w:hAnsi="Arial;sans-serif"/>
          <w:b w:val="false"/>
          <w:color w:val="000000"/>
          <w:sz w:val="18"/>
        </w:rPr>
        <w:t>The $850 million senior secured term loan B facility, due December 2031, under the Credit Agreement.</w:t>
      </w:r>
    </w:p>
    <w:p>
      <w:pPr>
        <w:pStyle w:val="TextBody"/>
        <w:bidi w:val="0"/>
        <w:spacing w:lineRule="auto" w:line="288" w:before="0" w:after="180"/>
        <w:ind w:left="0" w:right="0" w:firstLine="360"/>
        <w:jc w:val="left"/>
        <w:rPr/>
      </w:pPr>
      <w:r>
        <w:rPr>
          <w:rFonts w:ascii="Arial;sans-serif" w:hAnsi="Arial;sans-serif"/>
          <w:b/>
          <w:i/>
          <w:color w:val="000000"/>
          <w:sz w:val="18"/>
          <w:shd w:fill="FFFFFF" w:val="clear"/>
        </w:rPr>
        <w:t xml:space="preserve">TLB-3. </w:t>
      </w:r>
      <w:r>
        <w:rPr>
          <w:rFonts w:ascii="Arial;sans-serif" w:hAnsi="Arial;sans-serif"/>
          <w:b w:val="false"/>
          <w:color w:val="000000"/>
          <w:sz w:val="18"/>
          <w:shd w:fill="FFFFFF" w:val="clear"/>
        </w:rPr>
        <w:t>The $</w:t>
      </w:r>
      <w:r>
        <w:rPr>
          <w:rFonts w:ascii="Arial;sans-serif" w:hAnsi="Arial;sans-serif"/>
          <w:b w:val="false"/>
          <w:color w:val="000000"/>
          <w:sz w:val="18"/>
        </w:rPr>
        <w:t>1.2 billion</w:t>
      </w:r>
      <w:r>
        <w:rPr>
          <w:color w:val="000000"/>
          <w:shd w:fill="FFFFFF" w:val="clear"/>
        </w:rPr>
        <w:t xml:space="preserve"> </w:t>
      </w:r>
      <w:r>
        <w:rPr>
          <w:rFonts w:ascii="Arial;sans-serif" w:hAnsi="Arial;sans-serif"/>
          <w:b w:val="false"/>
          <w:color w:val="000000"/>
          <w:sz w:val="18"/>
          <w:shd w:fill="FFFFFF" w:val="clear"/>
        </w:rPr>
        <w:t>senior secured term loan B facility, due November 2032, under the Credit Agreement.</w:t>
      </w:r>
    </w:p>
    <w:p>
      <w:pPr>
        <w:pStyle w:val="TextBody"/>
        <w:bidi w:val="0"/>
        <w:spacing w:lineRule="auto" w:line="288" w:before="0" w:after="180"/>
        <w:ind w:left="0" w:right="0" w:firstLine="360"/>
        <w:jc w:val="left"/>
        <w:rPr/>
      </w:pPr>
      <w:r>
        <w:rPr>
          <w:rFonts w:ascii="Arial;sans-serif" w:hAnsi="Arial;sans-serif"/>
          <w:b/>
          <w:i/>
          <w:color w:val="000000"/>
          <w:sz w:val="18"/>
        </w:rPr>
        <w:t>Unsecured Notes</w:t>
      </w:r>
      <w:r>
        <w:rPr>
          <w:rFonts w:ascii="Arial;sans-serif" w:hAnsi="Arial;sans-serif"/>
          <w:b/>
          <w:color w:val="000000"/>
          <w:sz w:val="18"/>
        </w:rPr>
        <w:t>.</w:t>
      </w:r>
      <w:r>
        <w:rPr>
          <w:color w:val="000000"/>
        </w:rPr>
        <w:t xml:space="preserve"> </w:t>
      </w:r>
      <w:r>
        <w:rPr>
          <w:rFonts w:ascii="Arial;sans-serif" w:hAnsi="Arial;sans-serif"/>
          <w:b w:val="false"/>
          <w:color w:val="000000"/>
          <w:sz w:val="18"/>
        </w:rPr>
        <w:t>Collectively, TES’s 6.125% Senior Unsecured Notes due 2031, 6.375% Senior Unsecured Notes due 2033, 6.250% Senior Unsecured Notes due 2034, and 6.500% Senior Unsecured Notes due 2036.</w:t>
      </w:r>
    </w:p>
    <w:p>
      <w:pPr>
        <w:pStyle w:val="TextBody"/>
        <w:bidi w:val="0"/>
        <w:spacing w:lineRule="auto" w:line="288" w:before="0" w:after="180"/>
        <w:ind w:left="0" w:right="0" w:firstLine="360"/>
        <w:jc w:val="left"/>
        <w:rPr/>
      </w:pPr>
      <w:r>
        <w:rPr>
          <w:rFonts w:ascii="Arial;sans-serif" w:hAnsi="Arial;sans-serif"/>
          <w:b/>
          <w:i/>
          <w:color w:val="000000"/>
          <w:sz w:val="18"/>
        </w:rPr>
        <w:t>WECC.</w:t>
      </w:r>
      <w:r>
        <w:rPr>
          <w:color w:val="000000"/>
        </w:rPr>
        <w:t xml:space="preserve"> </w:t>
      </w:r>
      <w:r>
        <w:rPr>
          <w:rFonts w:ascii="Arial;sans-serif" w:hAnsi="Arial;sans-serif"/>
          <w:b w:val="false"/>
          <w:color w:val="000000"/>
          <w:sz w:val="18"/>
        </w:rPr>
        <w:t>The Western Electricity Coordinating Council, a non-profit corporation that assures a reliable and secure bulk electric system in the Western Interconnection, covering all or parts of Montana, 13 other U.S. States, Canada, and Mexico.</w:t>
      </w:r>
    </w:p>
    <w:p>
      <w:pPr>
        <w:pStyle w:val="TextBody"/>
        <w:bidi w:val="0"/>
        <w:spacing w:before="0" w:after="18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16840"/>
                <wp:effectExtent l="0" t="0" r="0" b="0"/>
                <wp:wrapNone/>
                <wp:docPr id="43" name="Frame43"/>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41</w:t>
                      </w:r>
                    </w:p>
                  </w:txbxContent>
                </v:textbox>
                <w10:wrap type="none"/>
              </v:rect>
            </w:pict>
          </mc:Fallback>
        </mc:AlternateContent>
      </w:r>
    </w:p>
    <w:p>
      <w:pPr>
        <w:pStyle w:val="TextBody"/>
        <w:bidi w:val="0"/>
        <w:spacing w:lineRule="auto" w:line="288" w:before="0" w:after="180"/>
        <w:jc w:val="left"/>
        <w:rPr/>
      </w:pPr>
      <w:hyperlink w:anchor="if20e1f3d5a734e3eabbb6aa8f57c7562_45">
        <w:r>
          <w:rPr>
            <w:rStyle w:val="InternetLink"/>
            <w:rFonts w:ascii="Arial;sans-serif" w:hAnsi="Arial;sans-serif"/>
            <w:b w:val="false"/>
            <w:color w:val="0000FF"/>
            <w:sz w:val="18"/>
            <w:u w:val="single"/>
          </w:rPr>
          <w:t>Table of Contents</w:t>
        </w:r>
      </w:hyperlink>
    </w:p>
    <w:p>
      <w:pPr>
        <w:pStyle w:val="TextBody"/>
        <w:bidi w:val="0"/>
        <w:spacing w:lineRule="auto" w:line="288" w:before="0" w:after="180"/>
        <w:jc w:val="center"/>
        <w:rPr>
          <w:rFonts w:ascii="Arial;sans-serif" w:hAnsi="Arial;sans-serif"/>
          <w:b/>
          <w:color w:val="000000"/>
          <w:sz w:val="18"/>
        </w:rPr>
      </w:pPr>
      <w:r>
        <w:rPr>
          <w:rFonts w:ascii="Arial;sans-serif" w:hAnsi="Arial;sans-serif"/>
          <w:b/>
          <w:color w:val="000000"/>
          <w:sz w:val="18"/>
        </w:rPr>
        <w:t>SIGNATURES</w:t>
      </w:r>
    </w:p>
    <w:p>
      <w:pPr>
        <w:pStyle w:val="TextBody"/>
        <w:bidi w:val="0"/>
        <w:spacing w:lineRule="auto" w:line="288" w:before="0" w:after="180"/>
        <w:ind w:left="0" w:right="0" w:firstLine="360"/>
        <w:jc w:val="left"/>
        <w:rPr>
          <w:rFonts w:ascii="Arial;sans-serif" w:hAnsi="Arial;sans-serif"/>
          <w:b w:val="false"/>
          <w:color w:val="000000"/>
          <w:sz w:val="18"/>
        </w:rPr>
      </w:pPr>
      <w:r>
        <w:rPr>
          <w:rFonts w:ascii="Arial;sans-serif" w:hAnsi="Arial;sans-serif"/>
          <w:b w:val="false"/>
          <w:color w:val="000000"/>
          <w:sz w:val="18"/>
        </w:rPr>
        <w:t>Pursuant to the requirements of the Securities Exchange Act of 1934, the registrant has duly caused this report to be signed on its behalf by the undersigned hereunto duly authorized.</w:t>
      </w:r>
    </w:p>
    <w:tbl>
      <w:tblPr>
        <w:tblW w:w="4180" w:type="dxa"/>
        <w:jc w:val="left"/>
        <w:tblInd w:w="0" w:type="dxa"/>
        <w:tblLayout w:type="fixed"/>
        <w:tblCellMar>
          <w:top w:w="28" w:type="dxa"/>
          <w:left w:w="28" w:type="dxa"/>
          <w:bottom w:w="28" w:type="dxa"/>
          <w:right w:w="28" w:type="dxa"/>
        </w:tblCellMar>
      </w:tblPr>
      <w:tblGrid>
        <w:gridCol w:w="184"/>
        <w:gridCol w:w="162"/>
        <w:gridCol w:w="164"/>
        <w:gridCol w:w="334"/>
        <w:gridCol w:w="334"/>
        <w:gridCol w:w="336"/>
        <w:gridCol w:w="194"/>
        <w:gridCol w:w="194"/>
        <w:gridCol w:w="196"/>
        <w:gridCol w:w="569"/>
        <w:gridCol w:w="569"/>
        <w:gridCol w:w="572"/>
        <w:gridCol w:w="109"/>
        <w:gridCol w:w="109"/>
        <w:gridCol w:w="154"/>
      </w:tblGrid>
      <w:tr>
        <w:trPr/>
        <w:tc>
          <w:tcPr>
            <w:tcW w:w="18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Date:</w:t>
            </w:r>
          </w:p>
        </w:tc>
        <w:tc>
          <w:tcPr>
            <w:tcW w:w="100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May 5, 2026</w:t>
            </w:r>
          </w:p>
        </w:tc>
        <w:tc>
          <w:tcPr>
            <w:tcW w:w="58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By:</w:t>
            </w:r>
          </w:p>
        </w:tc>
        <w:tc>
          <w:tcPr>
            <w:tcW w:w="171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i/>
                <w:color w:val="000000"/>
                <w:sz w:val="16"/>
              </w:rPr>
            </w:pPr>
            <w:r>
              <w:rPr>
                <w:rFonts w:ascii="Arial;sans-serif" w:hAnsi="Arial;sans-serif"/>
                <w:b w:val="false"/>
                <w:i/>
                <w:color w:val="000000"/>
                <w:sz w:val="16"/>
              </w:rPr>
              <w:t>/s/ Cole Muller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Name:</w:t>
            </w:r>
          </w:p>
        </w:tc>
        <w:tc>
          <w:tcPr>
            <w:tcW w:w="171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Cole Muller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Title:</w:t>
            </w:r>
          </w:p>
        </w:tc>
        <w:tc>
          <w:tcPr>
            <w:tcW w:w="171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Chief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80"/>
        <w:ind w:left="0" w:right="0" w:hanging="360"/>
        <w:jc w:val="righ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16840"/>
                <wp:effectExtent l="0" t="0" r="0" b="0"/>
                <wp:wrapNone/>
                <wp:docPr id="44" name="Frame44"/>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42</w:t>
                      </w:r>
                    </w:p>
                  </w:txbxContent>
                </v:textbox>
                <w10:wrap type="none"/>
              </v:rect>
            </w:pict>
          </mc:Fallback>
        </mc:AlternateConten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TALEN ENERGY SUPPLY, LLC,</w: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as Issuer</w: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and</w: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EACH OF THE SUBSIDIARY GUARANTORS PARTY HERETO,</w: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as Subsidiary Guarantors</w:t>
      </w:r>
    </w:p>
    <w:p>
      <w:pPr>
        <w:pStyle w:val="TextBody"/>
        <w:bidi w:val="0"/>
        <w:spacing w:before="0" w:after="240"/>
        <w:jc w:val="center"/>
        <w:rPr/>
      </w:pPr>
      <w:r>
        <w:rPr/>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INDENTURE</w: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Dated as of April 29, 2026</w:t>
      </w:r>
    </w:p>
    <w:p>
      <w:pPr>
        <w:pStyle w:val="TextBody"/>
        <w:bidi w:val="0"/>
        <w:spacing w:before="0" w:after="240"/>
        <w:jc w:val="center"/>
        <w:rPr/>
      </w:pPr>
      <w:r>
        <w:rPr/>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WILMINGTON SAVINGS FUND SOCIETY, FSB,</w: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as Trustee</w:t>
      </w:r>
    </w:p>
    <w:p>
      <w:pPr>
        <w:pStyle w:val="TextBody"/>
        <w:bidi w:val="0"/>
        <w:spacing w:before="0" w:after="240"/>
        <w:jc w:val="center"/>
        <w:rPr/>
      </w:pPr>
      <w:r>
        <w:rPr/>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6.125% Senior Notes due 2031</w:t>
      </w:r>
    </w:p>
    <w:p>
      <w:pPr>
        <w:pStyle w:val="TextBody"/>
        <w:bidi w:val="0"/>
        <w:spacing w:before="0" w:after="24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154430"/>
                <wp:effectExtent l="0" t="0" r="0" b="0"/>
                <wp:wrapNone/>
                <wp:docPr id="45" name="Frame45"/>
                <a:graphic xmlns:a="http://schemas.openxmlformats.org/drawingml/2006/main">
                  <a:graphicData uri="http://schemas.microsoft.com/office/word/2010/wordprocessingShape">
                    <wps:wsp>
                      <wps:cNvSpPr txBox="1"/>
                      <wps:spPr>
                        <a:xfrm>
                          <a:off x="0" y="0"/>
                          <a:ext cx="6480175" cy="115443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0.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TABLE OF CONTENTS</w:t>
      </w:r>
    </w:p>
    <w:tbl>
      <w:tblPr>
        <w:tblW w:w="8147" w:type="dxa"/>
        <w:jc w:val="center"/>
        <w:tblInd w:w="0" w:type="dxa"/>
        <w:tblLayout w:type="fixed"/>
        <w:tblCellMar>
          <w:top w:w="28" w:type="dxa"/>
          <w:left w:w="28" w:type="dxa"/>
          <w:bottom w:w="28" w:type="dxa"/>
          <w:right w:w="28" w:type="dxa"/>
        </w:tblCellMar>
      </w:tblPr>
      <w:tblGrid>
        <w:gridCol w:w="468"/>
        <w:gridCol w:w="410"/>
        <w:gridCol w:w="413"/>
        <w:gridCol w:w="2067"/>
        <w:gridCol w:w="2067"/>
        <w:gridCol w:w="2121"/>
        <w:gridCol w:w="176"/>
        <w:gridCol w:w="176"/>
        <w:gridCol w:w="249"/>
      </w:tblGrid>
      <w:tr>
        <w:trPr/>
        <w:tc>
          <w:tcPr>
            <w:tcW w:w="468"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067" w:type="dxa"/>
            <w:tcBorders/>
            <w:vAlign w:val="center"/>
          </w:tcPr>
          <w:p>
            <w:pPr>
              <w:pStyle w:val="TableContents"/>
              <w:bidi w:val="0"/>
              <w:spacing w:before="0" w:after="283"/>
              <w:jc w:val="left"/>
              <w:rPr>
                <w:sz w:val="4"/>
                <w:szCs w:val="4"/>
              </w:rPr>
            </w:pPr>
            <w:r>
              <w:rPr>
                <w:sz w:val="4"/>
                <w:szCs w:val="4"/>
              </w:rPr>
            </w:r>
          </w:p>
        </w:tc>
        <w:tc>
          <w:tcPr>
            <w:tcW w:w="2067" w:type="dxa"/>
            <w:tcBorders/>
            <w:vAlign w:val="center"/>
          </w:tcPr>
          <w:p>
            <w:pPr>
              <w:pStyle w:val="TableContents"/>
              <w:bidi w:val="0"/>
              <w:spacing w:before="0" w:after="283"/>
              <w:jc w:val="left"/>
              <w:rPr>
                <w:sz w:val="4"/>
                <w:szCs w:val="4"/>
              </w:rPr>
            </w:pPr>
            <w:r>
              <w:rPr>
                <w:sz w:val="4"/>
                <w:szCs w:val="4"/>
              </w:rPr>
            </w:r>
          </w:p>
        </w:tc>
        <w:tc>
          <w:tcPr>
            <w:tcW w:w="212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r>
      <w:tr>
        <w:trPr/>
        <w:tc>
          <w:tcPr>
            <w:tcW w:w="7546"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10000"/>
                <w:sz w:val="22"/>
              </w:rPr>
            </w:pPr>
            <w:r>
              <w:rPr>
                <w:rFonts w:ascii="Times New Roman;serif" w:hAnsi="Times New Roman;serif"/>
                <w:b w:val="false"/>
                <w:color w:val="010000"/>
                <w:sz w:val="22"/>
              </w:rPr>
              <w:t>Article 1</w:t>
            </w:r>
          </w:p>
        </w:tc>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Page</w:t>
            </w:r>
          </w:p>
        </w:tc>
      </w:tr>
      <w:tr>
        <w:trPr/>
        <w:tc>
          <w:tcPr>
            <w:tcW w:w="754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10000"/>
                <w:sz w:val="22"/>
              </w:rPr>
            </w:pPr>
            <w:r>
              <w:rPr>
                <w:rFonts w:ascii="Times New Roman;serif" w:hAnsi="Times New Roman;serif"/>
                <w:b w:val="false"/>
                <w:color w:val="010000"/>
                <w:sz w:val="22"/>
              </w:rPr>
              <w:t>DEFINITIONS</w:t>
            </w:r>
          </w:p>
        </w:tc>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w:t>
            </w:r>
          </w:p>
        </w:tc>
      </w:tr>
      <w:tr>
        <w:trPr/>
        <w:tc>
          <w:tcPr>
            <w:tcW w:w="12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10000"/>
                <w:sz w:val="22"/>
              </w:rPr>
            </w:pPr>
            <w:r>
              <w:rPr>
                <w:rFonts w:ascii="Times New Roman;serif" w:hAnsi="Times New Roman;serif"/>
                <w:b w:val="false"/>
                <w:color w:val="010000"/>
                <w:sz w:val="22"/>
              </w:rPr>
              <w:t>Section 1.01</w:t>
            </w:r>
          </w:p>
        </w:tc>
        <w:tc>
          <w:tcPr>
            <w:tcW w:w="62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Definitions</w:t>
            </w:r>
          </w:p>
        </w:tc>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w:t>
            </w:r>
          </w:p>
        </w:tc>
      </w:tr>
      <w:tr>
        <w:trPr/>
        <w:tc>
          <w:tcPr>
            <w:tcW w:w="12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10000"/>
                <w:sz w:val="22"/>
              </w:rPr>
            </w:pPr>
            <w:r>
              <w:rPr>
                <w:rFonts w:ascii="Times New Roman;serif" w:hAnsi="Times New Roman;serif"/>
                <w:b w:val="false"/>
                <w:color w:val="010000"/>
                <w:sz w:val="22"/>
              </w:rPr>
              <w:t>Section 1.02</w:t>
            </w:r>
          </w:p>
        </w:tc>
        <w:tc>
          <w:tcPr>
            <w:tcW w:w="62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Other Definitions</w:t>
            </w:r>
          </w:p>
        </w:tc>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26</w:t>
            </w:r>
          </w:p>
        </w:tc>
      </w:tr>
      <w:tr>
        <w:trPr/>
        <w:tc>
          <w:tcPr>
            <w:tcW w:w="12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10000"/>
                <w:sz w:val="22"/>
              </w:rPr>
            </w:pPr>
            <w:r>
              <w:rPr>
                <w:rFonts w:ascii="Times New Roman;serif" w:hAnsi="Times New Roman;serif"/>
                <w:b w:val="false"/>
                <w:color w:val="010000"/>
                <w:sz w:val="22"/>
              </w:rPr>
              <w:t>Section 1.03</w:t>
            </w:r>
          </w:p>
        </w:tc>
        <w:tc>
          <w:tcPr>
            <w:tcW w:w="62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Rules of Construction</w:t>
            </w:r>
          </w:p>
        </w:tc>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27</w:t>
            </w:r>
          </w:p>
        </w:tc>
      </w:tr>
      <w:tr>
        <w:trPr/>
        <w:tc>
          <w:tcPr>
            <w:tcW w:w="12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10000"/>
                <w:sz w:val="22"/>
              </w:rPr>
            </w:pPr>
            <w:r>
              <w:rPr>
                <w:rFonts w:ascii="Times New Roman;serif" w:hAnsi="Times New Roman;serif"/>
                <w:b w:val="false"/>
                <w:color w:val="010000"/>
                <w:sz w:val="22"/>
              </w:rPr>
              <w:t>Section 1.04</w:t>
            </w:r>
          </w:p>
        </w:tc>
        <w:tc>
          <w:tcPr>
            <w:tcW w:w="62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Limited Condition Transactions</w:t>
            </w:r>
          </w:p>
        </w:tc>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27</w:t>
            </w:r>
          </w:p>
        </w:tc>
      </w:tr>
      <w:tr>
        <w:trPr/>
        <w:tc>
          <w:tcPr>
            <w:tcW w:w="12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10000"/>
                <w:sz w:val="22"/>
              </w:rPr>
            </w:pPr>
            <w:r>
              <w:rPr>
                <w:rFonts w:ascii="Times New Roman;serif" w:hAnsi="Times New Roman;serif"/>
                <w:b w:val="false"/>
                <w:color w:val="010000"/>
                <w:sz w:val="22"/>
              </w:rPr>
              <w:t>Section 1.05</w:t>
            </w:r>
          </w:p>
        </w:tc>
        <w:tc>
          <w:tcPr>
            <w:tcW w:w="62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Measuring Compliance</w:t>
            </w:r>
          </w:p>
        </w:tc>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29</w:t>
            </w:r>
          </w:p>
        </w:tc>
      </w:tr>
      <w:tr>
        <w:trPr/>
        <w:tc>
          <w:tcPr>
            <w:tcW w:w="7546"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10000"/>
                <w:sz w:val="22"/>
              </w:rPr>
            </w:pPr>
            <w:r>
              <w:rPr>
                <w:rFonts w:ascii="Times New Roman;serif" w:hAnsi="Times New Roman;serif"/>
                <w:b w:val="false"/>
                <w:color w:val="010000"/>
                <w:sz w:val="22"/>
              </w:rPr>
              <w:t>Article 2</w:t>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10000"/>
                <w:sz w:val="22"/>
              </w:rPr>
            </w:pPr>
            <w:r>
              <w:rPr>
                <w:rFonts w:ascii="Times New Roman;serif" w:hAnsi="Times New Roman;serif"/>
                <w:b w:val="false"/>
                <w:color w:val="010000"/>
                <w:sz w:val="22"/>
              </w:rPr>
              <w:t>THE NOTES</w:t>
            </w:r>
          </w:p>
        </w:tc>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30</w:t>
            </w:r>
          </w:p>
        </w:tc>
      </w:tr>
      <w:tr>
        <w:trPr/>
        <w:tc>
          <w:tcPr>
            <w:tcW w:w="12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10000"/>
                <w:sz w:val="22"/>
              </w:rPr>
            </w:pPr>
            <w:r>
              <w:rPr>
                <w:rFonts w:ascii="Times New Roman;serif" w:hAnsi="Times New Roman;serif"/>
                <w:b w:val="false"/>
                <w:color w:val="010000"/>
                <w:sz w:val="22"/>
              </w:rPr>
              <w:t>Section 2.01</w:t>
            </w:r>
          </w:p>
        </w:tc>
        <w:tc>
          <w:tcPr>
            <w:tcW w:w="62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Form and Dating.</w:t>
            </w:r>
          </w:p>
        </w:tc>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30</w:t>
            </w:r>
          </w:p>
        </w:tc>
      </w:tr>
      <w:tr>
        <w:trPr/>
        <w:tc>
          <w:tcPr>
            <w:tcW w:w="12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10000"/>
                <w:sz w:val="22"/>
              </w:rPr>
            </w:pPr>
            <w:r>
              <w:rPr>
                <w:rFonts w:ascii="Times New Roman;serif" w:hAnsi="Times New Roman;serif"/>
                <w:b w:val="false"/>
                <w:color w:val="010000"/>
                <w:sz w:val="22"/>
              </w:rPr>
              <w:t>Section 2.02</w:t>
            </w:r>
          </w:p>
        </w:tc>
        <w:tc>
          <w:tcPr>
            <w:tcW w:w="62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Execution and Authentication.</w:t>
            </w:r>
          </w:p>
        </w:tc>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32</w:t>
            </w:r>
          </w:p>
        </w:tc>
      </w:tr>
      <w:tr>
        <w:trPr/>
        <w:tc>
          <w:tcPr>
            <w:tcW w:w="12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10000"/>
                <w:sz w:val="22"/>
              </w:rPr>
            </w:pPr>
            <w:r>
              <w:rPr>
                <w:rFonts w:ascii="Times New Roman;serif" w:hAnsi="Times New Roman;serif"/>
                <w:b w:val="false"/>
                <w:color w:val="010000"/>
                <w:sz w:val="22"/>
              </w:rPr>
              <w:t>Section 2.03</w:t>
            </w:r>
          </w:p>
        </w:tc>
        <w:tc>
          <w:tcPr>
            <w:tcW w:w="62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Registrar and Paying Agent.</w:t>
            </w:r>
          </w:p>
        </w:tc>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32</w:t>
            </w:r>
          </w:p>
        </w:tc>
      </w:tr>
      <w:tr>
        <w:trPr/>
        <w:tc>
          <w:tcPr>
            <w:tcW w:w="12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10000"/>
                <w:sz w:val="22"/>
              </w:rPr>
            </w:pPr>
            <w:r>
              <w:rPr>
                <w:rFonts w:ascii="Times New Roman;serif" w:hAnsi="Times New Roman;serif"/>
                <w:b w:val="false"/>
                <w:color w:val="010000"/>
                <w:sz w:val="22"/>
              </w:rPr>
              <w:t>Section 2.04</w:t>
            </w:r>
          </w:p>
        </w:tc>
        <w:tc>
          <w:tcPr>
            <w:tcW w:w="62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Paying Agent to Hold Money in Trust.</w:t>
            </w:r>
          </w:p>
        </w:tc>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33</w:t>
            </w:r>
          </w:p>
        </w:tc>
      </w:tr>
      <w:tr>
        <w:trPr/>
        <w:tc>
          <w:tcPr>
            <w:tcW w:w="12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10000"/>
                <w:sz w:val="22"/>
              </w:rPr>
            </w:pPr>
            <w:r>
              <w:rPr>
                <w:rFonts w:ascii="Times New Roman;serif" w:hAnsi="Times New Roman;serif"/>
                <w:b w:val="false"/>
                <w:color w:val="010000"/>
                <w:sz w:val="22"/>
              </w:rPr>
              <w:t>Section 2.05</w:t>
            </w:r>
          </w:p>
        </w:tc>
        <w:tc>
          <w:tcPr>
            <w:tcW w:w="62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Holder Lists.</w:t>
            </w:r>
          </w:p>
        </w:tc>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33</w:t>
            </w:r>
          </w:p>
        </w:tc>
      </w:tr>
      <w:tr>
        <w:trPr/>
        <w:tc>
          <w:tcPr>
            <w:tcW w:w="12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10000"/>
                <w:sz w:val="22"/>
              </w:rPr>
            </w:pPr>
            <w:r>
              <w:rPr>
                <w:rFonts w:ascii="Times New Roman;serif" w:hAnsi="Times New Roman;serif"/>
                <w:b w:val="false"/>
                <w:color w:val="010000"/>
                <w:sz w:val="22"/>
              </w:rPr>
              <w:t>Section 2.06</w:t>
            </w:r>
          </w:p>
        </w:tc>
        <w:tc>
          <w:tcPr>
            <w:tcW w:w="62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Transfer and Exchange.</w:t>
            </w:r>
          </w:p>
        </w:tc>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33</w:t>
            </w:r>
          </w:p>
        </w:tc>
      </w:tr>
      <w:tr>
        <w:trPr/>
        <w:tc>
          <w:tcPr>
            <w:tcW w:w="12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10000"/>
                <w:sz w:val="22"/>
              </w:rPr>
            </w:pPr>
            <w:r>
              <w:rPr>
                <w:rFonts w:ascii="Times New Roman;serif" w:hAnsi="Times New Roman;serif"/>
                <w:b w:val="false"/>
                <w:color w:val="010000"/>
                <w:sz w:val="22"/>
              </w:rPr>
              <w:t>Section 2.07</w:t>
            </w:r>
          </w:p>
        </w:tc>
        <w:tc>
          <w:tcPr>
            <w:tcW w:w="62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Additional Notes.</w:t>
            </w:r>
          </w:p>
        </w:tc>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47</w:t>
            </w:r>
          </w:p>
        </w:tc>
      </w:tr>
      <w:tr>
        <w:trPr/>
        <w:tc>
          <w:tcPr>
            <w:tcW w:w="12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2.08</w:t>
            </w:r>
          </w:p>
        </w:tc>
        <w:tc>
          <w:tcPr>
            <w:tcW w:w="62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Replacement Notes.</w:t>
            </w:r>
          </w:p>
        </w:tc>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48</w:t>
            </w:r>
          </w:p>
        </w:tc>
      </w:tr>
      <w:tr>
        <w:trPr/>
        <w:tc>
          <w:tcPr>
            <w:tcW w:w="12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10000"/>
                <w:sz w:val="22"/>
              </w:rPr>
            </w:pPr>
            <w:r>
              <w:rPr>
                <w:rFonts w:ascii="Times New Roman;serif" w:hAnsi="Times New Roman;serif"/>
                <w:b w:val="false"/>
                <w:color w:val="010000"/>
                <w:sz w:val="22"/>
              </w:rPr>
              <w:t>Section 2.09</w:t>
            </w:r>
          </w:p>
        </w:tc>
        <w:tc>
          <w:tcPr>
            <w:tcW w:w="62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10000"/>
                <w:sz w:val="22"/>
              </w:rPr>
            </w:pPr>
            <w:r>
              <w:rPr>
                <w:rFonts w:ascii="Times New Roman;serif" w:hAnsi="Times New Roman;serif"/>
                <w:b w:val="false"/>
                <w:color w:val="010000"/>
                <w:sz w:val="22"/>
              </w:rPr>
              <w:t>Outstanding Notes.</w:t>
            </w:r>
          </w:p>
        </w:tc>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48</w:t>
            </w:r>
          </w:p>
        </w:tc>
      </w:tr>
      <w:tr>
        <w:trPr/>
        <w:tc>
          <w:tcPr>
            <w:tcW w:w="12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10000"/>
                <w:sz w:val="22"/>
              </w:rPr>
            </w:pPr>
            <w:r>
              <w:rPr>
                <w:rFonts w:ascii="Times New Roman;serif" w:hAnsi="Times New Roman;serif"/>
                <w:b w:val="false"/>
                <w:color w:val="010000"/>
                <w:sz w:val="22"/>
              </w:rPr>
              <w:t>Section 2.10</w:t>
            </w:r>
          </w:p>
        </w:tc>
        <w:tc>
          <w:tcPr>
            <w:tcW w:w="62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Treasury Notes.</w:t>
            </w:r>
          </w:p>
        </w:tc>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49</w:t>
            </w:r>
          </w:p>
        </w:tc>
      </w:tr>
      <w:tr>
        <w:trPr/>
        <w:tc>
          <w:tcPr>
            <w:tcW w:w="12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10000"/>
                <w:sz w:val="22"/>
              </w:rPr>
            </w:pPr>
            <w:r>
              <w:rPr>
                <w:rFonts w:ascii="Times New Roman;serif" w:hAnsi="Times New Roman;serif"/>
                <w:b w:val="false"/>
                <w:color w:val="010000"/>
                <w:sz w:val="22"/>
              </w:rPr>
              <w:t>Section 2.11</w:t>
            </w:r>
          </w:p>
        </w:tc>
        <w:tc>
          <w:tcPr>
            <w:tcW w:w="62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Temporary Notes.</w:t>
            </w:r>
          </w:p>
        </w:tc>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49</w:t>
            </w:r>
          </w:p>
        </w:tc>
      </w:tr>
      <w:tr>
        <w:trPr/>
        <w:tc>
          <w:tcPr>
            <w:tcW w:w="12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10000"/>
                <w:sz w:val="22"/>
              </w:rPr>
            </w:pPr>
            <w:r>
              <w:rPr>
                <w:rFonts w:ascii="Times New Roman;serif" w:hAnsi="Times New Roman;serif"/>
                <w:b w:val="false"/>
                <w:color w:val="010000"/>
                <w:sz w:val="22"/>
              </w:rPr>
              <w:t>Section 2.12</w:t>
            </w:r>
          </w:p>
        </w:tc>
        <w:tc>
          <w:tcPr>
            <w:tcW w:w="62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Cancellation.</w:t>
            </w:r>
          </w:p>
        </w:tc>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49</w:t>
            </w:r>
          </w:p>
        </w:tc>
      </w:tr>
      <w:tr>
        <w:trPr/>
        <w:tc>
          <w:tcPr>
            <w:tcW w:w="12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10000"/>
                <w:sz w:val="22"/>
              </w:rPr>
            </w:pPr>
            <w:r>
              <w:rPr>
                <w:rFonts w:ascii="Times New Roman;serif" w:hAnsi="Times New Roman;serif"/>
                <w:b w:val="false"/>
                <w:color w:val="010000"/>
                <w:sz w:val="22"/>
              </w:rPr>
              <w:t>Section 2.13</w:t>
            </w:r>
          </w:p>
        </w:tc>
        <w:tc>
          <w:tcPr>
            <w:tcW w:w="62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CUSIP / ISIN Numbers.</w:t>
            </w:r>
          </w:p>
        </w:tc>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49</w:t>
            </w:r>
          </w:p>
        </w:tc>
      </w:tr>
      <w:tr>
        <w:trPr/>
        <w:tc>
          <w:tcPr>
            <w:tcW w:w="7546"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10000"/>
                <w:sz w:val="22"/>
              </w:rPr>
            </w:pPr>
            <w:r>
              <w:rPr>
                <w:rFonts w:ascii="Times New Roman;serif" w:hAnsi="Times New Roman;serif"/>
                <w:b w:val="false"/>
                <w:color w:val="010000"/>
                <w:sz w:val="22"/>
              </w:rPr>
              <w:t>Article 3</w:t>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10000"/>
                <w:sz w:val="22"/>
              </w:rPr>
            </w:pPr>
            <w:r>
              <w:rPr>
                <w:rFonts w:ascii="Times New Roman;serif" w:hAnsi="Times New Roman;serif"/>
                <w:b w:val="false"/>
                <w:color w:val="010000"/>
                <w:sz w:val="22"/>
              </w:rPr>
              <w:t>REDEMPTION AND PREPAYMENT</w:t>
            </w:r>
          </w:p>
        </w:tc>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50</w:t>
            </w:r>
          </w:p>
        </w:tc>
      </w:tr>
      <w:tr>
        <w:trPr/>
        <w:tc>
          <w:tcPr>
            <w:tcW w:w="12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10000"/>
                <w:sz w:val="22"/>
              </w:rPr>
            </w:pPr>
            <w:r>
              <w:rPr>
                <w:rFonts w:ascii="Times New Roman;serif" w:hAnsi="Times New Roman;serif"/>
                <w:b w:val="false"/>
                <w:color w:val="010000"/>
                <w:sz w:val="22"/>
              </w:rPr>
              <w:t>Section 3.01</w:t>
            </w:r>
          </w:p>
        </w:tc>
        <w:tc>
          <w:tcPr>
            <w:tcW w:w="62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Notices to Trustee.</w:t>
            </w:r>
          </w:p>
        </w:tc>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50</w:t>
            </w:r>
          </w:p>
        </w:tc>
      </w:tr>
      <w:tr>
        <w:trPr/>
        <w:tc>
          <w:tcPr>
            <w:tcW w:w="12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10000"/>
                <w:sz w:val="22"/>
              </w:rPr>
            </w:pPr>
            <w:r>
              <w:rPr>
                <w:rFonts w:ascii="Times New Roman;serif" w:hAnsi="Times New Roman;serif"/>
                <w:b w:val="false"/>
                <w:color w:val="010000"/>
                <w:sz w:val="22"/>
              </w:rPr>
              <w:t>Section 3.02</w:t>
            </w:r>
          </w:p>
        </w:tc>
        <w:tc>
          <w:tcPr>
            <w:tcW w:w="62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Selection of Notes to Be Redeemed.</w:t>
            </w:r>
          </w:p>
        </w:tc>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50</w:t>
            </w:r>
          </w:p>
        </w:tc>
      </w:tr>
      <w:tr>
        <w:trPr/>
        <w:tc>
          <w:tcPr>
            <w:tcW w:w="12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10000"/>
                <w:sz w:val="22"/>
              </w:rPr>
            </w:pPr>
            <w:r>
              <w:rPr>
                <w:rFonts w:ascii="Times New Roman;serif" w:hAnsi="Times New Roman;serif"/>
                <w:b w:val="false"/>
                <w:color w:val="010000"/>
                <w:sz w:val="22"/>
              </w:rPr>
              <w:t>Section 3.03</w:t>
            </w:r>
          </w:p>
        </w:tc>
        <w:tc>
          <w:tcPr>
            <w:tcW w:w="62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Notice of Redemption.</w:t>
            </w:r>
          </w:p>
        </w:tc>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51</w:t>
            </w:r>
          </w:p>
        </w:tc>
      </w:tr>
      <w:tr>
        <w:trPr/>
        <w:tc>
          <w:tcPr>
            <w:tcW w:w="12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10000"/>
                <w:sz w:val="22"/>
              </w:rPr>
            </w:pPr>
            <w:r>
              <w:rPr>
                <w:rFonts w:ascii="Times New Roman;serif" w:hAnsi="Times New Roman;serif"/>
                <w:b w:val="false"/>
                <w:color w:val="010000"/>
                <w:sz w:val="22"/>
              </w:rPr>
              <w:t>Section 3.04</w:t>
            </w:r>
          </w:p>
        </w:tc>
        <w:tc>
          <w:tcPr>
            <w:tcW w:w="62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Effect of Notice of Redemption.</w:t>
            </w:r>
          </w:p>
        </w:tc>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52</w:t>
            </w:r>
          </w:p>
        </w:tc>
      </w:tr>
      <w:tr>
        <w:trPr/>
        <w:tc>
          <w:tcPr>
            <w:tcW w:w="12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10000"/>
                <w:sz w:val="22"/>
              </w:rPr>
            </w:pPr>
            <w:r>
              <w:rPr>
                <w:rFonts w:ascii="Times New Roman;serif" w:hAnsi="Times New Roman;serif"/>
                <w:b w:val="false"/>
                <w:color w:val="010000"/>
                <w:sz w:val="22"/>
              </w:rPr>
              <w:t>Section 3.05</w:t>
            </w:r>
          </w:p>
        </w:tc>
        <w:tc>
          <w:tcPr>
            <w:tcW w:w="62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Deposit of Redemption Price.</w:t>
            </w:r>
          </w:p>
        </w:tc>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52</w:t>
            </w:r>
          </w:p>
        </w:tc>
      </w:tr>
      <w:tr>
        <w:trPr/>
        <w:tc>
          <w:tcPr>
            <w:tcW w:w="12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10000"/>
                <w:sz w:val="22"/>
              </w:rPr>
            </w:pPr>
            <w:r>
              <w:rPr>
                <w:rFonts w:ascii="Times New Roman;serif" w:hAnsi="Times New Roman;serif"/>
                <w:b w:val="false"/>
                <w:color w:val="010000"/>
                <w:sz w:val="22"/>
              </w:rPr>
              <w:t>Section 3.06</w:t>
            </w:r>
          </w:p>
        </w:tc>
        <w:tc>
          <w:tcPr>
            <w:tcW w:w="62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Notes Redeemed in Part.</w:t>
            </w:r>
          </w:p>
        </w:tc>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53</w:t>
            </w:r>
          </w:p>
        </w:tc>
      </w:tr>
      <w:tr>
        <w:trPr/>
        <w:tc>
          <w:tcPr>
            <w:tcW w:w="12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10000"/>
                <w:sz w:val="22"/>
              </w:rPr>
            </w:pPr>
            <w:r>
              <w:rPr>
                <w:rFonts w:ascii="Times New Roman;serif" w:hAnsi="Times New Roman;serif"/>
                <w:b w:val="false"/>
                <w:color w:val="010000"/>
                <w:sz w:val="22"/>
              </w:rPr>
              <w:t>Section 3.07</w:t>
            </w:r>
          </w:p>
        </w:tc>
        <w:tc>
          <w:tcPr>
            <w:tcW w:w="62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Optional Redemption.</w:t>
            </w:r>
          </w:p>
        </w:tc>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53</w:t>
            </w:r>
          </w:p>
        </w:tc>
      </w:tr>
      <w:tr>
        <w:trPr/>
        <w:tc>
          <w:tcPr>
            <w:tcW w:w="12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10000"/>
                <w:sz w:val="22"/>
              </w:rPr>
            </w:pPr>
            <w:r>
              <w:rPr>
                <w:rFonts w:ascii="Times New Roman;serif" w:hAnsi="Times New Roman;serif"/>
                <w:b w:val="false"/>
                <w:color w:val="010000"/>
                <w:sz w:val="22"/>
              </w:rPr>
              <w:t>Section 3.08</w:t>
            </w:r>
          </w:p>
        </w:tc>
        <w:tc>
          <w:tcPr>
            <w:tcW w:w="62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Special Mandatory Redemption.</w:t>
            </w:r>
          </w:p>
        </w:tc>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54</w:t>
            </w:r>
          </w:p>
        </w:tc>
      </w:tr>
      <w:tr>
        <w:trPr/>
        <w:tc>
          <w:tcPr>
            <w:tcW w:w="12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10000"/>
                <w:sz w:val="22"/>
              </w:rPr>
            </w:pPr>
            <w:r>
              <w:rPr>
                <w:rFonts w:ascii="Times New Roman;serif" w:hAnsi="Times New Roman;serif"/>
                <w:b w:val="false"/>
                <w:color w:val="010000"/>
                <w:sz w:val="22"/>
              </w:rPr>
              <w:t>Section 3.09</w:t>
            </w:r>
          </w:p>
        </w:tc>
        <w:tc>
          <w:tcPr>
            <w:tcW w:w="62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10000"/>
                <w:sz w:val="22"/>
              </w:rPr>
            </w:pPr>
            <w:r>
              <w:rPr>
                <w:rFonts w:ascii="Times New Roman;serif" w:hAnsi="Times New Roman;serif"/>
                <w:b w:val="false"/>
                <w:color w:val="010000"/>
                <w:sz w:val="22"/>
              </w:rPr>
              <w:t>Calculation of Redemption Price.</w:t>
            </w:r>
          </w:p>
        </w:tc>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55</w:t>
            </w:r>
          </w:p>
        </w:tc>
      </w:tr>
      <w:tr>
        <w:trPr/>
        <w:tc>
          <w:tcPr>
            <w:tcW w:w="7546"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10000"/>
                <w:sz w:val="22"/>
              </w:rPr>
            </w:pPr>
            <w:r>
              <w:rPr>
                <w:rFonts w:ascii="Times New Roman;serif" w:hAnsi="Times New Roman;serif"/>
                <w:b w:val="false"/>
                <w:color w:val="010000"/>
                <w:sz w:val="22"/>
              </w:rPr>
              <w:t>Article 4</w:t>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10000"/>
                <w:sz w:val="22"/>
              </w:rPr>
            </w:pPr>
            <w:r>
              <w:rPr>
                <w:rFonts w:ascii="Times New Roman;serif" w:hAnsi="Times New Roman;serif"/>
                <w:b w:val="false"/>
                <w:color w:val="010000"/>
                <w:sz w:val="22"/>
              </w:rPr>
              <w:t>COVENANTS</w:t>
            </w:r>
          </w:p>
        </w:tc>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56</w:t>
            </w:r>
          </w:p>
        </w:tc>
      </w:tr>
      <w:tr>
        <w:trPr/>
        <w:tc>
          <w:tcPr>
            <w:tcW w:w="12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10000"/>
                <w:sz w:val="22"/>
              </w:rPr>
            </w:pPr>
            <w:r>
              <w:rPr>
                <w:rFonts w:ascii="Times New Roman;serif" w:hAnsi="Times New Roman;serif"/>
                <w:b w:val="false"/>
                <w:color w:val="010000"/>
                <w:sz w:val="22"/>
              </w:rPr>
              <w:t>Section 4.01</w:t>
            </w:r>
          </w:p>
        </w:tc>
        <w:tc>
          <w:tcPr>
            <w:tcW w:w="62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Payment of Notes.</w:t>
            </w:r>
          </w:p>
        </w:tc>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56</w:t>
            </w:r>
          </w:p>
        </w:tc>
      </w:tr>
      <w:tr>
        <w:trPr/>
        <w:tc>
          <w:tcPr>
            <w:tcW w:w="12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10000"/>
                <w:sz w:val="22"/>
              </w:rPr>
            </w:pPr>
            <w:r>
              <w:rPr>
                <w:rFonts w:ascii="Times New Roman;serif" w:hAnsi="Times New Roman;serif"/>
                <w:b w:val="false"/>
                <w:color w:val="010000"/>
                <w:sz w:val="22"/>
              </w:rPr>
              <w:t>Section 4.02</w:t>
            </w:r>
          </w:p>
        </w:tc>
        <w:tc>
          <w:tcPr>
            <w:tcW w:w="62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Maintenance of Office or Agency.</w:t>
            </w:r>
          </w:p>
        </w:tc>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56</w:t>
            </w:r>
          </w:p>
        </w:tc>
      </w:tr>
      <w:tr>
        <w:trPr/>
        <w:tc>
          <w:tcPr>
            <w:tcW w:w="12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10000"/>
                <w:sz w:val="22"/>
              </w:rPr>
            </w:pPr>
            <w:r>
              <w:rPr>
                <w:rFonts w:ascii="Times New Roman;serif" w:hAnsi="Times New Roman;serif"/>
                <w:b w:val="false"/>
                <w:color w:val="010000"/>
                <w:sz w:val="22"/>
              </w:rPr>
              <w:t>Section 4.03</w:t>
            </w:r>
          </w:p>
        </w:tc>
        <w:tc>
          <w:tcPr>
            <w:tcW w:w="62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Compliance Certificate.</w:t>
            </w:r>
          </w:p>
        </w:tc>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56</w:t>
            </w:r>
          </w:p>
        </w:tc>
      </w:tr>
      <w:tr>
        <w:trPr/>
        <w:tc>
          <w:tcPr>
            <w:tcW w:w="12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10000"/>
                <w:sz w:val="22"/>
              </w:rPr>
            </w:pPr>
            <w:r>
              <w:rPr>
                <w:rFonts w:ascii="Times New Roman;serif" w:hAnsi="Times New Roman;serif"/>
                <w:b w:val="false"/>
                <w:color w:val="010000"/>
                <w:sz w:val="22"/>
              </w:rPr>
              <w:t>Section 4.04</w:t>
            </w:r>
          </w:p>
        </w:tc>
        <w:tc>
          <w:tcPr>
            <w:tcW w:w="62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Limitation on Liens.</w:t>
            </w:r>
          </w:p>
        </w:tc>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57</w:t>
            </w:r>
          </w:p>
        </w:tc>
      </w:tr>
      <w:tr>
        <w:trPr/>
        <w:tc>
          <w:tcPr>
            <w:tcW w:w="12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10000"/>
                <w:sz w:val="22"/>
              </w:rPr>
            </w:pPr>
            <w:r>
              <w:rPr>
                <w:rFonts w:ascii="Times New Roman;serif" w:hAnsi="Times New Roman;serif"/>
                <w:b w:val="false"/>
                <w:color w:val="010000"/>
                <w:sz w:val="22"/>
              </w:rPr>
              <w:t>Section 4.05</w:t>
            </w:r>
          </w:p>
        </w:tc>
        <w:tc>
          <w:tcPr>
            <w:tcW w:w="62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Limitations on Susquehanna Transactions.</w:t>
            </w:r>
          </w:p>
        </w:tc>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57</w:t>
            </w:r>
          </w:p>
        </w:tc>
      </w:tr>
      <w:tr>
        <w:trPr/>
        <w:tc>
          <w:tcPr>
            <w:tcW w:w="12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10000"/>
                <w:sz w:val="22"/>
              </w:rPr>
            </w:pPr>
            <w:r>
              <w:rPr>
                <w:rFonts w:ascii="Times New Roman;serif" w:hAnsi="Times New Roman;serif"/>
                <w:b w:val="false"/>
                <w:color w:val="010000"/>
                <w:sz w:val="22"/>
              </w:rPr>
              <w:t>Section 4.06</w:t>
            </w:r>
          </w:p>
        </w:tc>
        <w:tc>
          <w:tcPr>
            <w:tcW w:w="62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Additional Subsidiary Guarantees.</w:t>
            </w:r>
          </w:p>
        </w:tc>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58</w:t>
            </w:r>
          </w:p>
        </w:tc>
      </w:tr>
      <w:tr>
        <w:trPr/>
        <w:tc>
          <w:tcPr>
            <w:tcW w:w="12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10000"/>
                <w:sz w:val="22"/>
              </w:rPr>
            </w:pPr>
            <w:r>
              <w:rPr>
                <w:rFonts w:ascii="Times New Roman;serif" w:hAnsi="Times New Roman;serif"/>
                <w:b w:val="false"/>
                <w:color w:val="010000"/>
                <w:sz w:val="22"/>
              </w:rPr>
              <w:t>Section 4.07</w:t>
            </w:r>
          </w:p>
        </w:tc>
        <w:tc>
          <w:tcPr>
            <w:tcW w:w="62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Reports.</w:t>
            </w:r>
          </w:p>
        </w:tc>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58</w:t>
            </w:r>
          </w:p>
        </w:tc>
      </w:tr>
      <w:tr>
        <w:trPr/>
        <w:tc>
          <w:tcPr>
            <w:tcW w:w="12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10000"/>
                <w:sz w:val="22"/>
              </w:rPr>
            </w:pPr>
            <w:r>
              <w:rPr>
                <w:rFonts w:ascii="Times New Roman;serif" w:hAnsi="Times New Roman;serif"/>
                <w:b w:val="false"/>
                <w:color w:val="010000"/>
                <w:sz w:val="22"/>
              </w:rPr>
              <w:t>Section 4.08</w:t>
            </w:r>
          </w:p>
        </w:tc>
        <w:tc>
          <w:tcPr>
            <w:tcW w:w="62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Offer to Repurchase Upon a Change of Control Triggering Event.</w:t>
            </w:r>
          </w:p>
        </w:tc>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60</w:t>
            </w:r>
          </w:p>
        </w:tc>
      </w:tr>
      <w:tr>
        <w:trPr/>
        <w:tc>
          <w:tcPr>
            <w:tcW w:w="7546"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10000"/>
                <w:sz w:val="22"/>
              </w:rPr>
            </w:pPr>
            <w:r>
              <w:rPr>
                <w:rFonts w:ascii="Times New Roman;serif" w:hAnsi="Times New Roman;serif"/>
                <w:b w:val="false"/>
                <w:color w:val="010000"/>
                <w:sz w:val="22"/>
              </w:rPr>
              <w:t>Article 5</w:t>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10000"/>
                <w:sz w:val="22"/>
              </w:rPr>
            </w:pPr>
            <w:r>
              <w:rPr>
                <w:rFonts w:ascii="Times New Roman;serif" w:hAnsi="Times New Roman;serif"/>
                <w:b w:val="false"/>
                <w:color w:val="010000"/>
                <w:sz w:val="22"/>
              </w:rPr>
              <w:t>SUCCESSORS</w:t>
            </w:r>
          </w:p>
        </w:tc>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62</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735965"/>
                <wp:effectExtent l="0" t="0" r="0" b="0"/>
                <wp:wrapNone/>
                <wp:docPr id="46" name="Frame46"/>
                <a:graphic xmlns:a="http://schemas.openxmlformats.org/drawingml/2006/main">
                  <a:graphicData uri="http://schemas.microsoft.com/office/word/2010/wordprocessingShape">
                    <wps:wsp>
                      <wps:cNvSpPr txBox="1"/>
                      <wps:spPr>
                        <a:xfrm>
                          <a:off x="0" y="0"/>
                          <a:ext cx="6480175" cy="7359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i</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i</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tbl>
      <w:tblPr>
        <w:tblW w:w="10205" w:type="dxa"/>
        <w:jc w:val="center"/>
        <w:tblInd w:w="0" w:type="dxa"/>
        <w:tblLayout w:type="fixed"/>
        <w:tblCellMar>
          <w:top w:w="28" w:type="dxa"/>
          <w:left w:w="28" w:type="dxa"/>
          <w:bottom w:w="28" w:type="dxa"/>
          <w:right w:w="28" w:type="dxa"/>
        </w:tblCellMar>
      </w:tblPr>
      <w:tblGrid>
        <w:gridCol w:w="571"/>
        <w:gridCol w:w="502"/>
        <w:gridCol w:w="503"/>
        <w:gridCol w:w="2778"/>
        <w:gridCol w:w="2725"/>
        <w:gridCol w:w="2732"/>
        <w:gridCol w:w="114"/>
        <w:gridCol w:w="114"/>
        <w:gridCol w:w="166"/>
      </w:tblGrid>
      <w:tr>
        <w:trPr/>
        <w:tc>
          <w:tcPr>
            <w:tcW w:w="571"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2778" w:type="dxa"/>
            <w:tcBorders/>
            <w:vAlign w:val="center"/>
          </w:tcPr>
          <w:p>
            <w:pPr>
              <w:pStyle w:val="TableContents"/>
              <w:bidi w:val="0"/>
              <w:spacing w:before="0" w:after="283"/>
              <w:jc w:val="left"/>
              <w:rPr>
                <w:sz w:val="4"/>
                <w:szCs w:val="4"/>
              </w:rPr>
            </w:pPr>
            <w:r>
              <w:rPr>
                <w:sz w:val="4"/>
                <w:szCs w:val="4"/>
              </w:rPr>
            </w:r>
          </w:p>
        </w:tc>
        <w:tc>
          <w:tcPr>
            <w:tcW w:w="2725" w:type="dxa"/>
            <w:tcBorders/>
            <w:vAlign w:val="center"/>
          </w:tcPr>
          <w:p>
            <w:pPr>
              <w:pStyle w:val="TableContents"/>
              <w:bidi w:val="0"/>
              <w:spacing w:before="0" w:after="283"/>
              <w:jc w:val="left"/>
              <w:rPr>
                <w:sz w:val="4"/>
                <w:szCs w:val="4"/>
              </w:rPr>
            </w:pPr>
            <w:r>
              <w:rPr>
                <w:sz w:val="4"/>
                <w:szCs w:val="4"/>
              </w:rPr>
            </w:r>
          </w:p>
        </w:tc>
        <w:tc>
          <w:tcPr>
            <w:tcW w:w="2732"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5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10000"/>
                <w:sz w:val="22"/>
              </w:rPr>
            </w:pPr>
            <w:r>
              <w:rPr>
                <w:rFonts w:ascii="Times New Roman;serif" w:hAnsi="Times New Roman;serif"/>
                <w:b w:val="false"/>
                <w:color w:val="010000"/>
                <w:sz w:val="22"/>
              </w:rPr>
              <w:t>Section 5.01</w:t>
            </w:r>
          </w:p>
        </w:tc>
        <w:tc>
          <w:tcPr>
            <w:tcW w:w="82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Financial Statements</w:t>
            </w:r>
          </w:p>
        </w:tc>
        <w:tc>
          <w:tcPr>
            <w:tcW w:w="39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62</w:t>
            </w:r>
          </w:p>
        </w:tc>
      </w:tr>
      <w:tr>
        <w:trPr/>
        <w:tc>
          <w:tcPr>
            <w:tcW w:w="15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10000"/>
                <w:sz w:val="22"/>
              </w:rPr>
            </w:pPr>
            <w:r>
              <w:rPr>
                <w:rFonts w:ascii="Times New Roman;serif" w:hAnsi="Times New Roman;serif"/>
                <w:b w:val="false"/>
                <w:color w:val="010000"/>
                <w:sz w:val="22"/>
              </w:rPr>
              <w:t>Section 5.02</w:t>
            </w:r>
          </w:p>
        </w:tc>
        <w:tc>
          <w:tcPr>
            <w:tcW w:w="82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Undisclosed Liabilities</w:t>
            </w:r>
          </w:p>
        </w:tc>
        <w:tc>
          <w:tcPr>
            <w:tcW w:w="39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63</w:t>
            </w:r>
          </w:p>
        </w:tc>
      </w:tr>
      <w:tr>
        <w:trPr/>
        <w:tc>
          <w:tcPr>
            <w:tcW w:w="15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10000"/>
                <w:sz w:val="22"/>
              </w:rPr>
            </w:pPr>
            <w:r>
              <w:rPr>
                <w:rFonts w:ascii="Times New Roman;serif" w:hAnsi="Times New Roman;serif"/>
                <w:b w:val="false"/>
                <w:color w:val="010000"/>
                <w:sz w:val="22"/>
              </w:rPr>
              <w:t>Section 5.03</w:t>
            </w:r>
          </w:p>
        </w:tc>
        <w:tc>
          <w:tcPr>
            <w:tcW w:w="82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Absence of Changes</w:t>
            </w:r>
          </w:p>
        </w:tc>
        <w:tc>
          <w:tcPr>
            <w:tcW w:w="39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63</w:t>
            </w:r>
          </w:p>
        </w:tc>
      </w:tr>
      <w:tr>
        <w:trPr/>
        <w:tc>
          <w:tcPr>
            <w:tcW w:w="15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10000"/>
                <w:sz w:val="22"/>
              </w:rPr>
            </w:pPr>
            <w:r>
              <w:rPr>
                <w:rFonts w:ascii="Times New Roman;serif" w:hAnsi="Times New Roman;serif"/>
                <w:b w:val="false"/>
                <w:color w:val="010000"/>
                <w:sz w:val="22"/>
              </w:rPr>
              <w:t>Section 5.04</w:t>
            </w:r>
          </w:p>
        </w:tc>
        <w:tc>
          <w:tcPr>
            <w:tcW w:w="82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Proceedings; Orders</w:t>
            </w:r>
          </w:p>
        </w:tc>
        <w:tc>
          <w:tcPr>
            <w:tcW w:w="39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64</w:t>
            </w:r>
          </w:p>
        </w:tc>
      </w:tr>
      <w:tr>
        <w:trPr/>
        <w:tc>
          <w:tcPr>
            <w:tcW w:w="981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10000"/>
                <w:sz w:val="22"/>
              </w:rPr>
            </w:pPr>
            <w:r>
              <w:rPr>
                <w:rFonts w:ascii="Times New Roman;serif" w:hAnsi="Times New Roman;serif"/>
                <w:b w:val="false"/>
                <w:color w:val="010000"/>
                <w:sz w:val="22"/>
              </w:rPr>
              <w:t>Article 6</w:t>
            </w:r>
          </w:p>
        </w:tc>
        <w:tc>
          <w:tcPr>
            <w:tcW w:w="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1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10000"/>
                <w:sz w:val="22"/>
              </w:rPr>
            </w:pPr>
            <w:r>
              <w:rPr>
                <w:rFonts w:ascii="Times New Roman;serif" w:hAnsi="Times New Roman;serif"/>
                <w:b w:val="false"/>
                <w:color w:val="010000"/>
                <w:sz w:val="22"/>
              </w:rPr>
              <w:t>DEFAULTS AND REMEDIES</w:t>
            </w:r>
          </w:p>
        </w:tc>
        <w:tc>
          <w:tcPr>
            <w:tcW w:w="39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64</w:t>
            </w:r>
          </w:p>
        </w:tc>
      </w:tr>
      <w:tr>
        <w:trPr/>
        <w:tc>
          <w:tcPr>
            <w:tcW w:w="15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10000"/>
                <w:sz w:val="22"/>
              </w:rPr>
            </w:pPr>
            <w:r>
              <w:rPr>
                <w:rFonts w:ascii="Times New Roman;serif" w:hAnsi="Times New Roman;serif"/>
                <w:b w:val="false"/>
                <w:color w:val="010000"/>
                <w:sz w:val="22"/>
              </w:rPr>
              <w:t>Section 6.01</w:t>
            </w:r>
          </w:p>
        </w:tc>
        <w:tc>
          <w:tcPr>
            <w:tcW w:w="82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Events of Default.</w:t>
            </w:r>
          </w:p>
        </w:tc>
        <w:tc>
          <w:tcPr>
            <w:tcW w:w="39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64</w:t>
            </w:r>
          </w:p>
        </w:tc>
      </w:tr>
      <w:tr>
        <w:trPr/>
        <w:tc>
          <w:tcPr>
            <w:tcW w:w="15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10000"/>
                <w:sz w:val="22"/>
              </w:rPr>
            </w:pPr>
            <w:r>
              <w:rPr>
                <w:rFonts w:ascii="Times New Roman;serif" w:hAnsi="Times New Roman;serif"/>
                <w:b w:val="false"/>
                <w:color w:val="010000"/>
                <w:sz w:val="22"/>
              </w:rPr>
              <w:t>Section 6.02</w:t>
            </w:r>
          </w:p>
        </w:tc>
        <w:tc>
          <w:tcPr>
            <w:tcW w:w="82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Acceleration.</w:t>
            </w:r>
          </w:p>
        </w:tc>
        <w:tc>
          <w:tcPr>
            <w:tcW w:w="39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66</w:t>
            </w:r>
          </w:p>
        </w:tc>
      </w:tr>
      <w:tr>
        <w:trPr/>
        <w:tc>
          <w:tcPr>
            <w:tcW w:w="15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10000"/>
                <w:sz w:val="22"/>
              </w:rPr>
            </w:pPr>
            <w:r>
              <w:rPr>
                <w:rFonts w:ascii="Times New Roman;serif" w:hAnsi="Times New Roman;serif"/>
                <w:b w:val="false"/>
                <w:color w:val="010000"/>
                <w:sz w:val="22"/>
              </w:rPr>
              <w:t>Section 6.03</w:t>
            </w:r>
          </w:p>
        </w:tc>
        <w:tc>
          <w:tcPr>
            <w:tcW w:w="82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Waiver of Past Defaults.</w:t>
            </w:r>
          </w:p>
        </w:tc>
        <w:tc>
          <w:tcPr>
            <w:tcW w:w="39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66</w:t>
            </w:r>
          </w:p>
        </w:tc>
      </w:tr>
      <w:tr>
        <w:trPr/>
        <w:tc>
          <w:tcPr>
            <w:tcW w:w="15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10000"/>
                <w:sz w:val="22"/>
              </w:rPr>
            </w:pPr>
            <w:r>
              <w:rPr>
                <w:rFonts w:ascii="Times New Roman;serif" w:hAnsi="Times New Roman;serif"/>
                <w:b w:val="false"/>
                <w:color w:val="010000"/>
                <w:sz w:val="22"/>
              </w:rPr>
              <w:t>Section 6.04</w:t>
            </w:r>
          </w:p>
        </w:tc>
        <w:tc>
          <w:tcPr>
            <w:tcW w:w="82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Control by Majority.</w:t>
            </w:r>
          </w:p>
        </w:tc>
        <w:tc>
          <w:tcPr>
            <w:tcW w:w="39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66</w:t>
            </w:r>
          </w:p>
        </w:tc>
      </w:tr>
      <w:tr>
        <w:trPr/>
        <w:tc>
          <w:tcPr>
            <w:tcW w:w="15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10000"/>
                <w:sz w:val="22"/>
              </w:rPr>
            </w:pPr>
            <w:r>
              <w:rPr>
                <w:rFonts w:ascii="Times New Roman;serif" w:hAnsi="Times New Roman;serif"/>
                <w:b w:val="false"/>
                <w:color w:val="010000"/>
                <w:sz w:val="22"/>
              </w:rPr>
              <w:t>Section 6.05</w:t>
            </w:r>
          </w:p>
        </w:tc>
        <w:tc>
          <w:tcPr>
            <w:tcW w:w="82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Limitations on Suits.</w:t>
            </w:r>
          </w:p>
        </w:tc>
        <w:tc>
          <w:tcPr>
            <w:tcW w:w="39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66</w:t>
            </w:r>
          </w:p>
        </w:tc>
      </w:tr>
      <w:tr>
        <w:trPr/>
        <w:tc>
          <w:tcPr>
            <w:tcW w:w="15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6.06</w:t>
            </w:r>
          </w:p>
        </w:tc>
        <w:tc>
          <w:tcPr>
            <w:tcW w:w="82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Collection Suit by Trustee.</w:t>
            </w:r>
          </w:p>
        </w:tc>
        <w:tc>
          <w:tcPr>
            <w:tcW w:w="39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67</w:t>
            </w:r>
          </w:p>
        </w:tc>
      </w:tr>
      <w:tr>
        <w:trPr/>
        <w:tc>
          <w:tcPr>
            <w:tcW w:w="15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10000"/>
                <w:sz w:val="22"/>
              </w:rPr>
            </w:pPr>
            <w:r>
              <w:rPr>
                <w:rFonts w:ascii="Times New Roman;serif" w:hAnsi="Times New Roman;serif"/>
                <w:b w:val="false"/>
                <w:color w:val="010000"/>
                <w:sz w:val="22"/>
              </w:rPr>
              <w:t>Section 6.07</w:t>
            </w:r>
          </w:p>
        </w:tc>
        <w:tc>
          <w:tcPr>
            <w:tcW w:w="82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10000"/>
                <w:sz w:val="22"/>
              </w:rPr>
            </w:pPr>
            <w:r>
              <w:rPr>
                <w:rFonts w:ascii="Times New Roman;serif" w:hAnsi="Times New Roman;serif"/>
                <w:b w:val="false"/>
                <w:color w:val="010000"/>
                <w:sz w:val="22"/>
              </w:rPr>
              <w:t>Priorities.</w:t>
            </w:r>
          </w:p>
        </w:tc>
        <w:tc>
          <w:tcPr>
            <w:tcW w:w="39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67</w:t>
            </w:r>
          </w:p>
        </w:tc>
      </w:tr>
      <w:tr>
        <w:trPr/>
        <w:tc>
          <w:tcPr>
            <w:tcW w:w="15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10000"/>
                <w:sz w:val="22"/>
              </w:rPr>
            </w:pPr>
            <w:r>
              <w:rPr>
                <w:rFonts w:ascii="Times New Roman;serif" w:hAnsi="Times New Roman;serif"/>
                <w:b w:val="false"/>
                <w:color w:val="010000"/>
                <w:sz w:val="22"/>
              </w:rPr>
              <w:t>Section 6.08</w:t>
            </w:r>
          </w:p>
        </w:tc>
        <w:tc>
          <w:tcPr>
            <w:tcW w:w="82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Trustee May File Proofs of Claim.</w:t>
            </w:r>
          </w:p>
        </w:tc>
        <w:tc>
          <w:tcPr>
            <w:tcW w:w="39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68</w:t>
            </w:r>
          </w:p>
        </w:tc>
      </w:tr>
      <w:tr>
        <w:trPr/>
        <w:tc>
          <w:tcPr>
            <w:tcW w:w="981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10000"/>
                <w:sz w:val="22"/>
              </w:rPr>
            </w:pPr>
            <w:r>
              <w:rPr>
                <w:rFonts w:ascii="Times New Roman;serif" w:hAnsi="Times New Roman;serif"/>
                <w:b w:val="false"/>
                <w:color w:val="010000"/>
                <w:sz w:val="22"/>
              </w:rPr>
              <w:t>Article 7</w:t>
            </w:r>
          </w:p>
        </w:tc>
        <w:tc>
          <w:tcPr>
            <w:tcW w:w="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1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10000"/>
                <w:sz w:val="22"/>
              </w:rPr>
            </w:pPr>
            <w:r>
              <w:rPr>
                <w:rFonts w:ascii="Times New Roman;serif" w:hAnsi="Times New Roman;serif"/>
                <w:b w:val="false"/>
                <w:color w:val="010000"/>
                <w:sz w:val="22"/>
              </w:rPr>
              <w:t>TRUSTEE</w:t>
            </w:r>
          </w:p>
        </w:tc>
        <w:tc>
          <w:tcPr>
            <w:tcW w:w="39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70</w:t>
            </w:r>
          </w:p>
        </w:tc>
      </w:tr>
      <w:tr>
        <w:trPr/>
        <w:tc>
          <w:tcPr>
            <w:tcW w:w="15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10000"/>
                <w:sz w:val="22"/>
              </w:rPr>
            </w:pPr>
            <w:r>
              <w:rPr>
                <w:rFonts w:ascii="Times New Roman;serif" w:hAnsi="Times New Roman;serif"/>
                <w:b w:val="false"/>
                <w:color w:val="010000"/>
                <w:sz w:val="22"/>
              </w:rPr>
              <w:t>Section 7.01</w:t>
            </w:r>
          </w:p>
        </w:tc>
        <w:tc>
          <w:tcPr>
            <w:tcW w:w="82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Duties of Trustee.</w:t>
            </w:r>
          </w:p>
        </w:tc>
        <w:tc>
          <w:tcPr>
            <w:tcW w:w="39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70</w:t>
            </w:r>
          </w:p>
        </w:tc>
      </w:tr>
      <w:tr>
        <w:trPr/>
        <w:tc>
          <w:tcPr>
            <w:tcW w:w="15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10000"/>
                <w:sz w:val="22"/>
              </w:rPr>
            </w:pPr>
            <w:r>
              <w:rPr>
                <w:rFonts w:ascii="Times New Roman;serif" w:hAnsi="Times New Roman;serif"/>
                <w:b w:val="false"/>
                <w:color w:val="010000"/>
                <w:sz w:val="22"/>
              </w:rPr>
              <w:t>Section 7.02</w:t>
            </w:r>
          </w:p>
        </w:tc>
        <w:tc>
          <w:tcPr>
            <w:tcW w:w="82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Rights of Trustee.</w:t>
            </w:r>
          </w:p>
        </w:tc>
        <w:tc>
          <w:tcPr>
            <w:tcW w:w="39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71</w:t>
            </w:r>
          </w:p>
        </w:tc>
      </w:tr>
      <w:tr>
        <w:trPr/>
        <w:tc>
          <w:tcPr>
            <w:tcW w:w="15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10000"/>
                <w:sz w:val="22"/>
              </w:rPr>
            </w:pPr>
            <w:r>
              <w:rPr>
                <w:rFonts w:ascii="Times New Roman;serif" w:hAnsi="Times New Roman;serif"/>
                <w:b w:val="false"/>
                <w:color w:val="010000"/>
                <w:sz w:val="22"/>
              </w:rPr>
              <w:t>Section 7.03</w:t>
            </w:r>
          </w:p>
        </w:tc>
        <w:tc>
          <w:tcPr>
            <w:tcW w:w="82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Individual Rights of Trustee.</w:t>
            </w:r>
          </w:p>
        </w:tc>
        <w:tc>
          <w:tcPr>
            <w:tcW w:w="39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73</w:t>
            </w:r>
          </w:p>
        </w:tc>
      </w:tr>
      <w:tr>
        <w:trPr/>
        <w:tc>
          <w:tcPr>
            <w:tcW w:w="15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10000"/>
                <w:sz w:val="22"/>
              </w:rPr>
            </w:pPr>
            <w:r>
              <w:rPr>
                <w:rFonts w:ascii="Times New Roman;serif" w:hAnsi="Times New Roman;serif"/>
                <w:b w:val="false"/>
                <w:color w:val="010000"/>
                <w:sz w:val="22"/>
              </w:rPr>
              <w:t>Section 7.04</w:t>
            </w:r>
          </w:p>
        </w:tc>
        <w:tc>
          <w:tcPr>
            <w:tcW w:w="82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Trustee’s Disclaimer.</w:t>
            </w:r>
          </w:p>
        </w:tc>
        <w:tc>
          <w:tcPr>
            <w:tcW w:w="39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74</w:t>
            </w:r>
          </w:p>
        </w:tc>
      </w:tr>
      <w:tr>
        <w:trPr/>
        <w:tc>
          <w:tcPr>
            <w:tcW w:w="15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10000"/>
                <w:sz w:val="22"/>
              </w:rPr>
            </w:pPr>
            <w:r>
              <w:rPr>
                <w:rFonts w:ascii="Times New Roman;serif" w:hAnsi="Times New Roman;serif"/>
                <w:b w:val="false"/>
                <w:color w:val="010000"/>
                <w:sz w:val="22"/>
              </w:rPr>
              <w:t>Section 7.05</w:t>
            </w:r>
          </w:p>
        </w:tc>
        <w:tc>
          <w:tcPr>
            <w:tcW w:w="82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Notice of Defaults.</w:t>
            </w:r>
          </w:p>
        </w:tc>
        <w:tc>
          <w:tcPr>
            <w:tcW w:w="39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74</w:t>
            </w:r>
          </w:p>
        </w:tc>
      </w:tr>
      <w:tr>
        <w:trPr/>
        <w:tc>
          <w:tcPr>
            <w:tcW w:w="15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10000"/>
                <w:sz w:val="22"/>
              </w:rPr>
            </w:pPr>
            <w:r>
              <w:rPr>
                <w:rFonts w:ascii="Times New Roman;serif" w:hAnsi="Times New Roman;serif"/>
                <w:b w:val="false"/>
                <w:color w:val="010000"/>
                <w:sz w:val="22"/>
              </w:rPr>
              <w:t>Section 7.06</w:t>
            </w:r>
          </w:p>
        </w:tc>
        <w:tc>
          <w:tcPr>
            <w:tcW w:w="82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Compensation and Indemnity.</w:t>
            </w:r>
          </w:p>
        </w:tc>
        <w:tc>
          <w:tcPr>
            <w:tcW w:w="39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74</w:t>
            </w:r>
          </w:p>
        </w:tc>
      </w:tr>
      <w:tr>
        <w:trPr/>
        <w:tc>
          <w:tcPr>
            <w:tcW w:w="15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10000"/>
                <w:sz w:val="22"/>
              </w:rPr>
            </w:pPr>
            <w:r>
              <w:rPr>
                <w:rFonts w:ascii="Times New Roman;serif" w:hAnsi="Times New Roman;serif"/>
                <w:b w:val="false"/>
                <w:color w:val="010000"/>
                <w:sz w:val="22"/>
              </w:rPr>
              <w:t>Section 7.07</w:t>
            </w:r>
          </w:p>
        </w:tc>
        <w:tc>
          <w:tcPr>
            <w:tcW w:w="82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Replacement of Trustee.</w:t>
            </w:r>
          </w:p>
        </w:tc>
        <w:tc>
          <w:tcPr>
            <w:tcW w:w="39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75</w:t>
            </w:r>
          </w:p>
        </w:tc>
      </w:tr>
      <w:tr>
        <w:trPr/>
        <w:tc>
          <w:tcPr>
            <w:tcW w:w="15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7.08</w:t>
            </w:r>
          </w:p>
        </w:tc>
        <w:tc>
          <w:tcPr>
            <w:tcW w:w="82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Successor Trustee by Merger, etc.</w:t>
            </w:r>
          </w:p>
        </w:tc>
        <w:tc>
          <w:tcPr>
            <w:tcW w:w="39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76</w:t>
            </w:r>
          </w:p>
        </w:tc>
      </w:tr>
      <w:tr>
        <w:trPr/>
        <w:tc>
          <w:tcPr>
            <w:tcW w:w="15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10000"/>
                <w:sz w:val="22"/>
              </w:rPr>
            </w:pPr>
            <w:r>
              <w:rPr>
                <w:rFonts w:ascii="Times New Roman;serif" w:hAnsi="Times New Roman;serif"/>
                <w:b w:val="false"/>
                <w:color w:val="010000"/>
                <w:sz w:val="22"/>
              </w:rPr>
              <w:t>Section 7.09</w:t>
            </w:r>
          </w:p>
        </w:tc>
        <w:tc>
          <w:tcPr>
            <w:tcW w:w="82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10000"/>
                <w:sz w:val="22"/>
              </w:rPr>
            </w:pPr>
            <w:r>
              <w:rPr>
                <w:rFonts w:ascii="Times New Roman;serif" w:hAnsi="Times New Roman;serif"/>
                <w:b w:val="false"/>
                <w:color w:val="010000"/>
                <w:sz w:val="22"/>
              </w:rPr>
              <w:t>Eligibility; Disqualification.</w:t>
            </w:r>
          </w:p>
        </w:tc>
        <w:tc>
          <w:tcPr>
            <w:tcW w:w="39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76</w:t>
            </w:r>
          </w:p>
        </w:tc>
      </w:tr>
      <w:tr>
        <w:trPr/>
        <w:tc>
          <w:tcPr>
            <w:tcW w:w="981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10000"/>
                <w:sz w:val="22"/>
              </w:rPr>
            </w:pPr>
            <w:r>
              <w:rPr>
                <w:rFonts w:ascii="Times New Roman;serif" w:hAnsi="Times New Roman;serif"/>
                <w:b w:val="false"/>
                <w:color w:val="010000"/>
                <w:sz w:val="22"/>
              </w:rPr>
              <w:t>Article 8</w:t>
            </w:r>
          </w:p>
        </w:tc>
        <w:tc>
          <w:tcPr>
            <w:tcW w:w="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1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10000"/>
                <w:sz w:val="22"/>
              </w:rPr>
            </w:pPr>
            <w:r>
              <w:rPr>
                <w:rFonts w:ascii="Times New Roman;serif" w:hAnsi="Times New Roman;serif"/>
                <w:b w:val="false"/>
                <w:color w:val="010000"/>
                <w:sz w:val="22"/>
              </w:rPr>
              <w:t>LEGAL DEFEASANCE AND COVENANT DEFEASANCE</w:t>
            </w:r>
          </w:p>
        </w:tc>
        <w:tc>
          <w:tcPr>
            <w:tcW w:w="39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76</w:t>
            </w:r>
          </w:p>
        </w:tc>
      </w:tr>
      <w:tr>
        <w:trPr/>
        <w:tc>
          <w:tcPr>
            <w:tcW w:w="15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10000"/>
                <w:sz w:val="22"/>
              </w:rPr>
            </w:pPr>
            <w:r>
              <w:rPr>
                <w:rFonts w:ascii="Times New Roman;serif" w:hAnsi="Times New Roman;serif"/>
                <w:b w:val="false"/>
                <w:color w:val="010000"/>
                <w:sz w:val="22"/>
              </w:rPr>
              <w:t>Section 8.01</w:t>
            </w:r>
          </w:p>
        </w:tc>
        <w:tc>
          <w:tcPr>
            <w:tcW w:w="82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Option to Effect Legal Defeasance or Covenant Defeasance.</w:t>
            </w:r>
          </w:p>
        </w:tc>
        <w:tc>
          <w:tcPr>
            <w:tcW w:w="39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76</w:t>
            </w:r>
          </w:p>
        </w:tc>
      </w:tr>
      <w:tr>
        <w:trPr/>
        <w:tc>
          <w:tcPr>
            <w:tcW w:w="15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10000"/>
                <w:sz w:val="22"/>
              </w:rPr>
            </w:pPr>
            <w:r>
              <w:rPr>
                <w:rFonts w:ascii="Times New Roman;serif" w:hAnsi="Times New Roman;serif"/>
                <w:b w:val="false"/>
                <w:color w:val="010000"/>
                <w:sz w:val="22"/>
              </w:rPr>
              <w:t>Section 8.02</w:t>
            </w:r>
          </w:p>
        </w:tc>
        <w:tc>
          <w:tcPr>
            <w:tcW w:w="82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Legal Defeasance.</w:t>
            </w:r>
          </w:p>
        </w:tc>
        <w:tc>
          <w:tcPr>
            <w:tcW w:w="39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77</w:t>
            </w:r>
          </w:p>
        </w:tc>
      </w:tr>
      <w:tr>
        <w:trPr/>
        <w:tc>
          <w:tcPr>
            <w:tcW w:w="15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10000"/>
                <w:sz w:val="22"/>
              </w:rPr>
            </w:pPr>
            <w:r>
              <w:rPr>
                <w:rFonts w:ascii="Times New Roman;serif" w:hAnsi="Times New Roman;serif"/>
                <w:b w:val="false"/>
                <w:color w:val="010000"/>
                <w:sz w:val="22"/>
              </w:rPr>
              <w:t>Section 8.03</w:t>
            </w:r>
          </w:p>
        </w:tc>
        <w:tc>
          <w:tcPr>
            <w:tcW w:w="82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Covenant Defeasance.</w:t>
            </w:r>
          </w:p>
        </w:tc>
        <w:tc>
          <w:tcPr>
            <w:tcW w:w="39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77</w:t>
            </w:r>
          </w:p>
        </w:tc>
      </w:tr>
      <w:tr>
        <w:trPr/>
        <w:tc>
          <w:tcPr>
            <w:tcW w:w="15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10000"/>
                <w:sz w:val="22"/>
              </w:rPr>
            </w:pPr>
            <w:r>
              <w:rPr>
                <w:rFonts w:ascii="Times New Roman;serif" w:hAnsi="Times New Roman;serif"/>
                <w:b w:val="false"/>
                <w:color w:val="010000"/>
                <w:sz w:val="22"/>
              </w:rPr>
              <w:t>Section 8.04</w:t>
            </w:r>
          </w:p>
        </w:tc>
        <w:tc>
          <w:tcPr>
            <w:tcW w:w="82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Conditions to Legal or Covenant Defeasance.</w:t>
            </w:r>
          </w:p>
        </w:tc>
        <w:tc>
          <w:tcPr>
            <w:tcW w:w="39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78</w:t>
            </w:r>
          </w:p>
        </w:tc>
      </w:tr>
      <w:tr>
        <w:trPr/>
        <w:tc>
          <w:tcPr>
            <w:tcW w:w="15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10000"/>
                <w:sz w:val="22"/>
              </w:rPr>
            </w:pPr>
            <w:r>
              <w:rPr>
                <w:rFonts w:ascii="Times New Roman;serif" w:hAnsi="Times New Roman;serif"/>
                <w:b w:val="false"/>
                <w:color w:val="010000"/>
                <w:sz w:val="22"/>
              </w:rPr>
              <w:t>Section 8.05</w:t>
            </w:r>
          </w:p>
        </w:tc>
        <w:tc>
          <w:tcPr>
            <w:tcW w:w="82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Deposited Money and Government Securities to Be Held in Trust; Other Miscellaneous Provisions.</w:t>
            </w:r>
          </w:p>
        </w:tc>
        <w:tc>
          <w:tcPr>
            <w:tcW w:w="39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79</w:t>
            </w:r>
          </w:p>
        </w:tc>
      </w:tr>
      <w:tr>
        <w:trPr/>
        <w:tc>
          <w:tcPr>
            <w:tcW w:w="15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10000"/>
                <w:sz w:val="22"/>
              </w:rPr>
            </w:pPr>
            <w:r>
              <w:rPr>
                <w:rFonts w:ascii="Times New Roman;serif" w:hAnsi="Times New Roman;serif"/>
                <w:b w:val="false"/>
                <w:color w:val="010000"/>
                <w:sz w:val="22"/>
              </w:rPr>
              <w:t>Section 8.06</w:t>
            </w:r>
          </w:p>
        </w:tc>
        <w:tc>
          <w:tcPr>
            <w:tcW w:w="82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Repayment to the Issuer.</w:t>
            </w:r>
          </w:p>
        </w:tc>
        <w:tc>
          <w:tcPr>
            <w:tcW w:w="39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79</w:t>
            </w:r>
          </w:p>
        </w:tc>
      </w:tr>
      <w:tr>
        <w:trPr/>
        <w:tc>
          <w:tcPr>
            <w:tcW w:w="15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10000"/>
                <w:sz w:val="22"/>
              </w:rPr>
            </w:pPr>
            <w:r>
              <w:rPr>
                <w:rFonts w:ascii="Times New Roman;serif" w:hAnsi="Times New Roman;serif"/>
                <w:b w:val="false"/>
                <w:color w:val="010000"/>
                <w:sz w:val="22"/>
              </w:rPr>
              <w:t>Section 8.07</w:t>
            </w:r>
          </w:p>
        </w:tc>
        <w:tc>
          <w:tcPr>
            <w:tcW w:w="82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Reinstatement.</w:t>
            </w:r>
          </w:p>
        </w:tc>
        <w:tc>
          <w:tcPr>
            <w:tcW w:w="39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80</w:t>
            </w:r>
          </w:p>
        </w:tc>
      </w:tr>
      <w:tr>
        <w:trPr/>
        <w:tc>
          <w:tcPr>
            <w:tcW w:w="981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10000"/>
                <w:sz w:val="22"/>
              </w:rPr>
            </w:pPr>
            <w:r>
              <w:rPr>
                <w:rFonts w:ascii="Times New Roman;serif" w:hAnsi="Times New Roman;serif"/>
                <w:b w:val="false"/>
                <w:color w:val="010000"/>
                <w:sz w:val="22"/>
              </w:rPr>
              <w:t>Article 9</w:t>
            </w:r>
          </w:p>
        </w:tc>
        <w:tc>
          <w:tcPr>
            <w:tcW w:w="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1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10000"/>
                <w:sz w:val="22"/>
              </w:rPr>
            </w:pPr>
            <w:r>
              <w:rPr>
                <w:rFonts w:ascii="Times New Roman;serif" w:hAnsi="Times New Roman;serif"/>
                <w:b w:val="false"/>
                <w:color w:val="010000"/>
                <w:sz w:val="22"/>
              </w:rPr>
              <w:t>AMENDMENT, SUPPLEMENT AND WAIVER</w:t>
            </w:r>
          </w:p>
        </w:tc>
        <w:tc>
          <w:tcPr>
            <w:tcW w:w="39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80</w:t>
            </w:r>
          </w:p>
        </w:tc>
      </w:tr>
      <w:tr>
        <w:trPr/>
        <w:tc>
          <w:tcPr>
            <w:tcW w:w="15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10000"/>
                <w:sz w:val="22"/>
              </w:rPr>
            </w:pPr>
            <w:r>
              <w:rPr>
                <w:rFonts w:ascii="Times New Roman;serif" w:hAnsi="Times New Roman;serif"/>
                <w:b w:val="false"/>
                <w:color w:val="010000"/>
                <w:sz w:val="22"/>
              </w:rPr>
              <w:t>Section 9.01</w:t>
            </w:r>
          </w:p>
        </w:tc>
        <w:tc>
          <w:tcPr>
            <w:tcW w:w="82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Without Consent of Holders of Notes.</w:t>
            </w:r>
          </w:p>
        </w:tc>
        <w:tc>
          <w:tcPr>
            <w:tcW w:w="39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80</w:t>
            </w:r>
          </w:p>
        </w:tc>
      </w:tr>
      <w:tr>
        <w:trPr/>
        <w:tc>
          <w:tcPr>
            <w:tcW w:w="15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10000"/>
                <w:sz w:val="22"/>
              </w:rPr>
            </w:pPr>
            <w:r>
              <w:rPr>
                <w:rFonts w:ascii="Times New Roman;serif" w:hAnsi="Times New Roman;serif"/>
                <w:b w:val="false"/>
                <w:color w:val="010000"/>
                <w:sz w:val="22"/>
              </w:rPr>
              <w:t>Section 9.02</w:t>
            </w:r>
          </w:p>
        </w:tc>
        <w:tc>
          <w:tcPr>
            <w:tcW w:w="82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With Consent of Holders of Notes.</w:t>
            </w:r>
          </w:p>
        </w:tc>
        <w:tc>
          <w:tcPr>
            <w:tcW w:w="39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81</w:t>
            </w:r>
          </w:p>
        </w:tc>
      </w:tr>
      <w:tr>
        <w:trPr/>
        <w:tc>
          <w:tcPr>
            <w:tcW w:w="15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10000"/>
                <w:sz w:val="22"/>
              </w:rPr>
            </w:pPr>
            <w:r>
              <w:rPr>
                <w:rFonts w:ascii="Times New Roman;serif" w:hAnsi="Times New Roman;serif"/>
                <w:b w:val="false"/>
                <w:color w:val="010000"/>
                <w:sz w:val="22"/>
              </w:rPr>
              <w:t>Section 9.03</w:t>
            </w:r>
          </w:p>
        </w:tc>
        <w:tc>
          <w:tcPr>
            <w:tcW w:w="82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Effect of Consents.</w:t>
            </w:r>
          </w:p>
        </w:tc>
        <w:tc>
          <w:tcPr>
            <w:tcW w:w="39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82</w:t>
            </w:r>
          </w:p>
        </w:tc>
      </w:tr>
      <w:tr>
        <w:trPr/>
        <w:tc>
          <w:tcPr>
            <w:tcW w:w="15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10000"/>
                <w:sz w:val="22"/>
              </w:rPr>
            </w:pPr>
            <w:r>
              <w:rPr>
                <w:rFonts w:ascii="Times New Roman;serif" w:hAnsi="Times New Roman;serif"/>
                <w:b w:val="false"/>
                <w:color w:val="010000"/>
                <w:sz w:val="22"/>
              </w:rPr>
              <w:t>Section 9.04</w:t>
            </w:r>
          </w:p>
        </w:tc>
        <w:tc>
          <w:tcPr>
            <w:tcW w:w="82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Notation on or Exchange of Notes.</w:t>
            </w:r>
          </w:p>
        </w:tc>
        <w:tc>
          <w:tcPr>
            <w:tcW w:w="39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83</w:t>
            </w:r>
          </w:p>
        </w:tc>
      </w:tr>
      <w:tr>
        <w:trPr/>
        <w:tc>
          <w:tcPr>
            <w:tcW w:w="15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10000"/>
                <w:sz w:val="22"/>
              </w:rPr>
            </w:pPr>
            <w:r>
              <w:rPr>
                <w:rFonts w:ascii="Times New Roman;serif" w:hAnsi="Times New Roman;serif"/>
                <w:b w:val="false"/>
                <w:color w:val="010000"/>
                <w:sz w:val="22"/>
              </w:rPr>
              <w:t>Section 9.05</w:t>
            </w:r>
          </w:p>
        </w:tc>
        <w:tc>
          <w:tcPr>
            <w:tcW w:w="82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Trustee to Sign Amendments, etc.</w:t>
            </w:r>
          </w:p>
        </w:tc>
        <w:tc>
          <w:tcPr>
            <w:tcW w:w="39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83</w:t>
            </w:r>
          </w:p>
        </w:tc>
      </w:tr>
      <w:tr>
        <w:trPr/>
        <w:tc>
          <w:tcPr>
            <w:tcW w:w="981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10000"/>
                <w:sz w:val="22"/>
              </w:rPr>
            </w:pPr>
            <w:r>
              <w:rPr>
                <w:rFonts w:ascii="Times New Roman;serif" w:hAnsi="Times New Roman;serif"/>
                <w:b w:val="false"/>
                <w:color w:val="010000"/>
                <w:sz w:val="22"/>
              </w:rPr>
              <w:t>Article 10</w:t>
            </w:r>
          </w:p>
        </w:tc>
        <w:tc>
          <w:tcPr>
            <w:tcW w:w="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1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10000"/>
                <w:sz w:val="22"/>
              </w:rPr>
            </w:pPr>
            <w:r>
              <w:rPr>
                <w:rFonts w:ascii="Times New Roman;serif" w:hAnsi="Times New Roman;serif"/>
                <w:b w:val="false"/>
                <w:color w:val="010000"/>
                <w:sz w:val="22"/>
              </w:rPr>
              <w:t>SATISFACTION AND DISCHARGE</w:t>
            </w:r>
          </w:p>
        </w:tc>
        <w:tc>
          <w:tcPr>
            <w:tcW w:w="39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83</w:t>
            </w:r>
          </w:p>
        </w:tc>
      </w:tr>
      <w:tr>
        <w:trPr/>
        <w:tc>
          <w:tcPr>
            <w:tcW w:w="15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10.01</w:t>
            </w:r>
          </w:p>
        </w:tc>
        <w:tc>
          <w:tcPr>
            <w:tcW w:w="82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Satisfaction and Discharge.</w:t>
            </w:r>
          </w:p>
        </w:tc>
        <w:tc>
          <w:tcPr>
            <w:tcW w:w="39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83</w:t>
            </w:r>
          </w:p>
        </w:tc>
      </w:tr>
      <w:tr>
        <w:trPr/>
        <w:tc>
          <w:tcPr>
            <w:tcW w:w="15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10000"/>
                <w:sz w:val="22"/>
              </w:rPr>
            </w:pPr>
            <w:r>
              <w:rPr>
                <w:rFonts w:ascii="Times New Roman;serif" w:hAnsi="Times New Roman;serif"/>
                <w:b w:val="false"/>
                <w:color w:val="010000"/>
                <w:sz w:val="22"/>
              </w:rPr>
              <w:t>Section 10.02</w:t>
            </w:r>
          </w:p>
        </w:tc>
        <w:tc>
          <w:tcPr>
            <w:tcW w:w="82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Application of Trust Money.</w:t>
            </w:r>
          </w:p>
        </w:tc>
        <w:tc>
          <w:tcPr>
            <w:tcW w:w="39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84</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735965"/>
                <wp:effectExtent l="0" t="0" r="0" b="0"/>
                <wp:wrapNone/>
                <wp:docPr id="47" name="Frame47"/>
                <a:graphic xmlns:a="http://schemas.openxmlformats.org/drawingml/2006/main">
                  <a:graphicData uri="http://schemas.microsoft.com/office/word/2010/wordprocessingShape">
                    <wps:wsp>
                      <wps:cNvSpPr txBox="1"/>
                      <wps:spPr>
                        <a:xfrm>
                          <a:off x="0" y="0"/>
                          <a:ext cx="6480175" cy="7359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ii</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ii</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tbl>
      <w:tblPr>
        <w:tblW w:w="8953" w:type="dxa"/>
        <w:jc w:val="center"/>
        <w:tblInd w:w="0" w:type="dxa"/>
        <w:tblLayout w:type="fixed"/>
        <w:tblCellMar>
          <w:top w:w="28" w:type="dxa"/>
          <w:left w:w="28" w:type="dxa"/>
          <w:bottom w:w="28" w:type="dxa"/>
          <w:right w:w="28" w:type="dxa"/>
        </w:tblCellMar>
      </w:tblPr>
      <w:tblGrid>
        <w:gridCol w:w="560"/>
        <w:gridCol w:w="491"/>
        <w:gridCol w:w="491"/>
        <w:gridCol w:w="2323"/>
        <w:gridCol w:w="2323"/>
        <w:gridCol w:w="2374"/>
        <w:gridCol w:w="114"/>
        <w:gridCol w:w="114"/>
        <w:gridCol w:w="163"/>
      </w:tblGrid>
      <w:tr>
        <w:trPr/>
        <w:tc>
          <w:tcPr>
            <w:tcW w:w="560"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2323" w:type="dxa"/>
            <w:tcBorders/>
            <w:vAlign w:val="center"/>
          </w:tcPr>
          <w:p>
            <w:pPr>
              <w:pStyle w:val="TableContents"/>
              <w:bidi w:val="0"/>
              <w:spacing w:before="0" w:after="283"/>
              <w:jc w:val="left"/>
              <w:rPr>
                <w:sz w:val="4"/>
                <w:szCs w:val="4"/>
              </w:rPr>
            </w:pPr>
            <w:r>
              <w:rPr>
                <w:sz w:val="4"/>
                <w:szCs w:val="4"/>
              </w:rPr>
            </w:r>
          </w:p>
        </w:tc>
        <w:tc>
          <w:tcPr>
            <w:tcW w:w="2323" w:type="dxa"/>
            <w:tcBorders/>
            <w:vAlign w:val="center"/>
          </w:tcPr>
          <w:p>
            <w:pPr>
              <w:pStyle w:val="TableContents"/>
              <w:bidi w:val="0"/>
              <w:spacing w:before="0" w:after="283"/>
              <w:jc w:val="left"/>
              <w:rPr>
                <w:sz w:val="4"/>
                <w:szCs w:val="4"/>
              </w:rPr>
            </w:pPr>
            <w:r>
              <w:rPr>
                <w:sz w:val="4"/>
                <w:szCs w:val="4"/>
              </w:rPr>
            </w:r>
          </w:p>
        </w:tc>
        <w:tc>
          <w:tcPr>
            <w:tcW w:w="237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56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10000"/>
                <w:sz w:val="22"/>
              </w:rPr>
            </w:pPr>
            <w:r>
              <w:rPr>
                <w:rFonts w:ascii="Times New Roman;serif" w:hAnsi="Times New Roman;serif"/>
                <w:b w:val="false"/>
                <w:color w:val="010000"/>
                <w:sz w:val="22"/>
              </w:rPr>
              <w:t>Article 11</w:t>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10000"/>
                <w:sz w:val="22"/>
              </w:rPr>
            </w:pPr>
            <w:r>
              <w:rPr>
                <w:rFonts w:ascii="Times New Roman;serif" w:hAnsi="Times New Roman;serif"/>
                <w:b w:val="false"/>
                <w:color w:val="010000"/>
                <w:sz w:val="22"/>
              </w:rPr>
              <w:t>SUBSIDIARY GUARANTEES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85</w:t>
            </w:r>
          </w:p>
        </w:tc>
      </w:tr>
      <w:tr>
        <w:trPr/>
        <w:tc>
          <w:tcPr>
            <w:tcW w:w="15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10000"/>
                <w:sz w:val="22"/>
              </w:rPr>
            </w:pPr>
            <w:r>
              <w:rPr>
                <w:rFonts w:ascii="Times New Roman;serif" w:hAnsi="Times New Roman;serif"/>
                <w:b w:val="false"/>
                <w:color w:val="010000"/>
                <w:sz w:val="22"/>
              </w:rPr>
              <w:t>Section 11.01</w:t>
            </w:r>
          </w:p>
        </w:tc>
        <w:tc>
          <w:tcPr>
            <w:tcW w:w="70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Guarantee.</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85</w:t>
            </w:r>
          </w:p>
        </w:tc>
      </w:tr>
      <w:tr>
        <w:trPr/>
        <w:tc>
          <w:tcPr>
            <w:tcW w:w="15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10000"/>
                <w:sz w:val="22"/>
              </w:rPr>
            </w:pPr>
            <w:r>
              <w:rPr>
                <w:rFonts w:ascii="Times New Roman;serif" w:hAnsi="Times New Roman;serif"/>
                <w:b w:val="false"/>
                <w:color w:val="010000"/>
                <w:sz w:val="22"/>
              </w:rPr>
              <w:t>Section 11.02</w:t>
            </w:r>
          </w:p>
        </w:tc>
        <w:tc>
          <w:tcPr>
            <w:tcW w:w="70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Limitation on Subsidiary Guarantor Liability.</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86</w:t>
            </w:r>
          </w:p>
        </w:tc>
      </w:tr>
      <w:tr>
        <w:trPr/>
        <w:tc>
          <w:tcPr>
            <w:tcW w:w="15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10000"/>
                <w:sz w:val="22"/>
              </w:rPr>
            </w:pPr>
            <w:r>
              <w:rPr>
                <w:rFonts w:ascii="Times New Roman;serif" w:hAnsi="Times New Roman;serif"/>
                <w:b w:val="false"/>
                <w:color w:val="010000"/>
                <w:sz w:val="22"/>
              </w:rPr>
              <w:t>Section 11.03</w:t>
            </w:r>
          </w:p>
        </w:tc>
        <w:tc>
          <w:tcPr>
            <w:tcW w:w="70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Releases.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86</w:t>
            </w:r>
          </w:p>
        </w:tc>
      </w:tr>
      <w:tr>
        <w:trPr/>
        <w:tc>
          <w:tcPr>
            <w:tcW w:w="15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10000"/>
                <w:sz w:val="22"/>
              </w:rPr>
            </w:pPr>
            <w:r>
              <w:rPr>
                <w:rFonts w:ascii="Times New Roman;serif" w:hAnsi="Times New Roman;serif"/>
                <w:b w:val="false"/>
                <w:color w:val="010000"/>
                <w:sz w:val="22"/>
              </w:rPr>
              <w:t>Section 11.04</w:t>
            </w:r>
          </w:p>
        </w:tc>
        <w:tc>
          <w:tcPr>
            <w:tcW w:w="70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Notation Not Required.</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87</w:t>
            </w:r>
          </w:p>
        </w:tc>
      </w:tr>
      <w:tr>
        <w:trPr/>
        <w:tc>
          <w:tcPr>
            <w:tcW w:w="856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10000"/>
                <w:sz w:val="22"/>
              </w:rPr>
            </w:pPr>
            <w:r>
              <w:rPr>
                <w:rFonts w:ascii="Times New Roman;serif" w:hAnsi="Times New Roman;serif"/>
                <w:b w:val="false"/>
                <w:color w:val="010000"/>
                <w:sz w:val="22"/>
              </w:rPr>
              <w:t>Article 12</w:t>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10000"/>
                <w:sz w:val="22"/>
              </w:rPr>
            </w:pPr>
            <w:r>
              <w:rPr>
                <w:rFonts w:ascii="Times New Roman;serif" w:hAnsi="Times New Roman;serif"/>
                <w:b w:val="false"/>
                <w:color w:val="010000"/>
                <w:sz w:val="22"/>
              </w:rPr>
              <w:t>MISCELLANEOUS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87</w:t>
            </w:r>
          </w:p>
        </w:tc>
      </w:tr>
      <w:tr>
        <w:trPr/>
        <w:tc>
          <w:tcPr>
            <w:tcW w:w="15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10000"/>
                <w:sz w:val="22"/>
              </w:rPr>
            </w:pPr>
            <w:r>
              <w:rPr>
                <w:rFonts w:ascii="Times New Roman;serif" w:hAnsi="Times New Roman;serif"/>
                <w:b w:val="false"/>
                <w:color w:val="010000"/>
                <w:sz w:val="22"/>
              </w:rPr>
              <w:t>Section 12.01</w:t>
            </w:r>
          </w:p>
        </w:tc>
        <w:tc>
          <w:tcPr>
            <w:tcW w:w="70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Notices.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87</w:t>
            </w:r>
          </w:p>
        </w:tc>
      </w:tr>
      <w:tr>
        <w:trPr/>
        <w:tc>
          <w:tcPr>
            <w:tcW w:w="15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10000"/>
                <w:sz w:val="22"/>
              </w:rPr>
            </w:pPr>
            <w:r>
              <w:rPr>
                <w:rFonts w:ascii="Times New Roman;serif" w:hAnsi="Times New Roman;serif"/>
                <w:b w:val="false"/>
                <w:color w:val="010000"/>
                <w:sz w:val="22"/>
              </w:rPr>
              <w:t>Section 12.02</w:t>
            </w:r>
          </w:p>
        </w:tc>
        <w:tc>
          <w:tcPr>
            <w:tcW w:w="70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Certificate and Opinion as to Conditions Precedent.</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89</w:t>
            </w:r>
          </w:p>
        </w:tc>
      </w:tr>
      <w:tr>
        <w:trPr/>
        <w:tc>
          <w:tcPr>
            <w:tcW w:w="15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10000"/>
                <w:sz w:val="22"/>
              </w:rPr>
            </w:pPr>
            <w:r>
              <w:rPr>
                <w:rFonts w:ascii="Times New Roman;serif" w:hAnsi="Times New Roman;serif"/>
                <w:b w:val="false"/>
                <w:color w:val="010000"/>
                <w:sz w:val="22"/>
              </w:rPr>
              <w:t>Section 12.03</w:t>
            </w:r>
          </w:p>
        </w:tc>
        <w:tc>
          <w:tcPr>
            <w:tcW w:w="70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Statements Required in Certificate or Opinion.</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89</w:t>
            </w:r>
          </w:p>
        </w:tc>
      </w:tr>
      <w:tr>
        <w:trPr/>
        <w:tc>
          <w:tcPr>
            <w:tcW w:w="15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10000"/>
                <w:sz w:val="22"/>
              </w:rPr>
            </w:pPr>
            <w:r>
              <w:rPr>
                <w:rFonts w:ascii="Times New Roman;serif" w:hAnsi="Times New Roman;serif"/>
                <w:b w:val="false"/>
                <w:color w:val="010000"/>
                <w:sz w:val="22"/>
              </w:rPr>
              <w:t>Section 12.04</w:t>
            </w:r>
          </w:p>
        </w:tc>
        <w:tc>
          <w:tcPr>
            <w:tcW w:w="70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Rules by Trustee and Agents.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90</w:t>
            </w:r>
          </w:p>
        </w:tc>
      </w:tr>
      <w:tr>
        <w:trPr/>
        <w:tc>
          <w:tcPr>
            <w:tcW w:w="15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10000"/>
                <w:sz w:val="22"/>
              </w:rPr>
            </w:pPr>
            <w:r>
              <w:rPr>
                <w:rFonts w:ascii="Times New Roman;serif" w:hAnsi="Times New Roman;serif"/>
                <w:b w:val="false"/>
                <w:color w:val="010000"/>
                <w:sz w:val="22"/>
              </w:rPr>
              <w:t>Section 12.05</w:t>
            </w:r>
          </w:p>
        </w:tc>
        <w:tc>
          <w:tcPr>
            <w:tcW w:w="70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No Personal Liability of Directors, Officers, Employees and Stockholders.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90</w:t>
            </w:r>
          </w:p>
        </w:tc>
      </w:tr>
      <w:tr>
        <w:trPr/>
        <w:tc>
          <w:tcPr>
            <w:tcW w:w="15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10000"/>
                <w:sz w:val="22"/>
              </w:rPr>
            </w:pPr>
            <w:r>
              <w:rPr>
                <w:rFonts w:ascii="Times New Roman;serif" w:hAnsi="Times New Roman;serif"/>
                <w:b w:val="false"/>
                <w:color w:val="010000"/>
                <w:sz w:val="22"/>
              </w:rPr>
              <w:t>Section 12.06</w:t>
            </w:r>
          </w:p>
        </w:tc>
        <w:tc>
          <w:tcPr>
            <w:tcW w:w="70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Governing Law.</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90</w:t>
            </w:r>
          </w:p>
        </w:tc>
      </w:tr>
      <w:tr>
        <w:trPr/>
        <w:tc>
          <w:tcPr>
            <w:tcW w:w="15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10000"/>
                <w:sz w:val="22"/>
              </w:rPr>
            </w:pPr>
            <w:r>
              <w:rPr>
                <w:rFonts w:ascii="Times New Roman;serif" w:hAnsi="Times New Roman;serif"/>
                <w:b w:val="false"/>
                <w:color w:val="010000"/>
                <w:sz w:val="22"/>
              </w:rPr>
              <w:t>Section 12.07</w:t>
            </w:r>
          </w:p>
        </w:tc>
        <w:tc>
          <w:tcPr>
            <w:tcW w:w="70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Waiver of Immunity.</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91</w:t>
            </w:r>
          </w:p>
        </w:tc>
      </w:tr>
      <w:tr>
        <w:trPr/>
        <w:tc>
          <w:tcPr>
            <w:tcW w:w="15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10000"/>
                <w:sz w:val="22"/>
              </w:rPr>
            </w:pPr>
            <w:r>
              <w:rPr>
                <w:rFonts w:ascii="Times New Roman;serif" w:hAnsi="Times New Roman;serif"/>
                <w:b w:val="false"/>
                <w:color w:val="010000"/>
                <w:sz w:val="22"/>
              </w:rPr>
              <w:t>Section 12.08</w:t>
            </w:r>
          </w:p>
        </w:tc>
        <w:tc>
          <w:tcPr>
            <w:tcW w:w="70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Waiver of Jury Trials.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91</w:t>
            </w:r>
          </w:p>
        </w:tc>
      </w:tr>
      <w:tr>
        <w:trPr/>
        <w:tc>
          <w:tcPr>
            <w:tcW w:w="15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10000"/>
                <w:sz w:val="22"/>
              </w:rPr>
            </w:pPr>
            <w:r>
              <w:rPr>
                <w:rFonts w:ascii="Times New Roman;serif" w:hAnsi="Times New Roman;serif"/>
                <w:b w:val="false"/>
                <w:color w:val="010000"/>
                <w:sz w:val="22"/>
              </w:rPr>
              <w:t>Section 12.09</w:t>
            </w:r>
          </w:p>
        </w:tc>
        <w:tc>
          <w:tcPr>
            <w:tcW w:w="70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No Adverse Interpretation of Other Agreements.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91</w:t>
            </w:r>
          </w:p>
        </w:tc>
      </w:tr>
      <w:tr>
        <w:trPr/>
        <w:tc>
          <w:tcPr>
            <w:tcW w:w="15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10000"/>
                <w:sz w:val="22"/>
              </w:rPr>
            </w:pPr>
            <w:r>
              <w:rPr>
                <w:rFonts w:ascii="Times New Roman;serif" w:hAnsi="Times New Roman;serif"/>
                <w:b w:val="false"/>
                <w:color w:val="010000"/>
                <w:sz w:val="22"/>
              </w:rPr>
              <w:t>Section 12.10</w:t>
            </w:r>
          </w:p>
        </w:tc>
        <w:tc>
          <w:tcPr>
            <w:tcW w:w="70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Successors.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91</w:t>
            </w:r>
          </w:p>
        </w:tc>
      </w:tr>
      <w:tr>
        <w:trPr/>
        <w:tc>
          <w:tcPr>
            <w:tcW w:w="15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10000"/>
                <w:sz w:val="22"/>
              </w:rPr>
            </w:pPr>
            <w:r>
              <w:rPr>
                <w:rFonts w:ascii="Times New Roman;serif" w:hAnsi="Times New Roman;serif"/>
                <w:b w:val="false"/>
                <w:color w:val="010000"/>
                <w:sz w:val="22"/>
              </w:rPr>
              <w:t>Section 12.11</w:t>
            </w:r>
          </w:p>
        </w:tc>
        <w:tc>
          <w:tcPr>
            <w:tcW w:w="70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USA Patriot Act.</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91</w:t>
            </w:r>
          </w:p>
        </w:tc>
      </w:tr>
      <w:tr>
        <w:trPr/>
        <w:tc>
          <w:tcPr>
            <w:tcW w:w="15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10000"/>
                <w:sz w:val="22"/>
              </w:rPr>
            </w:pPr>
            <w:r>
              <w:rPr>
                <w:rFonts w:ascii="Times New Roman;serif" w:hAnsi="Times New Roman;serif"/>
                <w:b w:val="false"/>
                <w:color w:val="010000"/>
                <w:sz w:val="22"/>
              </w:rPr>
              <w:t>Section 12.12</w:t>
            </w:r>
          </w:p>
        </w:tc>
        <w:tc>
          <w:tcPr>
            <w:tcW w:w="70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Severability.</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91</w:t>
            </w:r>
          </w:p>
        </w:tc>
      </w:tr>
      <w:tr>
        <w:trPr/>
        <w:tc>
          <w:tcPr>
            <w:tcW w:w="15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10000"/>
                <w:sz w:val="22"/>
              </w:rPr>
            </w:pPr>
            <w:r>
              <w:rPr>
                <w:rFonts w:ascii="Times New Roman;serif" w:hAnsi="Times New Roman;serif"/>
                <w:b w:val="false"/>
                <w:color w:val="010000"/>
                <w:sz w:val="22"/>
              </w:rPr>
              <w:t>Section 12.13</w:t>
            </w:r>
          </w:p>
        </w:tc>
        <w:tc>
          <w:tcPr>
            <w:tcW w:w="70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Counterpart Originals.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91</w:t>
            </w:r>
          </w:p>
        </w:tc>
      </w:tr>
      <w:tr>
        <w:trPr/>
        <w:tc>
          <w:tcPr>
            <w:tcW w:w="15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12.14</w:t>
            </w:r>
          </w:p>
        </w:tc>
        <w:tc>
          <w:tcPr>
            <w:tcW w:w="70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Table of Contents, Headings, etc.</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92</w:t>
            </w:r>
          </w:p>
        </w:tc>
      </w:tr>
      <w:tr>
        <w:trPr/>
        <w:tc>
          <w:tcPr>
            <w:tcW w:w="15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10000"/>
                <w:sz w:val="22"/>
              </w:rPr>
            </w:pPr>
            <w:r>
              <w:rPr>
                <w:rFonts w:ascii="Times New Roman;serif" w:hAnsi="Times New Roman;serif"/>
                <w:b w:val="false"/>
                <w:color w:val="010000"/>
                <w:sz w:val="22"/>
              </w:rPr>
              <w:t>Section 12.15</w:t>
            </w:r>
          </w:p>
        </w:tc>
        <w:tc>
          <w:tcPr>
            <w:tcW w:w="70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10000"/>
                <w:sz w:val="22"/>
              </w:rPr>
            </w:pPr>
            <w:r>
              <w:rPr>
                <w:rFonts w:ascii="Times New Roman;serif" w:hAnsi="Times New Roman;serif"/>
                <w:b w:val="false"/>
                <w:color w:val="010000"/>
                <w:sz w:val="22"/>
              </w:rPr>
              <w:t>Legal Holidays.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92</w:t>
            </w:r>
          </w:p>
        </w:tc>
      </w:tr>
    </w:tbl>
    <w:p>
      <w:pPr>
        <w:pStyle w:val="TextBody"/>
        <w:bidi w:val="0"/>
        <w:spacing w:lineRule="auto" w:line="288" w:before="0" w:after="180"/>
        <w:ind w:left="0" w:right="0" w:hanging="1440"/>
        <w:jc w:val="left"/>
        <w:rPr>
          <w:rFonts w:ascii="Times New Roman;serif" w:hAnsi="Times New Roman;serif"/>
          <w:b/>
          <w:color w:val="000000"/>
          <w:sz w:val="24"/>
        </w:rPr>
      </w:pPr>
      <w:r>
        <w:rPr>
          <w:rFonts w:ascii="Times New Roman;serif" w:hAnsi="Times New Roman;serif"/>
          <w:b/>
          <w:color w:val="000000"/>
          <w:sz w:val="24"/>
        </w:rPr>
        <w:t>EXHIBITS</w:t>
      </w:r>
    </w:p>
    <w:tbl>
      <w:tblPr>
        <w:tblW w:w="7560" w:type="dxa"/>
        <w:jc w:val="left"/>
        <w:tblInd w:w="0" w:type="dxa"/>
        <w:tblLayout w:type="fixed"/>
        <w:tblCellMar>
          <w:top w:w="28" w:type="dxa"/>
          <w:left w:w="28" w:type="dxa"/>
          <w:bottom w:w="28" w:type="dxa"/>
          <w:right w:w="28" w:type="dxa"/>
        </w:tblCellMar>
      </w:tblPr>
      <w:tblGrid>
        <w:gridCol w:w="369"/>
        <w:gridCol w:w="324"/>
        <w:gridCol w:w="327"/>
        <w:gridCol w:w="1911"/>
        <w:gridCol w:w="1911"/>
        <w:gridCol w:w="2718"/>
      </w:tblGrid>
      <w:tr>
        <w:trPr/>
        <w:tc>
          <w:tcPr>
            <w:tcW w:w="36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1911" w:type="dxa"/>
            <w:tcBorders/>
            <w:vAlign w:val="center"/>
          </w:tcPr>
          <w:p>
            <w:pPr>
              <w:pStyle w:val="TableContents"/>
              <w:bidi w:val="0"/>
              <w:spacing w:before="0" w:after="283"/>
              <w:jc w:val="left"/>
              <w:rPr>
                <w:sz w:val="4"/>
                <w:szCs w:val="4"/>
              </w:rPr>
            </w:pPr>
            <w:r>
              <w:rPr>
                <w:sz w:val="4"/>
                <w:szCs w:val="4"/>
              </w:rPr>
            </w:r>
          </w:p>
        </w:tc>
        <w:tc>
          <w:tcPr>
            <w:tcW w:w="1911" w:type="dxa"/>
            <w:tcBorders/>
            <w:vAlign w:val="center"/>
          </w:tcPr>
          <w:p>
            <w:pPr>
              <w:pStyle w:val="TableContents"/>
              <w:bidi w:val="0"/>
              <w:spacing w:before="0" w:after="283"/>
              <w:jc w:val="left"/>
              <w:rPr>
                <w:sz w:val="4"/>
                <w:szCs w:val="4"/>
              </w:rPr>
            </w:pPr>
            <w:r>
              <w:rPr>
                <w:sz w:val="4"/>
                <w:szCs w:val="4"/>
              </w:rPr>
            </w:r>
          </w:p>
        </w:tc>
        <w:tc>
          <w:tcPr>
            <w:tcW w:w="2718" w:type="dxa"/>
            <w:tcBorders/>
            <w:vAlign w:val="center"/>
          </w:tcPr>
          <w:p>
            <w:pPr>
              <w:pStyle w:val="TableContents"/>
              <w:bidi w:val="0"/>
              <w:spacing w:before="0" w:after="283"/>
              <w:jc w:val="left"/>
              <w:rPr>
                <w:sz w:val="4"/>
                <w:szCs w:val="4"/>
              </w:rPr>
            </w:pPr>
            <w:r>
              <w:rPr>
                <w:sz w:val="4"/>
                <w:szCs w:val="4"/>
              </w:rPr>
            </w:r>
          </w:p>
        </w:tc>
      </w:tr>
      <w:tr>
        <w:trPr/>
        <w:tc>
          <w:tcPr>
            <w:tcW w:w="10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10000"/>
                <w:sz w:val="22"/>
              </w:rPr>
            </w:pPr>
            <w:r>
              <w:rPr>
                <w:rFonts w:ascii="Times New Roman;serif" w:hAnsi="Times New Roman;serif"/>
                <w:b w:val="false"/>
                <w:color w:val="010000"/>
                <w:sz w:val="22"/>
              </w:rPr>
              <w:t>Exhibit A</w:t>
            </w:r>
          </w:p>
        </w:tc>
        <w:tc>
          <w:tcPr>
            <w:tcW w:w="65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Form of Note</w:t>
            </w:r>
          </w:p>
        </w:tc>
      </w:tr>
      <w:tr>
        <w:trPr/>
        <w:tc>
          <w:tcPr>
            <w:tcW w:w="10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10000"/>
                <w:sz w:val="22"/>
              </w:rPr>
            </w:pPr>
            <w:r>
              <w:rPr>
                <w:rFonts w:ascii="Times New Roman;serif" w:hAnsi="Times New Roman;serif"/>
                <w:b w:val="false"/>
                <w:color w:val="010000"/>
                <w:sz w:val="22"/>
              </w:rPr>
              <w:t>Exhibit B</w:t>
            </w:r>
          </w:p>
        </w:tc>
        <w:tc>
          <w:tcPr>
            <w:tcW w:w="65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Form of Certificate of Transfer</w:t>
            </w:r>
          </w:p>
        </w:tc>
      </w:tr>
      <w:tr>
        <w:trPr/>
        <w:tc>
          <w:tcPr>
            <w:tcW w:w="10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Exhibit C</w:t>
            </w:r>
          </w:p>
        </w:tc>
        <w:tc>
          <w:tcPr>
            <w:tcW w:w="65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Form of Certificate of Exchange</w:t>
            </w:r>
          </w:p>
        </w:tc>
      </w:tr>
      <w:tr>
        <w:trPr/>
        <w:tc>
          <w:tcPr>
            <w:tcW w:w="10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10000"/>
                <w:sz w:val="22"/>
              </w:rPr>
            </w:pPr>
            <w:r>
              <w:rPr>
                <w:rFonts w:ascii="Times New Roman;serif" w:hAnsi="Times New Roman;serif"/>
                <w:b w:val="false"/>
                <w:color w:val="010000"/>
                <w:sz w:val="22"/>
              </w:rPr>
              <w:t>Exhibit D</w:t>
            </w:r>
          </w:p>
        </w:tc>
        <w:tc>
          <w:tcPr>
            <w:tcW w:w="65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10000"/>
                <w:sz w:val="22"/>
              </w:rPr>
            </w:pPr>
            <w:r>
              <w:rPr>
                <w:rFonts w:ascii="Times New Roman;serif" w:hAnsi="Times New Roman;serif"/>
                <w:b w:val="false"/>
                <w:color w:val="010000"/>
                <w:sz w:val="22"/>
              </w:rPr>
              <w:t>Form of Certificate from Acquiring Institutional Accredited Investor</w:t>
            </w:r>
          </w:p>
        </w:tc>
      </w:tr>
      <w:tr>
        <w:trPr/>
        <w:tc>
          <w:tcPr>
            <w:tcW w:w="10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10000"/>
                <w:sz w:val="22"/>
              </w:rPr>
            </w:pPr>
            <w:r>
              <w:rPr>
                <w:rFonts w:ascii="Times New Roman;serif" w:hAnsi="Times New Roman;serif"/>
                <w:b w:val="false"/>
                <w:color w:val="010000"/>
                <w:sz w:val="22"/>
              </w:rPr>
              <w:t>Exhibit E</w:t>
            </w:r>
          </w:p>
        </w:tc>
        <w:tc>
          <w:tcPr>
            <w:tcW w:w="65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Form of Supplemental Indenture - Additional Subsidiary Guarantees</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735965"/>
                <wp:effectExtent l="0" t="0" r="0" b="0"/>
                <wp:wrapNone/>
                <wp:docPr id="48" name="Frame48"/>
                <a:graphic xmlns:a="http://schemas.openxmlformats.org/drawingml/2006/main">
                  <a:graphicData uri="http://schemas.microsoft.com/office/word/2010/wordprocessingShape">
                    <wps:wsp>
                      <wps:cNvSpPr txBox="1"/>
                      <wps:spPr>
                        <a:xfrm>
                          <a:off x="0" y="0"/>
                          <a:ext cx="6480175" cy="7359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iii</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iii</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4"/>
        </w:rPr>
        <w:t>INDENTURE, dated as of April 29, 2026, by and among Talen Energy Supply, LLC, a Delaware limited liability company, the Subsidiary Guarantors (as defined herein), and Wilmington Savings Fund Society, FSB, as trustee (in such capacity and together with is successors and assigns in such capacity, the “</w:t>
      </w:r>
      <w:r>
        <w:rPr>
          <w:rFonts w:ascii="Times New Roman;serif" w:hAnsi="Times New Roman;serif"/>
          <w:b w:val="false"/>
          <w:i/>
          <w:color w:val="000000"/>
          <w:sz w:val="24"/>
        </w:rPr>
        <w:t>Trustee</w:t>
      </w:r>
      <w:r>
        <w:rPr>
          <w:color w:val="000000"/>
        </w:rPr>
        <w:t>”</w:t>
      </w:r>
      <w:r>
        <w:rPr>
          <w:rFonts w:ascii="Times New Roman;serif" w:hAnsi="Times New Roman;serif"/>
          <w:b w:val="false"/>
          <w:color w:val="000000"/>
          <w:sz w:val="24"/>
        </w:rPr>
        <w:t xml:space="preserve">). </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Each party agrees as follows for the benefit of the other party and for the equal and ratable benefit of the Holders (as defined herein) of the Notes issued pursuant to this Indenture:</w:t>
      </w:r>
    </w:p>
    <w:p>
      <w:pPr>
        <w:pStyle w:val="TextBody"/>
        <w:bidi w:val="0"/>
        <w:spacing w:lineRule="auto" w:line="240" w:before="0" w:after="240"/>
        <w:jc w:val="center"/>
        <w:rPr/>
      </w:pPr>
      <w:r>
        <w:rPr>
          <w:rFonts w:ascii="Times New Roman;serif" w:hAnsi="Times New Roman;serif"/>
          <w:b w:val="false"/>
          <w:color w:val="000000"/>
          <w:sz w:val="24"/>
        </w:rPr>
        <w:t>Article 1</w:t>
      </w:r>
      <w:r>
        <w:rPr>
          <w:rFonts w:ascii="Times New Roman;serif" w:hAnsi="Times New Roman;serif"/>
          <w:b w:val="false"/>
          <w:color w:val="000000"/>
          <w:sz w:val="24"/>
        </w:rPr>
        <w:br/>
        <w:t>DEFINITIONS</w:t>
      </w:r>
    </w:p>
    <w:p>
      <w:pPr>
        <w:pStyle w:val="TextBody"/>
        <w:bidi w:val="0"/>
        <w:spacing w:lineRule="auto" w:line="240" w:before="0" w:after="240"/>
        <w:jc w:val="left"/>
        <w:rPr/>
      </w:pPr>
      <w:r>
        <w:rPr>
          <w:rFonts w:ascii="Times New Roman;serif" w:hAnsi="Times New Roman;serif"/>
          <w:b w:val="false"/>
          <w:color w:val="000000"/>
          <w:sz w:val="24"/>
        </w:rPr>
        <w:t>Section 1.01</w:t>
      </w:r>
      <w:r>
        <w:rPr>
          <w:rFonts w:ascii="Times New Roman;serif" w:hAnsi="Times New Roman;serif"/>
          <w:b w:val="false"/>
          <w:color w:val="000000"/>
          <w:sz w:val="24"/>
          <w:u w:val="single"/>
        </w:rPr>
        <w:t>Definitions</w:t>
      </w:r>
      <w:r>
        <w:rPr>
          <w:rFonts w:ascii="Times New Roman;serif" w:hAnsi="Times New Roman;serif"/>
          <w:b w:val="false"/>
          <w:color w:val="000000"/>
          <w:sz w:val="24"/>
        </w:rPr>
        <w:t xml:space="preserve">. </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For all purposes of this Indenture, the following terms shall have the respective meanings set forth in this Section. For purposes of any Additional Notes issued under this Indenture, the supplemental indenture in respect of such Additional Notes may include terms in addition to those contained in this </w:t>
      </w:r>
      <w:r>
        <w:rPr>
          <w:rFonts w:ascii="Times New Roman;serif" w:hAnsi="Times New Roman;serif"/>
          <w:b w:val="false"/>
          <w:color w:val="000000"/>
          <w:sz w:val="24"/>
          <w:u w:val="single"/>
        </w:rPr>
        <w:t>Section 1.01</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4"/>
        </w:rPr>
        <w:t>144A Global Note</w:t>
      </w:r>
      <w:r>
        <w:rPr>
          <w:color w:val="000000"/>
        </w:rPr>
        <w:t xml:space="preserve">” </w:t>
      </w:r>
      <w:r>
        <w:rPr>
          <w:rFonts w:ascii="Times New Roman;serif" w:hAnsi="Times New Roman;serif"/>
          <w:b w:val="false"/>
          <w:color w:val="000000"/>
          <w:sz w:val="24"/>
        </w:rPr>
        <w:t>means</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Global</w:t>
      </w:r>
      <w:r>
        <w:rPr>
          <w:color w:val="000000"/>
        </w:rPr>
        <w:t xml:space="preserve"> </w:t>
      </w:r>
      <w:r>
        <w:rPr>
          <w:rFonts w:ascii="Times New Roman;serif" w:hAnsi="Times New Roman;serif"/>
          <w:b w:val="false"/>
          <w:color w:val="000000"/>
          <w:sz w:val="24"/>
        </w:rPr>
        <w:t>Note</w:t>
      </w:r>
      <w:r>
        <w:rPr>
          <w:color w:val="000000"/>
        </w:rPr>
        <w:t xml:space="preserve"> </w:t>
      </w:r>
      <w:r>
        <w:rPr>
          <w:rFonts w:ascii="Times New Roman;serif" w:hAnsi="Times New Roman;serif"/>
          <w:b w:val="false"/>
          <w:color w:val="000000"/>
          <w:sz w:val="24"/>
        </w:rPr>
        <w:t>substantially</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form</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u w:val="single"/>
        </w:rPr>
        <w:t>Exhibit A</w:t>
      </w:r>
      <w:r>
        <w:rPr>
          <w:color w:val="000000"/>
        </w:rPr>
        <w:t xml:space="preserve"> </w:t>
      </w:r>
      <w:r>
        <w:rPr>
          <w:rFonts w:ascii="Times New Roman;serif" w:hAnsi="Times New Roman;serif"/>
          <w:b w:val="false"/>
          <w:color w:val="000000"/>
          <w:sz w:val="24"/>
        </w:rPr>
        <w:t>hereto, as applicable, bearing the Global Note Legend and the Private Placement Legend and deposited with or on behalf</w:t>
      </w:r>
      <w:r>
        <w:rPr>
          <w:color w:val="000000"/>
        </w:rPr>
        <w:t xml:space="preserve"> </w:t>
      </w:r>
      <w:r>
        <w:rPr>
          <w:rFonts w:ascii="Times New Roman;serif" w:hAnsi="Times New Roman;serif"/>
          <w:b w:val="false"/>
          <w:color w:val="000000"/>
          <w:sz w:val="24"/>
        </w:rPr>
        <w:t>of, and registered in the name of, the Depository or its nominee that will be issued in a denomination equal to the outstanding principal amount of the</w:t>
      </w:r>
      <w:r>
        <w:rPr>
          <w:color w:val="000000"/>
        </w:rPr>
        <w:t xml:space="preserve"> </w:t>
      </w:r>
      <w:r>
        <w:rPr>
          <w:rFonts w:ascii="Times New Roman;serif" w:hAnsi="Times New Roman;serif"/>
          <w:b w:val="false"/>
          <w:color w:val="000000"/>
          <w:sz w:val="24"/>
        </w:rPr>
        <w:t>Notes sold in reliance on Rule 144A.</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4"/>
        </w:rPr>
        <w:t>Accounting Change</w:t>
      </w:r>
      <w:r>
        <w:rPr>
          <w:color w:val="000000"/>
        </w:rPr>
        <w:t xml:space="preserve">” </w:t>
      </w:r>
      <w:r>
        <w:rPr>
          <w:rFonts w:ascii="Times New Roman;serif" w:hAnsi="Times New Roman;serif"/>
          <w:b w:val="false"/>
          <w:color w:val="000000"/>
          <w:sz w:val="24"/>
        </w:rPr>
        <w:t>has the meaning set forth in the definition of GAAP.</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4"/>
        </w:rPr>
        <w:t>Acquired EBITDA</w:t>
      </w:r>
      <w:r>
        <w:rPr>
          <w:color w:val="000000"/>
        </w:rPr>
        <w:t xml:space="preserve">” </w:t>
      </w:r>
      <w:r>
        <w:rPr>
          <w:rFonts w:ascii="Times New Roman;serif" w:hAnsi="Times New Roman;serif"/>
          <w:b w:val="false"/>
          <w:color w:val="000000"/>
          <w:sz w:val="24"/>
        </w:rPr>
        <w:t>means, with respect to any Acquired Entity or Business for any period, the amount for such period of Consolidated Adjusted EBITDA of such Acquired Entity or Business (determined using such definitions as if references to the Issuer and the Subsidiaries therein were to such Acquired Entity or Business and its Subsidiaries), all as determined on a consolidated basis for such Acquired Entity or Business in a manner not inconsistent with GAAP.</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4"/>
        </w:rPr>
        <w:t>Acquired Entity or Business</w:t>
      </w:r>
      <w:r>
        <w:rPr>
          <w:color w:val="000000"/>
        </w:rPr>
        <w:t xml:space="preserve">” </w:t>
      </w:r>
      <w:r>
        <w:rPr>
          <w:rFonts w:ascii="Times New Roman;serif" w:hAnsi="Times New Roman;serif"/>
          <w:b w:val="false"/>
          <w:color w:val="000000"/>
          <w:sz w:val="24"/>
        </w:rPr>
        <w:t>has the meaning ascribed thereto in the Credit Agreement (as in effect on the Issue Date), as amended by Amendment No. 6 to the Credit Agreement.</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4"/>
        </w:rPr>
        <w:t>Additional Indebtedness</w:t>
      </w:r>
      <w:r>
        <w:rPr>
          <w:color w:val="000000"/>
        </w:rPr>
        <w:t xml:space="preserve">” </w:t>
      </w:r>
      <w:r>
        <w:rPr>
          <w:rFonts w:ascii="Times New Roman;serif" w:hAnsi="Times New Roman;serif"/>
          <w:b w:val="false"/>
          <w:color w:val="000000"/>
          <w:sz w:val="24"/>
        </w:rPr>
        <w:t>means Indebtedness of the Issuer for borrowed money (excluding Indebtedness under the Credit Agreement) under any debt securities or term loans broadly syndicated to institutional investors in an outstanding principal amount at the time of the incurrence of such Indebtedness in excess of the greater of (a) $300.0 million and (b) 30% of Consolidated Adjusted EBITDA for the most recently ended Test Period (calculated on a Pro Forma Basis and determined at the time of the incurrence of such Indebtedness).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4"/>
        </w:rPr>
        <w:t>Additional Notes</w:t>
      </w:r>
      <w:r>
        <w:rPr>
          <w:color w:val="000000"/>
        </w:rPr>
        <w:t xml:space="preserve">” </w:t>
      </w:r>
      <w:r>
        <w:rPr>
          <w:rFonts w:ascii="Times New Roman;serif" w:hAnsi="Times New Roman;serif"/>
          <w:b w:val="false"/>
          <w:color w:val="000000"/>
          <w:sz w:val="24"/>
        </w:rPr>
        <w:t xml:space="preserve">means additional Notes (other than the Initial Notes) issued from time to time under this Indenture in accordance with </w:t>
      </w:r>
      <w:r>
        <w:rPr>
          <w:rFonts w:ascii="Times New Roman;serif" w:hAnsi="Times New Roman;serif"/>
          <w:b w:val="false"/>
          <w:color w:val="000000"/>
          <w:sz w:val="24"/>
          <w:u w:val="single"/>
        </w:rPr>
        <w:t>Section 2.07</w:t>
      </w:r>
      <w:r>
        <w:rPr>
          <w:color w:val="000000"/>
        </w:rPr>
        <w:t xml:space="preserve"> </w:t>
      </w:r>
      <w:r>
        <w:rPr>
          <w:rFonts w:ascii="Times New Roman;serif" w:hAnsi="Times New Roman;serif"/>
          <w:b w:val="false"/>
          <w:color w:val="000000"/>
          <w:sz w:val="24"/>
        </w:rPr>
        <w:t>hereof.</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4"/>
        </w:rPr>
        <w:t>Affiliate</w:t>
      </w:r>
      <w:r>
        <w:rPr>
          <w:color w:val="000000"/>
        </w:rPr>
        <w:t xml:space="preserve">” </w:t>
      </w:r>
      <w:r>
        <w:rPr>
          <w:rFonts w:ascii="Times New Roman;serif" w:hAnsi="Times New Roman;serif"/>
          <w:b w:val="false"/>
          <w:color w:val="000000"/>
          <w:sz w:val="24"/>
        </w:rPr>
        <w:t xml:space="preserve">means, with respect to any specified Person, any other Person directly or indirectly controlling or controlled by or under direct or indirect common control with such specified Person. For purposes of this definition, “control,” as used with respect to any Person, means the possession, directly or indirectly, of the power to direct the management and policies </w:t>
      </w:r>
    </w:p>
    <w:p>
      <w:pPr>
        <w:pStyle w:val="TextBody"/>
        <w:bidi w:val="0"/>
        <w:spacing w:before="0" w:after="0"/>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014095"/>
                <wp:effectExtent l="0" t="0" r="0" b="0"/>
                <wp:wrapNone/>
                <wp:docPr id="49" name="Frame49"/>
                <a:graphic xmlns:a="http://schemas.openxmlformats.org/drawingml/2006/main">
                  <a:graphicData uri="http://schemas.microsoft.com/office/word/2010/wordprocessingShape">
                    <wps:wsp>
                      <wps:cNvSpPr txBox="1"/>
                      <wps:spPr>
                        <a:xfrm>
                          <a:off x="0" y="0"/>
                          <a:ext cx="6480175" cy="101409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w:t>
                            </w:r>
                            <w:r>
                              <w:br w:type="page"/>
                            </w:r>
                          </w:p>
                          <w:p>
                            <w:pPr>
                              <w:pStyle w:val="TextBody"/>
                              <w:bidi w:val="0"/>
                              <w:spacing w:before="0" w:after="0"/>
                              <w:jc w:val="left"/>
                              <w:rPr/>
                            </w:pPr>
                            <w:r>
                              <w:rPr/>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9.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w:t>
                      </w:r>
                    </w:p>
                    <w:p>
                      <w:pPr>
                        <w:pStyle w:val="TextBody"/>
                        <w:bidi w:val="0"/>
                        <w:spacing w:before="0" w:after="0"/>
                        <w:jc w:val="left"/>
                        <w:rPr/>
                      </w:pPr>
                      <w:r>
                        <w:rPr/>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of such Person, whether through the ownership of voting securities or by contract. For purposes of this definition, the terms “controlling,” “controlled by” and “under common control with” have correlative meanings.</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4"/>
        </w:rPr>
        <w:t>Agent</w:t>
      </w:r>
      <w:r>
        <w:rPr>
          <w:color w:val="000000"/>
        </w:rPr>
        <w:t xml:space="preserve">” </w:t>
      </w:r>
      <w:r>
        <w:rPr>
          <w:rFonts w:ascii="Times New Roman;serif" w:hAnsi="Times New Roman;serif"/>
          <w:b w:val="false"/>
          <w:color w:val="000000"/>
          <w:sz w:val="24"/>
        </w:rPr>
        <w:t>means any Registrar, co-registrar, Paying Agent or additional paying agent.</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4"/>
        </w:rPr>
        <w:t>Applicable Law</w:t>
      </w:r>
      <w:r>
        <w:rPr>
          <w:color w:val="000000"/>
        </w:rPr>
        <w:t xml:space="preserve">” </w:t>
      </w:r>
      <w:r>
        <w:rPr>
          <w:rFonts w:ascii="Times New Roman;serif" w:hAnsi="Times New Roman;serif"/>
          <w:b w:val="false"/>
          <w:color w:val="000000"/>
          <w:sz w:val="24"/>
        </w:rPr>
        <w:t>means, as to any Person, any ordinance, law, treaty, rule or regulation or any determination, ruling or other directive by and from an arbitrator or a court or other Governmental Authority, in each case, applicable to or binding on such Person or any of its property or assets or to which such Person or any of its property is subject.</w:t>
      </w:r>
    </w:p>
    <w:p>
      <w:pPr>
        <w:pStyle w:val="TextBody"/>
        <w:bidi w:val="0"/>
        <w:spacing w:lineRule="auto" w:line="288" w:before="167" w:after="180"/>
        <w:ind w:left="0" w:right="0" w:firstLine="720"/>
        <w:jc w:val="left"/>
        <w:rPr/>
      </w:pPr>
      <w:r>
        <w:rPr>
          <w:color w:val="000000"/>
        </w:rPr>
        <w:t>“</w:t>
      </w:r>
      <w:r>
        <w:rPr>
          <w:rFonts w:ascii="Times New Roman;serif" w:hAnsi="Times New Roman;serif"/>
          <w:b w:val="false"/>
          <w:i/>
          <w:color w:val="000000"/>
          <w:sz w:val="24"/>
        </w:rPr>
        <w:t>Applicable Premium</w:t>
      </w:r>
      <w:r>
        <w:rPr>
          <w:color w:val="000000"/>
        </w:rPr>
        <w:t xml:space="preserve">” </w:t>
      </w:r>
      <w:r>
        <w:rPr>
          <w:rFonts w:ascii="Times New Roman;serif" w:hAnsi="Times New Roman;serif"/>
          <w:b w:val="false"/>
          <w:color w:val="000000"/>
          <w:sz w:val="24"/>
        </w:rPr>
        <w:t>means, with respect to any Notes on any redemption date, any positive excess of:</w:t>
      </w:r>
    </w:p>
    <w:p>
      <w:pPr>
        <w:pStyle w:val="TextBody"/>
        <w:bidi w:val="0"/>
        <w:spacing w:lineRule="auto" w:line="288"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(a)the present value at such redemption date of (i) the redemption price of the Notes on May 1, 2028 plus all required interest payments due through May 1, 2028 (in each case, excluding accrued but unpaid interest to the redemption date), in each case, computed using a discount rate equal to the Treasury Rate as of such redemption date plus 50 basis points; over</w:t>
      </w:r>
    </w:p>
    <w:p>
      <w:pPr>
        <w:pStyle w:val="TextBody"/>
        <w:bidi w:val="0"/>
        <w:spacing w:lineRule="auto" w:line="288"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 xml:space="preserve">(b)the principal amount of such Notes. </w:t>
      </w:r>
    </w:p>
    <w:p>
      <w:pPr>
        <w:pStyle w:val="TextBody"/>
        <w:bidi w:val="0"/>
        <w:spacing w:lineRule="auto" w:line="288" w:before="167" w:after="18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Calculation of the Applicable Premium shall be made by the Issuer or on behalf of the Issuer by such Person as the Issuer shall designate and, in any event, such calculation shall not be a duty or obligation of the Trustee in any of its capacities under this Indenture. </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4"/>
        </w:rPr>
        <w:t>Applicable Procedures</w:t>
      </w:r>
      <w:r>
        <w:rPr>
          <w:color w:val="000000"/>
        </w:rPr>
        <w:t xml:space="preserve">” </w:t>
      </w:r>
      <w:r>
        <w:rPr>
          <w:rFonts w:ascii="Times New Roman;serif" w:hAnsi="Times New Roman;serif"/>
          <w:b w:val="false"/>
          <w:color w:val="000000"/>
          <w:sz w:val="24"/>
        </w:rPr>
        <w:t>means, with respect to any transfer or exchange of or for beneficial interests in any Global Note, the rules and</w:t>
      </w:r>
      <w:r>
        <w:rPr>
          <w:color w:val="000000"/>
        </w:rPr>
        <w:t xml:space="preserve"> </w:t>
      </w:r>
      <w:r>
        <w:rPr>
          <w:rFonts w:ascii="Times New Roman;serif" w:hAnsi="Times New Roman;serif"/>
          <w:b w:val="false"/>
          <w:color w:val="000000"/>
          <w:sz w:val="24"/>
        </w:rPr>
        <w:t>procedures of the Depository that apply to such transfer or exchange.</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4"/>
        </w:rPr>
        <w:t>Authorized Officer</w:t>
      </w:r>
      <w:r>
        <w:rPr>
          <w:color w:val="000000"/>
        </w:rPr>
        <w:t xml:space="preserve">” </w:t>
      </w:r>
      <w:r>
        <w:rPr>
          <w:rFonts w:ascii="Times New Roman;serif" w:hAnsi="Times New Roman;serif"/>
          <w:b w:val="false"/>
          <w:color w:val="000000"/>
          <w:sz w:val="24"/>
        </w:rPr>
        <w:t>means the chief executive officer, the president, the chief financial officer, the treasurer, any assistant treasurer, the general counsel, the principal accounting officer, a responsible financial or accounting officer or any other person of the Issuer having substantially the same responsibilities as the aforementioned officers.</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4"/>
        </w:rPr>
        <w:t>Bankruptcy Law</w:t>
      </w:r>
      <w:r>
        <w:rPr>
          <w:color w:val="000000"/>
        </w:rPr>
        <w:t xml:space="preserve">” </w:t>
      </w:r>
      <w:r>
        <w:rPr>
          <w:rFonts w:ascii="Times New Roman;serif" w:hAnsi="Times New Roman;serif"/>
          <w:b w:val="false"/>
          <w:color w:val="000000"/>
          <w:sz w:val="24"/>
        </w:rPr>
        <w:t>means Title 11 of the United States Code, 11 U.S.C. §§ 101, et seq., as amended from time to time, or any similar federal, state or foreign bankruptcy, insolvency, reorganization, receivership or similar law.</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4"/>
        </w:rPr>
        <w:t>Beneficial Owner</w:t>
      </w:r>
      <w:r>
        <w:rPr>
          <w:color w:val="000000"/>
        </w:rPr>
        <w:t xml:space="preserve">” </w:t>
      </w:r>
      <w:r>
        <w:rPr>
          <w:rFonts w:ascii="Times New Roman;serif" w:hAnsi="Times New Roman;serif"/>
          <w:b w:val="false"/>
          <w:color w:val="000000"/>
          <w:sz w:val="24"/>
        </w:rPr>
        <w:t>has the meaning assigned to such term in Rule 13d-3 and Rule 13d-5 under the Exchange Act as of the Issue Date. The terms “Beneficially Owns”, “Beneficially Owned” and “Beneficial Ownership” have a corresponding meaning.</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4"/>
        </w:rPr>
        <w:t>Board of Directors</w:t>
      </w:r>
      <w:r>
        <w:rPr>
          <w:color w:val="000000"/>
        </w:rPr>
        <w:t xml:space="preserve">” </w:t>
      </w:r>
      <w:r>
        <w:rPr>
          <w:rFonts w:ascii="Times New Roman;serif" w:hAnsi="Times New Roman;serif"/>
          <w:b w:val="false"/>
          <w:color w:val="000000"/>
          <w:sz w:val="24"/>
        </w:rPr>
        <w:t>means:</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(1)with respect to a corporation, the board of directors of the corporation or any committee thereof duly authorized to act on behalf of such board;</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(2)with respect to a partnership, the board of directors of the general partner of the partnership;</w:t>
      </w:r>
    </w:p>
    <w:p>
      <w:pPr>
        <w:pStyle w:val="TextBody"/>
        <w:bidi w:val="0"/>
        <w:spacing w:before="0" w:after="0"/>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735965"/>
                <wp:effectExtent l="0" t="0" r="0" b="0"/>
                <wp:wrapNone/>
                <wp:docPr id="50" name="Frame50"/>
                <a:graphic xmlns:a="http://schemas.openxmlformats.org/drawingml/2006/main">
                  <a:graphicData uri="http://schemas.microsoft.com/office/word/2010/wordprocessingShape">
                    <wps:wsp>
                      <wps:cNvSpPr txBox="1"/>
                      <wps:spPr>
                        <a:xfrm>
                          <a:off x="0" y="0"/>
                          <a:ext cx="6480175" cy="7359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(3)with respect to a limited liability company, the managing member or members or any controlling committee of managing members thereof; and</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(4)with respect to any other Person, the board or committee of such Person serving a similar function.</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4"/>
        </w:rPr>
        <w:t>Business Day</w:t>
      </w:r>
      <w:r>
        <w:rPr>
          <w:color w:val="000000"/>
        </w:rPr>
        <w:t xml:space="preserve">” </w:t>
      </w:r>
      <w:r>
        <w:rPr>
          <w:rFonts w:ascii="Times New Roman;serif" w:hAnsi="Times New Roman;serif"/>
          <w:b w:val="false"/>
          <w:color w:val="000000"/>
          <w:sz w:val="24"/>
        </w:rPr>
        <w:t>means each day other than a Saturday, a Sunday or a day on which banking institutions in New York City (and, with respect to payments, in the place of payment) are authorized or required by law to remain closed.</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4"/>
        </w:rPr>
        <w:t>Capital Lease</w:t>
      </w:r>
      <w:r>
        <w:rPr>
          <w:color w:val="000000"/>
        </w:rPr>
        <w:t xml:space="preserve">” </w:t>
      </w:r>
      <w:r>
        <w:rPr>
          <w:rFonts w:ascii="Times New Roman;serif" w:hAnsi="Times New Roman;serif"/>
          <w:b w:val="false"/>
          <w:color w:val="000000"/>
          <w:sz w:val="24"/>
        </w:rPr>
        <w:t xml:space="preserve">means any lease of any property (whether real, personal or mixed) by the Issuer or any Subsidiary as lessee that, in conformity with GAAP, is, or is required to be, accounted for as a capital lease on the balance sheet of the Issuer;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w:t>
      </w:r>
      <w:r>
        <w:rPr>
          <w:rFonts w:ascii="Times New Roman;serif" w:hAnsi="Times New Roman;serif"/>
          <w:b w:val="false"/>
          <w:i/>
          <w:color w:val="000000"/>
          <w:sz w:val="24"/>
        </w:rPr>
        <w:t>however</w:t>
      </w:r>
      <w:r>
        <w:rPr>
          <w:rFonts w:ascii="Times New Roman;serif" w:hAnsi="Times New Roman;serif"/>
          <w:b w:val="false"/>
          <w:color w:val="000000"/>
          <w:sz w:val="24"/>
        </w:rPr>
        <w:t>, that notwithstanding anything to the contrary in any Note Document, (i) notwithstanding any change in GAAP after December 31, 2018 that would require lease obligations that would be treated as operating leases as of December 31, 2018 to be classified and accounted for as capital leases or finance leases or otherwise reflected on the Issuer’s consolidated balance sheet, such obligations shall continue to be excluded from the definition of Indebtedness and (ii) any lease that would have been considered an operating lease under GAAP in effect as of December 31, 2018 shall be treated as an operating lease for all purposes under any Note Document, and obligations in respect thereof shall be excluded from the definition of Indebtedness.</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4"/>
        </w:rPr>
        <w:t>Capital Stock</w:t>
      </w:r>
      <w:r>
        <w:rPr>
          <w:color w:val="000000"/>
        </w:rPr>
        <w:t xml:space="preserve">” </w:t>
      </w:r>
      <w:r>
        <w:rPr>
          <w:rFonts w:ascii="Times New Roman;serif" w:hAnsi="Times New Roman;serif"/>
          <w:b w:val="false"/>
          <w:color w:val="000000"/>
          <w:sz w:val="24"/>
        </w:rPr>
        <w:t>means:</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(1)in the case of a corporation, corporate stock;</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(2)in the case of an association or business entity, any and all shares, interests, participations, rights or other equivalents (however designated) of corporate stock;</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(3)in the case of a partnership or limited liability company, partnership interests (whether general or limited) or membership interests; and</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(4)any other interest or participation that confers on a Person the right to receive a share of the profits and losses of, or distributions of assets of, the issuing Person, but excluding from all of the foregoing any debt securities convertible into Capital Stock, whether or not such debt securities include any right of participation with Capital Stock.</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4"/>
        </w:rPr>
        <w:t>Capitalized Lease Obligations</w:t>
      </w:r>
      <w:r>
        <w:rPr>
          <w:color w:val="000000"/>
        </w:rPr>
        <w:t xml:space="preserve">” </w:t>
      </w:r>
      <w:r>
        <w:rPr>
          <w:rFonts w:ascii="Times New Roman;serif" w:hAnsi="Times New Roman;serif"/>
          <w:b w:val="false"/>
          <w:color w:val="000000"/>
          <w:sz w:val="24"/>
        </w:rPr>
        <w:t xml:space="preserve">means, as applied to the Issuer and the Subsidiaries at the time any determination is to be made, the amount of the liability in respect of a Capital Lease that would at such time be required to be capitalized and reflected as a liability on the balance sheet (excluding the footnotes thereto) of the Issuer in accordance with GAAP, and the Stated Maturity thereof shall be the date of the last payment of rent or any other amount due under such Capital Lease prior to the first date upon which such Capital Lease may be prepaid by the lessee without payment of a penalty;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w:t>
      </w:r>
      <w:r>
        <w:rPr>
          <w:rFonts w:ascii="Times New Roman;serif" w:hAnsi="Times New Roman;serif"/>
          <w:b w:val="false"/>
          <w:i/>
          <w:color w:val="000000"/>
          <w:sz w:val="24"/>
        </w:rPr>
        <w:t>however</w:t>
      </w:r>
      <w:r>
        <w:rPr>
          <w:rFonts w:ascii="Times New Roman;serif" w:hAnsi="Times New Roman;serif"/>
          <w:b w:val="false"/>
          <w:color w:val="000000"/>
          <w:sz w:val="24"/>
        </w:rPr>
        <w:t xml:space="preserve">, that notwithstanding anything to the contrary in any Note Document, (i) notwithstanding any change in GAAP after December 31, 2018 that would require lease obligations that would be treated as operating leases as of December 31, 2018 to be classified and accounted for as Capital Leases or finance leases or otherwise reflected on the Issuer’s consolidated balance sheet, such obligations shall continue to be excluded from the definition of Indebtedness and (ii) any lease that would have been considered an operating lease under GAAP in effect as of December 31, 2018 shall be treated as an operating lease for all </w:t>
      </w:r>
    </w:p>
    <w:p>
      <w:pPr>
        <w:pStyle w:val="TextBody"/>
        <w:bidi w:val="0"/>
        <w:spacing w:before="0" w:after="0"/>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735965"/>
                <wp:effectExtent l="0" t="0" r="0" b="0"/>
                <wp:wrapNone/>
                <wp:docPr id="51" name="Frame51"/>
                <a:graphic xmlns:a="http://schemas.openxmlformats.org/drawingml/2006/main">
                  <a:graphicData uri="http://schemas.microsoft.com/office/word/2010/wordprocessingShape">
                    <wps:wsp>
                      <wps:cNvSpPr txBox="1"/>
                      <wps:spPr>
                        <a:xfrm>
                          <a:off x="0" y="0"/>
                          <a:ext cx="6480175" cy="7359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purposes under any Note Document, and obligations in respect thereof shall be excluded from the definition of Indebtedness.</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4"/>
        </w:rPr>
        <w:t>Cash Equivalents</w:t>
      </w:r>
      <w:r>
        <w:rPr>
          <w:color w:val="000000"/>
        </w:rPr>
        <w:t xml:space="preserve">” </w:t>
      </w:r>
      <w:r>
        <w:rPr>
          <w:rFonts w:ascii="Times New Roman;serif" w:hAnsi="Times New Roman;serif"/>
          <w:b w:val="false"/>
          <w:color w:val="000000"/>
          <w:sz w:val="24"/>
        </w:rPr>
        <w:t>means:</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(1)U.S. dollars, Canadian dollars, Euros or, in the case of any Foreign Subsidiary, any local currencies held by it from time to time;</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(2)securities issued or unconditionally guaranteed by the United States government or any agency or instrumentality thereof, in each case having maturities and/or reset dates of not more than 24 months from the date of acquisition thereof;</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(3)securities issued by any state of the United States of America or any political subdivision of any such state or any public instrumentality thereof or any political subdivision of any such state or any public instrumentality thereof having maturities of not more than 24 months from the date of acquisition thereof and, at the time of acquisition, having an investment grade rating generally obtainable from either S&amp;P or Moody’s (or, if at any time neither S&amp;P nor Moody’s shall be rating such obligations, then from another nationally recognized rating service);</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(4)commercial paper or variable or fixed rate notes maturing no more than 12 months after the date of creation thereof and, at the time of acquisition, having a rating of at least A-3 or P-3 from either S&amp;P or Moody’s (or, if at any time neither S&amp;P nor Moody’s shall be rating such obligations, an equivalent rating from another nationally recognized rating service);</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(5)time deposits with, or domestic and eurodollar certificates of deposit or bankers’ acceptances maturing no more than two years after the date of acquisition thereof issued by, the administrative agent under the Credit Agreement (or any Affiliate thereof), any lender or any other bank having combined capital and surplus of not less than $500.0 million in the case of domestic banks and $100.0 million (or the dollar equivalent thereof) in the case of foreign banks;</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(6)repurchase agreements with a term of not more than 90 days for underlying securities of the type described in clauses (2), (3) and (5) above entered into with any bank meeting the qualifications specified in clause (5) above or securities dealers of recognized national standing;</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(7)marketable short-term money market and similar funds either (x) having assets in excess of $500.0 million or (y) having a rating of at least A-3 or P-3 from either S&amp;P or Moody’s (or, if at any time neither S&amp;P nor Moody’s shall be rating such obligations, an equivalent rating from another nationally recognized rating service);</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(8)shares of investment companies that are registered under the Investment Company Act of 1940, as amended, and substantially all the investments of which are one or more of the types of securities described in clauses (1) through (7) above;</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(9)any hedging agreement that is entered into by and between the Issuer or any Subsidiary and any hedge bank (including any netting, set-off or netting rights thereunder); and</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(10)in the case of investments by any Foreign Subsidiary or investments made in a country outside the United States of America, other customarily utilized high-quality </w:t>
      </w:r>
    </w:p>
    <w:p>
      <w:pPr>
        <w:pStyle w:val="TextBody"/>
        <w:bidi w:val="0"/>
        <w:spacing w:before="0" w:after="0"/>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735965"/>
                <wp:effectExtent l="0" t="0" r="0" b="0"/>
                <wp:wrapNone/>
                <wp:docPr id="52" name="Frame52"/>
                <a:graphic xmlns:a="http://schemas.openxmlformats.org/drawingml/2006/main">
                  <a:graphicData uri="http://schemas.microsoft.com/office/word/2010/wordprocessingShape">
                    <wps:wsp>
                      <wps:cNvSpPr txBox="1"/>
                      <wps:spPr>
                        <a:xfrm>
                          <a:off x="0" y="0"/>
                          <a:ext cx="6480175" cy="7359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investments in the country where such Foreign Subsidiary is located or in which such investment is made.</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4"/>
        </w:rPr>
        <w:t>Change of Control</w:t>
      </w:r>
      <w:r>
        <w:rPr>
          <w:color w:val="000000"/>
        </w:rPr>
        <w:t xml:space="preserve">” </w:t>
      </w:r>
      <w:r>
        <w:rPr>
          <w:rFonts w:ascii="Times New Roman;serif" w:hAnsi="Times New Roman;serif"/>
          <w:b w:val="false"/>
          <w:color w:val="000000"/>
          <w:sz w:val="24"/>
        </w:rPr>
        <w:t>means the occurrence of any of the following after the Issue Date:</w:t>
      </w:r>
    </w:p>
    <w:p>
      <w:pPr>
        <w:pStyle w:val="TextBody"/>
        <w:bidi w:val="0"/>
        <w:spacing w:lineRule="auto" w:line="240" w:before="0" w:after="240"/>
        <w:ind w:left="0" w:right="0" w:firstLine="720"/>
        <w:jc w:val="both"/>
        <w:rPr/>
      </w:pPr>
      <w:r>
        <w:rPr>
          <w:rFonts w:ascii="Times New Roman;serif" w:hAnsi="Times New Roman;serif"/>
          <w:b w:val="false"/>
          <w:color w:val="000000"/>
          <w:sz w:val="24"/>
        </w:rPr>
        <w:t xml:space="preserve">(1)the Issuer becomes aware of (by way of a report or any other filing pursuant to Section 13(d) of the Exchange Act, proxy, vote, written notice or otherwise) any “person” (as such term is used in Sections 13(d) and 14(d) of the Exchange Act as in effect on the Issue Date) (other than (A) one or more Permitted Holders, (B) any Parent Entity, (C) any entity owned directly or indirectly by the direct or indirect stockholders of the Issuer in substantially the same proportion as their direct or indirect ownership of stock of the Issuer prior to such transaction or (D) any entity formed by the Issuer or its Affiliates) that is or becomes the Beneficial Owner of more than 50% of the total voting power of the Voting Stock of the Issuer;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i/>
          <w:color w:val="000000"/>
          <w:sz w:val="24"/>
        </w:rPr>
        <w:t>that</w:t>
      </w:r>
      <w:r>
        <w:rPr>
          <w:rFonts w:ascii="Times New Roman;serif" w:hAnsi="Times New Roman;serif"/>
          <w:b w:val="false"/>
          <w:color w:val="000000"/>
          <w:sz w:val="24"/>
        </w:rPr>
        <w:t xml:space="preserve">: </w:t>
      </w:r>
    </w:p>
    <w:p>
      <w:pPr>
        <w:pStyle w:val="TextBody"/>
        <w:bidi w:val="0"/>
        <w:spacing w:lineRule="auto" w:line="288" w:before="0" w:after="240"/>
        <w:ind w:left="0" w:right="0" w:firstLine="1080"/>
        <w:jc w:val="both"/>
        <w:rPr>
          <w:rFonts w:ascii="Times New Roman;serif" w:hAnsi="Times New Roman;serif"/>
          <w:b w:val="false"/>
          <w:color w:val="000000"/>
          <w:sz w:val="24"/>
        </w:rPr>
      </w:pPr>
      <w:r>
        <w:rPr>
          <w:rFonts w:ascii="Times New Roman;serif" w:hAnsi="Times New Roman;serif"/>
          <w:b w:val="false"/>
          <w:color w:val="000000"/>
          <w:sz w:val="24"/>
        </w:rPr>
        <w:t>(x)     so long as the Issuer is a Subsidiary of any Parent Entity, no person shall be deemed to be or become a Beneficial Owner of more than 50% of the total voting power of the Voting Stock of the Issuer unless such person shall be or become a Beneficial Owner of more than 50% of the total voting power of the Voting Stock of such Parent Entity (other than a Parent Entity that is a Subsidiary of another Parent Entity);</w:t>
      </w:r>
    </w:p>
    <w:p>
      <w:pPr>
        <w:pStyle w:val="TextBody"/>
        <w:bidi w:val="0"/>
        <w:spacing w:lineRule="auto" w:line="288" w:before="0" w:after="240"/>
        <w:ind w:left="0" w:right="0" w:firstLine="1080"/>
        <w:jc w:val="both"/>
        <w:rPr>
          <w:rFonts w:ascii="Times New Roman;serif" w:hAnsi="Times New Roman;serif"/>
          <w:b w:val="false"/>
          <w:color w:val="000000"/>
          <w:sz w:val="24"/>
        </w:rPr>
      </w:pPr>
      <w:r>
        <w:rPr>
          <w:rFonts w:ascii="Times New Roman;serif" w:hAnsi="Times New Roman;serif"/>
          <w:b w:val="false"/>
          <w:color w:val="000000"/>
          <w:sz w:val="24"/>
        </w:rPr>
        <w:t xml:space="preserve">(y)     any Voting Stock of which any Permitted Holder is the Beneficial Owner shall not in any case be included in any Voting Stock of which any such person is the Beneficial Owner; and </w:t>
      </w:r>
    </w:p>
    <w:p>
      <w:pPr>
        <w:pStyle w:val="TextBody"/>
        <w:bidi w:val="0"/>
        <w:spacing w:lineRule="auto" w:line="288" w:before="0" w:after="240"/>
        <w:ind w:left="0" w:right="0" w:firstLine="1080"/>
        <w:jc w:val="both"/>
        <w:rPr>
          <w:rFonts w:ascii="Times New Roman;serif" w:hAnsi="Times New Roman;serif"/>
          <w:b w:val="false"/>
          <w:color w:val="000000"/>
          <w:sz w:val="24"/>
        </w:rPr>
      </w:pPr>
      <w:r>
        <w:rPr>
          <w:rFonts w:ascii="Times New Roman;serif" w:hAnsi="Times New Roman;serif"/>
          <w:b w:val="false"/>
          <w:color w:val="000000"/>
          <w:sz w:val="24"/>
        </w:rPr>
        <w:t xml:space="preserve">(z)     any Voting Stock of which any employee benefit plan of the Issuer or any of its Subsidiaries, or any person or entity acting in its capacity as trustee, agent or other fiduciary or administrator of such plan, is the Beneficial Owner shall not in any case be included in any Voting Stock of which any such person is the Beneficial Owner; or </w:t>
      </w:r>
    </w:p>
    <w:p>
      <w:pPr>
        <w:pStyle w:val="TextBody"/>
        <w:bidi w:val="0"/>
        <w:spacing w:lineRule="auto" w:line="240" w:before="0" w:after="240"/>
        <w:ind w:left="0" w:right="0" w:firstLine="720"/>
        <w:jc w:val="both"/>
        <w:rPr/>
      </w:pPr>
      <w:r>
        <w:rPr>
          <w:rFonts w:ascii="Times New Roman;serif" w:hAnsi="Times New Roman;serif"/>
          <w:b w:val="false"/>
          <w:color w:val="000000"/>
          <w:sz w:val="24"/>
        </w:rPr>
        <w:t xml:space="preserve">(2)the sale or transfer, in one or a series of related transactions, of all or substantially all of the assets of the Issuer and its Subsidiaries, taken as a whole, to a Person (other than the Issuer or any of its Subsidiaries or one or more Permitted Holders) and any “person” (as such term is used in Sections 13(d) and 14(d) of the Exchange Act as in effect on the Issue Date) (other than (A) one or more Permitted Holders, (B) any Parent Entity, (C) any entity owned directly or indirectly by the direct or indirect stockholders of the Issuer in substantially the same proportion as their direct or indirect ownership of stock of the Issuer prior to such transaction or (D) any entity formed by the Issuer or its Affiliates) is or becomes the Beneficial Owner of more than 50% of the total voting power of the Voting Stock of the transferee person in such sale or transfer of assets, as the case may be;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i/>
          <w:color w:val="000000"/>
          <w:sz w:val="24"/>
        </w:rPr>
        <w:t>that</w:t>
      </w:r>
      <w:r>
        <w:rPr>
          <w:rFonts w:ascii="Times New Roman;serif" w:hAnsi="Times New Roman;serif"/>
          <w:b w:val="false"/>
          <w:color w:val="000000"/>
          <w:sz w:val="24"/>
        </w:rPr>
        <w:t xml:space="preserve">: </w:t>
      </w:r>
    </w:p>
    <w:p>
      <w:pPr>
        <w:pStyle w:val="TextBody"/>
        <w:bidi w:val="0"/>
        <w:spacing w:lineRule="auto" w:line="288" w:before="0" w:after="240"/>
        <w:ind w:left="0" w:right="0" w:firstLine="1080"/>
        <w:jc w:val="both"/>
        <w:rPr>
          <w:rFonts w:ascii="Times New Roman;serif" w:hAnsi="Times New Roman;serif"/>
          <w:b w:val="false"/>
          <w:color w:val="000000"/>
          <w:sz w:val="24"/>
        </w:rPr>
      </w:pPr>
      <w:r>
        <w:rPr>
          <w:rFonts w:ascii="Times New Roman;serif" w:hAnsi="Times New Roman;serif"/>
          <w:b w:val="false"/>
          <w:color w:val="000000"/>
          <w:sz w:val="24"/>
        </w:rPr>
        <w:t xml:space="preserve">(x)     so long as the Issuer is a Subsidiary of any Parent Entity, no person shall be deemed to be or become a Beneficial Owner of more than 50% of the total voting power of the Voting Stock of the Issuer unless such person shall be or become a Beneficial Owner of more than 50% of the total voting power of </w:t>
      </w:r>
    </w:p>
    <w:p>
      <w:pPr>
        <w:pStyle w:val="TextBody"/>
        <w:bidi w:val="0"/>
        <w:spacing w:before="0" w:after="0"/>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735965"/>
                <wp:effectExtent l="0" t="0" r="0" b="0"/>
                <wp:wrapNone/>
                <wp:docPr id="53" name="Frame53"/>
                <a:graphic xmlns:a="http://schemas.openxmlformats.org/drawingml/2006/main">
                  <a:graphicData uri="http://schemas.microsoft.com/office/word/2010/wordprocessingShape">
                    <wps:wsp>
                      <wps:cNvSpPr txBox="1"/>
                      <wps:spPr>
                        <a:xfrm>
                          <a:off x="0" y="0"/>
                          <a:ext cx="6480175" cy="7359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the Voting Stock of such Parent Entity (other than a Parent Entity that is a Subsidiary of another Parent Entity);</w:t>
      </w:r>
    </w:p>
    <w:p>
      <w:pPr>
        <w:pStyle w:val="TextBody"/>
        <w:bidi w:val="0"/>
        <w:spacing w:lineRule="auto" w:line="288" w:before="0" w:after="240"/>
        <w:ind w:left="0" w:right="0" w:firstLine="1080"/>
        <w:jc w:val="both"/>
        <w:rPr>
          <w:rFonts w:ascii="Times New Roman;serif" w:hAnsi="Times New Roman;serif"/>
          <w:b w:val="false"/>
          <w:color w:val="000000"/>
          <w:sz w:val="24"/>
        </w:rPr>
      </w:pPr>
      <w:r>
        <w:rPr>
          <w:rFonts w:ascii="Times New Roman;serif" w:hAnsi="Times New Roman;serif"/>
          <w:b w:val="false"/>
          <w:color w:val="000000"/>
          <w:sz w:val="24"/>
        </w:rPr>
        <w:t xml:space="preserve">(y)     any Voting Stock of which any Permitted Holder is the Beneficial Owner shall not in any case be included in any Voting Stock of which any such person is the Beneficial Owner; and </w:t>
      </w:r>
    </w:p>
    <w:p>
      <w:pPr>
        <w:pStyle w:val="TextBody"/>
        <w:bidi w:val="0"/>
        <w:spacing w:lineRule="auto" w:line="288" w:before="0" w:after="240"/>
        <w:ind w:left="0" w:right="0" w:firstLine="1080"/>
        <w:jc w:val="both"/>
        <w:rPr>
          <w:rFonts w:ascii="Times New Roman;serif" w:hAnsi="Times New Roman;serif"/>
          <w:b w:val="false"/>
          <w:color w:val="000000"/>
          <w:sz w:val="24"/>
        </w:rPr>
      </w:pPr>
      <w:r>
        <w:rPr>
          <w:rFonts w:ascii="Times New Roman;serif" w:hAnsi="Times New Roman;serif"/>
          <w:b w:val="false"/>
          <w:color w:val="000000"/>
          <w:sz w:val="24"/>
        </w:rPr>
        <w:t>(z)     any Voting Stock of which any employee benefit plan of the Issuer or any of its Subsidiaries, or any person or entity acting in its capacity as trustee, agent or other fiduciary or administrator of such plan, is the Beneficial Owner shall not in any case be included in any Voting Stock of which any such person is the Beneficial Owner.</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For the avoidance of doubt, for purposes of this definition, (i) a merger or consolidation of a Subsidiary of the Issuer into another Subsidiary of the Issuer or (ii) other than, for the avoidance of doubt, a sale of Susquehanna, a sale of a Subsidiary of the Issuer to another person in a transaction permitted pursuant to the terms of this Indenture will not be deemed to be a Change of Control.</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Notwithstanding the preceding or any provision of Rule 13d-3 or 13d-5 of the Exchange Act:</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     a person or group shall not be deemed to Beneficially Own Voting Stock subject to an equity or asset purchase agreement, merger agreement, option agreement, warrant agreement or similar agreement (or voting, option or similar agreement related thereto) until the consummation of the acquisition of the Voting Stock in connection with the transactions contemplated by such agreement;</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(ii)     if any group includes one or more Permitted Holders, the issued and outstanding Voting Stock of the Issuer owned, directly or indirectly, by any Permitted Holders that are part of such group shall be treated as being Beneficially Owned by such Permitted Holders and shall not be treated as being Beneficially Owned by such group or any other member of such group for purposes of determining whether a Change of Control has occurred; </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(iii)     a person or group will not be deemed to Beneficially Own the Voting Stock of another person as a result of its ownership of Voting Stock or other securities of such other person’s parent entity (or related contractual rights) unless it owns more than 50% of the total voting power of the Voting Stock of such parent entity; and </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(iv)     the right to acquire Voting Stock (so long as such person does not have the right to direct the voting of the Voting Stock subject to such right) or any veto power in connection with the acquisition or disposition of Voting Stock will not cause a party to be a Beneficial Owner.</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Notwithstanding the foregoing, a Change of Control shall not occur (a) in connection with any Permitted Reorganization Transaction, any IPO Reorganization Transaction or any Permitted Spin-Out Transaction, (b) as a result of the IPOCo Transactions, a Qualifying IPO and any transactions relating thereto, including, without limitation, (i) the contribution of the Capital Stock of the Issuer to IPO Listco or (ii) any transaction in which the Issuer remains a subsidiary </w:t>
      </w:r>
    </w:p>
    <w:p>
      <w:pPr>
        <w:pStyle w:val="TextBody"/>
        <w:bidi w:val="0"/>
        <w:spacing w:before="0" w:after="0"/>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735965"/>
                <wp:effectExtent l="0" t="0" r="0" b="0"/>
                <wp:wrapNone/>
                <wp:docPr id="54" name="Frame54"/>
                <a:graphic xmlns:a="http://schemas.openxmlformats.org/drawingml/2006/main">
                  <a:graphicData uri="http://schemas.microsoft.com/office/word/2010/wordprocessingShape">
                    <wps:wsp>
                      <wps:cNvSpPr txBox="1"/>
                      <wps:spPr>
                        <a:xfrm>
                          <a:off x="0" y="0"/>
                          <a:ext cx="6480175" cy="7359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of IPO Listco but one or more intermediate holding companies between the Issuer and IPO Listco are added, liquidated, merged or consolidated out of existence or (c) if the Issuer becomes a direct or indirect wholly owned Subsidiary of a Parent Entity and immediately following that transaction no person (other than a Parent Entity satisfying the requirements of this sentence or one or more Permitted Holders) is the Beneficial Owner, directly or indirectly, of more than 50% of the Voting Stock of such Parent Entity (or its general partner, if applicable). No Change of Control will be deemed to have occurred unless and until such Change of Control has actually been consummated.</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For the avoidance of doubt, the sale or transfer of all or a portion of the Susquehanna Assets (other than a transaction that complies with </w:t>
      </w:r>
      <w:r>
        <w:rPr>
          <w:rFonts w:ascii="Times New Roman;serif" w:hAnsi="Times New Roman;serif"/>
          <w:b w:val="false"/>
          <w:color w:val="000000"/>
          <w:sz w:val="24"/>
          <w:u w:val="single"/>
        </w:rPr>
        <w:t>Section 4.05</w:t>
      </w:r>
      <w:r>
        <w:rPr>
          <w:rFonts w:ascii="Times New Roman;serif" w:hAnsi="Times New Roman;serif"/>
          <w:b w:val="false"/>
          <w:color w:val="000000"/>
          <w:sz w:val="24"/>
        </w:rPr>
        <w:t>) shall constitute the sale or transfer of “all or substantially all” of the assets of the Issuer and its Subsidiaries for purposes of this definition.</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4"/>
        </w:rPr>
        <w:t>Change of Control Triggering Event</w:t>
      </w:r>
      <w:r>
        <w:rPr>
          <w:color w:val="000000"/>
        </w:rPr>
        <w:t xml:space="preserve">” </w:t>
      </w:r>
      <w:r>
        <w:rPr>
          <w:rFonts w:ascii="Times New Roman;serif" w:hAnsi="Times New Roman;serif"/>
          <w:b w:val="false"/>
          <w:color w:val="000000"/>
          <w:sz w:val="24"/>
        </w:rPr>
        <w:t>means the occurrence of both a Change of Control and a Rating Decline.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4"/>
        </w:rPr>
        <w:t>Clearstream</w:t>
      </w:r>
      <w:r>
        <w:rPr>
          <w:color w:val="000000"/>
        </w:rPr>
        <w:t xml:space="preserve">” </w:t>
      </w:r>
      <w:r>
        <w:rPr>
          <w:rFonts w:ascii="Times New Roman;serif" w:hAnsi="Times New Roman;serif"/>
          <w:b w:val="false"/>
          <w:color w:val="000000"/>
          <w:sz w:val="24"/>
        </w:rPr>
        <w:t>means Clearstream Banking</w:t>
      </w:r>
      <w:r>
        <w:rPr>
          <w:color w:val="000000"/>
        </w:rPr>
        <w:t xml:space="preserve"> </w:t>
      </w:r>
      <w:r>
        <w:rPr>
          <w:rFonts w:ascii="Times New Roman;serif" w:hAnsi="Times New Roman;serif"/>
          <w:b w:val="false"/>
          <w:color w:val="000000"/>
          <w:sz w:val="24"/>
        </w:rPr>
        <w:t>S.A., Luxembourg, and any successor thereto.</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4"/>
        </w:rPr>
        <w:t>Commodity Hedging Agreement</w:t>
      </w:r>
      <w:r>
        <w:rPr>
          <w:color w:val="000000"/>
        </w:rPr>
        <w:t xml:space="preserve">” </w:t>
      </w:r>
      <w:r>
        <w:rPr>
          <w:rFonts w:ascii="Times New Roman;serif" w:hAnsi="Times New Roman;serif"/>
          <w:b w:val="false"/>
          <w:color w:val="000000"/>
          <w:sz w:val="24"/>
        </w:rPr>
        <w:t>means any agreement, whether financial or physical, (including each transaction or confirmation entered into pursuant to any Master Agreement) providing for one or more swaps, caps, collars, puts, calls, floors, futures, options, spots, forwards, energy, capacity or generation agreements, agreements involving ancillary services or other attributes with an economic value, agreements involving auction revenue rights, tolling or sale agreements (including, without limitation, power purchase agreements and heat rate call options), fuel or other feedstock purchase, storage or sale agreements, energy management agreements, emissions or other environmental credit purchase or sales agreements, power transmission agreements, fuel or other feedstock transportation agreements, fuel or other feedstock storage agreements, netting agreements, commercial or trading agreements or similar transactions, in each case with respect to, or involving, the purchase, processing, transmission, distribution, sale, exchange, lease, finance, or hedge of any Covered Commodity, price or price indices for any such Covered Commodity, or any other similar agreements (including, without limitation, derivative agreements or arrangements and transactions that offset existing transactions or result in a reset of existing transaction prices) entered into with respect to the purchase, sale or exchange of (or the option to purchase, sell or exchange) transmission, transportation, storage, distribution, processing, lease, or financing of, or to manage fluctuations in the price or availability of any Covered Commodity or otherwise to hedge or mitigate commercial risk or exposure in connection with any Covered Commodity, and any agreement (including any guarantee, credit sleeve, or similar arrangement) providing for credit support for the foregoing; and, in each case, whether bilateral, over-the-counter, on or through an exchange or other execution facility, on or through a system, platform or portal operated by an ISO or RTO, cleared through a clearing house, clearing organization or clearing agency, or otherwise.</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4"/>
        </w:rPr>
        <w:t>Consolidated Adjusted EBITDA</w:t>
      </w:r>
      <w:r>
        <w:rPr>
          <w:color w:val="000000"/>
        </w:rPr>
        <w:t xml:space="preserve">” </w:t>
      </w:r>
      <w:r>
        <w:rPr>
          <w:rFonts w:ascii="Times New Roman;serif" w:hAnsi="Times New Roman;serif"/>
          <w:b w:val="false"/>
          <w:color w:val="000000"/>
          <w:sz w:val="24"/>
        </w:rPr>
        <w:t>has the meaning ascribed thereto in the Credit Agreement (as in effect on the Issue Date), as amended by Amendment No. 6 to the Credit Agreement.</w:t>
      </w:r>
    </w:p>
    <w:p>
      <w:pPr>
        <w:pStyle w:val="TextBody"/>
        <w:bidi w:val="0"/>
        <w:spacing w:before="0" w:after="0"/>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735965"/>
                <wp:effectExtent l="0" t="0" r="0" b="0"/>
                <wp:wrapNone/>
                <wp:docPr id="55" name="Frame55"/>
                <a:graphic xmlns:a="http://schemas.openxmlformats.org/drawingml/2006/main">
                  <a:graphicData uri="http://schemas.microsoft.com/office/word/2010/wordprocessingShape">
                    <wps:wsp>
                      <wps:cNvSpPr txBox="1"/>
                      <wps:spPr>
                        <a:xfrm>
                          <a:off x="0" y="0"/>
                          <a:ext cx="6480175" cy="7359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4"/>
        </w:rPr>
        <w:t>Consolidated Secured Net Leverage Ratio</w:t>
      </w:r>
      <w:r>
        <w:rPr>
          <w:color w:val="000000"/>
        </w:rPr>
        <w:t xml:space="preserve">” </w:t>
      </w:r>
      <w:r>
        <w:rPr>
          <w:rFonts w:ascii="Times New Roman;serif" w:hAnsi="Times New Roman;serif"/>
          <w:b w:val="false"/>
          <w:color w:val="000000"/>
          <w:sz w:val="24"/>
        </w:rPr>
        <w:t>has the meaning ascribed thereto in the Credit Agreement (as in effect on the Issue Date), as amended by Amendment No. 6 to the Credit Agreement.</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4"/>
        </w:rPr>
        <w:t>Cornerstone Acquisition</w:t>
      </w:r>
      <w:r>
        <w:rPr>
          <w:color w:val="000000"/>
        </w:rPr>
        <w:t xml:space="preserve">” </w:t>
      </w:r>
      <w:r>
        <w:rPr>
          <w:rFonts w:ascii="Times New Roman;serif" w:hAnsi="Times New Roman;serif"/>
          <w:b w:val="false"/>
          <w:color w:val="000000"/>
          <w:sz w:val="24"/>
        </w:rPr>
        <w:t xml:space="preserve">means the transactions contemplated by the Cornerstone Merger Agreement. </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4"/>
        </w:rPr>
        <w:t>Cornerstone Merger Agreement</w:t>
      </w:r>
      <w:r>
        <w:rPr>
          <w:color w:val="000000"/>
        </w:rPr>
        <w:t xml:space="preserve">” </w:t>
      </w:r>
      <w:r>
        <w:rPr>
          <w:rFonts w:ascii="Times New Roman;serif" w:hAnsi="Times New Roman;serif"/>
          <w:b w:val="false"/>
          <w:color w:val="000000"/>
          <w:sz w:val="24"/>
        </w:rPr>
        <w:t xml:space="preserve">means the agreement and plan of merger, dated as of January 15, 2026, by and among Talen Energy Corporation, Buckeye CG Holdings, LLC, Cornerstone Generation Holdings, LP, ECP Cornerstone Generation Holdings GP, and the other parties thereto. </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4"/>
        </w:rPr>
        <w:t>Corporate Trust Office of the Trustee</w:t>
      </w:r>
      <w:r>
        <w:rPr>
          <w:color w:val="000000"/>
        </w:rPr>
        <w:t xml:space="preserve">” </w:t>
      </w:r>
      <w:r>
        <w:rPr>
          <w:rFonts w:ascii="Times New Roman;serif" w:hAnsi="Times New Roman;serif"/>
          <w:b w:val="false"/>
          <w:color w:val="000000"/>
          <w:sz w:val="24"/>
        </w:rPr>
        <w:t xml:space="preserve">will be at the address of the Trustee specified in </w:t>
      </w:r>
      <w:r>
        <w:rPr>
          <w:rFonts w:ascii="Times New Roman;serif" w:hAnsi="Times New Roman;serif"/>
          <w:b w:val="false"/>
          <w:color w:val="000000"/>
          <w:sz w:val="24"/>
          <w:u w:val="single"/>
        </w:rPr>
        <w:t>Section 12.01</w:t>
      </w:r>
      <w:r>
        <w:rPr>
          <w:color w:val="000000"/>
        </w:rPr>
        <w:t xml:space="preserve"> </w:t>
      </w:r>
      <w:r>
        <w:rPr>
          <w:rFonts w:ascii="Times New Roman;serif" w:hAnsi="Times New Roman;serif"/>
          <w:b w:val="false"/>
          <w:color w:val="000000"/>
          <w:sz w:val="24"/>
        </w:rPr>
        <w:t>hereof or such other address as to which the Trustee may give notice to the Issuer.</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4"/>
        </w:rPr>
        <w:t>Covered Commodity</w:t>
      </w:r>
      <w:r>
        <w:rPr>
          <w:color w:val="000000"/>
        </w:rPr>
        <w:t xml:space="preserve">” </w:t>
      </w:r>
      <w:r>
        <w:rPr>
          <w:rFonts w:ascii="Times New Roman;serif" w:hAnsi="Times New Roman;serif"/>
          <w:b w:val="false"/>
          <w:color w:val="000000"/>
          <w:sz w:val="24"/>
        </w:rPr>
        <w:t>means any energy, electricity, generation, capacity, power, heat rate, congestion, natural gas, natural gas liquids, nuclear fuel (including enrichment, conversion and fabrication rights), diesel fuel, fuel oil, other petroleum-based liquids, coal, lignite, feedstock, weather, emissions, carbon, renewable energy and other environmental credits, waste by-products, “cap and trade” related credits, or any other energy related commodity or service (including ancillary services, attributes with an economic value, and related risks (such as location basis)).</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4"/>
        </w:rPr>
        <w:t>Credit Agreement</w:t>
      </w:r>
      <w:r>
        <w:rPr>
          <w:color w:val="000000"/>
        </w:rPr>
        <w:t xml:space="preserve">” </w:t>
      </w:r>
      <w:r>
        <w:rPr>
          <w:rFonts w:ascii="Times New Roman;serif" w:hAnsi="Times New Roman;serif"/>
          <w:b w:val="false"/>
          <w:color w:val="000000"/>
          <w:sz w:val="24"/>
        </w:rPr>
        <w:t>means the Credit Agreement entered into on May 17, 2023, as amended from time to time, including by Amendment No. 6 to the Credit Agreement, to be dated on or about the date of the closing of the Cornerstone Acquisition (“</w:t>
      </w:r>
      <w:r>
        <w:rPr>
          <w:rFonts w:ascii="Times New Roman;serif" w:hAnsi="Times New Roman;serif"/>
          <w:b w:val="false"/>
          <w:i/>
          <w:color w:val="000000"/>
          <w:sz w:val="24"/>
        </w:rPr>
        <w:t>Amendment No. 6 to the Credit Agreement</w:t>
      </w:r>
      <w:r>
        <w:rPr>
          <w:color w:val="000000"/>
        </w:rPr>
        <w:t>”</w:t>
      </w:r>
      <w:r>
        <w:rPr>
          <w:rFonts w:ascii="Times New Roman;serif" w:hAnsi="Times New Roman;serif"/>
          <w:b w:val="false"/>
          <w:color w:val="000000"/>
          <w:sz w:val="24"/>
        </w:rPr>
        <w:t>), by and among the Issuer, the subsidiary guarantors named therein, the grantors from time to time party thereto, the applicable administrative agent, and each lender and issuing bank from time to time party thereto, together with the related documents thereto, providing for the term, revolving and letter of credit facilities of the Issuer (including any letters of credit and reimbursement obligations related thereto, any guarantees and security documents), as amended, extended, renewed, restated, refunded, replaced, refinanced, supplemented, modified or otherwise changed (in whole or in part, and without limitation as to amount, terms, conditions, covenants and other provisions) from time to time, and any one or more agreements (and related documents) governing Indebtedness, including indentures, incurred to refinance, substitute, supplement, replace or add to (including increasing the amount available for borrowing or adding or removing any Person as a borrower, issuer or guarantor thereunder, in whole or in part), the borrowings and commitments then outstanding or permitted to be outstanding under such Credit Agreement or one or more successors to the Credit Agreement or one or more new credit agreements.</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4"/>
        </w:rPr>
        <w:t>Credit Facility Transactions</w:t>
      </w:r>
      <w:r>
        <w:rPr>
          <w:color w:val="000000"/>
        </w:rPr>
        <w:t xml:space="preserve">” </w:t>
      </w:r>
      <w:r>
        <w:rPr>
          <w:rFonts w:ascii="Times New Roman;serif" w:hAnsi="Times New Roman;serif"/>
          <w:b w:val="false"/>
          <w:color w:val="000000"/>
          <w:sz w:val="24"/>
        </w:rPr>
        <w:t>means Amendment No. 6 to the Credit Agreement.</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4"/>
        </w:rPr>
        <w:t>Custodian</w:t>
      </w:r>
      <w:r>
        <w:rPr>
          <w:color w:val="000000"/>
        </w:rPr>
        <w:t xml:space="preserve">” </w:t>
      </w:r>
      <w:r>
        <w:rPr>
          <w:rFonts w:ascii="Times New Roman;serif" w:hAnsi="Times New Roman;serif"/>
          <w:b w:val="false"/>
          <w:color w:val="000000"/>
          <w:sz w:val="24"/>
        </w:rPr>
        <w:t>means the Trustee, as custodian with respect to the Notes in global form, or any successor entity thereto.</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4"/>
        </w:rPr>
        <w:t>Default</w:t>
      </w:r>
      <w:r>
        <w:rPr>
          <w:color w:val="000000"/>
        </w:rPr>
        <w:t xml:space="preserve">” </w:t>
      </w:r>
      <w:r>
        <w:rPr>
          <w:rFonts w:ascii="Times New Roman;serif" w:hAnsi="Times New Roman;serif"/>
          <w:b w:val="false"/>
          <w:color w:val="000000"/>
          <w:sz w:val="24"/>
        </w:rPr>
        <w:t>means any event, act or condition that with notice or lapse of time, or both, would (without cure or waiver hereunder) constitute an Event of Default.</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4"/>
        </w:rPr>
        <w:t>Definitive Note</w:t>
      </w:r>
      <w:r>
        <w:rPr>
          <w:color w:val="000000"/>
        </w:rPr>
        <w:t xml:space="preserve">” </w:t>
      </w:r>
      <w:r>
        <w:rPr>
          <w:rFonts w:ascii="Times New Roman;serif" w:hAnsi="Times New Roman;serif"/>
          <w:b w:val="false"/>
          <w:color w:val="000000"/>
          <w:sz w:val="24"/>
        </w:rPr>
        <w:t xml:space="preserve">means a certificated Note registered in the name of the Holder thereof and issued in accordance with </w:t>
      </w:r>
      <w:r>
        <w:rPr>
          <w:rFonts w:ascii="Times New Roman;serif" w:hAnsi="Times New Roman;serif"/>
          <w:b w:val="false"/>
          <w:color w:val="000000"/>
          <w:sz w:val="24"/>
          <w:u w:val="single"/>
        </w:rPr>
        <w:t>Section 2.06</w:t>
      </w:r>
      <w:r>
        <w:rPr>
          <w:color w:val="000000"/>
        </w:rPr>
        <w:t xml:space="preserve"> </w:t>
      </w:r>
      <w:r>
        <w:rPr>
          <w:rFonts w:ascii="Times New Roman;serif" w:hAnsi="Times New Roman;serif"/>
          <w:b w:val="false"/>
          <w:color w:val="000000"/>
          <w:sz w:val="24"/>
        </w:rPr>
        <w:t>hereof,</w:t>
      </w:r>
      <w:r>
        <w:rPr>
          <w:color w:val="000000"/>
        </w:rPr>
        <w:t xml:space="preserve"> </w:t>
      </w:r>
      <w:r>
        <w:rPr>
          <w:rFonts w:ascii="Times New Roman;serif" w:hAnsi="Times New Roman;serif"/>
          <w:b w:val="false"/>
          <w:color w:val="000000"/>
          <w:sz w:val="24"/>
        </w:rPr>
        <w:t>substantially</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form</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u w:val="single"/>
        </w:rPr>
        <w:t>Exhibit A</w:t>
      </w:r>
      <w:r>
        <w:rPr>
          <w:color w:val="000000"/>
        </w:rPr>
        <w:t xml:space="preserve"> </w:t>
      </w:r>
      <w:r>
        <w:rPr>
          <w:rFonts w:ascii="Times New Roman;serif" w:hAnsi="Times New Roman;serif"/>
          <w:b w:val="false"/>
          <w:color w:val="000000"/>
          <w:sz w:val="24"/>
        </w:rPr>
        <w:t>hereto,</w:t>
      </w:r>
      <w:r>
        <w:rPr>
          <w:color w:val="000000"/>
        </w:rPr>
        <w:t xml:space="preserve"> </w:t>
      </w:r>
      <w:r>
        <w:rPr>
          <w:rFonts w:ascii="Times New Roman;serif" w:hAnsi="Times New Roman;serif"/>
          <w:b w:val="false"/>
          <w:color w:val="000000"/>
          <w:sz w:val="24"/>
        </w:rPr>
        <w:t>except</w:t>
      </w:r>
      <w:r>
        <w:rPr>
          <w:color w:val="000000"/>
        </w:rPr>
        <w:t xml:space="preserve"> </w:t>
      </w:r>
      <w:r>
        <w:rPr>
          <w:rFonts w:ascii="Times New Roman;serif" w:hAnsi="Times New Roman;serif"/>
          <w:b w:val="false"/>
          <w:color w:val="000000"/>
          <w:sz w:val="24"/>
        </w:rPr>
        <w:t xml:space="preserve">that such Note shall not bear the Global Note Legend and shall not have the “Schedule of Exchanges of Interests in the Global Note” attached thereto. </w:t>
      </w:r>
    </w:p>
    <w:p>
      <w:pPr>
        <w:pStyle w:val="TextBody"/>
        <w:bidi w:val="0"/>
        <w:spacing w:before="0" w:after="0"/>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735965"/>
                <wp:effectExtent l="0" t="0" r="0" b="0"/>
                <wp:wrapNone/>
                <wp:docPr id="56" name="Frame56"/>
                <a:graphic xmlns:a="http://schemas.openxmlformats.org/drawingml/2006/main">
                  <a:graphicData uri="http://schemas.microsoft.com/office/word/2010/wordprocessingShape">
                    <wps:wsp>
                      <wps:cNvSpPr txBox="1"/>
                      <wps:spPr>
                        <a:xfrm>
                          <a:off x="0" y="0"/>
                          <a:ext cx="6480175" cy="7359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4"/>
        </w:rPr>
        <w:t>Depository</w:t>
      </w:r>
      <w:r>
        <w:rPr>
          <w:color w:val="000000"/>
        </w:rPr>
        <w:t xml:space="preserve">” </w:t>
      </w:r>
      <w:r>
        <w:rPr>
          <w:rFonts w:ascii="Times New Roman;serif" w:hAnsi="Times New Roman;serif"/>
          <w:b w:val="false"/>
          <w:color w:val="000000"/>
          <w:sz w:val="24"/>
        </w:rPr>
        <w:t>means DTC, its nominees and their respective successors.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4"/>
        </w:rPr>
        <w:t>Derivative Instrument</w:t>
      </w:r>
      <w:r>
        <w:rPr>
          <w:color w:val="000000"/>
        </w:rPr>
        <w:t xml:space="preserve">” </w:t>
      </w:r>
      <w:r>
        <w:rPr>
          <w:rFonts w:ascii="Times New Roman;serif" w:hAnsi="Times New Roman;serif"/>
          <w:b w:val="false"/>
          <w:color w:val="000000"/>
          <w:sz w:val="24"/>
        </w:rPr>
        <w:t>means, with respect to a Person, any contract, instrument or other right to receive payment or delivery of cash or other assets to which such Person or any Affiliate of such Person that is acting in concert with such Person in connection with such Person’s investment in the Notes (other than a Screened Affiliate) is a party (whether or not requiring further performance by such Person), the value and/or cash flows of which (or any material portion thereof) are materially affected by the value and/or performance of the Notes and/or the creditworthiness of the Issuer and/or any one or more of the Subsidiary Guarantors (the “</w:t>
      </w:r>
      <w:r>
        <w:rPr>
          <w:rFonts w:ascii="Times New Roman;serif" w:hAnsi="Times New Roman;serif"/>
          <w:b w:val="false"/>
          <w:i/>
          <w:color w:val="000000"/>
          <w:sz w:val="24"/>
        </w:rPr>
        <w:t>Performance References</w:t>
      </w:r>
      <w:r>
        <w:rPr>
          <w:color w:val="000000"/>
        </w:rPr>
        <w:t>”</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4"/>
        </w:rPr>
        <w:t>Disposition</w:t>
      </w:r>
      <w:r>
        <w:rPr>
          <w:color w:val="000000"/>
        </w:rPr>
        <w:t xml:space="preserve">” </w:t>
      </w:r>
      <w:r>
        <w:rPr>
          <w:rFonts w:ascii="Times New Roman;serif" w:hAnsi="Times New Roman;serif"/>
          <w:b w:val="false"/>
          <w:color w:val="000000"/>
          <w:sz w:val="24"/>
        </w:rPr>
        <w:t>means (i) the conveyance, sale, lease (other than an operating lease entered into in the ordinary course of business or consistent with past practice), assignment, transfer, issuance or otherwise the consummation of the disposition of any of property, business or assets (including receivables and leasehold interests), whether now owned or hereafter acquired or (ii) consummation of the sale to any Person of any Capital Stock of a Subsidiary, in each case by the Issuer or any Subsidiary.</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4"/>
        </w:rPr>
        <w:t>Disqualified Stock</w:t>
      </w:r>
      <w:r>
        <w:rPr>
          <w:color w:val="000000"/>
        </w:rPr>
        <w:t xml:space="preserve">” </w:t>
      </w:r>
      <w:r>
        <w:rPr>
          <w:rFonts w:ascii="Times New Roman;serif" w:hAnsi="Times New Roman;serif"/>
          <w:b w:val="false"/>
          <w:color w:val="000000"/>
          <w:sz w:val="24"/>
        </w:rPr>
        <w:t xml:space="preserve">means any Capital Stock that, by its terms (or by the terms of any security into which it is convertible, or for which it is exchangeable, in each case at the option of the holder of the Capital Stock), or upon the happening of any event, matures or is mandatorily redeemable (other than solely for Capital Stock that is not Disqualified Stock), pursuant to a sinking fund obligation or otherwise, or redeemable at the option of the holder of the Capital Stock, in whole or in part, on or prior to the date that is 91 days after the date on which the Notes mature; </w:t>
      </w:r>
      <w:r>
        <w:rPr>
          <w:rFonts w:ascii="Times New Roman;serif" w:hAnsi="Times New Roman;serif"/>
          <w:b w:val="false"/>
          <w:i/>
          <w:color w:val="000000"/>
          <w:sz w:val="24"/>
        </w:rPr>
        <w:t xml:space="preserve">provided, that, </w:t>
      </w:r>
      <w:r>
        <w:rPr>
          <w:rFonts w:ascii="Times New Roman;serif" w:hAnsi="Times New Roman;serif"/>
          <w:b w:val="false"/>
          <w:color w:val="000000"/>
          <w:sz w:val="24"/>
        </w:rPr>
        <w:t xml:space="preserve">if such Capital Stock is issued to any plan for the benefit of employees of the Issuer or any of its Subsidiaries or by any such plan to such employees, such Capital Stock shall not constitute Disqualified Stock solely because it may be required to be repurchased by the Issuer (or any direct or indirect parent company thereof) or any of its Subsidiaries in order to satisfy applicable statutory or regulatory obligations; </w:t>
      </w:r>
      <w:r>
        <w:rPr>
          <w:rFonts w:ascii="Times New Roman;serif" w:hAnsi="Times New Roman;serif"/>
          <w:b w:val="false"/>
          <w:i/>
          <w:color w:val="000000"/>
          <w:sz w:val="24"/>
        </w:rPr>
        <w:t xml:space="preserve">provided, further, </w:t>
      </w:r>
      <w:r>
        <w:rPr>
          <w:rFonts w:ascii="Times New Roman;serif" w:hAnsi="Times New Roman;serif"/>
          <w:b w:val="false"/>
          <w:color w:val="000000"/>
          <w:sz w:val="24"/>
        </w:rPr>
        <w:t>that any Capital Stock held by any present or former employee, officer, director, manager or consultant, of the Issuer, any of its Subsidiaries or any of its direct or indirect parent companies or any other entity in which the Issuer or any Subsidiary has an Investment and is designated in good faith as an “affiliate” by the Board of Directors of the Issuer, in each case, pursuant to any stockholders’ agreement, management equity plan or stock incentive plan or any other management or employee benefit plan or agreement or otherwise in order to satisfy applicable statutory or regulatory obligations or as a result of the termination, death or disability of such employee, officer, director, manager or consultant shall not constitute Disqualified Stock solely because it may be required to be repurchased by the Issuer or any of its Subsidiaries.</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4"/>
        </w:rPr>
        <w:t>Distribution</w:t>
      </w:r>
      <w:r>
        <w:rPr>
          <w:color w:val="000000"/>
        </w:rPr>
        <w:t xml:space="preserve"> </w:t>
      </w:r>
      <w:r>
        <w:rPr>
          <w:rFonts w:ascii="Times New Roman;serif" w:hAnsi="Times New Roman;serif"/>
          <w:b w:val="false"/>
          <w:i/>
          <w:color w:val="000000"/>
          <w:sz w:val="24"/>
        </w:rPr>
        <w:t>Compliance</w:t>
      </w:r>
      <w:r>
        <w:rPr>
          <w:color w:val="000000"/>
        </w:rPr>
        <w:t xml:space="preserve"> </w:t>
      </w:r>
      <w:r>
        <w:rPr>
          <w:rFonts w:ascii="Times New Roman;serif" w:hAnsi="Times New Roman;serif"/>
          <w:b w:val="false"/>
          <w:i/>
          <w:color w:val="000000"/>
          <w:sz w:val="24"/>
        </w:rPr>
        <w:t>Period</w:t>
      </w:r>
      <w:r>
        <w:rPr>
          <w:color w:val="000000"/>
        </w:rPr>
        <w:t xml:space="preserve">” </w:t>
      </w:r>
      <w:r>
        <w:rPr>
          <w:rFonts w:ascii="Times New Roman;serif" w:hAnsi="Times New Roman;serif"/>
          <w:b w:val="false"/>
          <w:color w:val="000000"/>
          <w:sz w:val="24"/>
        </w:rPr>
        <w:t>means</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40-day</w:t>
      </w:r>
      <w:r>
        <w:rPr>
          <w:color w:val="000000"/>
        </w:rPr>
        <w:t xml:space="preserve"> </w:t>
      </w:r>
      <w:r>
        <w:rPr>
          <w:rFonts w:ascii="Times New Roman;serif" w:hAnsi="Times New Roman;serif"/>
          <w:b w:val="false"/>
          <w:color w:val="000000"/>
          <w:sz w:val="24"/>
        </w:rPr>
        <w:t>distribution</w:t>
      </w:r>
      <w:r>
        <w:rPr>
          <w:color w:val="000000"/>
        </w:rPr>
        <w:t xml:space="preserve"> </w:t>
      </w:r>
      <w:r>
        <w:rPr>
          <w:rFonts w:ascii="Times New Roman;serif" w:hAnsi="Times New Roman;serif"/>
          <w:b w:val="false"/>
          <w:color w:val="000000"/>
          <w:sz w:val="24"/>
        </w:rPr>
        <w:t>compliance</w:t>
      </w:r>
      <w:r>
        <w:rPr>
          <w:color w:val="000000"/>
        </w:rPr>
        <w:t xml:space="preserve"> </w:t>
      </w:r>
      <w:r>
        <w:rPr>
          <w:rFonts w:ascii="Times New Roman;serif" w:hAnsi="Times New Roman;serif"/>
          <w:b w:val="false"/>
          <w:color w:val="000000"/>
          <w:sz w:val="24"/>
        </w:rPr>
        <w:t>period</w:t>
      </w:r>
      <w:r>
        <w:rPr>
          <w:color w:val="000000"/>
        </w:rPr>
        <w:t xml:space="preserve"> </w:t>
      </w:r>
      <w:r>
        <w:rPr>
          <w:rFonts w:ascii="Times New Roman;serif" w:hAnsi="Times New Roman;serif"/>
          <w:b w:val="false"/>
          <w:color w:val="000000"/>
          <w:sz w:val="24"/>
        </w:rPr>
        <w:t>as</w:t>
      </w:r>
      <w:r>
        <w:rPr>
          <w:color w:val="000000"/>
        </w:rPr>
        <w:t xml:space="preserve"> </w:t>
      </w:r>
      <w:r>
        <w:rPr>
          <w:rFonts w:ascii="Times New Roman;serif" w:hAnsi="Times New Roman;serif"/>
          <w:b w:val="false"/>
          <w:color w:val="000000"/>
          <w:sz w:val="24"/>
        </w:rPr>
        <w:t>defined</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Regulation</w:t>
      </w:r>
      <w:r>
        <w:rPr>
          <w:color w:val="000000"/>
        </w:rPr>
        <w:t xml:space="preserve"> </w:t>
      </w:r>
      <w:r>
        <w:rPr>
          <w:rFonts w:ascii="Times New Roman;serif" w:hAnsi="Times New Roman;serif"/>
          <w:b w:val="false"/>
          <w:color w:val="000000"/>
          <w:sz w:val="24"/>
        </w:rPr>
        <w:t>S.</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4"/>
        </w:rPr>
        <w:t>Domestic Subsidiary</w:t>
      </w:r>
      <w:r>
        <w:rPr>
          <w:color w:val="000000"/>
        </w:rPr>
        <w:t xml:space="preserve">” </w:t>
      </w:r>
      <w:r>
        <w:rPr>
          <w:rFonts w:ascii="Times New Roman;serif" w:hAnsi="Times New Roman;serif"/>
          <w:b w:val="false"/>
          <w:color w:val="000000"/>
          <w:sz w:val="24"/>
        </w:rPr>
        <w:t>means any Subsidiary of the Issuer that was incorporated or organized under the laws of the United States, any state thereof or the District of Columbia.</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4"/>
        </w:rPr>
        <w:t>DTC</w:t>
      </w:r>
      <w:r>
        <w:rPr>
          <w:color w:val="000000"/>
        </w:rPr>
        <w:t xml:space="preserve">” </w:t>
      </w:r>
      <w:r>
        <w:rPr>
          <w:rFonts w:ascii="Times New Roman;serif" w:hAnsi="Times New Roman;serif"/>
          <w:b w:val="false"/>
          <w:color w:val="000000"/>
          <w:sz w:val="24"/>
        </w:rPr>
        <w:t>means The Depository Trust Company.</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4"/>
        </w:rPr>
        <w:t>Environmental CapEx Debt</w:t>
      </w:r>
      <w:r>
        <w:rPr>
          <w:color w:val="000000"/>
        </w:rPr>
        <w:t xml:space="preserve">” </w:t>
      </w:r>
      <w:r>
        <w:rPr>
          <w:rFonts w:ascii="Times New Roman;serif" w:hAnsi="Times New Roman;serif"/>
          <w:b w:val="false"/>
          <w:color w:val="000000"/>
          <w:sz w:val="24"/>
        </w:rPr>
        <w:t xml:space="preserve">means Indebtedness of the Issuer or its Subsidiaries incurred for the purpose of financing capital expenditures and other costs deemed reasonably necessary by the Issuer or any Subsidiary or otherwise undertaken voluntarily by the Issuer or any Subsidiary, to comply with, or in anticipation of having to comply with, applicable </w:t>
      </w:r>
    </w:p>
    <w:p>
      <w:pPr>
        <w:pStyle w:val="TextBody"/>
        <w:bidi w:val="0"/>
        <w:spacing w:before="0" w:after="0"/>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735965"/>
                <wp:effectExtent l="0" t="0" r="0" b="0"/>
                <wp:wrapNone/>
                <wp:docPr id="57" name="Frame57"/>
                <a:graphic xmlns:a="http://schemas.openxmlformats.org/drawingml/2006/main">
                  <a:graphicData uri="http://schemas.microsoft.com/office/word/2010/wordprocessingShape">
                    <wps:wsp>
                      <wps:cNvSpPr txBox="1"/>
                      <wps:spPr>
                        <a:xfrm>
                          <a:off x="0" y="0"/>
                          <a:ext cx="6480175" cy="7359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rPr>
        <w:t>Environmental Laws or capital expenditures otherwise undertaken voluntarily by the Issuer or any Subsidiary in connection with environmental matters (collectively, “</w:t>
      </w:r>
      <w:r>
        <w:rPr>
          <w:rFonts w:ascii="Times New Roman;serif" w:hAnsi="Times New Roman;serif"/>
          <w:b w:val="false"/>
          <w:i/>
          <w:color w:val="000000"/>
          <w:sz w:val="24"/>
        </w:rPr>
        <w:t>Environmental CapEx</w:t>
      </w:r>
      <w:r>
        <w:rPr>
          <w:color w:val="000000"/>
        </w:rPr>
        <w:t>”</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4"/>
        </w:rPr>
        <w:t>Environmental Law</w:t>
      </w:r>
      <w:r>
        <w:rPr>
          <w:color w:val="000000"/>
        </w:rPr>
        <w:t xml:space="preserve">” </w:t>
      </w:r>
      <w:r>
        <w:rPr>
          <w:rFonts w:ascii="Times New Roman;serif" w:hAnsi="Times New Roman;serif"/>
          <w:b w:val="false"/>
          <w:color w:val="000000"/>
          <w:sz w:val="24"/>
        </w:rPr>
        <w:t>means any applicable federal, state, foreign or local statute, law, rule, regulation, ordinance, code or rule of common law now or hereafter in effect, in each case, as amended, and any legally binding judicial or administrative interpretation thereof, including any legally binding judicial or administrative order, consent decree or judgment, relating to the protection of the environment, or to human health or safety (in each case to the extent relating to human exposure to Hazardous Materials) or Hazardous Materials.</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4"/>
        </w:rPr>
        <w:t>Equity Interests</w:t>
      </w:r>
      <w:r>
        <w:rPr>
          <w:color w:val="000000"/>
        </w:rPr>
        <w:t xml:space="preserve">” </w:t>
      </w:r>
      <w:r>
        <w:rPr>
          <w:rFonts w:ascii="Times New Roman;serif" w:hAnsi="Times New Roman;serif"/>
          <w:b w:val="false"/>
          <w:color w:val="000000"/>
          <w:sz w:val="24"/>
        </w:rPr>
        <w:t>means Capital Stock and all warrants, options or other rights to acquire Capital Stock (but excluding any debt security that is convertible into, or exchangeable for, Capital Stock).</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4"/>
        </w:rPr>
        <w:t>Equity Offering</w:t>
      </w:r>
      <w:r>
        <w:rPr>
          <w:color w:val="000000"/>
        </w:rPr>
        <w:t xml:space="preserve">” </w:t>
      </w:r>
      <w:r>
        <w:rPr>
          <w:rFonts w:ascii="Times New Roman;serif" w:hAnsi="Times New Roman;serif"/>
          <w:b w:val="false"/>
          <w:color w:val="000000"/>
          <w:sz w:val="24"/>
        </w:rPr>
        <w:t xml:space="preserve">means (a) a public or private sale of Equity Interests of the Issuer or any of its direct or indirect parent companies (excluding Disqualified Stock) or (b) any cash contribution to the equity capital of the Issuer, other than: (i) public offerings with respect to the Issuer’s or any direct or indirect parent company’s common stock registered on Form S-8; and (ii) issuances to any Subsidiary of the Issuer or any such parent, in each case made after the Issue Date. </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4"/>
        </w:rPr>
        <w:t>Euroclear</w:t>
      </w:r>
      <w:r>
        <w:rPr>
          <w:color w:val="000000"/>
        </w:rPr>
        <w:t xml:space="preserve">” </w:t>
      </w:r>
      <w:r>
        <w:rPr>
          <w:rFonts w:ascii="Times New Roman;serif" w:hAnsi="Times New Roman;serif"/>
          <w:b w:val="false"/>
          <w:color w:val="000000"/>
          <w:sz w:val="24"/>
        </w:rPr>
        <w:t>means</w:t>
      </w:r>
      <w:r>
        <w:rPr>
          <w:color w:val="000000"/>
        </w:rPr>
        <w:t xml:space="preserve"> </w:t>
      </w:r>
      <w:r>
        <w:rPr>
          <w:rFonts w:ascii="Times New Roman;serif" w:hAnsi="Times New Roman;serif"/>
          <w:b w:val="false"/>
          <w:color w:val="000000"/>
          <w:sz w:val="24"/>
        </w:rPr>
        <w:t>Euroclear</w:t>
      </w:r>
      <w:r>
        <w:rPr>
          <w:color w:val="000000"/>
        </w:rPr>
        <w:t xml:space="preserve"> </w:t>
      </w:r>
      <w:r>
        <w:rPr>
          <w:rFonts w:ascii="Times New Roman;serif" w:hAnsi="Times New Roman;serif"/>
          <w:b w:val="false"/>
          <w:color w:val="000000"/>
          <w:sz w:val="24"/>
        </w:rPr>
        <w:t>Bank</w:t>
      </w:r>
      <w:r>
        <w:rPr>
          <w:color w:val="000000"/>
        </w:rPr>
        <w:t xml:space="preserve"> </w:t>
      </w:r>
      <w:r>
        <w:rPr>
          <w:rFonts w:ascii="Times New Roman;serif" w:hAnsi="Times New Roman;serif"/>
          <w:b w:val="false"/>
          <w:color w:val="000000"/>
          <w:sz w:val="24"/>
        </w:rPr>
        <w:t>SA/NV, as</w:t>
      </w:r>
      <w:r>
        <w:rPr>
          <w:color w:val="000000"/>
        </w:rPr>
        <w:t xml:space="preserve"> </w:t>
      </w:r>
      <w:r>
        <w:rPr>
          <w:rFonts w:ascii="Times New Roman;serif" w:hAnsi="Times New Roman;serif"/>
          <w:b w:val="false"/>
          <w:color w:val="000000"/>
          <w:sz w:val="24"/>
        </w:rPr>
        <w:t>operator of the</w:t>
      </w:r>
      <w:r>
        <w:rPr>
          <w:color w:val="000000"/>
        </w:rPr>
        <w:t xml:space="preserve"> </w:t>
      </w:r>
      <w:r>
        <w:rPr>
          <w:rFonts w:ascii="Times New Roman;serif" w:hAnsi="Times New Roman;serif"/>
          <w:b w:val="false"/>
          <w:color w:val="000000"/>
          <w:sz w:val="24"/>
        </w:rPr>
        <w:t>Euroclear</w:t>
      </w:r>
      <w:r>
        <w:rPr>
          <w:color w:val="000000"/>
        </w:rPr>
        <w:t xml:space="preserve"> </w:t>
      </w:r>
      <w:r>
        <w:rPr>
          <w:rFonts w:ascii="Times New Roman;serif" w:hAnsi="Times New Roman;serif"/>
          <w:b w:val="false"/>
          <w:color w:val="000000"/>
          <w:sz w:val="24"/>
        </w:rPr>
        <w:t>System, and</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successor thereto.</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4"/>
        </w:rPr>
        <w:t>Exchange Act</w:t>
      </w:r>
      <w:r>
        <w:rPr>
          <w:color w:val="000000"/>
        </w:rPr>
        <w:t xml:space="preserve">” </w:t>
      </w:r>
      <w:r>
        <w:rPr>
          <w:rFonts w:ascii="Times New Roman;serif" w:hAnsi="Times New Roman;serif"/>
          <w:b w:val="false"/>
          <w:color w:val="000000"/>
          <w:sz w:val="24"/>
        </w:rPr>
        <w:t>means the Securities Exchange Act of 1934, as amended, and the rules and regulations promulgated thereunder.</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4"/>
        </w:rPr>
        <w:t>Fitch</w:t>
      </w:r>
      <w:r>
        <w:rPr>
          <w:color w:val="000000"/>
        </w:rPr>
        <w:t xml:space="preserve">” </w:t>
      </w:r>
      <w:r>
        <w:rPr>
          <w:rFonts w:ascii="Times New Roman;serif" w:hAnsi="Times New Roman;serif"/>
          <w:b w:val="false"/>
          <w:color w:val="000000"/>
          <w:sz w:val="24"/>
        </w:rPr>
        <w:t xml:space="preserve">means Fitch Ratings, Inc. or any of its successors or assigns that is a Nationally Recognized Statistical Rating Organization. </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4"/>
        </w:rPr>
        <w:t>Foreign Subsidiary</w:t>
      </w:r>
      <w:r>
        <w:rPr>
          <w:color w:val="000000"/>
        </w:rPr>
        <w:t xml:space="preserve">” </w:t>
      </w:r>
      <w:r>
        <w:rPr>
          <w:rFonts w:ascii="Times New Roman;serif" w:hAnsi="Times New Roman;serif"/>
          <w:b w:val="false"/>
          <w:color w:val="000000"/>
          <w:sz w:val="24"/>
        </w:rPr>
        <w:t>of any Person means any Subsidiary of such Person that is not a Domestic Subsidiary.</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4"/>
        </w:rPr>
        <w:t>GAAP</w:t>
      </w:r>
      <w:r>
        <w:rPr>
          <w:color w:val="000000"/>
        </w:rPr>
        <w:t xml:space="preserve">” </w:t>
      </w:r>
      <w:r>
        <w:rPr>
          <w:rFonts w:ascii="Times New Roman;serif" w:hAnsi="Times New Roman;serif"/>
          <w:b w:val="false"/>
          <w:color w:val="000000"/>
          <w:sz w:val="24"/>
        </w:rPr>
        <w:t xml:space="preserve">means generally accepted accounting principles in the United States of America, as in effect from time to time;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w:t>
      </w:r>
      <w:r>
        <w:rPr>
          <w:rFonts w:ascii="Times New Roman;serif" w:hAnsi="Times New Roman;serif"/>
          <w:b w:val="false"/>
          <w:i/>
          <w:color w:val="000000"/>
          <w:sz w:val="24"/>
        </w:rPr>
        <w:t>however</w:t>
      </w:r>
      <w:r>
        <w:rPr>
          <w:rFonts w:ascii="Times New Roman;serif" w:hAnsi="Times New Roman;serif"/>
          <w:b w:val="false"/>
          <w:color w:val="000000"/>
          <w:sz w:val="24"/>
        </w:rPr>
        <w:t>, that if the Issuer notifies the Trustee that the Issuer requests an amendment to any provision hereof to eliminate the effect of any change occurring after the Issue Date in GAAP or in the application thereof on the operation of such provision (an “</w:t>
      </w:r>
      <w:r>
        <w:rPr>
          <w:rFonts w:ascii="Times New Roman;serif" w:hAnsi="Times New Roman;serif"/>
          <w:b w:val="false"/>
          <w:i/>
          <w:color w:val="000000"/>
          <w:sz w:val="24"/>
        </w:rPr>
        <w:t>Accounting Change</w:t>
      </w:r>
      <w:r>
        <w:rPr>
          <w:color w:val="000000"/>
        </w:rPr>
        <w:t>”</w:t>
      </w:r>
      <w:r>
        <w:rPr>
          <w:rFonts w:ascii="Times New Roman;serif" w:hAnsi="Times New Roman;serif"/>
          <w:b w:val="false"/>
          <w:color w:val="000000"/>
          <w:sz w:val="24"/>
        </w:rPr>
        <w:t xml:space="preserve">), regardless of whether any such notice is given before or after such change in GAAP or in the application thereof, then such provision shall be interpreted on the basis of GAAP as in effect and applied immediately before such Accounting Change shall have become effective until such notice shall have been withdrawn or such provision amended in accordance herewith. </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4"/>
        </w:rPr>
        <w:t>Global Note Legend</w:t>
      </w:r>
      <w:r>
        <w:rPr>
          <w:color w:val="000000"/>
        </w:rPr>
        <w:t xml:space="preserve">” </w:t>
      </w:r>
      <w:r>
        <w:rPr>
          <w:rFonts w:ascii="Times New Roman;serif" w:hAnsi="Times New Roman;serif"/>
          <w:b w:val="false"/>
          <w:color w:val="000000"/>
          <w:sz w:val="24"/>
        </w:rPr>
        <w:t xml:space="preserve">means the legend set forth in </w:t>
      </w:r>
      <w:r>
        <w:rPr>
          <w:rFonts w:ascii="Times New Roman;serif" w:hAnsi="Times New Roman;serif"/>
          <w:b w:val="false"/>
          <w:color w:val="000000"/>
          <w:sz w:val="24"/>
          <w:u w:val="single"/>
        </w:rPr>
        <w:t>Section 2.06(f)(2)</w:t>
      </w:r>
      <w:r>
        <w:rPr>
          <w:rFonts w:ascii="Times New Roman;serif" w:hAnsi="Times New Roman;serif"/>
          <w:b w:val="false"/>
          <w:color w:val="000000"/>
          <w:sz w:val="24"/>
        </w:rPr>
        <w:t>, which is required to be placed on all Global Notes issued under this</w:t>
      </w:r>
      <w:r>
        <w:rPr>
          <w:color w:val="000000"/>
        </w:rPr>
        <w:t xml:space="preserve"> </w:t>
      </w:r>
      <w:r>
        <w:rPr>
          <w:rFonts w:ascii="Times New Roman;serif" w:hAnsi="Times New Roman;serif"/>
          <w:b w:val="false"/>
          <w:color w:val="000000"/>
          <w:sz w:val="24"/>
        </w:rPr>
        <w:t>Indenture.</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4"/>
        </w:rPr>
        <w:t>Global Notes</w:t>
      </w:r>
      <w:r>
        <w:rPr>
          <w:color w:val="000000"/>
        </w:rPr>
        <w:t xml:space="preserve">” </w:t>
      </w:r>
      <w:r>
        <w:rPr>
          <w:rFonts w:ascii="Times New Roman;serif" w:hAnsi="Times New Roman;serif"/>
          <w:b w:val="false"/>
          <w:color w:val="000000"/>
          <w:sz w:val="24"/>
        </w:rPr>
        <w:t>means,</w:t>
      </w:r>
      <w:r>
        <w:rPr>
          <w:color w:val="000000"/>
        </w:rPr>
        <w:t xml:space="preserve"> </w:t>
      </w:r>
      <w:r>
        <w:rPr>
          <w:rFonts w:ascii="Times New Roman;serif" w:hAnsi="Times New Roman;serif"/>
          <w:b w:val="false"/>
          <w:color w:val="000000"/>
          <w:sz w:val="24"/>
        </w:rPr>
        <w:t>individually</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collectively,</w:t>
      </w:r>
      <w:r>
        <w:rPr>
          <w:color w:val="000000"/>
        </w:rPr>
        <w:t xml:space="preserve"> </w:t>
      </w:r>
      <w:r>
        <w:rPr>
          <w:rFonts w:ascii="Times New Roman;serif" w:hAnsi="Times New Roman;serif"/>
          <w:b w:val="false"/>
          <w:color w:val="000000"/>
          <w:sz w:val="24"/>
        </w:rPr>
        <w:t>each</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Global</w:t>
      </w:r>
      <w:r>
        <w:rPr>
          <w:color w:val="000000"/>
        </w:rPr>
        <w:t xml:space="preserve"> </w:t>
      </w:r>
      <w:r>
        <w:rPr>
          <w:rFonts w:ascii="Times New Roman;serif" w:hAnsi="Times New Roman;serif"/>
          <w:b w:val="false"/>
          <w:color w:val="000000"/>
          <w:sz w:val="24"/>
        </w:rPr>
        <w:t>Notes</w:t>
      </w:r>
      <w:r>
        <w:rPr>
          <w:color w:val="000000"/>
        </w:rPr>
        <w:t xml:space="preserve"> </w:t>
      </w:r>
      <w:r>
        <w:rPr>
          <w:rFonts w:ascii="Times New Roman;serif" w:hAnsi="Times New Roman;serif"/>
          <w:b w:val="false"/>
          <w:color w:val="000000"/>
          <w:sz w:val="24"/>
        </w:rPr>
        <w:t>substantially</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form</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u w:val="single"/>
        </w:rPr>
        <w:t>Exhibit A</w:t>
      </w:r>
      <w:r>
        <w:rPr>
          <w:color w:val="000000"/>
        </w:rPr>
        <w:t xml:space="preserve"> </w:t>
      </w:r>
      <w:r>
        <w:rPr>
          <w:rFonts w:ascii="Times New Roman;serif" w:hAnsi="Times New Roman;serif"/>
          <w:b w:val="false"/>
          <w:color w:val="000000"/>
          <w:sz w:val="24"/>
        </w:rPr>
        <w:t xml:space="preserve">hereto, issued in accordance with </w:t>
      </w:r>
      <w:r>
        <w:rPr>
          <w:rFonts w:ascii="Times New Roman;serif" w:hAnsi="Times New Roman;serif"/>
          <w:b w:val="false"/>
          <w:color w:val="000000"/>
          <w:sz w:val="24"/>
          <w:u w:val="single"/>
        </w:rPr>
        <w:t>Section 2.01</w:t>
      </w:r>
      <w:r>
        <w:rPr>
          <w:color w:val="000000"/>
        </w:rPr>
        <w:t xml:space="preserve"> </w:t>
      </w:r>
      <w:r>
        <w:rPr>
          <w:rFonts w:ascii="Times New Roman;serif" w:hAnsi="Times New Roman;serif"/>
          <w:b w:val="false"/>
          <w:color w:val="000000"/>
          <w:sz w:val="24"/>
        </w:rPr>
        <w:t>hereof.</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4"/>
        </w:rPr>
        <w:t>Government Securities</w:t>
      </w:r>
      <w:r>
        <w:rPr>
          <w:color w:val="000000"/>
        </w:rPr>
        <w:t xml:space="preserve">” </w:t>
      </w:r>
      <w:r>
        <w:rPr>
          <w:rFonts w:ascii="Times New Roman;serif" w:hAnsi="Times New Roman;serif"/>
          <w:b w:val="false"/>
          <w:color w:val="000000"/>
          <w:sz w:val="24"/>
        </w:rPr>
        <w:t xml:space="preserve">means direct obligations of, or obligations guaranteed by, the United States of America (including any agency or instrumentality thereof) for the payment of </w:t>
      </w:r>
    </w:p>
    <w:p>
      <w:pPr>
        <w:pStyle w:val="TextBody"/>
        <w:bidi w:val="0"/>
        <w:spacing w:before="0" w:after="0"/>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735965"/>
                <wp:effectExtent l="0" t="0" r="0" b="0"/>
                <wp:wrapNone/>
                <wp:docPr id="58" name="Frame58"/>
                <a:graphic xmlns:a="http://schemas.openxmlformats.org/drawingml/2006/main">
                  <a:graphicData uri="http://schemas.microsoft.com/office/word/2010/wordprocessingShape">
                    <wps:wsp>
                      <wps:cNvSpPr txBox="1"/>
                      <wps:spPr>
                        <a:xfrm>
                          <a:off x="0" y="0"/>
                          <a:ext cx="6480175" cy="7359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which obligations or guarantees the full faith and credit of the United States of America is pledged and which are not callable or redeemable at the issuer’s option.</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4"/>
        </w:rPr>
        <w:t>Governmental Authority</w:t>
      </w:r>
      <w:r>
        <w:rPr>
          <w:color w:val="000000"/>
        </w:rPr>
        <w:t xml:space="preserve">” </w:t>
      </w:r>
      <w:r>
        <w:rPr>
          <w:rFonts w:ascii="Times New Roman;serif" w:hAnsi="Times New Roman;serif"/>
          <w:b w:val="false"/>
          <w:color w:val="000000"/>
          <w:sz w:val="24"/>
        </w:rPr>
        <w:t xml:space="preserve">means any nation, sovereign or government, any state, province, territory or other political subdivision thereof, and any entity or authority exercising executive, legislative, judicial, taxing, regulatory or administrative functions of or pertaining to government or any governmental or non-governmental authority regulating the generation and/or transmission of energy, including the U.S. Federal Energy Regulatory Commission, the Nuclear Regulatory Commission, PJM, a central bank, stock exchange or any other ISO or RTO. </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4"/>
        </w:rPr>
        <w:t>Guarantee Obligations</w:t>
      </w:r>
      <w:r>
        <w:rPr>
          <w:color w:val="000000"/>
        </w:rPr>
        <w:t xml:space="preserve">” </w:t>
      </w:r>
      <w:r>
        <w:rPr>
          <w:rFonts w:ascii="Times New Roman;serif" w:hAnsi="Times New Roman;serif"/>
          <w:b w:val="false"/>
          <w:color w:val="000000"/>
          <w:sz w:val="24"/>
        </w:rPr>
        <w:t>means, as to any Person, any obligation of such Person guaranteeing or intended to guarantee any Indebtedness of any other Person (the “</w:t>
      </w:r>
      <w:r>
        <w:rPr>
          <w:rFonts w:ascii="Times New Roman;serif" w:hAnsi="Times New Roman;serif"/>
          <w:b w:val="false"/>
          <w:i/>
          <w:color w:val="000000"/>
          <w:sz w:val="24"/>
        </w:rPr>
        <w:t>primary obligor</w:t>
      </w:r>
      <w:r>
        <w:rPr>
          <w:color w:val="000000"/>
        </w:rPr>
        <w:t>”</w:t>
      </w:r>
      <w:r>
        <w:rPr>
          <w:rFonts w:ascii="Times New Roman;serif" w:hAnsi="Times New Roman;serif"/>
          <w:b w:val="false"/>
          <w:color w:val="000000"/>
          <w:sz w:val="24"/>
        </w:rPr>
        <w:t xml:space="preserve">) in any manner, whether directly or indirectly, including any obligation of such Person, whether or not contingent, (a) to purchase any such Indebtedness or any property constituting direct or indirect security therefor, (b) to advance or supply funds (i) for the purchase or payment of any such Indebtedness or (ii) to maintain working capital or equity capital of the primary obligor or otherwise to maintain the net worth or solvency of the primary obligor, (c) to purchase property, securities or services primarily for the purpose of assuring the owner of any such Indebtedness of the ability of the primary obligor to make payment of such Indebtedness or (d) otherwise to assure or hold harmless the owner of such Indebtedness against loss in respect thereof;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w:t>
      </w:r>
      <w:r>
        <w:rPr>
          <w:rFonts w:ascii="Times New Roman;serif" w:hAnsi="Times New Roman;serif"/>
          <w:b w:val="false"/>
          <w:i/>
          <w:color w:val="000000"/>
          <w:sz w:val="24"/>
        </w:rPr>
        <w:t>however</w:t>
      </w:r>
      <w:r>
        <w:rPr>
          <w:rFonts w:ascii="Times New Roman;serif" w:hAnsi="Times New Roman;serif"/>
          <w:b w:val="false"/>
          <w:color w:val="000000"/>
          <w:sz w:val="24"/>
        </w:rPr>
        <w:t>, that the term “Guarantee Obligations” shall not include endorsements of instruments for deposit or collection in the ordinary course of business or customary and reasonable indemnity obligations in effect on the Issue Date or entered into in connection with any acquisition or disposition of assets permitted under this Indenture (other than such obligations with respect to Indebtedness). The amount of any Guarantee Obligation shall be deemed to be an amount equal to the stated or determinable amount of the Indebtedness in respect of which such Guarantee Obligation is made or, if not stated or determinable, the maximum reasonably anticipated liability in respect thereof (assuming such Person is required to perform thereunder) as determined by such Person in good faith.</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4"/>
        </w:rPr>
        <w:t>Hazardous Materials</w:t>
      </w:r>
      <w:r>
        <w:rPr>
          <w:color w:val="000000"/>
        </w:rPr>
        <w:t xml:space="preserve">” </w:t>
      </w:r>
      <w:r>
        <w:rPr>
          <w:rFonts w:ascii="Times New Roman;serif" w:hAnsi="Times New Roman;serif"/>
          <w:b w:val="false"/>
          <w:color w:val="000000"/>
          <w:sz w:val="24"/>
        </w:rPr>
        <w:t>means (a) any petroleum or petroleum products spilled or released into the environment, radioactive materials, friable asbestos, urea formaldehyde foam insulation, polychlorinated biphenyls and radon gas; (b) any chemicals, materials or substances defined as or included in the definition of “hazardous substances,” “hazardous waste,” “hazardous materials,” “extremely hazardous waste,” “restricted hazardous waste,” “toxic substances,” “toxic pollutants,” “contaminants,” or “pollutants” or words of similar import, under any applicable Environmental Law; and (c) any other chemical, material or substance, for which a release into the environment is prohibited, limited or regulated by any Environmental Law.</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4"/>
        </w:rPr>
        <w:t>Hedging Obligations</w:t>
      </w:r>
      <w:r>
        <w:rPr>
          <w:color w:val="000000"/>
        </w:rPr>
        <w:t xml:space="preserve">” </w:t>
      </w:r>
      <w:r>
        <w:rPr>
          <w:rFonts w:ascii="Times New Roman;serif" w:hAnsi="Times New Roman;serif"/>
          <w:b w:val="false"/>
          <w:color w:val="000000"/>
          <w:sz w:val="24"/>
        </w:rPr>
        <w:t xml:space="preserve">means, with respect to any Person, the obligations of such Person under (a) any transaction (whether financial or physical) (including an agreement with respect to any such transaction) (i) which is a rate swap transaction, swap option, basis swap, forward rate transaction, commodity swap, commodity option, equity or equity index swap, equity or equity index option, bond option, interest rate option, foreign exchange transaction, cap transaction, floor transaction, collar transaction, currency swap transaction, cross-currency rate swap transaction, currency option, credit protection transaction, credit swap, credit default swap, credit default option, total return swap, credit spread transaction, repurchase transaction, reverse repurchase transaction, buy/sell-back transaction, securities lending transaction, weather index transaction or forward purchase or sale of a security, commodity or other financial instrument or interest (whether financial or physical) (including any option with respect to any of these transactions), (ii) which is a type of transaction that is similar to any transaction referred to in clause (i) above that is currently, or in the future becomes, recurrently entered into in the financial markets (including terms and conditions incorporated by reference in such agreement) </w:t>
      </w:r>
    </w:p>
    <w:p>
      <w:pPr>
        <w:pStyle w:val="TextBody"/>
        <w:bidi w:val="0"/>
        <w:spacing w:before="0" w:after="0"/>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735965"/>
                <wp:effectExtent l="0" t="0" r="0" b="0"/>
                <wp:wrapNone/>
                <wp:docPr id="59" name="Frame59"/>
                <a:graphic xmlns:a="http://schemas.openxmlformats.org/drawingml/2006/main">
                  <a:graphicData uri="http://schemas.microsoft.com/office/word/2010/wordprocessingShape">
                    <wps:wsp>
                      <wps:cNvSpPr txBox="1"/>
                      <wps:spPr>
                        <a:xfrm>
                          <a:off x="0" y="0"/>
                          <a:ext cx="6480175" cy="7359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rPr>
        <w:t>and which is a forward, swap, future, option or other derivative on one or more rates, currencies, commodities, equity securities or other equity instruments, debt securities or other debt instruments, economic indices or measures of economic risk or value, or other benchmarks against which payments or deliveries are to be made or (iii) any other similar transactions or any combination of any of the foregoing (whether financial or physical) (including any options to enter into any of the foregoing), whether or not any such transaction is governed by or subject to any master agreement, (b) any and all transactions of any kind, and the related confirmations, which are subject to the terms and conditions of, or governed by, any form of master agreement published by the International Swaps and Derivatives Association, Inc., any International Foreign Exchange Master Agreement, or any other master agreement (any such master agreement, together with any related schedules, annexes, supplements, definitional sets, and other documents, a “</w:t>
      </w:r>
      <w:r>
        <w:rPr>
          <w:rFonts w:ascii="Times New Roman;serif" w:hAnsi="Times New Roman;serif"/>
          <w:b w:val="false"/>
          <w:i/>
          <w:color w:val="000000"/>
          <w:sz w:val="24"/>
        </w:rPr>
        <w:t>Master Agreement</w:t>
      </w:r>
      <w:r>
        <w:rPr>
          <w:color w:val="000000"/>
        </w:rPr>
        <w:t>”</w:t>
      </w:r>
      <w:r>
        <w:rPr>
          <w:rFonts w:ascii="Times New Roman;serif" w:hAnsi="Times New Roman;serif"/>
          <w:b w:val="false"/>
          <w:color w:val="000000"/>
          <w:sz w:val="24"/>
        </w:rPr>
        <w:t>), including any such obligations or liabilities under any Master Agreement and (c) any Commodity Hedging Agreement; and, in the case of clauses (a), (b) and (c), whether bilateral, over-the-counter, financial or physical, on or through an exchange or other execution facility, on or through a system, platform or portal operated by an ISO or RTO, cleared through a clearing house, clearing organization or clearing agency, or otherwise.</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4"/>
        </w:rPr>
        <w:t>Holder</w:t>
      </w:r>
      <w:r>
        <w:rPr>
          <w:color w:val="000000"/>
        </w:rPr>
        <w:t xml:space="preserve">” </w:t>
      </w:r>
      <w:r>
        <w:rPr>
          <w:rFonts w:ascii="Times New Roman;serif" w:hAnsi="Times New Roman;serif"/>
          <w:b w:val="false"/>
          <w:color w:val="000000"/>
          <w:sz w:val="24"/>
        </w:rPr>
        <w:t>means the Person in whose name a Note is registered on the Registrar’s books.</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4"/>
        </w:rPr>
        <w:t>IAI Global Note</w:t>
      </w:r>
      <w:r>
        <w:rPr>
          <w:color w:val="000000"/>
        </w:rPr>
        <w:t xml:space="preserve">” </w:t>
      </w:r>
      <w:r>
        <w:rPr>
          <w:rFonts w:ascii="Times New Roman;serif" w:hAnsi="Times New Roman;serif"/>
          <w:b w:val="false"/>
          <w:color w:val="000000"/>
          <w:sz w:val="24"/>
        </w:rPr>
        <w:t>means</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Global</w:t>
      </w:r>
      <w:r>
        <w:rPr>
          <w:color w:val="000000"/>
        </w:rPr>
        <w:t xml:space="preserve"> </w:t>
      </w:r>
      <w:r>
        <w:rPr>
          <w:rFonts w:ascii="Times New Roman;serif" w:hAnsi="Times New Roman;serif"/>
          <w:b w:val="false"/>
          <w:color w:val="000000"/>
          <w:sz w:val="24"/>
        </w:rPr>
        <w:t>Note</w:t>
      </w:r>
      <w:r>
        <w:rPr>
          <w:color w:val="000000"/>
        </w:rPr>
        <w:t xml:space="preserve"> </w:t>
      </w:r>
      <w:r>
        <w:rPr>
          <w:rFonts w:ascii="Times New Roman;serif" w:hAnsi="Times New Roman;serif"/>
          <w:b w:val="false"/>
          <w:color w:val="000000"/>
          <w:sz w:val="24"/>
        </w:rPr>
        <w:t>substantially</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form</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u w:val="single"/>
        </w:rPr>
        <w:t>Exhibit A</w:t>
      </w:r>
      <w:r>
        <w:rPr>
          <w:color w:val="000000"/>
        </w:rPr>
        <w:t xml:space="preserve"> </w:t>
      </w:r>
      <w:r>
        <w:rPr>
          <w:rFonts w:ascii="Times New Roman;serif" w:hAnsi="Times New Roman;serif"/>
          <w:b w:val="false"/>
          <w:color w:val="000000"/>
          <w:sz w:val="24"/>
        </w:rPr>
        <w:t>hereto, as applicable, bearing the Global Note Legend and the Private Placement Legend and deposited with or on behalf</w:t>
      </w:r>
      <w:r>
        <w:rPr>
          <w:color w:val="000000"/>
        </w:rPr>
        <w:t xml:space="preserve"> </w:t>
      </w:r>
      <w:r>
        <w:rPr>
          <w:rFonts w:ascii="Times New Roman;serif" w:hAnsi="Times New Roman;serif"/>
          <w:b w:val="false"/>
          <w:color w:val="000000"/>
          <w:sz w:val="24"/>
        </w:rPr>
        <w:t>of, and registered in the name of, the Depository or its nominee that will be issued in a denomination equal to the outstanding principal amount of the</w:t>
      </w:r>
      <w:r>
        <w:rPr>
          <w:color w:val="000000"/>
        </w:rPr>
        <w:t xml:space="preserve"> </w:t>
      </w:r>
      <w:r>
        <w:rPr>
          <w:rFonts w:ascii="Times New Roman;serif" w:hAnsi="Times New Roman;serif"/>
          <w:b w:val="false"/>
          <w:color w:val="000000"/>
          <w:sz w:val="24"/>
        </w:rPr>
        <w:t>Notes sold to Institutional Accredited Investors.</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4"/>
        </w:rPr>
        <w:t>Indebtedness</w:t>
      </w:r>
      <w:r>
        <w:rPr>
          <w:color w:val="000000"/>
        </w:rPr>
        <w:t xml:space="preserve">” </w:t>
      </w:r>
      <w:r>
        <w:rPr>
          <w:rFonts w:ascii="Times New Roman;serif" w:hAnsi="Times New Roman;serif"/>
          <w:b w:val="false"/>
          <w:color w:val="000000"/>
          <w:sz w:val="24"/>
        </w:rPr>
        <w:t xml:space="preserve">of any Person means all indebtedness of such Person for borrowed money. </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4"/>
        </w:rPr>
        <w:t>Indenture</w:t>
      </w:r>
      <w:r>
        <w:rPr>
          <w:color w:val="000000"/>
        </w:rPr>
        <w:t xml:space="preserve">” </w:t>
      </w:r>
      <w:r>
        <w:rPr>
          <w:rFonts w:ascii="Times New Roman;serif" w:hAnsi="Times New Roman;serif"/>
          <w:b w:val="false"/>
          <w:color w:val="000000"/>
          <w:sz w:val="24"/>
        </w:rPr>
        <w:t>means this Indenture, as amended, supplemented or otherwise modified from time to time in accordance with its terms.</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4"/>
        </w:rPr>
        <w:t>Indirect</w:t>
      </w:r>
      <w:r>
        <w:rPr>
          <w:color w:val="000000"/>
        </w:rPr>
        <w:t xml:space="preserve"> </w:t>
      </w:r>
      <w:r>
        <w:rPr>
          <w:rFonts w:ascii="Times New Roman;serif" w:hAnsi="Times New Roman;serif"/>
          <w:b w:val="false"/>
          <w:i/>
          <w:color w:val="000000"/>
          <w:sz w:val="24"/>
        </w:rPr>
        <w:t>Participant</w:t>
      </w:r>
      <w:r>
        <w:rPr>
          <w:color w:val="000000"/>
        </w:rPr>
        <w:t xml:space="preserve">” </w:t>
      </w:r>
      <w:r>
        <w:rPr>
          <w:rFonts w:ascii="Times New Roman;serif" w:hAnsi="Times New Roman;serif"/>
          <w:b w:val="false"/>
          <w:color w:val="000000"/>
          <w:sz w:val="24"/>
        </w:rPr>
        <w:t>means</w:t>
      </w:r>
      <w:r>
        <w:rPr>
          <w:color w:val="000000"/>
        </w:rPr>
        <w:t xml:space="preserve"> </w:t>
      </w:r>
      <w:r>
        <w:rPr>
          <w:rFonts w:ascii="Times New Roman;serif" w:hAnsi="Times New Roman;serif"/>
          <w:b w:val="false"/>
          <w:color w:val="000000"/>
          <w:sz w:val="24"/>
        </w:rPr>
        <w:t>a Person who holds</w:t>
      </w:r>
      <w:r>
        <w:rPr>
          <w:color w:val="000000"/>
        </w:rPr>
        <w:t xml:space="preserve"> </w:t>
      </w:r>
      <w:r>
        <w:rPr>
          <w:rFonts w:ascii="Times New Roman;serif" w:hAnsi="Times New Roman;serif"/>
          <w:b w:val="false"/>
          <w:color w:val="000000"/>
          <w:sz w:val="24"/>
        </w:rPr>
        <w:t>a beneficial interest</w:t>
      </w:r>
      <w:r>
        <w:rPr>
          <w:color w:val="000000"/>
        </w:rPr>
        <w:t xml:space="preserve"> </w:t>
      </w:r>
      <w:r>
        <w:rPr>
          <w:rFonts w:ascii="Times New Roman;serif" w:hAnsi="Times New Roman;serif"/>
          <w:b w:val="false"/>
          <w:color w:val="000000"/>
          <w:sz w:val="24"/>
        </w:rPr>
        <w:t>in a Global</w:t>
      </w:r>
      <w:r>
        <w:rPr>
          <w:color w:val="000000"/>
        </w:rPr>
        <w:t xml:space="preserve"> </w:t>
      </w:r>
      <w:r>
        <w:rPr>
          <w:rFonts w:ascii="Times New Roman;serif" w:hAnsi="Times New Roman;serif"/>
          <w:b w:val="false"/>
          <w:color w:val="000000"/>
          <w:sz w:val="24"/>
        </w:rPr>
        <w:t>Note through a Participant.</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4"/>
        </w:rPr>
        <w:t>Initial Notes</w:t>
      </w:r>
      <w:r>
        <w:rPr>
          <w:color w:val="000000"/>
        </w:rPr>
        <w:t xml:space="preserve">” </w:t>
      </w:r>
      <w:r>
        <w:rPr>
          <w:rFonts w:ascii="Times New Roman;serif" w:hAnsi="Times New Roman;serif"/>
          <w:b w:val="false"/>
          <w:color w:val="000000"/>
          <w:sz w:val="24"/>
        </w:rPr>
        <w:t>means the $1,500,000,000 aggregate principal amount of 6.125% Senior Notes due 2031 issued under this Indenture as of the Issue Date.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4"/>
        </w:rPr>
        <w:t>Institutional Accredited Investor</w:t>
      </w:r>
      <w:r>
        <w:rPr>
          <w:color w:val="000000"/>
        </w:rPr>
        <w:t xml:space="preserve">” </w:t>
      </w:r>
      <w:r>
        <w:rPr>
          <w:rFonts w:ascii="Times New Roman;serif" w:hAnsi="Times New Roman;serif"/>
          <w:b w:val="false"/>
          <w:color w:val="000000"/>
          <w:sz w:val="24"/>
        </w:rPr>
        <w:t>means an institution that is an “accredited investor” as defined in Rule 501(a)(1), (2), (3) or (7) under the Securities Act, who are not also QIBs.</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4"/>
        </w:rPr>
        <w:t>Investment</w:t>
      </w:r>
      <w:r>
        <w:rPr>
          <w:color w:val="000000"/>
        </w:rPr>
        <w:t xml:space="preserve">” </w:t>
      </w:r>
      <w:r>
        <w:rPr>
          <w:rFonts w:ascii="Times New Roman;serif" w:hAnsi="Times New Roman;serif"/>
          <w:b w:val="false"/>
          <w:color w:val="000000"/>
          <w:sz w:val="24"/>
        </w:rPr>
        <w:t>means, with respect to any Person, an investment by such Person in other Persons (including Affiliates) in the forms of loans (including guarantees or other obligations), advances or capital contributions (excluding commission, travel and similar advances to officers and employees), purchases or other acquisitions for consideration of Indebtedness, Equity Interests or other securities, together with all items that are or would be classified as investments on a balance sheet prepared in accordance with GAAP.</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4"/>
        </w:rPr>
        <w:t>Investment Grade</w:t>
      </w:r>
      <w:r>
        <w:rPr>
          <w:color w:val="000000"/>
        </w:rPr>
        <w:t xml:space="preserve">” </w:t>
      </w:r>
      <w:r>
        <w:rPr>
          <w:rFonts w:ascii="Times New Roman;serif" w:hAnsi="Times New Roman;serif"/>
          <w:b w:val="false"/>
          <w:color w:val="000000"/>
          <w:sz w:val="24"/>
        </w:rPr>
        <w:t>in respect of the Notes means a rating of: (a) Baa3 or better by Moody’s; (b) BBB- or better by Fitch; or (c) BBB- or better from S&amp;P (or the equivalent of such rating by such rating organization or, if no rating of Moody’s, Fitch or S&amp;P exists, the equivalent of such rating by any other Nationally Recognized Statistical Rating Organization selected by the Issuer as a replacement agency).</w:t>
      </w:r>
    </w:p>
    <w:p>
      <w:pPr>
        <w:pStyle w:val="TextBody"/>
        <w:bidi w:val="0"/>
        <w:spacing w:before="0" w:after="0"/>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735965"/>
                <wp:effectExtent l="0" t="0" r="0" b="0"/>
                <wp:wrapNone/>
                <wp:docPr id="60" name="Frame60"/>
                <a:graphic xmlns:a="http://schemas.openxmlformats.org/drawingml/2006/main">
                  <a:graphicData uri="http://schemas.microsoft.com/office/word/2010/wordprocessingShape">
                    <wps:wsp>
                      <wps:cNvSpPr txBox="1"/>
                      <wps:spPr>
                        <a:xfrm>
                          <a:off x="0" y="0"/>
                          <a:ext cx="6480175" cy="7359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4"/>
        </w:rPr>
        <w:t>IPO Listco</w:t>
      </w:r>
      <w:r>
        <w:rPr>
          <w:color w:val="000000"/>
        </w:rPr>
        <w:t xml:space="preserve">” </w:t>
      </w:r>
      <w:r>
        <w:rPr>
          <w:rFonts w:ascii="Times New Roman;serif" w:hAnsi="Times New Roman;serif"/>
          <w:b w:val="false"/>
          <w:color w:val="000000"/>
          <w:sz w:val="24"/>
        </w:rPr>
        <w:t>means a Wholly Owned Subsidiary of the Issuer or any Parent Entity formed in contemplation of any Qualifying IPO.</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4"/>
        </w:rPr>
        <w:t>IPO Reorganization Transaction</w:t>
      </w:r>
      <w:r>
        <w:rPr>
          <w:color w:val="000000"/>
        </w:rPr>
        <w:t xml:space="preserve">” </w:t>
      </w:r>
      <w:r>
        <w:rPr>
          <w:rFonts w:ascii="Times New Roman;serif" w:hAnsi="Times New Roman;serif"/>
          <w:b w:val="false"/>
          <w:color w:val="000000"/>
          <w:sz w:val="24"/>
        </w:rPr>
        <w:t>means transactions taken in connection with and reasonably related to consummating a Qualifying IPO.</w:t>
      </w:r>
    </w:p>
    <w:p>
      <w:pPr>
        <w:pStyle w:val="TextBody"/>
        <w:bidi w:val="0"/>
        <w:spacing w:lineRule="auto" w:line="288" w:before="0" w:after="180"/>
        <w:ind w:left="0" w:right="0" w:firstLine="720"/>
        <w:jc w:val="both"/>
        <w:rPr/>
      </w:pPr>
      <w:r>
        <w:rPr>
          <w:color w:val="000000"/>
        </w:rPr>
        <w:t>“</w:t>
      </w:r>
      <w:r>
        <w:rPr>
          <w:rFonts w:ascii="Times New Roman;serif" w:hAnsi="Times New Roman;serif"/>
          <w:b w:val="false"/>
          <w:i/>
          <w:color w:val="000000"/>
          <w:sz w:val="24"/>
        </w:rPr>
        <w:t>IPOCo Transactions</w:t>
      </w:r>
      <w:r>
        <w:rPr>
          <w:color w:val="000000"/>
        </w:rPr>
        <w:t xml:space="preserve">” </w:t>
      </w:r>
      <w:r>
        <w:rPr>
          <w:rFonts w:ascii="Times New Roman;serif" w:hAnsi="Times New Roman;serif"/>
          <w:b w:val="false"/>
          <w:color w:val="000000"/>
          <w:sz w:val="24"/>
        </w:rPr>
        <w:t>means the transactions in connection with the formation and capitalization of IPO Listco prior to and in connection with and reasonably related to a Qualifying IPO, including, without limitation, (1) the legal formation of IPO Listco and one or more Subsidiaries of the Permitted Holders to own interests therein, (2) the contribution, directly or indirectly, of the Capital Stock of the Issuer and other Subsidiaries of the Issuer to IPO Listco, or the other acquisition by IPO Listco thereof, (3) the conversion of the outstanding Capital Stock in the Issuer into a new class of Equity Interests in the Issuer, (4) the distribution by the Issuer to the Permitted Holders of any proceeds from the offering and cash generated from operations, (5) the issuance of Capital Stock of IPO Listco or the Issuer to the public and the use of proceeds therefrom to pay transaction expenses, distribute funds as a reimbursement for capital expenditures, and other purposes approved by a Permitted Holder, (6) the execution, delivery and performance of customary documentation (and amendments to existing documentation) governing the relations between and among the Issuer, IPO Listco, the Permitted Holders and their respective Subsidiaries and (7) any other transactions and documentation reasonably related to the foregoing or necessary or appropriate in the view of the Permitted Holders or the Board of Directors of the Issuer or any Parent Entity in connection with a Qualifying IPO.</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4"/>
        </w:rPr>
        <w:t>ISO</w:t>
      </w:r>
      <w:r>
        <w:rPr>
          <w:color w:val="000000"/>
        </w:rPr>
        <w:t xml:space="preserve">” </w:t>
      </w:r>
      <w:r>
        <w:rPr>
          <w:rFonts w:ascii="Times New Roman;serif" w:hAnsi="Times New Roman;serif"/>
          <w:b w:val="false"/>
          <w:color w:val="000000"/>
          <w:sz w:val="24"/>
        </w:rPr>
        <w:t>means “independent system operator,” as further defined by the Federal Energy Regulatory Commission’s policies, orders and regulations.</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4"/>
        </w:rPr>
        <w:t>Issue Date</w:t>
      </w:r>
      <w:r>
        <w:rPr>
          <w:color w:val="000000"/>
        </w:rPr>
        <w:t xml:space="preserve">” </w:t>
      </w:r>
      <w:r>
        <w:rPr>
          <w:rFonts w:ascii="Times New Roman;serif" w:hAnsi="Times New Roman;serif"/>
          <w:b w:val="false"/>
          <w:color w:val="000000"/>
          <w:sz w:val="24"/>
        </w:rPr>
        <w:t xml:space="preserve">means April 29, 2026. </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4"/>
        </w:rPr>
        <w:t>Issuer</w:t>
      </w:r>
      <w:r>
        <w:rPr>
          <w:color w:val="000000"/>
        </w:rPr>
        <w:t xml:space="preserve">” </w:t>
      </w:r>
      <w:r>
        <w:rPr>
          <w:rFonts w:ascii="Times New Roman;serif" w:hAnsi="Times New Roman;serif"/>
          <w:b w:val="false"/>
          <w:color w:val="000000"/>
          <w:sz w:val="24"/>
        </w:rPr>
        <w:t>means Talen Energy Supply, LLC and any and all successors thereto.</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4"/>
        </w:rPr>
        <w:t>Issuer Order</w:t>
      </w:r>
      <w:r>
        <w:rPr>
          <w:color w:val="000000"/>
        </w:rPr>
        <w:t xml:space="preserve">” </w:t>
      </w:r>
      <w:r>
        <w:rPr>
          <w:rFonts w:ascii="Times New Roman;serif" w:hAnsi="Times New Roman;serif"/>
          <w:b w:val="false"/>
          <w:color w:val="000000"/>
          <w:sz w:val="24"/>
        </w:rPr>
        <w:t>means a written order signed in the name of the Issuer by one Authorized Officer.</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4"/>
        </w:rPr>
        <w:t>Lien</w:t>
      </w:r>
      <w:r>
        <w:rPr>
          <w:color w:val="000000"/>
        </w:rPr>
        <w:t xml:space="preserve">” </w:t>
      </w:r>
      <w:r>
        <w:rPr>
          <w:rFonts w:ascii="Times New Roman;serif" w:hAnsi="Times New Roman;serif"/>
          <w:b w:val="false"/>
          <w:color w:val="000000"/>
          <w:sz w:val="24"/>
        </w:rPr>
        <w:t xml:space="preserve">means, with respect to any asset, any mortgage, pledge, security interest, hypothecation, collateral assignment, lien (statutory or other) or similar encumbrance (including any conditional sale or other title retention agreement or any lease or license in the nature thereof); </w:t>
      </w:r>
      <w:r>
        <w:rPr>
          <w:rFonts w:ascii="Times New Roman;serif" w:hAnsi="Times New Roman;serif"/>
          <w:b w:val="false"/>
          <w:i/>
          <w:color w:val="000000"/>
          <w:sz w:val="24"/>
        </w:rPr>
        <w:t>provided that</w:t>
      </w:r>
      <w:r>
        <w:rPr>
          <w:color w:val="000000"/>
        </w:rPr>
        <w:t xml:space="preserve"> </w:t>
      </w:r>
      <w:r>
        <w:rPr>
          <w:rFonts w:ascii="Times New Roman;serif" w:hAnsi="Times New Roman;serif"/>
          <w:b w:val="false"/>
          <w:color w:val="000000"/>
          <w:sz w:val="24"/>
        </w:rPr>
        <w:t>in no event shall an operating lease be deemed to be a Lien.</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4"/>
        </w:rPr>
        <w:t>Long Derivative Instrument</w:t>
      </w:r>
      <w:r>
        <w:rPr>
          <w:color w:val="000000"/>
        </w:rPr>
        <w:t xml:space="preserve">” </w:t>
      </w:r>
      <w:r>
        <w:rPr>
          <w:rFonts w:ascii="Times New Roman;serif" w:hAnsi="Times New Roman;serif"/>
          <w:b w:val="false"/>
          <w:color w:val="000000"/>
          <w:sz w:val="24"/>
        </w:rPr>
        <w:t>means a Derivative Instrument (i) the value of which generally increases, and/or the payment or delivery obligations under which generally decrease, with positive changes to the Performance References and/or (ii) the value of which generally decreases, and/or the payment or delivery obligations under which generally increase, with negative changes to the Performance References.</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4"/>
        </w:rPr>
        <w:t>Management Investors</w:t>
      </w:r>
      <w:r>
        <w:rPr>
          <w:color w:val="000000"/>
        </w:rPr>
        <w:t xml:space="preserve">” </w:t>
      </w:r>
      <w:r>
        <w:rPr>
          <w:rFonts w:ascii="Times New Roman;serif" w:hAnsi="Times New Roman;serif"/>
          <w:b w:val="false"/>
          <w:color w:val="000000"/>
          <w:sz w:val="24"/>
        </w:rPr>
        <w:t>means the officers, directors, employees and other members of the management of any parent of the Issuer, the Issuer or any of the Issuer’s respective Subsidiaries, or family members or relatives of any thereof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i/>
          <w:color w:val="000000"/>
          <w:sz w:val="24"/>
        </w:rPr>
        <w:t>that</w:t>
      </w:r>
      <w:r>
        <w:rPr>
          <w:rFonts w:ascii="Times New Roman;serif" w:hAnsi="Times New Roman;serif"/>
          <w:b w:val="false"/>
          <w:color w:val="000000"/>
          <w:sz w:val="24"/>
        </w:rPr>
        <w:t xml:space="preserve">, solely for purposes of </w:t>
      </w:r>
    </w:p>
    <w:p>
      <w:pPr>
        <w:pStyle w:val="TextBody"/>
        <w:bidi w:val="0"/>
        <w:spacing w:before="0" w:after="0"/>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735965"/>
                <wp:effectExtent l="0" t="0" r="0" b="0"/>
                <wp:wrapNone/>
                <wp:docPr id="61" name="Frame61"/>
                <a:graphic xmlns:a="http://schemas.openxmlformats.org/drawingml/2006/main">
                  <a:graphicData uri="http://schemas.microsoft.com/office/word/2010/wordprocessingShape">
                    <wps:wsp>
                      <wps:cNvSpPr txBox="1"/>
                      <wps:spPr>
                        <a:xfrm>
                          <a:off x="0" y="0"/>
                          <a:ext cx="6480175" cy="7359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13</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13</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the definition of Permitted Holders, such family members or relatives shall include only those Persons who are or become Management Investors in connection with estate planning for or inheritance from other Management Investors, as determined in good faith by the Issuer), or trusts, partnerships or limited liability companies for the benefit of any of the foregoing, or any of their heirs, executors, successors and legal representatives, who at any date Beneficially Own or have the right to acquire, directly or indirectly, Capital Stock of the Issuer or any parent of the Issuer.</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4"/>
        </w:rPr>
        <w:t>Moody’s</w:t>
      </w:r>
      <w:r>
        <w:rPr>
          <w:color w:val="000000"/>
        </w:rPr>
        <w:t xml:space="preserve">” </w:t>
      </w:r>
      <w:r>
        <w:rPr>
          <w:rFonts w:ascii="Times New Roman;serif" w:hAnsi="Times New Roman;serif"/>
          <w:b w:val="false"/>
          <w:color w:val="000000"/>
          <w:sz w:val="24"/>
        </w:rPr>
        <w:t>means Moody’s Investors Service, Inc. or any of its successors or assigns that is a Nationally Recognized Statistical Rating Organization.</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4"/>
        </w:rPr>
        <w:t>Nationally Recognized Statistical Rating Organization</w:t>
      </w:r>
      <w:r>
        <w:rPr>
          <w:color w:val="000000"/>
        </w:rPr>
        <w:t xml:space="preserve">” </w:t>
      </w:r>
      <w:r>
        <w:rPr>
          <w:rFonts w:ascii="Times New Roman;serif" w:hAnsi="Times New Roman;serif"/>
          <w:b w:val="false"/>
          <w:color w:val="000000"/>
          <w:sz w:val="24"/>
        </w:rPr>
        <w:t>means a nationally recognized statistical rating organization within the meaning of Section 3(a)(62) under the Exchange Act.</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4"/>
        </w:rPr>
        <w:t>Necessary CapEx</w:t>
      </w:r>
      <w:r>
        <w:rPr>
          <w:color w:val="000000"/>
        </w:rPr>
        <w:t xml:space="preserve">” </w:t>
      </w:r>
      <w:r>
        <w:rPr>
          <w:rFonts w:ascii="Times New Roman;serif" w:hAnsi="Times New Roman;serif"/>
          <w:b w:val="false"/>
          <w:color w:val="000000"/>
          <w:sz w:val="24"/>
        </w:rPr>
        <w:t>means capital expenditures that are required by Applicable Law (other than Environmental Laws) or otherwise undertaken voluntarily for health and safety reasons (other than as required by Environmental Law). The term “Necessary CapEx” does not include any capital expenditure undertaken primarily to increase the efficiency of, expand or re-power any power generation facility.</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4"/>
        </w:rPr>
        <w:t>Net Short</w:t>
      </w:r>
      <w:r>
        <w:rPr>
          <w:color w:val="000000"/>
        </w:rPr>
        <w:t xml:space="preserve">” </w:t>
      </w:r>
      <w:r>
        <w:rPr>
          <w:rFonts w:ascii="Times New Roman;serif" w:hAnsi="Times New Roman;serif"/>
          <w:b w:val="false"/>
          <w:color w:val="000000"/>
          <w:sz w:val="24"/>
        </w:rPr>
        <w:t>means, with respect to a Holder or Beneficial Owner, as of a date of determination, either (i) the value of its Short Derivative Instruments exceeds the sum of (x) the value of its Notes plus (y) the value of its Long Derivative Instruments as of such date of determination or (ii) it is reasonably expected that such would have been the case were a Failure to Pay or Bankruptcy Credit Event (each as defined in the 2014 ISDA Credit Derivatives Definitions) to have occurred with respect to the Issuer or any Subsidiary Guarantor immediately prior to such date of determination.</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4"/>
        </w:rPr>
        <w:t>Note Documents</w:t>
      </w:r>
      <w:r>
        <w:rPr>
          <w:color w:val="000000"/>
        </w:rPr>
        <w:t xml:space="preserve">” </w:t>
      </w:r>
      <w:r>
        <w:rPr>
          <w:rFonts w:ascii="Times New Roman;serif" w:hAnsi="Times New Roman;serif"/>
          <w:b w:val="false"/>
          <w:color w:val="000000"/>
          <w:sz w:val="24"/>
        </w:rPr>
        <w:t>means this Indenture, the Notes and the Subsidiary Guarantees.</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4"/>
        </w:rPr>
        <w:t>Notes</w:t>
      </w:r>
      <w:r>
        <w:rPr>
          <w:color w:val="000000"/>
        </w:rPr>
        <w:t xml:space="preserve">” </w:t>
      </w:r>
      <w:r>
        <w:rPr>
          <w:rFonts w:ascii="Times New Roman;serif" w:hAnsi="Times New Roman;serif"/>
          <w:b w:val="false"/>
          <w:color w:val="000000"/>
          <w:sz w:val="24"/>
        </w:rPr>
        <w:t>means the Initial Notes and any Additional Notes.</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4"/>
        </w:rPr>
        <w:t>Obligations</w:t>
      </w:r>
      <w:r>
        <w:rPr>
          <w:color w:val="000000"/>
        </w:rPr>
        <w:t xml:space="preserve">” </w:t>
      </w:r>
      <w:r>
        <w:rPr>
          <w:rFonts w:ascii="Times New Roman;serif" w:hAnsi="Times New Roman;serif"/>
          <w:b w:val="false"/>
          <w:color w:val="000000"/>
          <w:sz w:val="24"/>
        </w:rPr>
        <w:t>means any principal (including reimbursement obligations and obligations to provide cash collateral with respect to letters of credit, whether or not drawn), interest (including, to the extent legally permitted, all interest accrued thereon after the commencement of any insolvency or liquidation proceeding at the rate, including any applicable post-default rate even if such interest is not enforceable, allowable or allowed as a claim in such proceeding), premium (if any), penalties, fees, charges, expenses, indemnifications, reimbursements, damages, guarantees, other liabilities, amounts payable, or obligations under the documentation governing any Indebtedness or other obligations in respect thereof.</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4"/>
        </w:rPr>
        <w:t>Officer</w:t>
      </w:r>
      <w:r>
        <w:rPr>
          <w:color w:val="000000"/>
        </w:rPr>
        <w:t xml:space="preserve">” </w:t>
      </w:r>
      <w:r>
        <w:rPr>
          <w:rFonts w:ascii="Times New Roman;serif" w:hAnsi="Times New Roman;serif"/>
          <w:b w:val="false"/>
          <w:color w:val="000000"/>
          <w:sz w:val="24"/>
        </w:rPr>
        <w:t>means, with respect to any Person, the Chairman of the Board, the Chief Executive Officer, the President, the Chief Operating Officer, the Chief Financial Officer, the Treasurer, any Assistant Treasurer, the Controller, the Secretary, Assistant Secretary or any Vice-President of such Person.</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4"/>
        </w:rPr>
        <w:t>Officer’s Certificate</w:t>
      </w:r>
      <w:r>
        <w:rPr>
          <w:color w:val="000000"/>
        </w:rPr>
        <w:t xml:space="preserve">” </w:t>
      </w:r>
      <w:r>
        <w:rPr>
          <w:rFonts w:ascii="Times New Roman;serif" w:hAnsi="Times New Roman;serif"/>
          <w:b w:val="false"/>
          <w:color w:val="000000"/>
          <w:sz w:val="24"/>
        </w:rPr>
        <w:t>means a certificate signed on behalf of the Issuer by an Authorized Officer that meets the requirements set forth in this Indenture.</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4"/>
        </w:rPr>
        <w:t>Opinion of Counsel</w:t>
      </w:r>
      <w:r>
        <w:rPr>
          <w:color w:val="000000"/>
        </w:rPr>
        <w:t xml:space="preserve">” </w:t>
      </w:r>
      <w:r>
        <w:rPr>
          <w:rFonts w:ascii="Times New Roman;serif" w:hAnsi="Times New Roman;serif"/>
          <w:b w:val="false"/>
          <w:color w:val="000000"/>
          <w:sz w:val="24"/>
        </w:rPr>
        <w:t xml:space="preserve">means an opinion from legal counsel who is reasonably acceptable to the Trustee, that meets the requirements of </w:t>
      </w:r>
      <w:r>
        <w:rPr>
          <w:rFonts w:ascii="Times New Roman;serif" w:hAnsi="Times New Roman;serif"/>
          <w:b w:val="false"/>
          <w:color w:val="000000"/>
          <w:sz w:val="24"/>
          <w:u w:val="single"/>
        </w:rPr>
        <w:t>Section 12.03</w:t>
      </w:r>
      <w:r>
        <w:rPr>
          <w:color w:val="000000"/>
        </w:rPr>
        <w:t xml:space="preserve"> </w:t>
      </w:r>
      <w:r>
        <w:rPr>
          <w:rFonts w:ascii="Times New Roman;serif" w:hAnsi="Times New Roman;serif"/>
          <w:b w:val="false"/>
          <w:color w:val="000000"/>
          <w:sz w:val="24"/>
        </w:rPr>
        <w:t>herein. The counsel may be an employee of or counsel to the Issuer or any Subsidiary of the Issuer.</w:t>
      </w:r>
    </w:p>
    <w:p>
      <w:pPr>
        <w:pStyle w:val="TextBody"/>
        <w:bidi w:val="0"/>
        <w:spacing w:before="0" w:after="0"/>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735965"/>
                <wp:effectExtent l="0" t="0" r="0" b="0"/>
                <wp:wrapNone/>
                <wp:docPr id="62" name="Frame62"/>
                <a:graphic xmlns:a="http://schemas.openxmlformats.org/drawingml/2006/main">
                  <a:graphicData uri="http://schemas.microsoft.com/office/word/2010/wordprocessingShape">
                    <wps:wsp>
                      <wps:cNvSpPr txBox="1"/>
                      <wps:spPr>
                        <a:xfrm>
                          <a:off x="0" y="0"/>
                          <a:ext cx="6480175" cy="7359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14</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14</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300" w:before="0" w:after="240"/>
        <w:ind w:left="0" w:right="0" w:firstLine="720"/>
        <w:jc w:val="both"/>
        <w:rPr/>
      </w:pPr>
      <w:r>
        <w:rPr>
          <w:color w:val="000000"/>
        </w:rPr>
        <w:t>“</w:t>
      </w:r>
      <w:r>
        <w:rPr>
          <w:rFonts w:ascii="Times New Roman;serif" w:hAnsi="Times New Roman;serif"/>
          <w:b w:val="false"/>
          <w:i/>
          <w:color w:val="000000"/>
          <w:sz w:val="24"/>
        </w:rPr>
        <w:t>Parent Entity</w:t>
      </w:r>
      <w:r>
        <w:rPr>
          <w:color w:val="000000"/>
        </w:rPr>
        <w:t xml:space="preserve">” </w:t>
      </w:r>
      <w:r>
        <w:rPr>
          <w:rFonts w:ascii="Times New Roman;serif" w:hAnsi="Times New Roman;serif"/>
          <w:b w:val="false"/>
          <w:color w:val="000000"/>
          <w:sz w:val="24"/>
        </w:rPr>
        <w:t>means any Person that is a direct or indirect parent company (which may be organized as, among other things, a partnership) of the Issuer.</w:t>
      </w:r>
    </w:p>
    <w:p>
      <w:pPr>
        <w:pStyle w:val="TextBody"/>
        <w:bidi w:val="0"/>
        <w:spacing w:lineRule="auto" w:line="300" w:before="0" w:after="240"/>
        <w:ind w:left="0" w:right="0" w:firstLine="720"/>
        <w:jc w:val="both"/>
        <w:rPr/>
      </w:pPr>
      <w:r>
        <w:rPr>
          <w:color w:val="000000"/>
        </w:rPr>
        <w:t>“</w:t>
      </w:r>
      <w:r>
        <w:rPr>
          <w:rFonts w:ascii="Times New Roman;serif" w:hAnsi="Times New Roman;serif"/>
          <w:b w:val="false"/>
          <w:i/>
          <w:color w:val="000000"/>
          <w:sz w:val="24"/>
        </w:rPr>
        <w:t>Participant</w:t>
      </w:r>
      <w:r>
        <w:rPr>
          <w:color w:val="000000"/>
        </w:rPr>
        <w:t xml:space="preserve">” </w:t>
      </w:r>
      <w:r>
        <w:rPr>
          <w:rFonts w:ascii="Times New Roman;serif" w:hAnsi="Times New Roman;serif"/>
          <w:b w:val="false"/>
          <w:color w:val="000000"/>
          <w:sz w:val="24"/>
        </w:rPr>
        <w:t>means, with respect to the Depository, Euroclear or Clearstream, a Person who has an account with the Depository, Euroclear</w:t>
      </w:r>
      <w:r>
        <w:rPr>
          <w:color w:val="000000"/>
        </w:rPr>
        <w:t xml:space="preserve"> </w:t>
      </w:r>
      <w:r>
        <w:rPr>
          <w:rFonts w:ascii="Times New Roman;serif" w:hAnsi="Times New Roman;serif"/>
          <w:b w:val="false"/>
          <w:color w:val="000000"/>
          <w:sz w:val="24"/>
        </w:rPr>
        <w:t>or Clearstream, respectively, and, with respect to DTC, shall include Euroclear and Clearstream.</w:t>
      </w:r>
    </w:p>
    <w:p>
      <w:pPr>
        <w:pStyle w:val="TextBody"/>
        <w:bidi w:val="0"/>
        <w:spacing w:lineRule="auto" w:line="300" w:before="0" w:after="240"/>
        <w:ind w:left="0" w:right="0" w:firstLine="720"/>
        <w:jc w:val="both"/>
        <w:rPr/>
      </w:pPr>
      <w:r>
        <w:rPr>
          <w:color w:val="000000"/>
        </w:rPr>
        <w:t>“</w:t>
      </w:r>
      <w:r>
        <w:rPr>
          <w:rFonts w:ascii="Times New Roman;serif" w:hAnsi="Times New Roman;serif"/>
          <w:b w:val="false"/>
          <w:i/>
          <w:color w:val="000000"/>
          <w:sz w:val="24"/>
        </w:rPr>
        <w:t>Paying Agent</w:t>
      </w:r>
      <w:r>
        <w:rPr>
          <w:color w:val="000000"/>
        </w:rPr>
        <w:t xml:space="preserve">” </w:t>
      </w:r>
      <w:r>
        <w:rPr>
          <w:rFonts w:ascii="Times New Roman;serif" w:hAnsi="Times New Roman;serif"/>
          <w:b w:val="false"/>
          <w:color w:val="000000"/>
          <w:sz w:val="24"/>
        </w:rPr>
        <w:t>means the office or agency where the Notes may be presented for payment. The term “Paying Agent” includes any additional paying agent.</w:t>
      </w:r>
    </w:p>
    <w:p>
      <w:pPr>
        <w:pStyle w:val="TextBody"/>
        <w:bidi w:val="0"/>
        <w:spacing w:lineRule="auto" w:line="300" w:before="0" w:after="240"/>
        <w:ind w:left="0" w:right="0" w:firstLine="720"/>
        <w:jc w:val="both"/>
        <w:rPr/>
      </w:pPr>
      <w:r>
        <w:rPr>
          <w:color w:val="000000"/>
        </w:rPr>
        <w:t>“</w:t>
      </w:r>
      <w:r>
        <w:rPr>
          <w:rFonts w:ascii="Times New Roman;serif" w:hAnsi="Times New Roman;serif"/>
          <w:b w:val="false"/>
          <w:i/>
          <w:color w:val="000000"/>
          <w:sz w:val="24"/>
        </w:rPr>
        <w:t>Performances References</w:t>
      </w:r>
      <w:r>
        <w:rPr>
          <w:color w:val="000000"/>
        </w:rPr>
        <w:t xml:space="preserve">” </w:t>
      </w:r>
      <w:r>
        <w:rPr>
          <w:rFonts w:ascii="Times New Roman;serif" w:hAnsi="Times New Roman;serif"/>
          <w:b w:val="false"/>
          <w:color w:val="000000"/>
          <w:sz w:val="24"/>
        </w:rPr>
        <w:t>has the meaning set forth in the definition of Derivative Instrument.</w:t>
      </w:r>
    </w:p>
    <w:p>
      <w:pPr>
        <w:pStyle w:val="TextBody"/>
        <w:bidi w:val="0"/>
        <w:spacing w:lineRule="auto" w:line="300" w:before="0" w:after="240"/>
        <w:ind w:left="0" w:right="0" w:firstLine="720"/>
        <w:jc w:val="both"/>
        <w:rPr/>
      </w:pPr>
      <w:r>
        <w:rPr>
          <w:color w:val="000000"/>
        </w:rPr>
        <w:t>“</w:t>
      </w:r>
      <w:r>
        <w:rPr>
          <w:rFonts w:ascii="Times New Roman;serif" w:hAnsi="Times New Roman;serif"/>
          <w:b w:val="false"/>
          <w:i/>
          <w:color w:val="000000"/>
          <w:sz w:val="24"/>
        </w:rPr>
        <w:t>Permitted Holders</w:t>
      </w:r>
      <w:r>
        <w:rPr>
          <w:color w:val="000000"/>
        </w:rPr>
        <w:t xml:space="preserve">” </w:t>
      </w:r>
      <w:r>
        <w:rPr>
          <w:rFonts w:ascii="Times New Roman;serif" w:hAnsi="Times New Roman;serif"/>
          <w:b w:val="false"/>
          <w:color w:val="000000"/>
          <w:sz w:val="24"/>
        </w:rPr>
        <w:t xml:space="preserve">means (a) any of the Management Investors, (b) each participant holding at least 5% of the Capital Stock of the Issuer (or a Parent Entity) as of the Issue Date (and their respective Affiliates and any funds, partnerships or other co-investment and continuation vehicles managed, advised or controlled by the foregoing or their respective Affiliates);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i/>
          <w:color w:val="000000"/>
          <w:sz w:val="24"/>
        </w:rPr>
        <w:t>that</w:t>
      </w:r>
      <w:r>
        <w:rPr>
          <w:color w:val="000000"/>
        </w:rPr>
        <w:t xml:space="preserve"> </w:t>
      </w:r>
      <w:r>
        <w:rPr>
          <w:rFonts w:ascii="Times New Roman;serif" w:hAnsi="Times New Roman;serif"/>
          <w:b w:val="false"/>
          <w:color w:val="000000"/>
          <w:sz w:val="24"/>
        </w:rPr>
        <w:t xml:space="preserve">this clause (b) shall not include any investor that had a controlling equity interest in the Issuer as of May 9, 2022, (c) any group (within the meaning of Section 13(d)(3) or Section 14(d)(2) of the Exchange Act or any successor provision) of which any of the foregoing are members;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i/>
          <w:color w:val="000000"/>
          <w:sz w:val="24"/>
        </w:rPr>
        <w:t>that</w:t>
      </w:r>
      <w:r>
        <w:rPr>
          <w:rFonts w:ascii="Times New Roman;serif" w:hAnsi="Times New Roman;serif"/>
          <w:b w:val="false"/>
          <w:color w:val="000000"/>
          <w:sz w:val="24"/>
        </w:rPr>
        <w:t xml:space="preserve">, in the case of such group and without giving effect to the existence of such group or any other group, the persons set forth in clauses (a) and (b), collectively, have Beneficial Ownership of more than 50% of the total voting power of the Voting Stock of the Issuer or any other Parent Entity, (d) any Parent Entity, for so long as more than 50% of the total voting power of the Voting Stock of such Parent Entity is Beneficially Owned, directly or indirectly, by one or more of the Persons described in the foregoing clauses (a) through </w:t>
        <w:br/>
        <w:t xml:space="preserve">(c), (e) any entity (other than a Parent Entity) through which a Parent Entity described in </w:t>
        <w:br/>
        <w:t>clause (d) directly or indirectly holds Capital Stock of the Issuer and has no other material operations other than those incidental thereto, (f) any Person acting in the capacity of an underwriter (solely to the extent that and for so long as such Person is acting in such capacity) in connection with a public or private offering of Capital Stock of the Issuer (or any Parent Entity) and (g) any Person or group (within the meaning of Section 13(d)(3) or Section 14(d)(2) of the Exchange Act or any successor provision) whose acquisition of Beneficial Ownership or assets or properties of the Issuer constitutes a Change of Control that is either (i) not a Change of Control Triggering Event or (ii) in respect of which a Change of Control Offer is made in accordance with the requirements of this Indenture and their respective Affiliates.</w:t>
      </w:r>
    </w:p>
    <w:p>
      <w:pPr>
        <w:pStyle w:val="TextBody"/>
        <w:bidi w:val="0"/>
        <w:spacing w:lineRule="auto" w:line="300" w:before="0" w:after="180"/>
        <w:ind w:left="0" w:right="0" w:firstLine="720"/>
        <w:jc w:val="both"/>
        <w:rPr/>
      </w:pPr>
      <w:r>
        <w:rPr>
          <w:color w:val="000000"/>
        </w:rPr>
        <w:t>“</w:t>
      </w:r>
      <w:r>
        <w:rPr>
          <w:rFonts w:ascii="Times New Roman;serif" w:hAnsi="Times New Roman;serif"/>
          <w:b w:val="false"/>
          <w:i/>
          <w:color w:val="000000"/>
          <w:sz w:val="24"/>
        </w:rPr>
        <w:t>Permitted Liens</w:t>
      </w:r>
      <w:r>
        <w:rPr>
          <w:color w:val="000000"/>
        </w:rPr>
        <w:t xml:space="preserve">” </w:t>
      </w:r>
      <w:r>
        <w:rPr>
          <w:rFonts w:ascii="Times New Roman;serif" w:hAnsi="Times New Roman;serif"/>
          <w:b w:val="false"/>
          <w:color w:val="000000"/>
          <w:sz w:val="24"/>
        </w:rPr>
        <w:t>means:</w:t>
      </w:r>
    </w:p>
    <w:p>
      <w:pPr>
        <w:pStyle w:val="TextBody"/>
        <w:bidi w:val="0"/>
        <w:spacing w:lineRule="auto" w:line="300" w:before="0" w:after="18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(1)Liens in favor of the Issuer or any Subsidiary Guarantor;</w:t>
      </w:r>
    </w:p>
    <w:p>
      <w:pPr>
        <w:pStyle w:val="TextBody"/>
        <w:bidi w:val="0"/>
        <w:spacing w:lineRule="auto" w:line="300" w:before="0" w:after="18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(2)Liens created for the benefit of or to secure the Notes or the Subsidiary Guarantees;</w:t>
      </w:r>
    </w:p>
    <w:p>
      <w:pPr>
        <w:pStyle w:val="TextBody"/>
        <w:bidi w:val="0"/>
        <w:spacing w:before="0" w:after="0"/>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735965"/>
                <wp:effectExtent l="0" t="0" r="0" b="0"/>
                <wp:wrapNone/>
                <wp:docPr id="63" name="Frame63"/>
                <a:graphic xmlns:a="http://schemas.openxmlformats.org/drawingml/2006/main">
                  <a:graphicData uri="http://schemas.microsoft.com/office/word/2010/wordprocessingShape">
                    <wps:wsp>
                      <wps:cNvSpPr txBox="1"/>
                      <wps:spPr>
                        <a:xfrm>
                          <a:off x="0" y="0"/>
                          <a:ext cx="6480175" cy="7359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15</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15</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300" w:before="0" w:after="180"/>
        <w:ind w:left="0" w:right="0" w:hanging="720"/>
        <w:jc w:val="both"/>
        <w:rPr/>
      </w:pPr>
      <w:r>
        <w:rPr>
          <w:rFonts w:ascii="Times New Roman;serif" w:hAnsi="Times New Roman;serif"/>
          <w:b w:val="false"/>
          <w:color w:val="000000"/>
          <w:sz w:val="24"/>
        </w:rPr>
        <w:t xml:space="preserve">(3)Liens on property, assets or Capital Stock of a Person existing at the time such Person is merged with or into or consolidated with, or becomes a Subsidiary of, the Issuer or any Subsidiary of the Issuer; </w:t>
      </w:r>
      <w:r>
        <w:rPr>
          <w:rFonts w:ascii="Times New Roman;serif" w:hAnsi="Times New Roman;serif"/>
          <w:b w:val="false"/>
          <w:i/>
          <w:color w:val="000000"/>
          <w:sz w:val="24"/>
        </w:rPr>
        <w:t>provided that</w:t>
      </w:r>
      <w:r>
        <w:rPr>
          <w:color w:val="000000"/>
        </w:rPr>
        <w:t xml:space="preserve"> </w:t>
      </w:r>
      <w:r>
        <w:rPr>
          <w:rFonts w:ascii="Times New Roman;serif" w:hAnsi="Times New Roman;serif"/>
          <w:b w:val="false"/>
          <w:color w:val="000000"/>
          <w:sz w:val="24"/>
        </w:rPr>
        <w:t>such Liens were not incurred in contemplation of such merger or consolidation and do not extend to any property or assets or Capital Stock other than property, assets or Capital Stock of the Person merged into or consolidated with, or that becomes a Subsidiary of, the Issuer or the Subsidiary;</w:t>
      </w:r>
    </w:p>
    <w:p>
      <w:pPr>
        <w:pStyle w:val="TextBody"/>
        <w:bidi w:val="0"/>
        <w:spacing w:lineRule="auto" w:line="300" w:before="0" w:after="180"/>
        <w:ind w:left="0" w:right="0" w:hanging="720"/>
        <w:jc w:val="both"/>
        <w:rPr/>
      </w:pPr>
      <w:r>
        <w:rPr>
          <w:rFonts w:ascii="Times New Roman;serif" w:hAnsi="Times New Roman;serif"/>
          <w:b w:val="false"/>
          <w:color w:val="000000"/>
          <w:sz w:val="24"/>
        </w:rPr>
        <w:t xml:space="preserve">(4)Liens on property, assets or Capital Stock existing at the time of acquisition thereof by the Issuer or any of its Subsidiaries and purchase money or similar Liens; </w:t>
      </w:r>
      <w:r>
        <w:rPr>
          <w:rFonts w:ascii="Times New Roman;serif" w:hAnsi="Times New Roman;serif"/>
          <w:b w:val="false"/>
          <w:i/>
          <w:color w:val="000000"/>
          <w:sz w:val="24"/>
        </w:rPr>
        <w:t>provided that</w:t>
      </w:r>
      <w:r>
        <w:rPr>
          <w:color w:val="000000"/>
        </w:rPr>
        <w:t xml:space="preserve"> </w:t>
      </w:r>
      <w:r>
        <w:rPr>
          <w:rFonts w:ascii="Times New Roman;serif" w:hAnsi="Times New Roman;serif"/>
          <w:b w:val="false"/>
          <w:color w:val="000000"/>
          <w:sz w:val="24"/>
        </w:rPr>
        <w:t>such Liens were in existence (or were required to extend to such assets, including by way of an after-acquired property provision) prior to, and not incurred in contemplation of, or to finance, such acquisition, and such Liens do not extend to any property or assets other than such property or assets;</w:t>
      </w:r>
    </w:p>
    <w:p>
      <w:pPr>
        <w:pStyle w:val="TextBody"/>
        <w:bidi w:val="0"/>
        <w:spacing w:lineRule="auto" w:line="300" w:before="0" w:after="180"/>
        <w:ind w:left="0" w:right="0" w:hanging="720"/>
        <w:jc w:val="both"/>
        <w:rPr/>
      </w:pPr>
      <w:r>
        <w:rPr>
          <w:rFonts w:ascii="Times New Roman;serif" w:hAnsi="Times New Roman;serif"/>
          <w:b w:val="false"/>
          <w:color w:val="000000"/>
          <w:sz w:val="24"/>
        </w:rPr>
        <w:t xml:space="preserve">(5)(a) Liens to secure any purchase money obligations or mortgage financings incurred for the purpose of financing or refinancing all or any part of the purchase price or cost of design, construction, lease, installation or improvement of property (real or personal), plant or equipment or other assets, or the Capital Stock of any Person owning such property or assets, or to secure Indebtedness incurred to provide funds for the reimbursement or refinancing of funds expended for the foregoing purposes,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i/>
          <w:color w:val="000000"/>
          <w:sz w:val="24"/>
        </w:rPr>
        <w:t>that</w:t>
      </w:r>
      <w:r>
        <w:rPr>
          <w:color w:val="000000"/>
        </w:rPr>
        <w:t xml:space="preserve"> </w:t>
      </w:r>
      <w:r>
        <w:rPr>
          <w:rFonts w:ascii="Times New Roman;serif" w:hAnsi="Times New Roman;serif"/>
          <w:b w:val="false"/>
          <w:color w:val="000000"/>
          <w:sz w:val="24"/>
        </w:rPr>
        <w:t>the Liens securing Indebtedness shall not extend to any property or assets other than that being so acquired, leased, developed, constructed, altered, repaired, improved, purchased, designed, leased or installed, or the Capital Stock of any Person owning such property or assets, except (1) for accessions of property financed with the proceeds of such Indebtedness and the proceeds and the products thereof and (2) that individual financings of equipment provided by one lender may be cross collateralized to other financings of equipment provided by such lender, and (b) any interest or title of a lessor under, or any Lien as a consequence of, any Capitalized Lease Obligation, finance lease obligation or operating lease obligation (including, for the avoidance of doubt, any interest or title of a lessor in any property or assets);</w:t>
      </w:r>
    </w:p>
    <w:p>
      <w:pPr>
        <w:pStyle w:val="TextBody"/>
        <w:bidi w:val="0"/>
        <w:spacing w:lineRule="auto" w:line="300" w:before="0" w:after="18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(6)Liens existing on, or provided for or required to be granted under (or existing as a result of) written agreements on, the Issue Date (other than the Credit Agreement);</w:t>
      </w:r>
    </w:p>
    <w:p>
      <w:pPr>
        <w:pStyle w:val="TextBody"/>
        <w:bidi w:val="0"/>
        <w:spacing w:lineRule="auto" w:line="300" w:before="0" w:after="18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(7)Liens arising in relation to any securitization or other structured finance transaction where (a) the primary source of payment of any obligations of the issuer is linked or otherwise related to cash flow from particular property or assets (or where payment of such obligations is otherwise supported by such property or assets) and (b) recourse to the issuer in respect of such obligations is conditional on cash flow from such property or assets;</w:t>
      </w:r>
    </w:p>
    <w:p>
      <w:pPr>
        <w:pStyle w:val="TextBody"/>
        <w:bidi w:val="0"/>
        <w:spacing w:before="0" w:after="0"/>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735965"/>
                <wp:effectExtent l="0" t="0" r="0" b="0"/>
                <wp:wrapNone/>
                <wp:docPr id="64" name="Frame64"/>
                <a:graphic xmlns:a="http://schemas.openxmlformats.org/drawingml/2006/main">
                  <a:graphicData uri="http://schemas.microsoft.com/office/word/2010/wordprocessingShape">
                    <wps:wsp>
                      <wps:cNvSpPr txBox="1"/>
                      <wps:spPr>
                        <a:xfrm>
                          <a:off x="0" y="0"/>
                          <a:ext cx="6480175" cy="7359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16</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16</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300" w:before="0" w:after="180"/>
        <w:ind w:left="0" w:right="0" w:hanging="720"/>
        <w:jc w:val="both"/>
        <w:rPr/>
      </w:pPr>
      <w:r>
        <w:rPr>
          <w:rFonts w:ascii="Times New Roman;serif" w:hAnsi="Times New Roman;serif"/>
          <w:b w:val="false"/>
          <w:color w:val="000000"/>
          <w:sz w:val="24"/>
        </w:rPr>
        <w:t xml:space="preserve">(8)any extensions, substitutions, replacements or renewals of Liens permitted by this Indenture;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i/>
          <w:color w:val="000000"/>
          <w:sz w:val="24"/>
        </w:rPr>
        <w:t>that</w:t>
      </w:r>
      <w:r>
        <w:rPr>
          <w:color w:val="000000"/>
        </w:rPr>
        <w:t xml:space="preserve"> </w:t>
      </w:r>
      <w:r>
        <w:rPr>
          <w:rFonts w:ascii="Times New Roman;serif" w:hAnsi="Times New Roman;serif"/>
          <w:b w:val="false"/>
          <w:color w:val="000000"/>
          <w:sz w:val="24"/>
        </w:rPr>
        <w:t>(a) such Indebtedness (including Indebtedness to renew, refund, refinance, replace, defease or discharge any Indebtedness that such Liens initially secured) is not increased (other than any increase for all accrued interest, premiums (including tender premiums), defeasance costs and fees and expenses in connection therewith) and (b) if the assets securing any such Indebtedness are changed in connection with any such extension, substitution, replacement or renewal, the fair market value of the assets securing such Indebtedness (as determined by the Issuer in its sole discretion) is not increased;</w:t>
      </w:r>
    </w:p>
    <w:p>
      <w:pPr>
        <w:pStyle w:val="TextBody"/>
        <w:bidi w:val="0"/>
        <w:spacing w:lineRule="auto" w:line="300" w:before="0" w:after="18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(9)limited recourse Liens in respect of the ownership interests in, or assets owned by, any joint ventures which are not Subsidiaries securing obligations of such joint ventures;</w:t>
      </w:r>
    </w:p>
    <w:p>
      <w:pPr>
        <w:pStyle w:val="TextBody"/>
        <w:bidi w:val="0"/>
        <w:spacing w:lineRule="auto" w:line="300" w:before="0" w:after="18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(10)Liens to secure Indebtedness or other obligations incurred to finance Necessary CapEx that encumber only the assets purchased, installed or otherwise acquired with the proceeds of such Indebtedness;</w:t>
      </w:r>
    </w:p>
    <w:p>
      <w:pPr>
        <w:pStyle w:val="TextBody"/>
        <w:bidi w:val="0"/>
        <w:spacing w:lineRule="auto" w:line="300" w:before="0" w:after="18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(11)Liens relating to escrow arrangements securing Indebtedness of the Issuer or any Subsidiary;</w:t>
      </w:r>
    </w:p>
    <w:p>
      <w:pPr>
        <w:pStyle w:val="TextBody"/>
        <w:bidi w:val="0"/>
        <w:spacing w:lineRule="auto" w:line="300" w:before="0" w:after="18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 xml:space="preserve">(12)Liens to secure Environmental CapEx Debt that encumber only the assets purchased, installed or otherwise acquired with the proceeds of such Environmental CapEx Debt; </w:t>
      </w:r>
    </w:p>
    <w:p>
      <w:pPr>
        <w:pStyle w:val="TextBody"/>
        <w:bidi w:val="0"/>
        <w:spacing w:lineRule="auto" w:line="300" w:before="0" w:after="18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(13)Liens permitted to remain outstanding under the Plan;</w:t>
      </w:r>
    </w:p>
    <w:p>
      <w:pPr>
        <w:pStyle w:val="TextBody"/>
        <w:bidi w:val="0"/>
        <w:spacing w:lineRule="auto" w:line="300" w:before="0" w:after="18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(14)Liens securing Hedging Obligations;</w:t>
      </w:r>
    </w:p>
    <w:p>
      <w:pPr>
        <w:pStyle w:val="TextBody"/>
        <w:bidi w:val="0"/>
        <w:spacing w:lineRule="auto" w:line="300" w:before="0" w:after="18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(15)Liens securing Indebtedness in an aggregate principal amount outstanding at any one time not to exceed (A) $4,910.0 million plus (B) the greater of (i) $1,050.0 million and (ii) 100% of Consolidated Adjusted EBITDA for the most recently ended Test Period (calculated on a Pro Forma Basis and determined at the time of the incurrence of such Indebtedness);</w:t>
      </w:r>
    </w:p>
    <w:p>
      <w:pPr>
        <w:pStyle w:val="TextBody"/>
        <w:bidi w:val="0"/>
        <w:spacing w:lineRule="auto" w:line="300" w:before="0" w:after="18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 xml:space="preserve">(16)Liens securing Indebtedness in an aggregate principal amount outstanding at any one time not to exceed the greater of (i) $845.0 million and (ii) 80% of Consolidated Adjusted EBITDA for the most recently ended four calendar quarter period (calculated on a Pro Forma Basis and determined at the time of the incurrence of such Indebtedness); </w:t>
      </w:r>
    </w:p>
    <w:p>
      <w:pPr>
        <w:pStyle w:val="TextBody"/>
        <w:bidi w:val="0"/>
        <w:spacing w:lineRule="auto" w:line="300" w:before="0" w:after="18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 xml:space="preserve">(17)Liens securing Indebtedness in an aggregate principal amount such that (on a Pro Forma Basis and determined at the time of the incurrence of such Indebtedness) the Consolidated Secured Net Leverage Ratio does not exceed the greater of </w:t>
        <w:br/>
        <w:t xml:space="preserve">(i) 3.75:1.00 and (ii) the Consolidated Secured Net Leverage Ratio immediately prior to the incurrence of such Indebtedness and use of proceeds thereof; </w:t>
      </w:r>
    </w:p>
    <w:p>
      <w:pPr>
        <w:pStyle w:val="TextBody"/>
        <w:bidi w:val="0"/>
        <w:spacing w:before="0" w:after="0"/>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735965"/>
                <wp:effectExtent l="0" t="0" r="0" b="0"/>
                <wp:wrapNone/>
                <wp:docPr id="65" name="Frame65"/>
                <a:graphic xmlns:a="http://schemas.openxmlformats.org/drawingml/2006/main">
                  <a:graphicData uri="http://schemas.microsoft.com/office/word/2010/wordprocessingShape">
                    <wps:wsp>
                      <wps:cNvSpPr txBox="1"/>
                      <wps:spPr>
                        <a:xfrm>
                          <a:off x="0" y="0"/>
                          <a:ext cx="6480175" cy="7359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17</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17</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300" w:before="0" w:after="180"/>
        <w:ind w:left="0" w:right="0" w:hanging="720"/>
        <w:jc w:val="both"/>
        <w:rPr/>
      </w:pPr>
      <w:r>
        <w:rPr>
          <w:rFonts w:ascii="Times New Roman;serif" w:hAnsi="Times New Roman;serif"/>
          <w:b w:val="false"/>
          <w:color w:val="000000"/>
          <w:sz w:val="24"/>
        </w:rPr>
        <w:t xml:space="preserve">(18)any Liens in connection with the issuance of tax-exempt industrial development or pollution control bonds or other similar bonds issued pursuant to Section 103(b) of the Internal Revenue Code of 1986, as amended (or any successor provision), to finance all or any part of the purchase price of or the cost of constructing, equipping or improving property; </w:t>
      </w:r>
      <w:r>
        <w:rPr>
          <w:rFonts w:ascii="Times New Roman;serif" w:hAnsi="Times New Roman;serif"/>
          <w:b w:val="false"/>
          <w:i/>
          <w:color w:val="000000"/>
          <w:sz w:val="24"/>
        </w:rPr>
        <w:t>provided, however</w:t>
      </w:r>
      <w:r>
        <w:rPr>
          <w:rFonts w:ascii="Times New Roman;serif" w:hAnsi="Times New Roman;serif"/>
          <w:b w:val="false"/>
          <w:color w:val="000000"/>
          <w:sz w:val="24"/>
        </w:rPr>
        <w:t xml:space="preserve">, that such Liens are limited to the property acquired or constructed or improved and to substantially unimproved real property on which such construction or improvement is located; and </w:t>
      </w:r>
      <w:r>
        <w:rPr>
          <w:rFonts w:ascii="Times New Roman;serif" w:hAnsi="Times New Roman;serif"/>
          <w:b w:val="false"/>
          <w:i/>
          <w:color w:val="000000"/>
          <w:sz w:val="24"/>
        </w:rPr>
        <w:t>provided, further</w:t>
      </w:r>
      <w:r>
        <w:rPr>
          <w:rFonts w:ascii="Times New Roman;serif" w:hAnsi="Times New Roman;serif"/>
          <w:b w:val="false"/>
          <w:color w:val="000000"/>
          <w:sz w:val="24"/>
        </w:rPr>
        <w:t>, that the Issuer may further secure all or any part of such purchase price or the cost of construction or improvement by an interest in additional property of the Issuer only to the extent necessary for the construction, maintenance and operation of, and access to, such property so acquired or constructed or such improvement; and</w:t>
      </w:r>
    </w:p>
    <w:p>
      <w:pPr>
        <w:pStyle w:val="TextBody"/>
        <w:bidi w:val="0"/>
        <w:spacing w:lineRule="auto" w:line="300" w:before="0" w:after="18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(19)Liens securing Indebtedness incurred in connection with a Permitted Spin-Out Transaction not to exceed $100.0 million at any one time outstanding.</w:t>
      </w:r>
    </w:p>
    <w:p>
      <w:pPr>
        <w:pStyle w:val="TextBody"/>
        <w:bidi w:val="0"/>
        <w:spacing w:lineRule="auto" w:line="300" w:before="0" w:after="180"/>
        <w:jc w:val="both"/>
        <w:rPr/>
      </w:pPr>
      <w:r>
        <w:rPr>
          <w:rFonts w:ascii="Times New Roman;serif" w:hAnsi="Times New Roman;serif"/>
          <w:b w:val="false"/>
          <w:color w:val="000000"/>
          <w:sz w:val="24"/>
        </w:rPr>
        <w:t xml:space="preserve">For purposes of determining compliance with </w:t>
      </w:r>
      <w:r>
        <w:rPr>
          <w:rFonts w:ascii="Times New Roman;serif" w:hAnsi="Times New Roman;serif"/>
          <w:b w:val="false"/>
          <w:color w:val="000000"/>
          <w:sz w:val="24"/>
          <w:u w:val="single"/>
        </w:rPr>
        <w:t>Section 4.04</w:t>
      </w:r>
      <w:r>
        <w:rPr>
          <w:color w:val="000000"/>
        </w:rPr>
        <w:t xml:space="preserve"> </w:t>
      </w:r>
      <w:r>
        <w:rPr>
          <w:rFonts w:ascii="Times New Roman;serif" w:hAnsi="Times New Roman;serif"/>
          <w:b w:val="false"/>
          <w:color w:val="000000"/>
          <w:sz w:val="24"/>
        </w:rPr>
        <w:t>and this definition of Permitted Liens, in the event that a Lien meets the criteria of more than one of the categories of Permitted Liens described above in clauses (1) through (19), the Issuer will be permitted, in its sole discretion, (a) to classify such Lien on the date of incurrence and may later reclassify such Lien in any manner (based on the circumstances existing at the time of any such reclassification), (b) may divide and later redivide the amount of such Lien among more than one of such clauses and (c) will only be required to include such Lien in one of any such clauses.</w:t>
      </w:r>
    </w:p>
    <w:p>
      <w:pPr>
        <w:pStyle w:val="TextBody"/>
        <w:bidi w:val="0"/>
        <w:spacing w:lineRule="auto" w:line="300" w:before="0" w:after="240"/>
        <w:ind w:left="0" w:right="0" w:firstLine="720"/>
        <w:jc w:val="both"/>
        <w:rPr/>
      </w:pPr>
      <w:r>
        <w:rPr>
          <w:color w:val="000000"/>
        </w:rPr>
        <w:t>“</w:t>
      </w:r>
      <w:r>
        <w:rPr>
          <w:rFonts w:ascii="Times New Roman;serif" w:hAnsi="Times New Roman;serif"/>
          <w:b w:val="false"/>
          <w:i/>
          <w:color w:val="000000"/>
          <w:sz w:val="24"/>
        </w:rPr>
        <w:t>Permitted Reorganization Transaction</w:t>
      </w:r>
      <w:r>
        <w:rPr>
          <w:color w:val="000000"/>
        </w:rPr>
        <w:t xml:space="preserve">” </w:t>
      </w:r>
      <w:r>
        <w:rPr>
          <w:rFonts w:ascii="Times New Roman;serif" w:hAnsi="Times New Roman;serif"/>
          <w:b w:val="false"/>
          <w:color w:val="000000"/>
          <w:sz w:val="24"/>
        </w:rPr>
        <w:t>means re-organizations and other activities related to tax planning and re-organization, so long as, after giving effect thereto, the Subsidiary Guarantees, taken as a whole, are not materially impaired (as determined by the Issuer in good faith).</w:t>
      </w:r>
    </w:p>
    <w:p>
      <w:pPr>
        <w:pStyle w:val="TextBody"/>
        <w:bidi w:val="0"/>
        <w:spacing w:lineRule="auto" w:line="300" w:before="0" w:after="240"/>
        <w:ind w:left="0" w:right="0" w:firstLine="720"/>
        <w:jc w:val="both"/>
        <w:rPr/>
      </w:pPr>
      <w:r>
        <w:rPr>
          <w:color w:val="000000"/>
        </w:rPr>
        <w:t>“</w:t>
      </w:r>
      <w:r>
        <w:rPr>
          <w:rFonts w:ascii="Times New Roman;serif" w:hAnsi="Times New Roman;serif"/>
          <w:b w:val="false"/>
          <w:i/>
          <w:color w:val="000000"/>
          <w:sz w:val="24"/>
        </w:rPr>
        <w:t>Permitted Spin-Out</w:t>
      </w:r>
      <w:r>
        <w:rPr>
          <w:color w:val="000000"/>
        </w:rPr>
        <w:t xml:space="preserve"> </w:t>
      </w:r>
      <w:r>
        <w:rPr>
          <w:rFonts w:ascii="Times New Roman;serif" w:hAnsi="Times New Roman;serif"/>
          <w:b w:val="false"/>
          <w:i/>
          <w:color w:val="000000"/>
          <w:sz w:val="24"/>
        </w:rPr>
        <w:t>Entities</w:t>
      </w:r>
      <w:r>
        <w:rPr>
          <w:color w:val="000000"/>
        </w:rPr>
        <w:t xml:space="preserve">” </w:t>
      </w:r>
      <w:r>
        <w:rPr>
          <w:rFonts w:ascii="Times New Roman;serif" w:hAnsi="Times New Roman;serif"/>
          <w:b w:val="false"/>
          <w:color w:val="000000"/>
          <w:sz w:val="24"/>
        </w:rPr>
        <w:t>has the meaning provided in the definition of Permitted Spin-Out Transactions.</w:t>
      </w:r>
    </w:p>
    <w:p>
      <w:pPr>
        <w:pStyle w:val="TextBody"/>
        <w:bidi w:val="0"/>
        <w:spacing w:lineRule="auto" w:line="300" w:before="0" w:after="240"/>
        <w:ind w:left="0" w:right="0" w:firstLine="720"/>
        <w:jc w:val="both"/>
        <w:rPr/>
      </w:pPr>
      <w:r>
        <w:rPr>
          <w:color w:val="000000"/>
        </w:rPr>
        <w:t>“</w:t>
      </w:r>
      <w:r>
        <w:rPr>
          <w:rFonts w:ascii="Times New Roman;serif" w:hAnsi="Times New Roman;serif"/>
          <w:b w:val="false"/>
          <w:i/>
          <w:color w:val="000000"/>
          <w:sz w:val="24"/>
        </w:rPr>
        <w:t>Permitted Spin-Out</w:t>
      </w:r>
      <w:r>
        <w:rPr>
          <w:color w:val="000000"/>
        </w:rPr>
        <w:t xml:space="preserve"> </w:t>
      </w:r>
      <w:r>
        <w:rPr>
          <w:rFonts w:ascii="Times New Roman;serif" w:hAnsi="Times New Roman;serif"/>
          <w:b w:val="false"/>
          <w:i/>
          <w:color w:val="000000"/>
          <w:sz w:val="24"/>
        </w:rPr>
        <w:t>Transaction</w:t>
      </w:r>
      <w:r>
        <w:rPr>
          <w:color w:val="000000"/>
        </w:rPr>
        <w:t xml:space="preserve">” </w:t>
      </w:r>
      <w:r>
        <w:rPr>
          <w:rFonts w:ascii="Times New Roman;serif" w:hAnsi="Times New Roman;serif"/>
          <w:b w:val="false"/>
          <w:color w:val="000000"/>
          <w:sz w:val="24"/>
        </w:rPr>
        <w:t>means (x) the spin-out (through distribution, transfer or otherwise) from the group consisting of the Issuer and its Subsidiaries of any of the following entities and assets (including the assets of the following entities): (i) Talen Montana Holdings LLC, (ii) Raven Power Generation Holdings LLC (including, without limitation, H.A. Wagner LLC and Brandon Shores LLC), (iii) Camden Plant Holding, LLC, (iv) Dartmouth Plant Holding, LLC and (v) one or more to-be-formed entities holding the Issuer’s undivided interests in the Keystone and Conemaugh plants and associated membership interests in Keystone Fuels, LLC, Conemaugh Fuels, LLC and Keystone – Conemaugh Projects, LLC (collectively, the “</w:t>
      </w:r>
      <w:r>
        <w:rPr>
          <w:rFonts w:ascii="Times New Roman;serif" w:hAnsi="Times New Roman;serif"/>
          <w:b w:val="false"/>
          <w:i/>
          <w:color w:val="000000"/>
          <w:sz w:val="24"/>
        </w:rPr>
        <w:t>Permitted Spin-Out Entities</w:t>
      </w:r>
      <w:r>
        <w:rPr>
          <w:color w:val="000000"/>
        </w:rPr>
        <w:t>”</w:t>
      </w:r>
      <w:r>
        <w:rPr>
          <w:rFonts w:ascii="Times New Roman;serif" w:hAnsi="Times New Roman;serif"/>
          <w:b w:val="false"/>
          <w:color w:val="000000"/>
          <w:sz w:val="24"/>
        </w:rPr>
        <w:t xml:space="preserve">), which may be done in multiple “spin-out” transactions and may be done at separate intervals and (y) from and after any “spin-out” as described in preceding clause (x), (i) the establishment of one or more revolving credit facilities provided by the Issuer or any of its Subsidiaries to one or more of (a) the Permitted Spin-Out Entities (or any direct or </w:t>
      </w:r>
    </w:p>
    <w:p>
      <w:pPr>
        <w:pStyle w:val="TextBody"/>
        <w:bidi w:val="0"/>
        <w:spacing w:before="0" w:after="0"/>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735965"/>
                <wp:effectExtent l="0" t="0" r="0" b="0"/>
                <wp:wrapNone/>
                <wp:docPr id="66" name="Frame66"/>
                <a:graphic xmlns:a="http://schemas.openxmlformats.org/drawingml/2006/main">
                  <a:graphicData uri="http://schemas.microsoft.com/office/word/2010/wordprocessingShape">
                    <wps:wsp>
                      <wps:cNvSpPr txBox="1"/>
                      <wps:spPr>
                        <a:xfrm>
                          <a:off x="0" y="0"/>
                          <a:ext cx="6480175" cy="7359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18</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18</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300" w:before="0" w:after="240"/>
        <w:jc w:val="both"/>
        <w:rPr/>
      </w:pPr>
      <w:r>
        <w:rPr>
          <w:rFonts w:ascii="Times New Roman;serif" w:hAnsi="Times New Roman;serif"/>
          <w:b w:val="false"/>
          <w:color w:val="000000"/>
          <w:sz w:val="24"/>
        </w:rPr>
        <w:t xml:space="preserve">indirect parent entity of a Permitted Spin-Out Entity or Subsidiary of any such parent entity) and/or (b) any other entity (or any direct or indirect parent entity of such entity or Subsidiary of any such parent entity) that is spun out or holds assets that are spun out to the extent the spin out of such entity or assets is not prohibited by the terms of this Indenture and (ii) the issuance of any letters of credit, bank guarantees, surety or performance bonds or similar instruments for which the Issuer or any Subsidiary is obligated to reimburse upon any drawing or payment thereunder (as a primary obligor, guarantor or otherwise), in each case, to support obligations of (a) the Permitted Spin-Out Entities (or any direct or indirect parent entity of a Permitted Spin-Out Entity or Subsidiary of any such parent entity) and/or (b) any other entity (or any direct or indirect parent entity of such entity or Subsidiary of any such parent entity) that is spun out or holds assets that are spun out to the extent the spin out of such entity or assets is not prohibited by the terms of this Indenture, in an aggregate principal amount under clauses (i) and (ii) (or in the case of any letters of credit, bank guarantees, surety or performance bonds or similar instruments, face amount) at any time outstanding not to exceed $100.0 million;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i/>
          <w:color w:val="000000"/>
          <w:sz w:val="24"/>
        </w:rPr>
        <w:t>that</w:t>
      </w:r>
      <w:r>
        <w:rPr>
          <w:rFonts w:ascii="Times New Roman;serif" w:hAnsi="Times New Roman;serif"/>
          <w:b w:val="false"/>
          <w:color w:val="000000"/>
          <w:sz w:val="24"/>
        </w:rPr>
        <w:t xml:space="preserve">, solely with respect to clause (x) above, after giving </w:t>
      </w:r>
      <w:r>
        <w:rPr>
          <w:rFonts w:ascii="Times New Roman;serif" w:hAnsi="Times New Roman;serif"/>
          <w:b w:val="false"/>
          <w:i/>
          <w:color w:val="000000"/>
          <w:sz w:val="24"/>
        </w:rPr>
        <w:t>Pro Forma</w:t>
      </w:r>
      <w:r>
        <w:rPr>
          <w:color w:val="000000"/>
        </w:rPr>
        <w:t xml:space="preserve"> </w:t>
      </w:r>
      <w:r>
        <w:rPr>
          <w:rFonts w:ascii="Times New Roman;serif" w:hAnsi="Times New Roman;serif"/>
          <w:b w:val="false"/>
          <w:color w:val="000000"/>
          <w:sz w:val="24"/>
        </w:rPr>
        <w:t>Effect to any such Permitted Spin-Out Transaction, no Event of Default shall have occurred or be continuing.</w:t>
      </w:r>
    </w:p>
    <w:p>
      <w:pPr>
        <w:pStyle w:val="TextBody"/>
        <w:bidi w:val="0"/>
        <w:spacing w:lineRule="auto" w:line="300" w:before="0" w:after="240"/>
        <w:ind w:left="0" w:right="0" w:firstLine="720"/>
        <w:jc w:val="both"/>
        <w:rPr/>
      </w:pPr>
      <w:r>
        <w:rPr>
          <w:color w:val="000000"/>
        </w:rPr>
        <w:t>“</w:t>
      </w:r>
      <w:r>
        <w:rPr>
          <w:rFonts w:ascii="Times New Roman;serif" w:hAnsi="Times New Roman;serif"/>
          <w:b w:val="false"/>
          <w:i/>
          <w:color w:val="000000"/>
          <w:sz w:val="24"/>
        </w:rPr>
        <w:t>Person</w:t>
      </w:r>
      <w:r>
        <w:rPr>
          <w:color w:val="000000"/>
        </w:rPr>
        <w:t xml:space="preserve">” </w:t>
      </w:r>
      <w:r>
        <w:rPr>
          <w:rFonts w:ascii="Times New Roman;serif" w:hAnsi="Times New Roman;serif"/>
          <w:b w:val="false"/>
          <w:color w:val="000000"/>
          <w:sz w:val="24"/>
        </w:rPr>
        <w:t>means any individual, corporation, partnership, joint venture, firm, association, joint-stock company, trust, unincorporated organization, limited liability company, governmental authority, or other enterprise or entity.</w:t>
      </w:r>
    </w:p>
    <w:p>
      <w:pPr>
        <w:pStyle w:val="TextBody"/>
        <w:bidi w:val="0"/>
        <w:spacing w:lineRule="auto" w:line="300" w:before="0" w:after="240"/>
        <w:ind w:left="0" w:right="0" w:firstLine="720"/>
        <w:jc w:val="both"/>
        <w:rPr/>
      </w:pPr>
      <w:r>
        <w:rPr>
          <w:color w:val="000000"/>
        </w:rPr>
        <w:t>“</w:t>
      </w:r>
      <w:r>
        <w:rPr>
          <w:rFonts w:ascii="Times New Roman;serif" w:hAnsi="Times New Roman;serif"/>
          <w:b w:val="false"/>
          <w:i/>
          <w:color w:val="000000"/>
          <w:sz w:val="24"/>
        </w:rPr>
        <w:t>Plan</w:t>
      </w:r>
      <w:r>
        <w:rPr>
          <w:color w:val="000000"/>
        </w:rPr>
        <w:t xml:space="preserve">” </w:t>
      </w:r>
      <w:r>
        <w:rPr>
          <w:rFonts w:ascii="Times New Roman;serif" w:hAnsi="Times New Roman;serif"/>
          <w:b w:val="false"/>
          <w:color w:val="000000"/>
          <w:sz w:val="24"/>
        </w:rPr>
        <w:t>means the Joint Chapter 11 Plan of Reorganization of Talen Energy Supply, LLC and its Affiliated Debtors, confirmed on December 20, 2022, together with any amendments, supplements, or modifications thereto.</w:t>
      </w:r>
    </w:p>
    <w:p>
      <w:pPr>
        <w:pStyle w:val="TextBody"/>
        <w:bidi w:val="0"/>
        <w:spacing w:lineRule="auto" w:line="300" w:before="0" w:after="240"/>
        <w:ind w:left="0" w:right="0" w:firstLine="720"/>
        <w:jc w:val="both"/>
        <w:rPr/>
      </w:pPr>
      <w:r>
        <w:rPr>
          <w:color w:val="000000"/>
        </w:rPr>
        <w:t>“</w:t>
      </w:r>
      <w:r>
        <w:rPr>
          <w:rFonts w:ascii="Times New Roman;serif" w:hAnsi="Times New Roman;serif"/>
          <w:b w:val="false"/>
          <w:i/>
          <w:color w:val="000000"/>
          <w:sz w:val="24"/>
        </w:rPr>
        <w:t>Post-Transaction Period</w:t>
      </w:r>
      <w:r>
        <w:rPr>
          <w:color w:val="000000"/>
        </w:rPr>
        <w:t xml:space="preserve">” </w:t>
      </w:r>
      <w:r>
        <w:rPr>
          <w:rFonts w:ascii="Times New Roman;serif" w:hAnsi="Times New Roman;serif"/>
          <w:b w:val="false"/>
          <w:color w:val="000000"/>
          <w:sz w:val="24"/>
        </w:rPr>
        <w:t>means, with respect to any Specified Transaction, the period beginning on the date such Specified Transaction is consummated and ending on the last day of the eighth full consecutive fiscal quarter immediately following the date on which such Specified Transaction is consummated.</w:t>
      </w:r>
    </w:p>
    <w:p>
      <w:pPr>
        <w:pStyle w:val="TextBody"/>
        <w:bidi w:val="0"/>
        <w:spacing w:lineRule="auto" w:line="300" w:before="0" w:after="240"/>
        <w:ind w:left="0" w:right="0" w:firstLine="720"/>
        <w:jc w:val="both"/>
        <w:rPr/>
      </w:pPr>
      <w:r>
        <w:rPr>
          <w:color w:val="000000"/>
        </w:rPr>
        <w:t>“</w:t>
      </w:r>
      <w:r>
        <w:rPr>
          <w:rFonts w:ascii="Times New Roman;serif" w:hAnsi="Times New Roman;serif"/>
          <w:b w:val="false"/>
          <w:i/>
          <w:color w:val="000000"/>
          <w:sz w:val="24"/>
        </w:rPr>
        <w:t>Principal Property</w:t>
      </w:r>
      <w:r>
        <w:rPr>
          <w:color w:val="000000"/>
        </w:rPr>
        <w:t xml:space="preserve">” </w:t>
      </w:r>
      <w:r>
        <w:rPr>
          <w:rFonts w:ascii="Times New Roman;serif" w:hAnsi="Times New Roman;serif"/>
          <w:b w:val="false"/>
          <w:color w:val="000000"/>
          <w:sz w:val="24"/>
        </w:rPr>
        <w:t>means any building, structure or other facility (together with the land on which it is erected and fixtures comprising a part thereof) used primarily for manufacturing, processing, research, warehousing or distribution owned by the Issuer or any of its Subsidiaries, in each case, located within the United States, that has a book value on the date of which the determination is being made, without deduction of any depreciation reserves, exceeding 2.0% of Total Assets, other than any such facility (or portion thereof) that the Issuer reasonably determines is not material to the business of the Issuer and its Subsidiaries taken as a whole.</w:t>
      </w:r>
    </w:p>
    <w:p>
      <w:pPr>
        <w:pStyle w:val="TextBody"/>
        <w:bidi w:val="0"/>
        <w:spacing w:lineRule="auto" w:line="300" w:before="0" w:after="240"/>
        <w:ind w:left="0" w:right="0" w:firstLine="720"/>
        <w:jc w:val="both"/>
        <w:rPr/>
      </w:pPr>
      <w:r>
        <w:rPr>
          <w:color w:val="000000"/>
        </w:rPr>
        <w:t>“</w:t>
      </w:r>
      <w:r>
        <w:rPr>
          <w:rFonts w:ascii="Times New Roman;serif" w:hAnsi="Times New Roman;serif"/>
          <w:b w:val="false"/>
          <w:i/>
          <w:color w:val="000000"/>
          <w:sz w:val="24"/>
        </w:rPr>
        <w:t>Private Placement Legend</w:t>
      </w:r>
      <w:r>
        <w:rPr>
          <w:color w:val="000000"/>
        </w:rPr>
        <w:t xml:space="preserve">” </w:t>
      </w:r>
      <w:r>
        <w:rPr>
          <w:rFonts w:ascii="Times New Roman;serif" w:hAnsi="Times New Roman;serif"/>
          <w:b w:val="false"/>
          <w:color w:val="000000"/>
          <w:sz w:val="24"/>
        </w:rPr>
        <w:t xml:space="preserve">means the legend set forth in </w:t>
      </w:r>
      <w:r>
        <w:rPr>
          <w:rFonts w:ascii="Times New Roman;serif" w:hAnsi="Times New Roman;serif"/>
          <w:b w:val="false"/>
          <w:color w:val="000000"/>
          <w:sz w:val="24"/>
          <w:u w:val="single"/>
        </w:rPr>
        <w:t>Section 2.06(f)(1)(A)</w:t>
      </w:r>
      <w:r>
        <w:rPr>
          <w:color w:val="000000"/>
        </w:rPr>
        <w:t xml:space="preserve"> </w:t>
      </w:r>
      <w:r>
        <w:rPr>
          <w:rFonts w:ascii="Times New Roman;serif" w:hAnsi="Times New Roman;serif"/>
          <w:b w:val="false"/>
          <w:color w:val="000000"/>
          <w:sz w:val="24"/>
        </w:rPr>
        <w:t>hereof to be placed on all Notes issued under this Indenture except where otherwise permitted by the provisions of this Indenture.</w:t>
      </w:r>
    </w:p>
    <w:p>
      <w:pPr>
        <w:pStyle w:val="TextBody"/>
        <w:bidi w:val="0"/>
        <w:spacing w:before="0" w:after="0"/>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735965"/>
                <wp:effectExtent l="0" t="0" r="0" b="0"/>
                <wp:wrapNone/>
                <wp:docPr id="67" name="Frame67"/>
                <a:graphic xmlns:a="http://schemas.openxmlformats.org/drawingml/2006/main">
                  <a:graphicData uri="http://schemas.microsoft.com/office/word/2010/wordprocessingShape">
                    <wps:wsp>
                      <wps:cNvSpPr txBox="1"/>
                      <wps:spPr>
                        <a:xfrm>
                          <a:off x="0" y="0"/>
                          <a:ext cx="6480175" cy="7359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19</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19</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300" w:before="0" w:after="180"/>
        <w:ind w:left="0" w:right="0" w:firstLine="720"/>
        <w:jc w:val="both"/>
        <w:rPr/>
      </w:pPr>
      <w:r>
        <w:rPr>
          <w:color w:val="000000"/>
        </w:rPr>
        <w:t>“</w:t>
      </w:r>
      <w:r>
        <w:rPr>
          <w:rFonts w:ascii="Times New Roman;serif" w:hAnsi="Times New Roman;serif"/>
          <w:b w:val="false"/>
          <w:i/>
          <w:color w:val="000000"/>
          <w:sz w:val="24"/>
        </w:rPr>
        <w:t>Pro Forma Adjustment</w:t>
      </w:r>
      <w:r>
        <w:rPr>
          <w:color w:val="000000"/>
        </w:rPr>
        <w:t xml:space="preserve">” </w:t>
      </w:r>
      <w:r>
        <w:rPr>
          <w:rFonts w:ascii="Times New Roman;serif" w:hAnsi="Times New Roman;serif"/>
          <w:b w:val="false"/>
          <w:color w:val="000000"/>
          <w:sz w:val="24"/>
        </w:rPr>
        <w:t xml:space="preserve">means, for any Test Period that includes all or any part of a fiscal quarter included in any Post-Transaction Period, with respect to the Acquired EBITDA of the applicable Acquired Entity or Business or the Consolidated Adjusted EBITDA of the Issuer, the pro forma increase or decrease in such Acquired EBITDA or such Consolidated Adjusted EBITDA (including as the result of any “run-rate” synergies, operating expense reductions and improvements and cost savings and other adjustments), as the case may be, projected by the Issuer in good faith as a result of (a) actions taken or with respect to which substantial steps have been taken or are expected to be taken, prior to or during such Post-Transaction Period for the purposes of realizing cost savings or (b) any additional costs incurred prior to or during such Post-Transaction Period, in each case in connection with the combination of the operations of such Acquired Entity or Business with the operations of the Issuer and the Subsidiaries;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i/>
          <w:color w:val="000000"/>
          <w:sz w:val="24"/>
        </w:rPr>
        <w:t xml:space="preserve">that </w:t>
      </w:r>
      <w:r>
        <w:rPr>
          <w:rFonts w:ascii="Times New Roman;serif" w:hAnsi="Times New Roman;serif"/>
          <w:b w:val="false"/>
          <w:color w:val="000000"/>
          <w:sz w:val="24"/>
        </w:rPr>
        <w:t xml:space="preserve">(A) at the election of the Issuer, such Pro Forma Adjustment shall not be required to be determined for any Acquired Entity or Business to the extent the aggregate consideration paid in connection with such acquisition was less than $25.0 million or the aggregate Pro Forma Adjustment would be less than $25.0 million and (B) so long as such actions are taken, or to be taken, prior to or during such Post-Transaction Period or such costs are incurred prior to or during such Post-Transaction Period, as applicable, it may be assumed, for purposes of projecting such pro forma increase or decrease to such Acquired EBITDA or such Consolidated Adjusted EBITDA, as the case may be, that the applicable amount of such synergies, operating expense reductions and improvements and cost savings and other adjustments will be realizable during the entirety of such Test Period, or the applicable amount of such additional synergies, operating expense reductions and improvements and cost savings and other adjustments, as applicable, will be incurred during the entirety of such Test Period;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w:t>
      </w:r>
      <w:r>
        <w:rPr>
          <w:rFonts w:ascii="Times New Roman;serif" w:hAnsi="Times New Roman;serif"/>
          <w:b w:val="false"/>
          <w:i/>
          <w:color w:val="000000"/>
          <w:sz w:val="24"/>
        </w:rPr>
        <w:t>further</w:t>
      </w:r>
      <w:r>
        <w:rPr>
          <w:color w:val="000000"/>
        </w:rPr>
        <w:t xml:space="preserve"> </w:t>
      </w:r>
      <w:r>
        <w:rPr>
          <w:rFonts w:ascii="Times New Roman;serif" w:hAnsi="Times New Roman;serif"/>
          <w:b w:val="false"/>
          <w:color w:val="000000"/>
          <w:sz w:val="24"/>
        </w:rPr>
        <w:t>that any such pro forma increase or decrease to such Acquired EBITDA or such Consolidated Adjusted EBITDA, as the case may be, shall be without duplication for synergies, operating expense reductions and improvements and cost savings and other adjustments or additional costs already included in such Acquired EBITDA or such Consolidated Adjusted EBITDA, as the case may be, for such Test Period.</w:t>
      </w:r>
    </w:p>
    <w:p>
      <w:pPr>
        <w:pStyle w:val="TextBody"/>
        <w:bidi w:val="0"/>
        <w:spacing w:lineRule="auto" w:line="300" w:before="167" w:after="180"/>
        <w:ind w:left="0" w:right="0" w:firstLine="720"/>
        <w:jc w:val="both"/>
        <w:rPr/>
      </w:pPr>
      <w:r>
        <w:rPr>
          <w:color w:val="000000"/>
        </w:rPr>
        <w:t>“</w:t>
      </w:r>
      <w:r>
        <w:rPr>
          <w:rFonts w:ascii="Times New Roman;serif" w:hAnsi="Times New Roman;serif"/>
          <w:b w:val="false"/>
          <w:i/>
          <w:color w:val="000000"/>
          <w:sz w:val="24"/>
        </w:rPr>
        <w:t>Pro Forma Basis</w:t>
      </w:r>
      <w:r>
        <w:rPr>
          <w:color w:val="000000"/>
        </w:rPr>
        <w:t xml:space="preserve">” </w:t>
      </w:r>
      <w:r>
        <w:rPr>
          <w:rFonts w:ascii="Times New Roman;serif" w:hAnsi="Times New Roman;serif"/>
          <w:b w:val="false"/>
          <w:color w:val="000000"/>
          <w:sz w:val="24"/>
        </w:rPr>
        <w:t>and “</w:t>
      </w:r>
      <w:r>
        <w:rPr>
          <w:rFonts w:ascii="Times New Roman;serif" w:hAnsi="Times New Roman;serif"/>
          <w:b w:val="false"/>
          <w:i/>
          <w:color w:val="000000"/>
          <w:sz w:val="24"/>
        </w:rPr>
        <w:t>Pro Forma Effect</w:t>
      </w:r>
      <w:r>
        <w:rPr>
          <w:color w:val="000000"/>
        </w:rPr>
        <w:t xml:space="preserve">” </w:t>
      </w:r>
      <w:r>
        <w:rPr>
          <w:rFonts w:ascii="Times New Roman;serif" w:hAnsi="Times New Roman;serif"/>
          <w:b w:val="false"/>
          <w:color w:val="000000"/>
          <w:sz w:val="24"/>
        </w:rPr>
        <w:t xml:space="preserve">means, with respect to compliance with any test or covenant hereunder, that (A) to the extent applicable, the </w:t>
      </w:r>
      <w:r>
        <w:rPr>
          <w:rFonts w:ascii="Times New Roman;serif" w:hAnsi="Times New Roman;serif"/>
          <w:b w:val="false"/>
          <w:i/>
          <w:color w:val="000000"/>
          <w:sz w:val="24"/>
        </w:rPr>
        <w:t>Pro Forma</w:t>
      </w:r>
      <w:r>
        <w:rPr>
          <w:color w:val="000000"/>
        </w:rPr>
        <w:t xml:space="preserve"> </w:t>
      </w:r>
      <w:r>
        <w:rPr>
          <w:rFonts w:ascii="Times New Roman;serif" w:hAnsi="Times New Roman;serif"/>
          <w:b w:val="false"/>
          <w:color w:val="000000"/>
          <w:sz w:val="24"/>
        </w:rPr>
        <w:t xml:space="preserve">Adjustment shall have been made and (B) all Specified Transactions and the following transactions in connection therewith shall be deemed to have occurred as of the first day of the applicable period of measurement in such test or covenant: (a) income statement items (whether positive or negative) attributable to the property or Person subject to such Specified Transaction, (i) in the case of a Disposition of all or substantially all Capital Stock in any Subsidiary of the Issuer or any division, product line, or facility used for operations of the Issuer or any Subsidiary of the Issuer, shall be excluded, and (ii) in the case of an acquisition or Investment described in the definition of Specified Transaction, shall be included, (b) any retirement or repayment of Indebtedness, and (c) any incurrence or assumption of Indebtedness by the Issuer or any Subsidiary in connection therewith (it being agreed that (x) if such Indebtedness has a floating or formula rate, such Indebtedness shall have an implied rate of interest for the applicable period for purposes of this definition determined by utilizing the rate that is or would be in effect with </w:t>
      </w:r>
    </w:p>
    <w:p>
      <w:pPr>
        <w:pStyle w:val="TextBody"/>
        <w:bidi w:val="0"/>
        <w:spacing w:before="0" w:after="0"/>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735965"/>
                <wp:effectExtent l="0" t="0" r="0" b="0"/>
                <wp:wrapNone/>
                <wp:docPr id="68" name="Frame68"/>
                <a:graphic xmlns:a="http://schemas.openxmlformats.org/drawingml/2006/main">
                  <a:graphicData uri="http://schemas.microsoft.com/office/word/2010/wordprocessingShape">
                    <wps:wsp>
                      <wps:cNvSpPr txBox="1"/>
                      <wps:spPr>
                        <a:xfrm>
                          <a:off x="0" y="0"/>
                          <a:ext cx="6480175" cy="7359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20</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20</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300" w:before="167" w:after="180"/>
        <w:jc w:val="both"/>
        <w:rPr/>
      </w:pPr>
      <w:r>
        <w:rPr>
          <w:rFonts w:ascii="Times New Roman;serif" w:hAnsi="Times New Roman;serif"/>
          <w:b w:val="false"/>
          <w:color w:val="000000"/>
          <w:sz w:val="24"/>
        </w:rPr>
        <w:t xml:space="preserve">respect to such Indebtedness as at the relevant date of determination, (y) interest on a Capitalized Lease Obligation shall be deemed to accrue at an interest rate reasonably determined by an Authorized Officer of the Issuer to be the rate of interest implicit in such Capitalized Lease Obligation in accordance with GAAP and (z) interest on Indebtedness that may optionally be determined at an interest rate based upon a factor of a prime or similar rate, a eurocurrency interbank offered rate, or other rate, shall be determined to have been based upon the rate actually chosen, or if none, then based upon such optional rate as the Issuer or any applicable Subsidiary may designate); </w:t>
      </w:r>
      <w:r>
        <w:rPr>
          <w:rFonts w:ascii="Times New Roman;serif" w:hAnsi="Times New Roman;serif"/>
          <w:b w:val="false"/>
          <w:i/>
          <w:color w:val="000000"/>
          <w:sz w:val="24"/>
        </w:rPr>
        <w:t>provided that</w:t>
      </w:r>
      <w:r>
        <w:rPr>
          <w:rFonts w:ascii="Times New Roman;serif" w:hAnsi="Times New Roman;serif"/>
          <w:b w:val="false"/>
          <w:color w:val="000000"/>
          <w:sz w:val="24"/>
        </w:rPr>
        <w:t xml:space="preserve">, without limiting the application of the </w:t>
      </w:r>
      <w:r>
        <w:rPr>
          <w:rFonts w:ascii="Times New Roman;serif" w:hAnsi="Times New Roman;serif"/>
          <w:b w:val="false"/>
          <w:i/>
          <w:color w:val="000000"/>
          <w:sz w:val="24"/>
        </w:rPr>
        <w:t>Pro Forma</w:t>
      </w:r>
      <w:r>
        <w:rPr>
          <w:color w:val="000000"/>
        </w:rPr>
        <w:t xml:space="preserve"> </w:t>
      </w:r>
      <w:r>
        <w:rPr>
          <w:rFonts w:ascii="Times New Roman;serif" w:hAnsi="Times New Roman;serif"/>
          <w:b w:val="false"/>
          <w:color w:val="000000"/>
          <w:sz w:val="24"/>
        </w:rPr>
        <w:t xml:space="preserve">Adjustment pursuant to (A) above (but without duplication thereof), the foregoing </w:t>
      </w:r>
      <w:r>
        <w:rPr>
          <w:rFonts w:ascii="Times New Roman;serif" w:hAnsi="Times New Roman;serif"/>
          <w:b w:val="false"/>
          <w:i/>
          <w:color w:val="000000"/>
          <w:sz w:val="24"/>
        </w:rPr>
        <w:t>pro forma</w:t>
      </w:r>
      <w:r>
        <w:rPr>
          <w:color w:val="000000"/>
        </w:rPr>
        <w:t xml:space="preserve"> </w:t>
      </w:r>
      <w:r>
        <w:rPr>
          <w:rFonts w:ascii="Times New Roman;serif" w:hAnsi="Times New Roman;serif"/>
          <w:b w:val="false"/>
          <w:color w:val="000000"/>
          <w:sz w:val="24"/>
        </w:rPr>
        <w:t xml:space="preserve">adjustments may be applied to any such test or covenant solely to the extent that such adjustments are consistent with the definition of Consolidated Adjusted EBITDA and give effect to events (including operating expense reductions) that are (i) (x) directly attributable to such transaction and (y) reasonably identifiable and factually supportable in the good faith judgment of the Issuer or (ii) otherwise consistent with the definition of </w:t>
      </w:r>
      <w:r>
        <w:rPr>
          <w:rFonts w:ascii="Times New Roman;serif" w:hAnsi="Times New Roman;serif"/>
          <w:b w:val="false"/>
          <w:i/>
          <w:color w:val="000000"/>
          <w:sz w:val="24"/>
        </w:rPr>
        <w:t>Pro Forma</w:t>
      </w:r>
      <w:r>
        <w:rPr>
          <w:color w:val="000000"/>
        </w:rPr>
        <w:t xml:space="preserve"> </w:t>
      </w:r>
      <w:r>
        <w:rPr>
          <w:rFonts w:ascii="Times New Roman;serif" w:hAnsi="Times New Roman;serif"/>
          <w:b w:val="false"/>
          <w:color w:val="000000"/>
          <w:sz w:val="24"/>
        </w:rPr>
        <w:t>Adjustment.</w:t>
      </w:r>
    </w:p>
    <w:p>
      <w:pPr>
        <w:pStyle w:val="TextBody"/>
        <w:bidi w:val="0"/>
        <w:spacing w:lineRule="auto" w:line="300" w:before="0" w:after="240"/>
        <w:ind w:left="0" w:right="0" w:firstLine="720"/>
        <w:jc w:val="both"/>
        <w:rPr/>
      </w:pPr>
      <w:r>
        <w:rPr>
          <w:color w:val="000000"/>
        </w:rPr>
        <w:t>“</w:t>
      </w:r>
      <w:r>
        <w:rPr>
          <w:rFonts w:ascii="Times New Roman;serif" w:hAnsi="Times New Roman;serif"/>
          <w:b w:val="false"/>
          <w:i/>
          <w:color w:val="000000"/>
          <w:sz w:val="24"/>
        </w:rPr>
        <w:t>QIB</w:t>
      </w:r>
      <w:r>
        <w:rPr>
          <w:color w:val="000000"/>
        </w:rPr>
        <w:t xml:space="preserve">” </w:t>
      </w:r>
      <w:r>
        <w:rPr>
          <w:rFonts w:ascii="Times New Roman;serif" w:hAnsi="Times New Roman;serif"/>
          <w:b w:val="false"/>
          <w:color w:val="000000"/>
          <w:sz w:val="24"/>
        </w:rPr>
        <w:t>means</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qualified</w:t>
      </w:r>
      <w:r>
        <w:rPr>
          <w:color w:val="000000"/>
        </w:rPr>
        <w:t xml:space="preserve"> </w:t>
      </w:r>
      <w:r>
        <w:rPr>
          <w:rFonts w:ascii="Times New Roman;serif" w:hAnsi="Times New Roman;serif"/>
          <w:b w:val="false"/>
          <w:color w:val="000000"/>
          <w:sz w:val="24"/>
        </w:rPr>
        <w:t>institutional</w:t>
      </w:r>
      <w:r>
        <w:rPr>
          <w:color w:val="000000"/>
        </w:rPr>
        <w:t xml:space="preserve"> </w:t>
      </w:r>
      <w:r>
        <w:rPr>
          <w:rFonts w:ascii="Times New Roman;serif" w:hAnsi="Times New Roman;serif"/>
          <w:b w:val="false"/>
          <w:color w:val="000000"/>
          <w:sz w:val="24"/>
        </w:rPr>
        <w:t>buyer”</w:t>
      </w:r>
      <w:r>
        <w:rPr>
          <w:color w:val="000000"/>
        </w:rPr>
        <w:t xml:space="preserve"> </w:t>
      </w:r>
      <w:r>
        <w:rPr>
          <w:rFonts w:ascii="Times New Roman;serif" w:hAnsi="Times New Roman;serif"/>
          <w:b w:val="false"/>
          <w:color w:val="000000"/>
          <w:sz w:val="24"/>
        </w:rPr>
        <w:t>as</w:t>
      </w:r>
      <w:r>
        <w:rPr>
          <w:color w:val="000000"/>
        </w:rPr>
        <w:t xml:space="preserve"> </w:t>
      </w:r>
      <w:r>
        <w:rPr>
          <w:rFonts w:ascii="Times New Roman;serif" w:hAnsi="Times New Roman;serif"/>
          <w:b w:val="false"/>
          <w:color w:val="000000"/>
          <w:sz w:val="24"/>
        </w:rPr>
        <w:t>defined</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Rule</w:t>
      </w:r>
      <w:r>
        <w:rPr>
          <w:color w:val="000000"/>
        </w:rPr>
        <w:t xml:space="preserve"> </w:t>
      </w:r>
      <w:r>
        <w:rPr>
          <w:rFonts w:ascii="Times New Roman;serif" w:hAnsi="Times New Roman;serif"/>
          <w:b w:val="false"/>
          <w:color w:val="000000"/>
          <w:sz w:val="24"/>
        </w:rPr>
        <w:t>144A.</w:t>
      </w:r>
    </w:p>
    <w:p>
      <w:pPr>
        <w:pStyle w:val="TextBody"/>
        <w:bidi w:val="0"/>
        <w:spacing w:lineRule="auto" w:line="300" w:before="0" w:after="240"/>
        <w:ind w:left="0" w:right="0" w:firstLine="720"/>
        <w:jc w:val="both"/>
        <w:rPr/>
      </w:pPr>
      <w:r>
        <w:rPr>
          <w:color w:val="000000"/>
        </w:rPr>
        <w:t>“</w:t>
      </w:r>
      <w:r>
        <w:rPr>
          <w:rFonts w:ascii="Times New Roman;serif" w:hAnsi="Times New Roman;serif"/>
          <w:b w:val="false"/>
          <w:i/>
          <w:color w:val="000000"/>
          <w:sz w:val="24"/>
        </w:rPr>
        <w:t>Qualifying Equity Interests</w:t>
      </w:r>
      <w:r>
        <w:rPr>
          <w:color w:val="000000"/>
        </w:rPr>
        <w:t xml:space="preserve">” </w:t>
      </w:r>
      <w:r>
        <w:rPr>
          <w:rFonts w:ascii="Times New Roman;serif" w:hAnsi="Times New Roman;serif"/>
          <w:b w:val="false"/>
          <w:color w:val="000000"/>
          <w:sz w:val="24"/>
        </w:rPr>
        <w:t>means Equity Interests of the Issuer other than Disqualified Stock.</w:t>
      </w:r>
    </w:p>
    <w:p>
      <w:pPr>
        <w:pStyle w:val="TextBody"/>
        <w:bidi w:val="0"/>
        <w:spacing w:lineRule="auto" w:line="300" w:before="0" w:after="240"/>
        <w:ind w:left="0" w:right="0" w:firstLine="720"/>
        <w:jc w:val="both"/>
        <w:rPr/>
      </w:pPr>
      <w:r>
        <w:rPr>
          <w:color w:val="000000"/>
        </w:rPr>
        <w:t>“</w:t>
      </w:r>
      <w:r>
        <w:rPr>
          <w:rFonts w:ascii="Times New Roman;serif" w:hAnsi="Times New Roman;serif"/>
          <w:b w:val="false"/>
          <w:i/>
          <w:color w:val="000000"/>
          <w:sz w:val="24"/>
        </w:rPr>
        <w:t>Qualifying IPO</w:t>
      </w:r>
      <w:r>
        <w:rPr>
          <w:color w:val="000000"/>
        </w:rPr>
        <w:t xml:space="preserve">” </w:t>
      </w:r>
      <w:r>
        <w:rPr>
          <w:rFonts w:ascii="Times New Roman;serif" w:hAnsi="Times New Roman;serif"/>
          <w:b w:val="false"/>
          <w:color w:val="000000"/>
          <w:sz w:val="24"/>
        </w:rPr>
        <w:t>means any transaction or series of transactions that results in, or following which, any common Equity Interests of the Issuer or any Parent Entity, or any IPO Listco that the Issuer will distribute to its Parent Entity in connection with a Qualifying IPO being publicly traded on any United States national securities exchange or over-the-counter market.</w:t>
      </w:r>
    </w:p>
    <w:p>
      <w:pPr>
        <w:pStyle w:val="TextBody"/>
        <w:bidi w:val="0"/>
        <w:spacing w:lineRule="auto" w:line="300" w:before="0" w:after="240"/>
        <w:ind w:left="0" w:right="0" w:firstLine="720"/>
        <w:jc w:val="both"/>
        <w:rPr/>
      </w:pPr>
      <w:r>
        <w:rPr>
          <w:color w:val="000000"/>
        </w:rPr>
        <w:t>“</w:t>
      </w:r>
      <w:r>
        <w:rPr>
          <w:rFonts w:ascii="Times New Roman;serif" w:hAnsi="Times New Roman;serif"/>
          <w:b w:val="false"/>
          <w:i/>
          <w:color w:val="000000"/>
          <w:sz w:val="24"/>
        </w:rPr>
        <w:t>Rating Agencies</w:t>
      </w:r>
      <w:r>
        <w:rPr>
          <w:color w:val="000000"/>
        </w:rPr>
        <w:t xml:space="preserve">” </w:t>
      </w:r>
      <w:r>
        <w:rPr>
          <w:rFonts w:ascii="Times New Roman;serif" w:hAnsi="Times New Roman;serif"/>
          <w:b w:val="false"/>
          <w:color w:val="000000"/>
          <w:sz w:val="24"/>
        </w:rPr>
        <w:t xml:space="preserve">means, at the Issuer’s option, any two of Moody’s, Fitch and S&amp;P, </w:t>
      </w:r>
      <w:r>
        <w:rPr>
          <w:rFonts w:ascii="Times New Roman;serif" w:hAnsi="Times New Roman;serif"/>
          <w:b w:val="false"/>
          <w:i/>
          <w:color w:val="000000"/>
          <w:sz w:val="24"/>
        </w:rPr>
        <w:t>provided that</w:t>
      </w:r>
      <w:r>
        <w:rPr>
          <w:color w:val="000000"/>
        </w:rPr>
        <w:t xml:space="preserve"> </w:t>
      </w:r>
      <w:r>
        <w:rPr>
          <w:rFonts w:ascii="Times New Roman;serif" w:hAnsi="Times New Roman;serif"/>
          <w:b w:val="false"/>
          <w:color w:val="000000"/>
          <w:sz w:val="24"/>
        </w:rPr>
        <w:t>if at least two of such agencies shall not make a rating of the Notes available, a Nationally Recognized Statistical Rating Organization selected by the Issuer which shall be substituted for Moody’s, Fitch or S&amp;P, as the case may be.</w:t>
      </w:r>
    </w:p>
    <w:p>
      <w:pPr>
        <w:pStyle w:val="TextBody"/>
        <w:bidi w:val="0"/>
        <w:spacing w:lineRule="auto" w:line="300" w:before="0" w:after="240"/>
        <w:ind w:left="0" w:right="0" w:firstLine="720"/>
        <w:jc w:val="both"/>
        <w:rPr/>
      </w:pPr>
      <w:r>
        <w:rPr>
          <w:color w:val="000000"/>
        </w:rPr>
        <w:t>“</w:t>
      </w:r>
      <w:r>
        <w:rPr>
          <w:rFonts w:ascii="Times New Roman;serif" w:hAnsi="Times New Roman;serif"/>
          <w:b w:val="false"/>
          <w:i/>
          <w:color w:val="000000"/>
          <w:sz w:val="24"/>
        </w:rPr>
        <w:t>Rating Date</w:t>
      </w:r>
      <w:r>
        <w:rPr>
          <w:color w:val="000000"/>
        </w:rPr>
        <w:t xml:space="preserve">” </w:t>
      </w:r>
      <w:r>
        <w:rPr>
          <w:rFonts w:ascii="Times New Roman;serif" w:hAnsi="Times New Roman;serif"/>
          <w:b w:val="false"/>
          <w:color w:val="000000"/>
          <w:sz w:val="24"/>
        </w:rPr>
        <w:t>means the earlier of (1) the consummation of a Change of Control and (2) public announcement of the occurrence of a Change of Control or of the intention of the Issuer to effect a Change of Control.</w:t>
      </w:r>
    </w:p>
    <w:p>
      <w:pPr>
        <w:pStyle w:val="TextBody"/>
        <w:bidi w:val="0"/>
        <w:spacing w:lineRule="auto" w:line="300" w:before="0" w:after="240"/>
        <w:ind w:left="0" w:right="0" w:firstLine="720"/>
        <w:jc w:val="both"/>
        <w:rPr/>
      </w:pPr>
      <w:r>
        <w:rPr>
          <w:color w:val="000000"/>
        </w:rPr>
        <w:t>“</w:t>
      </w:r>
      <w:r>
        <w:rPr>
          <w:rFonts w:ascii="Times New Roman;serif" w:hAnsi="Times New Roman;serif"/>
          <w:b w:val="false"/>
          <w:i/>
          <w:color w:val="000000"/>
          <w:sz w:val="24"/>
        </w:rPr>
        <w:t>Rating Decline</w:t>
      </w:r>
      <w:r>
        <w:rPr>
          <w:color w:val="000000"/>
        </w:rPr>
        <w:t xml:space="preserve">” </w:t>
      </w:r>
      <w:r>
        <w:rPr>
          <w:rFonts w:ascii="Times New Roman;serif" w:hAnsi="Times New Roman;serif"/>
          <w:b w:val="false"/>
          <w:color w:val="000000"/>
          <w:sz w:val="24"/>
        </w:rPr>
        <w:t xml:space="preserve">means the decrease in the rating of the Notes by both Rating Agencies by one or more gradations (including gradations within rating categories as well as between rating categories) from its rating on the Rating Date, or the withdrawal of a rating of the Notes by both Rating Agencies, in each case on, or within 60 days after, the Rating Date (which period shall be extended with respect to a Rating Agency so long as the rating of the Notes is under publicly announced consideration for a possible downgrade by such Rating Agency); </w:t>
      </w:r>
      <w:r>
        <w:rPr>
          <w:rFonts w:ascii="Times New Roman;serif" w:hAnsi="Times New Roman;serif"/>
          <w:b w:val="false"/>
          <w:i/>
          <w:color w:val="000000"/>
          <w:sz w:val="24"/>
        </w:rPr>
        <w:t>provided that</w:t>
      </w:r>
      <w:r>
        <w:rPr>
          <w:color w:val="000000"/>
        </w:rPr>
        <w:t xml:space="preserve"> </w:t>
      </w:r>
      <w:r>
        <w:rPr>
          <w:rFonts w:ascii="Times New Roman;serif" w:hAnsi="Times New Roman;serif"/>
          <w:b w:val="false"/>
          <w:color w:val="000000"/>
          <w:sz w:val="24"/>
        </w:rPr>
        <w:t xml:space="preserve">both Rating Agencies have confirmed that such decrease in or withdrawal of rating is solely a result of the Change of Control,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w:t>
      </w:r>
      <w:r>
        <w:rPr>
          <w:rFonts w:ascii="Times New Roman;serif" w:hAnsi="Times New Roman;serif"/>
          <w:b w:val="false"/>
          <w:i/>
          <w:color w:val="000000"/>
          <w:sz w:val="24"/>
        </w:rPr>
        <w:t>further</w:t>
      </w:r>
      <w:r>
        <w:rPr>
          <w:rFonts w:ascii="Times New Roman;serif" w:hAnsi="Times New Roman;serif"/>
          <w:b w:val="false"/>
          <w:color w:val="000000"/>
          <w:sz w:val="24"/>
        </w:rPr>
        <w:t xml:space="preserve">, that no Rating Decline shall occur if following such decrease in rating, (x) the Notes are rated Investment Grade by both Rating </w:t>
      </w:r>
    </w:p>
    <w:p>
      <w:pPr>
        <w:pStyle w:val="TextBody"/>
        <w:bidi w:val="0"/>
        <w:spacing w:before="0" w:after="0"/>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735965"/>
                <wp:effectExtent l="0" t="0" r="0" b="0"/>
                <wp:wrapNone/>
                <wp:docPr id="69" name="Frame69"/>
                <a:graphic xmlns:a="http://schemas.openxmlformats.org/drawingml/2006/main">
                  <a:graphicData uri="http://schemas.microsoft.com/office/word/2010/wordprocessingShape">
                    <wps:wsp>
                      <wps:cNvSpPr txBox="1"/>
                      <wps:spPr>
                        <a:xfrm>
                          <a:off x="0" y="0"/>
                          <a:ext cx="6480175" cy="7359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21</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21</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300" w:before="0" w:after="240"/>
        <w:jc w:val="both"/>
        <w:rPr>
          <w:rFonts w:ascii="Times New Roman;serif" w:hAnsi="Times New Roman;serif"/>
          <w:b w:val="false"/>
          <w:color w:val="000000"/>
          <w:sz w:val="24"/>
        </w:rPr>
      </w:pPr>
      <w:r>
        <w:rPr>
          <w:rFonts w:ascii="Times New Roman;serif" w:hAnsi="Times New Roman;serif"/>
          <w:b w:val="false"/>
          <w:color w:val="000000"/>
          <w:sz w:val="24"/>
        </w:rPr>
        <w:t>Agencies or (y) the ratings of the Notes by both Rating Agencies are equal to or better than their respective ratings on the Issue Date.</w:t>
      </w:r>
    </w:p>
    <w:p>
      <w:pPr>
        <w:pStyle w:val="TextBody"/>
        <w:bidi w:val="0"/>
        <w:spacing w:lineRule="auto" w:line="300" w:before="0" w:after="240"/>
        <w:ind w:left="0" w:right="0" w:firstLine="720"/>
        <w:jc w:val="both"/>
        <w:rPr/>
      </w:pPr>
      <w:r>
        <w:rPr>
          <w:color w:val="000000"/>
        </w:rPr>
        <w:t>“</w:t>
      </w:r>
      <w:r>
        <w:rPr>
          <w:rFonts w:ascii="Times New Roman;serif" w:hAnsi="Times New Roman;serif"/>
          <w:b w:val="false"/>
          <w:i/>
          <w:color w:val="000000"/>
          <w:sz w:val="24"/>
        </w:rPr>
        <w:t>Registrar</w:t>
      </w:r>
      <w:r>
        <w:rPr>
          <w:color w:val="000000"/>
        </w:rPr>
        <w:t xml:space="preserve">” </w:t>
      </w:r>
      <w:r>
        <w:rPr>
          <w:rFonts w:ascii="Times New Roman;serif" w:hAnsi="Times New Roman;serif"/>
          <w:b w:val="false"/>
          <w:color w:val="000000"/>
          <w:sz w:val="24"/>
        </w:rPr>
        <w:t>means the office or agency where Notes may be presented for registration of transfer or for exchange. The term “Registrar” includes any co-registrar.</w:t>
      </w:r>
    </w:p>
    <w:p>
      <w:pPr>
        <w:pStyle w:val="TextBody"/>
        <w:bidi w:val="0"/>
        <w:spacing w:lineRule="auto" w:line="300" w:before="0" w:after="240"/>
        <w:ind w:left="0" w:right="0" w:firstLine="720"/>
        <w:jc w:val="both"/>
        <w:rPr/>
      </w:pPr>
      <w:r>
        <w:rPr>
          <w:color w:val="000000"/>
        </w:rPr>
        <w:t>“</w:t>
      </w:r>
      <w:r>
        <w:rPr>
          <w:rFonts w:ascii="Times New Roman;serif" w:hAnsi="Times New Roman;serif"/>
          <w:b w:val="false"/>
          <w:i/>
          <w:color w:val="000000"/>
          <w:sz w:val="24"/>
        </w:rPr>
        <w:t>Regulation</w:t>
      </w:r>
      <w:r>
        <w:rPr>
          <w:color w:val="000000"/>
        </w:rPr>
        <w:t xml:space="preserve"> </w:t>
      </w:r>
      <w:r>
        <w:rPr>
          <w:rFonts w:ascii="Times New Roman;serif" w:hAnsi="Times New Roman;serif"/>
          <w:b w:val="false"/>
          <w:i/>
          <w:color w:val="000000"/>
          <w:sz w:val="24"/>
        </w:rPr>
        <w:t>S</w:t>
      </w:r>
      <w:r>
        <w:rPr>
          <w:color w:val="000000"/>
        </w:rPr>
        <w:t xml:space="preserve">” </w:t>
      </w:r>
      <w:r>
        <w:rPr>
          <w:rFonts w:ascii="Times New Roman;serif" w:hAnsi="Times New Roman;serif"/>
          <w:b w:val="false"/>
          <w:color w:val="000000"/>
          <w:sz w:val="24"/>
        </w:rPr>
        <w:t>means</w:t>
      </w:r>
      <w:r>
        <w:rPr>
          <w:color w:val="000000"/>
        </w:rPr>
        <w:t xml:space="preserve"> </w:t>
      </w:r>
      <w:r>
        <w:rPr>
          <w:rFonts w:ascii="Times New Roman;serif" w:hAnsi="Times New Roman;serif"/>
          <w:b w:val="false"/>
          <w:color w:val="000000"/>
          <w:sz w:val="24"/>
        </w:rPr>
        <w:t>Regulation</w:t>
      </w:r>
      <w:r>
        <w:rPr>
          <w:color w:val="000000"/>
        </w:rPr>
        <w:t xml:space="preserve"> </w:t>
      </w:r>
      <w:r>
        <w:rPr>
          <w:rFonts w:ascii="Times New Roman;serif" w:hAnsi="Times New Roman;serif"/>
          <w:b w:val="false"/>
          <w:color w:val="000000"/>
          <w:sz w:val="24"/>
        </w:rPr>
        <w:t>S</w:t>
      </w:r>
      <w:r>
        <w:rPr>
          <w:color w:val="000000"/>
        </w:rPr>
        <w:t xml:space="preserve"> </w:t>
      </w:r>
      <w:r>
        <w:rPr>
          <w:rFonts w:ascii="Times New Roman;serif" w:hAnsi="Times New Roman;serif"/>
          <w:b w:val="false"/>
          <w:color w:val="000000"/>
          <w:sz w:val="24"/>
        </w:rPr>
        <w:t>promulgated</w:t>
      </w:r>
      <w:r>
        <w:rPr>
          <w:color w:val="000000"/>
        </w:rPr>
        <w:t xml:space="preserve"> </w:t>
      </w:r>
      <w:r>
        <w:rPr>
          <w:rFonts w:ascii="Times New Roman;serif" w:hAnsi="Times New Roman;serif"/>
          <w:b w:val="false"/>
          <w:color w:val="000000"/>
          <w:sz w:val="24"/>
        </w:rPr>
        <w:t>under</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Securities</w:t>
      </w:r>
      <w:r>
        <w:rPr>
          <w:color w:val="000000"/>
        </w:rPr>
        <w:t xml:space="preserve"> </w:t>
      </w:r>
      <w:r>
        <w:rPr>
          <w:rFonts w:ascii="Times New Roman;serif" w:hAnsi="Times New Roman;serif"/>
          <w:b w:val="false"/>
          <w:color w:val="000000"/>
          <w:sz w:val="24"/>
        </w:rPr>
        <w:t>Act.</w:t>
      </w:r>
    </w:p>
    <w:p>
      <w:pPr>
        <w:pStyle w:val="TextBody"/>
        <w:bidi w:val="0"/>
        <w:spacing w:lineRule="auto" w:line="300" w:before="0" w:after="240"/>
        <w:ind w:left="0" w:right="0" w:firstLine="720"/>
        <w:jc w:val="both"/>
        <w:rPr/>
      </w:pPr>
      <w:r>
        <w:rPr>
          <w:color w:val="000000"/>
        </w:rPr>
        <w:t>“</w:t>
      </w:r>
      <w:r>
        <w:rPr>
          <w:rFonts w:ascii="Times New Roman;serif" w:hAnsi="Times New Roman;serif"/>
          <w:b w:val="false"/>
          <w:i/>
          <w:color w:val="000000"/>
          <w:sz w:val="24"/>
        </w:rPr>
        <w:t>Regulation S Global Note</w:t>
      </w:r>
      <w:r>
        <w:rPr>
          <w:color w:val="000000"/>
        </w:rPr>
        <w:t xml:space="preserve">” </w:t>
      </w:r>
      <w:r>
        <w:rPr>
          <w:rFonts w:ascii="Times New Roman;serif" w:hAnsi="Times New Roman;serif"/>
          <w:b w:val="false"/>
          <w:color w:val="000000"/>
          <w:sz w:val="24"/>
        </w:rPr>
        <w:t>means a Regulation S Permanent Global Note or Regulation S Temporary Global Note, as appropriate.</w:t>
      </w:r>
      <w:r>
        <w:rPr>
          <w:color w:val="000000"/>
        </w:rPr>
        <w:t xml:space="preserve"> </w:t>
      </w:r>
    </w:p>
    <w:p>
      <w:pPr>
        <w:pStyle w:val="TextBody"/>
        <w:bidi w:val="0"/>
        <w:spacing w:lineRule="auto" w:line="300" w:before="0" w:after="240"/>
        <w:ind w:left="0" w:right="0" w:firstLine="720"/>
        <w:jc w:val="both"/>
        <w:rPr/>
      </w:pPr>
      <w:r>
        <w:rPr>
          <w:color w:val="000000"/>
        </w:rPr>
        <w:t>“</w:t>
      </w:r>
      <w:r>
        <w:rPr>
          <w:rFonts w:ascii="Times New Roman;serif" w:hAnsi="Times New Roman;serif"/>
          <w:b w:val="false"/>
          <w:i/>
          <w:color w:val="000000"/>
          <w:sz w:val="24"/>
        </w:rPr>
        <w:t>Regulation S Permanent Global Note</w:t>
      </w:r>
      <w:r>
        <w:rPr>
          <w:color w:val="000000"/>
        </w:rPr>
        <w:t xml:space="preserve">” </w:t>
      </w:r>
      <w:r>
        <w:rPr>
          <w:rFonts w:ascii="Times New Roman;serif" w:hAnsi="Times New Roman;serif"/>
          <w:b w:val="false"/>
          <w:color w:val="000000"/>
          <w:sz w:val="24"/>
        </w:rPr>
        <w:t>means</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permanent</w:t>
      </w:r>
      <w:r>
        <w:rPr>
          <w:color w:val="000000"/>
        </w:rPr>
        <w:t xml:space="preserve"> </w:t>
      </w:r>
      <w:r>
        <w:rPr>
          <w:rFonts w:ascii="Times New Roman;serif" w:hAnsi="Times New Roman;serif"/>
          <w:b w:val="false"/>
          <w:color w:val="000000"/>
          <w:sz w:val="24"/>
        </w:rPr>
        <w:t>Global</w:t>
      </w:r>
      <w:r>
        <w:rPr>
          <w:color w:val="000000"/>
        </w:rPr>
        <w:t xml:space="preserve"> </w:t>
      </w:r>
      <w:r>
        <w:rPr>
          <w:rFonts w:ascii="Times New Roman;serif" w:hAnsi="Times New Roman;serif"/>
          <w:b w:val="false"/>
          <w:color w:val="000000"/>
          <w:sz w:val="24"/>
        </w:rPr>
        <w:t>Note</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form</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u w:val="single"/>
        </w:rPr>
        <w:t>Exhibit A</w:t>
      </w:r>
      <w:r>
        <w:rPr>
          <w:color w:val="000000"/>
        </w:rPr>
        <w:t xml:space="preserve"> </w:t>
      </w:r>
      <w:r>
        <w:rPr>
          <w:rFonts w:ascii="Times New Roman;serif" w:hAnsi="Times New Roman;serif"/>
          <w:b w:val="false"/>
          <w:color w:val="000000"/>
          <w:sz w:val="24"/>
        </w:rPr>
        <w:t>hereto, bearing the Global Note Legend and the Private Placement Legend and deposited</w:t>
      </w:r>
      <w:r>
        <w:rPr>
          <w:color w:val="000000"/>
        </w:rPr>
        <w:t xml:space="preserve"> </w:t>
      </w:r>
      <w:r>
        <w:rPr>
          <w:rFonts w:ascii="Times New Roman;serif" w:hAnsi="Times New Roman;serif"/>
          <w:b w:val="false"/>
          <w:color w:val="000000"/>
          <w:sz w:val="24"/>
        </w:rPr>
        <w:t>with or on behalf of, and registered in the name of, the Depository or its nominee that will be issued in a denomination equal to the outstanding principal</w:t>
      </w:r>
      <w:r>
        <w:rPr>
          <w:color w:val="000000"/>
        </w:rPr>
        <w:t xml:space="preserve"> </w:t>
      </w:r>
      <w:r>
        <w:rPr>
          <w:rFonts w:ascii="Times New Roman;serif" w:hAnsi="Times New Roman;serif"/>
          <w:b w:val="false"/>
          <w:color w:val="000000"/>
          <w:sz w:val="24"/>
        </w:rPr>
        <w:t>amount of the Regulation S Temporary Global Note upon expiration of the Distribution Compliance Period.</w:t>
      </w:r>
    </w:p>
    <w:p>
      <w:pPr>
        <w:pStyle w:val="TextBody"/>
        <w:bidi w:val="0"/>
        <w:spacing w:lineRule="auto" w:line="300" w:before="0" w:after="240"/>
        <w:ind w:left="0" w:right="0" w:firstLine="720"/>
        <w:jc w:val="both"/>
        <w:rPr/>
      </w:pPr>
      <w:r>
        <w:rPr>
          <w:color w:val="000000"/>
        </w:rPr>
        <w:t>“</w:t>
      </w:r>
      <w:r>
        <w:rPr>
          <w:rFonts w:ascii="Times New Roman;serif" w:hAnsi="Times New Roman;serif"/>
          <w:b w:val="false"/>
          <w:i/>
          <w:color w:val="000000"/>
          <w:sz w:val="24"/>
        </w:rPr>
        <w:t>Regulation</w:t>
      </w:r>
      <w:r>
        <w:rPr>
          <w:color w:val="000000"/>
        </w:rPr>
        <w:t xml:space="preserve"> </w:t>
      </w:r>
      <w:r>
        <w:rPr>
          <w:rFonts w:ascii="Times New Roman;serif" w:hAnsi="Times New Roman;serif"/>
          <w:b w:val="false"/>
          <w:i/>
          <w:color w:val="000000"/>
          <w:sz w:val="24"/>
        </w:rPr>
        <w:t>S</w:t>
      </w:r>
      <w:r>
        <w:rPr>
          <w:color w:val="000000"/>
        </w:rPr>
        <w:t xml:space="preserve"> </w:t>
      </w:r>
      <w:r>
        <w:rPr>
          <w:rFonts w:ascii="Times New Roman;serif" w:hAnsi="Times New Roman;serif"/>
          <w:b w:val="false"/>
          <w:i/>
          <w:color w:val="000000"/>
          <w:sz w:val="24"/>
        </w:rPr>
        <w:t>Temporary</w:t>
      </w:r>
      <w:r>
        <w:rPr>
          <w:color w:val="000000"/>
        </w:rPr>
        <w:t xml:space="preserve"> </w:t>
      </w:r>
      <w:r>
        <w:rPr>
          <w:rFonts w:ascii="Times New Roman;serif" w:hAnsi="Times New Roman;serif"/>
          <w:b w:val="false"/>
          <w:i/>
          <w:color w:val="000000"/>
          <w:sz w:val="24"/>
        </w:rPr>
        <w:t>Global</w:t>
      </w:r>
      <w:r>
        <w:rPr>
          <w:color w:val="000000"/>
        </w:rPr>
        <w:t xml:space="preserve"> </w:t>
      </w:r>
      <w:r>
        <w:rPr>
          <w:rFonts w:ascii="Times New Roman;serif" w:hAnsi="Times New Roman;serif"/>
          <w:b w:val="false"/>
          <w:i/>
          <w:color w:val="000000"/>
          <w:sz w:val="24"/>
        </w:rPr>
        <w:t>Note</w:t>
      </w:r>
      <w:r>
        <w:rPr>
          <w:color w:val="000000"/>
        </w:rPr>
        <w:t xml:space="preserve">” </w:t>
      </w:r>
      <w:r>
        <w:rPr>
          <w:rFonts w:ascii="Times New Roman;serif" w:hAnsi="Times New Roman;serif"/>
          <w:b w:val="false"/>
          <w:color w:val="000000"/>
          <w:sz w:val="24"/>
        </w:rPr>
        <w:t xml:space="preserve">means a temporary Global Note in the form of </w:t>
      </w:r>
      <w:r>
        <w:rPr>
          <w:rFonts w:ascii="Times New Roman;serif" w:hAnsi="Times New Roman;serif"/>
          <w:b w:val="false"/>
          <w:color w:val="000000"/>
          <w:sz w:val="24"/>
          <w:u w:val="single"/>
        </w:rPr>
        <w:t>Exhibit A</w:t>
      </w:r>
      <w:r>
        <w:rPr>
          <w:color w:val="000000"/>
        </w:rPr>
        <w:t xml:space="preserve"> </w:t>
      </w:r>
      <w:r>
        <w:rPr>
          <w:rFonts w:ascii="Times New Roman;serif" w:hAnsi="Times New Roman;serif"/>
          <w:b w:val="false"/>
          <w:color w:val="000000"/>
          <w:sz w:val="24"/>
        </w:rPr>
        <w:t>hereto, bearing the Global Note Legend, the Private Placement Legend and Regulation S</w:t>
      </w:r>
      <w:r>
        <w:rPr>
          <w:color w:val="000000"/>
        </w:rPr>
        <w:t xml:space="preserve"> </w:t>
      </w:r>
      <w:r>
        <w:rPr>
          <w:rFonts w:ascii="Times New Roman;serif" w:hAnsi="Times New Roman;serif"/>
          <w:b w:val="false"/>
          <w:color w:val="000000"/>
          <w:sz w:val="24"/>
        </w:rPr>
        <w:t>Temporary Global Note Legend and deposited with or on behalf of, and registered in the name of, the Depository or its nominee, issued in a denomination</w:t>
      </w:r>
      <w:r>
        <w:rPr>
          <w:color w:val="000000"/>
        </w:rPr>
        <w:t xml:space="preserve"> </w:t>
      </w:r>
      <w:r>
        <w:rPr>
          <w:rFonts w:ascii="Times New Roman;serif" w:hAnsi="Times New Roman;serif"/>
          <w:b w:val="false"/>
          <w:color w:val="000000"/>
          <w:sz w:val="24"/>
        </w:rPr>
        <w:t>equal to the outstanding principal amount of the Notes sold for initial resale in reliance on Rule 903 of Regulation S.</w:t>
      </w:r>
    </w:p>
    <w:p>
      <w:pPr>
        <w:pStyle w:val="TextBody"/>
        <w:bidi w:val="0"/>
        <w:spacing w:lineRule="auto" w:line="300" w:before="0" w:after="240"/>
        <w:ind w:left="0" w:right="0" w:firstLine="720"/>
        <w:jc w:val="both"/>
        <w:rPr/>
      </w:pPr>
      <w:r>
        <w:rPr>
          <w:color w:val="000000"/>
        </w:rPr>
        <w:t>“</w:t>
      </w:r>
      <w:r>
        <w:rPr>
          <w:rFonts w:ascii="Times New Roman;serif" w:hAnsi="Times New Roman;serif"/>
          <w:b w:val="false"/>
          <w:i/>
          <w:color w:val="000000"/>
          <w:sz w:val="24"/>
        </w:rPr>
        <w:t>Regulation S Temporary Global Note Legend</w:t>
      </w:r>
      <w:r>
        <w:rPr>
          <w:color w:val="000000"/>
        </w:rPr>
        <w:t xml:space="preserve">” </w:t>
      </w:r>
      <w:r>
        <w:rPr>
          <w:rFonts w:ascii="Times New Roman;serif" w:hAnsi="Times New Roman;serif"/>
          <w:b w:val="false"/>
          <w:color w:val="000000"/>
          <w:sz w:val="24"/>
        </w:rPr>
        <w:t xml:space="preserve">means the legend set forth in </w:t>
      </w:r>
      <w:r>
        <w:rPr>
          <w:rFonts w:ascii="Times New Roman;serif" w:hAnsi="Times New Roman;serif"/>
          <w:b w:val="false"/>
          <w:color w:val="000000"/>
          <w:sz w:val="24"/>
          <w:u w:val="single"/>
        </w:rPr>
        <w:t>Section</w:t>
      </w:r>
      <w:r>
        <w:rPr>
          <w:color w:val="000000"/>
          <w:u w:val="single"/>
        </w:rPr>
        <w:t xml:space="preserve"> </w:t>
      </w:r>
      <w:r>
        <w:rPr>
          <w:rFonts w:ascii="Times New Roman;serif" w:hAnsi="Times New Roman;serif"/>
          <w:b w:val="false"/>
          <w:color w:val="000000"/>
          <w:sz w:val="24"/>
          <w:u w:val="single"/>
        </w:rPr>
        <w:t>2.06(f)(3)</w:t>
      </w:r>
      <w:r>
        <w:rPr>
          <w:color w:val="000000"/>
        </w:rPr>
        <w:t xml:space="preserve"> </w:t>
      </w:r>
      <w:r>
        <w:rPr>
          <w:rFonts w:ascii="Times New Roman;serif" w:hAnsi="Times New Roman;serif"/>
          <w:b w:val="false"/>
          <w:color w:val="000000"/>
          <w:sz w:val="24"/>
        </w:rPr>
        <w:t>to be placed on all Regulation S Temporary</w:t>
      </w:r>
      <w:r>
        <w:rPr>
          <w:color w:val="000000"/>
        </w:rPr>
        <w:t xml:space="preserve"> </w:t>
      </w:r>
      <w:r>
        <w:rPr>
          <w:rFonts w:ascii="Times New Roman;serif" w:hAnsi="Times New Roman;serif"/>
          <w:b w:val="false"/>
          <w:color w:val="000000"/>
          <w:sz w:val="24"/>
        </w:rPr>
        <w:t>Global Notes issued under this Indenture.</w:t>
      </w:r>
    </w:p>
    <w:p>
      <w:pPr>
        <w:pStyle w:val="TextBody"/>
        <w:bidi w:val="0"/>
        <w:spacing w:lineRule="auto" w:line="300" w:before="0" w:after="240"/>
        <w:ind w:left="0" w:right="0" w:firstLine="720"/>
        <w:jc w:val="both"/>
        <w:rPr/>
      </w:pPr>
      <w:r>
        <w:rPr>
          <w:color w:val="000000"/>
        </w:rPr>
        <w:t>“</w:t>
      </w:r>
      <w:r>
        <w:rPr>
          <w:rFonts w:ascii="Times New Roman;serif" w:hAnsi="Times New Roman;serif"/>
          <w:b w:val="false"/>
          <w:i/>
          <w:color w:val="000000"/>
          <w:sz w:val="24"/>
        </w:rPr>
        <w:t>Responsible Officer</w:t>
      </w:r>
      <w:r>
        <w:rPr>
          <w:color w:val="000000"/>
        </w:rPr>
        <w:t xml:space="preserve">” </w:t>
      </w:r>
      <w:r>
        <w:rPr>
          <w:rFonts w:ascii="Times New Roman;serif" w:hAnsi="Times New Roman;serif"/>
          <w:b w:val="false"/>
          <w:color w:val="000000"/>
          <w:sz w:val="24"/>
        </w:rPr>
        <w:t>means (i) when used with respect to the Trustee, any vice president, assistant vice president, any assistant secretary, any assistant treasurer, any associate or any other officer of the Trustee customarily performing functions similar to those performed by any of the above designated officers, in each case, who at such time shall have direct responsibility for the administration of this Indenture and, with respect to a particular matter, any other officer of the Trustee to whom such matter is referred because of such officer’s knowledge of and familiarity with the particular subject, and (ii) when used with respect to any other Person, the chief executive officer, chief financial officer, treasurer or general counsel of such person.</w:t>
      </w:r>
    </w:p>
    <w:p>
      <w:pPr>
        <w:pStyle w:val="TextBody"/>
        <w:bidi w:val="0"/>
        <w:spacing w:lineRule="auto" w:line="300" w:before="0" w:after="240"/>
        <w:ind w:left="0" w:right="0" w:firstLine="720"/>
        <w:jc w:val="both"/>
        <w:rPr/>
      </w:pPr>
      <w:r>
        <w:rPr>
          <w:color w:val="000000"/>
        </w:rPr>
        <w:t>“</w:t>
      </w:r>
      <w:r>
        <w:rPr>
          <w:rFonts w:ascii="Times New Roman;serif" w:hAnsi="Times New Roman;serif"/>
          <w:b w:val="false"/>
          <w:i/>
          <w:color w:val="000000"/>
          <w:sz w:val="24"/>
        </w:rPr>
        <w:t>Restricted Definitive Note</w:t>
      </w:r>
      <w:r>
        <w:rPr>
          <w:color w:val="000000"/>
        </w:rPr>
        <w:t xml:space="preserve">” </w:t>
      </w:r>
      <w:r>
        <w:rPr>
          <w:rFonts w:ascii="Times New Roman;serif" w:hAnsi="Times New Roman;serif"/>
          <w:b w:val="false"/>
          <w:color w:val="000000"/>
          <w:sz w:val="24"/>
        </w:rPr>
        <w:t>means a Definitive Note bearing the Private Placement Legend.</w:t>
      </w:r>
      <w:r>
        <w:rPr>
          <w:color w:val="000000"/>
        </w:rPr>
        <w:t xml:space="preserve"> </w:t>
      </w:r>
    </w:p>
    <w:p>
      <w:pPr>
        <w:pStyle w:val="TextBody"/>
        <w:bidi w:val="0"/>
        <w:spacing w:lineRule="auto" w:line="300" w:before="0" w:after="240"/>
        <w:ind w:left="0" w:right="0" w:firstLine="720"/>
        <w:jc w:val="both"/>
        <w:rPr/>
      </w:pPr>
      <w:r>
        <w:rPr>
          <w:color w:val="000000"/>
        </w:rPr>
        <w:t>“</w:t>
      </w:r>
      <w:r>
        <w:rPr>
          <w:rFonts w:ascii="Times New Roman;serif" w:hAnsi="Times New Roman;serif"/>
          <w:b w:val="false"/>
          <w:i/>
          <w:color w:val="000000"/>
          <w:sz w:val="24"/>
        </w:rPr>
        <w:t>Restricted Global Note</w:t>
      </w:r>
      <w:r>
        <w:rPr>
          <w:color w:val="000000"/>
        </w:rPr>
        <w:t xml:space="preserve">” </w:t>
      </w:r>
      <w:r>
        <w:rPr>
          <w:rFonts w:ascii="Times New Roman;serif" w:hAnsi="Times New Roman;serif"/>
          <w:b w:val="false"/>
          <w:color w:val="000000"/>
          <w:sz w:val="24"/>
        </w:rPr>
        <w:t>means a Global Note bearing the Private Placement Legend.</w:t>
      </w:r>
    </w:p>
    <w:p>
      <w:pPr>
        <w:pStyle w:val="TextBody"/>
        <w:bidi w:val="0"/>
        <w:spacing w:lineRule="auto" w:line="300" w:before="0" w:after="240"/>
        <w:ind w:left="0" w:right="0" w:firstLine="720"/>
        <w:jc w:val="both"/>
        <w:rPr/>
      </w:pPr>
      <w:r>
        <w:rPr>
          <w:color w:val="000000"/>
        </w:rPr>
        <w:t>“</w:t>
      </w:r>
      <w:r>
        <w:rPr>
          <w:rFonts w:ascii="Times New Roman;serif" w:hAnsi="Times New Roman;serif"/>
          <w:b w:val="false"/>
          <w:i/>
          <w:color w:val="000000"/>
          <w:sz w:val="24"/>
        </w:rPr>
        <w:t>RTO</w:t>
      </w:r>
      <w:r>
        <w:rPr>
          <w:color w:val="000000"/>
        </w:rPr>
        <w:t xml:space="preserve">” </w:t>
      </w:r>
      <w:r>
        <w:rPr>
          <w:rFonts w:ascii="Times New Roman;serif" w:hAnsi="Times New Roman;serif"/>
          <w:b w:val="false"/>
          <w:color w:val="000000"/>
          <w:sz w:val="24"/>
        </w:rPr>
        <w:t xml:space="preserve">means “regional transmission organization” as further defined by the Federal Energy Regulatory Commission’s policies, orders and regulations. </w:t>
      </w:r>
    </w:p>
    <w:p>
      <w:pPr>
        <w:pStyle w:val="TextBody"/>
        <w:bidi w:val="0"/>
        <w:spacing w:lineRule="auto" w:line="300" w:before="0" w:after="240"/>
        <w:ind w:left="0" w:right="0" w:firstLine="720"/>
        <w:jc w:val="both"/>
        <w:rPr/>
      </w:pPr>
      <w:r>
        <w:rPr>
          <w:color w:val="000000"/>
        </w:rPr>
        <w:t>“</w:t>
      </w:r>
      <w:r>
        <w:rPr>
          <w:rFonts w:ascii="Times New Roman;serif" w:hAnsi="Times New Roman;serif"/>
          <w:b w:val="false"/>
          <w:i/>
          <w:color w:val="000000"/>
          <w:sz w:val="24"/>
        </w:rPr>
        <w:t>Rule 144</w:t>
      </w:r>
      <w:r>
        <w:rPr>
          <w:color w:val="000000"/>
        </w:rPr>
        <w:t xml:space="preserve">” </w:t>
      </w:r>
      <w:r>
        <w:rPr>
          <w:rFonts w:ascii="Times New Roman;serif" w:hAnsi="Times New Roman;serif"/>
          <w:b w:val="false"/>
          <w:color w:val="000000"/>
          <w:sz w:val="24"/>
        </w:rPr>
        <w:t>means Rule 144 adopted by the SEC under the Securities Act.</w:t>
      </w:r>
    </w:p>
    <w:p>
      <w:pPr>
        <w:pStyle w:val="TextBody"/>
        <w:bidi w:val="0"/>
        <w:spacing w:before="0" w:after="0"/>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735965"/>
                <wp:effectExtent l="0" t="0" r="0" b="0"/>
                <wp:wrapNone/>
                <wp:docPr id="70" name="Frame70"/>
                <a:graphic xmlns:a="http://schemas.openxmlformats.org/drawingml/2006/main">
                  <a:graphicData uri="http://schemas.microsoft.com/office/word/2010/wordprocessingShape">
                    <wps:wsp>
                      <wps:cNvSpPr txBox="1"/>
                      <wps:spPr>
                        <a:xfrm>
                          <a:off x="0" y="0"/>
                          <a:ext cx="6480175" cy="7359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22</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22</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300" w:before="0" w:after="240"/>
        <w:ind w:left="0" w:right="0" w:firstLine="720"/>
        <w:jc w:val="both"/>
        <w:rPr/>
      </w:pPr>
      <w:r>
        <w:rPr>
          <w:color w:val="000000"/>
        </w:rPr>
        <w:t>“</w:t>
      </w:r>
      <w:r>
        <w:rPr>
          <w:rFonts w:ascii="Times New Roman;serif" w:hAnsi="Times New Roman;serif"/>
          <w:b w:val="false"/>
          <w:i/>
          <w:color w:val="000000"/>
          <w:sz w:val="24"/>
        </w:rPr>
        <w:t>Rule 144A</w:t>
      </w:r>
      <w:r>
        <w:rPr>
          <w:color w:val="000000"/>
        </w:rPr>
        <w:t xml:space="preserve">” </w:t>
      </w:r>
      <w:r>
        <w:rPr>
          <w:rFonts w:ascii="Times New Roman;serif" w:hAnsi="Times New Roman;serif"/>
          <w:b w:val="false"/>
          <w:color w:val="000000"/>
          <w:sz w:val="24"/>
        </w:rPr>
        <w:t>means Rule 144A adopted by the SEC under the Securities Act.</w:t>
      </w:r>
    </w:p>
    <w:p>
      <w:pPr>
        <w:pStyle w:val="TextBody"/>
        <w:bidi w:val="0"/>
        <w:spacing w:lineRule="auto" w:line="300" w:before="0" w:after="240"/>
        <w:ind w:left="0" w:right="0" w:firstLine="720"/>
        <w:jc w:val="both"/>
        <w:rPr/>
      </w:pPr>
      <w:r>
        <w:rPr>
          <w:color w:val="000000"/>
        </w:rPr>
        <w:t>“</w:t>
      </w:r>
      <w:r>
        <w:rPr>
          <w:rFonts w:ascii="Times New Roman;serif" w:hAnsi="Times New Roman;serif"/>
          <w:b w:val="false"/>
          <w:i/>
          <w:color w:val="000000"/>
          <w:sz w:val="24"/>
        </w:rPr>
        <w:t>S&amp;P</w:t>
      </w:r>
      <w:r>
        <w:rPr>
          <w:color w:val="000000"/>
        </w:rPr>
        <w:t xml:space="preserve">” </w:t>
      </w:r>
      <w:r>
        <w:rPr>
          <w:rFonts w:ascii="Times New Roman;serif" w:hAnsi="Times New Roman;serif"/>
          <w:b w:val="false"/>
          <w:color w:val="000000"/>
          <w:sz w:val="24"/>
        </w:rPr>
        <w:t>means S&amp;P Global Ratings (a division of S&amp;P Global, Inc.) or any of its successors or assigns that is a Nationally Recognized Statistical Rating Organization.</w:t>
      </w:r>
    </w:p>
    <w:p>
      <w:pPr>
        <w:pStyle w:val="TextBody"/>
        <w:bidi w:val="0"/>
        <w:spacing w:lineRule="auto" w:line="300" w:before="0" w:after="240"/>
        <w:ind w:left="0" w:right="0" w:firstLine="720"/>
        <w:jc w:val="both"/>
        <w:rPr/>
      </w:pPr>
      <w:r>
        <w:rPr>
          <w:color w:val="000000"/>
        </w:rPr>
        <w:t>“</w:t>
      </w:r>
      <w:r>
        <w:rPr>
          <w:rFonts w:ascii="Times New Roman;serif" w:hAnsi="Times New Roman;serif"/>
          <w:b w:val="false"/>
          <w:i/>
          <w:color w:val="000000"/>
          <w:sz w:val="24"/>
        </w:rPr>
        <w:t>Screened Affiliate</w:t>
      </w:r>
      <w:r>
        <w:rPr>
          <w:color w:val="000000"/>
        </w:rPr>
        <w:t xml:space="preserve">” </w:t>
      </w:r>
      <w:r>
        <w:rPr>
          <w:rFonts w:ascii="Times New Roman;serif" w:hAnsi="Times New Roman;serif"/>
          <w:b w:val="false"/>
          <w:color w:val="000000"/>
          <w:sz w:val="24"/>
        </w:rPr>
        <w:t>means any Affiliate of a Holder (i) that makes investment decisions independently from such Holder and</w:t>
      </w:r>
      <w:r>
        <w:rPr>
          <w:color w:val="000000"/>
        </w:rPr>
        <w:t xml:space="preserve"> </w:t>
      </w:r>
      <w:r>
        <w:rPr>
          <w:rFonts w:ascii="Times New Roman;serif" w:hAnsi="Times New Roman;serif"/>
          <w:b w:val="false"/>
          <w:color w:val="000000"/>
          <w:sz w:val="24"/>
        </w:rPr>
        <w:t>any other Affiliate of such Holder that is not a Screened Affiliate, (ii) that has in place customary information screens between it and such Holder and any</w:t>
      </w:r>
      <w:r>
        <w:rPr>
          <w:color w:val="000000"/>
        </w:rPr>
        <w:t xml:space="preserve"> </w:t>
      </w:r>
      <w:r>
        <w:rPr>
          <w:rFonts w:ascii="Times New Roman;serif" w:hAnsi="Times New Roman;serif"/>
          <w:b w:val="false"/>
          <w:color w:val="000000"/>
          <w:sz w:val="24"/>
        </w:rPr>
        <w:t>other Affiliate of such Holder that is not a Screened Affiliate and such screens prohibit the sharing of information with respect to the Issuer or its Subsidiaries,</w:t>
      </w:r>
      <w:r>
        <w:rPr>
          <w:color w:val="000000"/>
        </w:rPr>
        <w:t xml:space="preserve"> </w:t>
      </w:r>
      <w:r>
        <w:rPr>
          <w:rFonts w:ascii="Times New Roman;serif" w:hAnsi="Times New Roman;serif"/>
          <w:b w:val="false"/>
          <w:color w:val="000000"/>
          <w:sz w:val="24"/>
        </w:rPr>
        <w:t>(iii)</w:t>
      </w:r>
      <w:r>
        <w:rPr>
          <w:color w:val="000000"/>
        </w:rPr>
        <w:t xml:space="preserve"> </w:t>
      </w:r>
      <w:r>
        <w:rPr>
          <w:rFonts w:ascii="Times New Roman;serif" w:hAnsi="Times New Roman;serif"/>
          <w:b w:val="false"/>
          <w:color w:val="000000"/>
          <w:sz w:val="24"/>
        </w:rPr>
        <w:t>whose</w:t>
      </w:r>
      <w:r>
        <w:rPr>
          <w:color w:val="000000"/>
        </w:rPr>
        <w:t xml:space="preserve"> </w:t>
      </w:r>
      <w:r>
        <w:rPr>
          <w:rFonts w:ascii="Times New Roman;serif" w:hAnsi="Times New Roman;serif"/>
          <w:b w:val="false"/>
          <w:color w:val="000000"/>
          <w:sz w:val="24"/>
        </w:rPr>
        <w:t>investment policies</w:t>
      </w:r>
      <w:r>
        <w:rPr>
          <w:color w:val="000000"/>
        </w:rPr>
        <w:t xml:space="preserve"> </w:t>
      </w:r>
      <w:r>
        <w:rPr>
          <w:rFonts w:ascii="Times New Roman;serif" w:hAnsi="Times New Roman;serif"/>
          <w:b w:val="false"/>
          <w:color w:val="000000"/>
          <w:sz w:val="24"/>
        </w:rPr>
        <w:t>are not</w:t>
      </w:r>
      <w:r>
        <w:rPr>
          <w:color w:val="000000"/>
        </w:rPr>
        <w:t xml:space="preserve"> </w:t>
      </w:r>
      <w:r>
        <w:rPr>
          <w:rFonts w:ascii="Times New Roman;serif" w:hAnsi="Times New Roman;serif"/>
          <w:b w:val="false"/>
          <w:color w:val="000000"/>
          <w:sz w:val="24"/>
        </w:rPr>
        <w:t>directed</w:t>
      </w:r>
      <w:r>
        <w:rPr>
          <w:color w:val="000000"/>
        </w:rPr>
        <w:t xml:space="preserve"> </w:t>
      </w:r>
      <w:r>
        <w:rPr>
          <w:rFonts w:ascii="Times New Roman;serif" w:hAnsi="Times New Roman;serif"/>
          <w:b w:val="false"/>
          <w:color w:val="000000"/>
          <w:sz w:val="24"/>
        </w:rPr>
        <w:t>by</w:t>
      </w:r>
      <w:r>
        <w:rPr>
          <w:color w:val="000000"/>
        </w:rPr>
        <w:t xml:space="preserve"> </w:t>
      </w:r>
      <w:r>
        <w:rPr>
          <w:rFonts w:ascii="Times New Roman;serif" w:hAnsi="Times New Roman;serif"/>
          <w:b w:val="false"/>
          <w:color w:val="000000"/>
          <w:sz w:val="24"/>
        </w:rPr>
        <w:t>such</w:t>
      </w:r>
      <w:r>
        <w:rPr>
          <w:color w:val="000000"/>
        </w:rPr>
        <w:t xml:space="preserve"> </w:t>
      </w:r>
      <w:r>
        <w:rPr>
          <w:rFonts w:ascii="Times New Roman;serif" w:hAnsi="Times New Roman;serif"/>
          <w:b w:val="false"/>
          <w:color w:val="000000"/>
          <w:sz w:val="24"/>
        </w:rPr>
        <w:t>Holder</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any other</w:t>
      </w:r>
      <w:r>
        <w:rPr>
          <w:color w:val="000000"/>
        </w:rPr>
        <w:t xml:space="preserve"> </w:t>
      </w:r>
      <w:r>
        <w:rPr>
          <w:rFonts w:ascii="Times New Roman;serif" w:hAnsi="Times New Roman;serif"/>
          <w:b w:val="false"/>
          <w:color w:val="000000"/>
          <w:sz w:val="24"/>
        </w:rPr>
        <w:t>Affiliate</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such</w:t>
      </w:r>
      <w:r>
        <w:rPr>
          <w:color w:val="000000"/>
        </w:rPr>
        <w:t xml:space="preserve"> </w:t>
      </w:r>
      <w:r>
        <w:rPr>
          <w:rFonts w:ascii="Times New Roman;serif" w:hAnsi="Times New Roman;serif"/>
          <w:b w:val="false"/>
          <w:color w:val="000000"/>
          <w:sz w:val="24"/>
        </w:rPr>
        <w:t>Holder</w:t>
      </w:r>
      <w:r>
        <w:rPr>
          <w:color w:val="000000"/>
        </w:rPr>
        <w:t xml:space="preserve"> </w:t>
      </w:r>
      <w:r>
        <w:rPr>
          <w:rFonts w:ascii="Times New Roman;serif" w:hAnsi="Times New Roman;serif"/>
          <w:b w:val="false"/>
          <w:color w:val="000000"/>
          <w:sz w:val="24"/>
        </w:rPr>
        <w:t>that is acting in concert with</w:t>
      </w:r>
      <w:r>
        <w:rPr>
          <w:color w:val="000000"/>
        </w:rPr>
        <w:t xml:space="preserve"> </w:t>
      </w:r>
      <w:r>
        <w:rPr>
          <w:rFonts w:ascii="Times New Roman;serif" w:hAnsi="Times New Roman;serif"/>
          <w:b w:val="false"/>
          <w:color w:val="000000"/>
          <w:sz w:val="24"/>
        </w:rPr>
        <w:t>such</w:t>
      </w:r>
      <w:r>
        <w:rPr>
          <w:color w:val="000000"/>
        </w:rPr>
        <w:t xml:space="preserve"> </w:t>
      </w:r>
      <w:r>
        <w:rPr>
          <w:rFonts w:ascii="Times New Roman;serif" w:hAnsi="Times New Roman;serif"/>
          <w:b w:val="false"/>
          <w:color w:val="000000"/>
          <w:sz w:val="24"/>
        </w:rPr>
        <w:t>Holder</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connection</w:t>
      </w:r>
      <w:r>
        <w:rPr>
          <w:color w:val="000000"/>
        </w:rPr>
        <w:t xml:space="preserve"> </w:t>
      </w:r>
      <w:r>
        <w:rPr>
          <w:rFonts w:ascii="Times New Roman;serif" w:hAnsi="Times New Roman;serif"/>
          <w:b w:val="false"/>
          <w:color w:val="000000"/>
          <w:sz w:val="24"/>
        </w:rPr>
        <w:t>with</w:t>
      </w:r>
      <w:r>
        <w:rPr>
          <w:color w:val="000000"/>
        </w:rPr>
        <w:t xml:space="preserve"> </w:t>
      </w:r>
      <w:r>
        <w:rPr>
          <w:rFonts w:ascii="Times New Roman;serif" w:hAnsi="Times New Roman;serif"/>
          <w:b w:val="false"/>
          <w:color w:val="000000"/>
          <w:sz w:val="24"/>
        </w:rPr>
        <w:t>its</w:t>
      </w:r>
      <w:r>
        <w:rPr>
          <w:color w:val="000000"/>
        </w:rPr>
        <w:t xml:space="preserve"> </w:t>
      </w:r>
      <w:r>
        <w:rPr>
          <w:rFonts w:ascii="Times New Roman;serif" w:hAnsi="Times New Roman;serif"/>
          <w:b w:val="false"/>
          <w:color w:val="000000"/>
          <w:sz w:val="24"/>
        </w:rPr>
        <w:t>investment</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Notes,</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(iv)</w:t>
      </w:r>
      <w:r>
        <w:rPr>
          <w:color w:val="000000"/>
        </w:rPr>
        <w:t xml:space="preserve"> </w:t>
      </w:r>
      <w:r>
        <w:rPr>
          <w:rFonts w:ascii="Times New Roman;serif" w:hAnsi="Times New Roman;serif"/>
          <w:b w:val="false"/>
          <w:color w:val="000000"/>
          <w:sz w:val="24"/>
        </w:rPr>
        <w:t>whose</w:t>
      </w:r>
      <w:r>
        <w:rPr>
          <w:color w:val="000000"/>
        </w:rPr>
        <w:t xml:space="preserve"> </w:t>
      </w:r>
      <w:r>
        <w:rPr>
          <w:rFonts w:ascii="Times New Roman;serif" w:hAnsi="Times New Roman;serif"/>
          <w:b w:val="false"/>
          <w:color w:val="000000"/>
          <w:sz w:val="24"/>
        </w:rPr>
        <w:t>investment</w:t>
      </w:r>
      <w:r>
        <w:rPr>
          <w:color w:val="000000"/>
        </w:rPr>
        <w:t xml:space="preserve"> </w:t>
      </w:r>
      <w:r>
        <w:rPr>
          <w:rFonts w:ascii="Times New Roman;serif" w:hAnsi="Times New Roman;serif"/>
          <w:b w:val="false"/>
          <w:color w:val="000000"/>
          <w:sz w:val="24"/>
        </w:rPr>
        <w:t>decisions</w:t>
      </w:r>
      <w:r>
        <w:rPr>
          <w:color w:val="000000"/>
        </w:rPr>
        <w:t xml:space="preserve"> </w:t>
      </w:r>
      <w:r>
        <w:rPr>
          <w:rFonts w:ascii="Times New Roman;serif" w:hAnsi="Times New Roman;serif"/>
          <w:b w:val="false"/>
          <w:color w:val="000000"/>
          <w:sz w:val="24"/>
        </w:rPr>
        <w:t>are</w:t>
      </w:r>
      <w:r>
        <w:rPr>
          <w:color w:val="000000"/>
        </w:rPr>
        <w:t xml:space="preserve"> </w:t>
      </w:r>
      <w:r>
        <w:rPr>
          <w:rFonts w:ascii="Times New Roman;serif" w:hAnsi="Times New Roman;serif"/>
          <w:b w:val="false"/>
          <w:color w:val="000000"/>
          <w:sz w:val="24"/>
        </w:rPr>
        <w:t>not</w:t>
      </w:r>
      <w:r>
        <w:rPr>
          <w:color w:val="000000"/>
        </w:rPr>
        <w:t xml:space="preserve"> </w:t>
      </w:r>
      <w:r>
        <w:rPr>
          <w:rFonts w:ascii="Times New Roman;serif" w:hAnsi="Times New Roman;serif"/>
          <w:b w:val="false"/>
          <w:color w:val="000000"/>
          <w:sz w:val="24"/>
        </w:rPr>
        <w:t>influenced</w:t>
      </w:r>
      <w:r>
        <w:rPr>
          <w:color w:val="000000"/>
        </w:rPr>
        <w:t xml:space="preserve"> </w:t>
      </w:r>
      <w:r>
        <w:rPr>
          <w:rFonts w:ascii="Times New Roman;serif" w:hAnsi="Times New Roman;serif"/>
          <w:b w:val="false"/>
          <w:color w:val="000000"/>
          <w:sz w:val="24"/>
        </w:rPr>
        <w:t>by</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investment</w:t>
      </w:r>
      <w:r>
        <w:rPr>
          <w:color w:val="000000"/>
        </w:rPr>
        <w:t xml:space="preserve"> </w:t>
      </w:r>
      <w:r>
        <w:rPr>
          <w:rFonts w:ascii="Times New Roman;serif" w:hAnsi="Times New Roman;serif"/>
          <w:b w:val="false"/>
          <w:color w:val="000000"/>
          <w:sz w:val="24"/>
        </w:rPr>
        <w:t>decisions</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such</w:t>
      </w:r>
      <w:r>
        <w:rPr>
          <w:color w:val="000000"/>
        </w:rPr>
        <w:t xml:space="preserve"> </w:t>
      </w:r>
      <w:r>
        <w:rPr>
          <w:rFonts w:ascii="Times New Roman;serif" w:hAnsi="Times New Roman;serif"/>
          <w:b w:val="false"/>
          <w:color w:val="000000"/>
          <w:sz w:val="24"/>
        </w:rPr>
        <w:t>Holder or any other Affiliate of such Holder that is acting in concert with such Holder in connection with its investment in the Notes.</w:t>
      </w:r>
    </w:p>
    <w:p>
      <w:pPr>
        <w:pStyle w:val="TextBody"/>
        <w:bidi w:val="0"/>
        <w:spacing w:lineRule="auto" w:line="300" w:before="0" w:after="240"/>
        <w:ind w:left="0" w:right="0" w:firstLine="720"/>
        <w:jc w:val="both"/>
        <w:rPr/>
      </w:pPr>
      <w:r>
        <w:rPr>
          <w:color w:val="000000"/>
        </w:rPr>
        <w:t>“</w:t>
      </w:r>
      <w:r>
        <w:rPr>
          <w:rFonts w:ascii="Times New Roman;serif" w:hAnsi="Times New Roman;serif"/>
          <w:b w:val="false"/>
          <w:i/>
          <w:color w:val="000000"/>
          <w:sz w:val="24"/>
        </w:rPr>
        <w:t>SEC</w:t>
      </w:r>
      <w:r>
        <w:rPr>
          <w:color w:val="000000"/>
        </w:rPr>
        <w:t xml:space="preserve">” </w:t>
      </w:r>
      <w:r>
        <w:rPr>
          <w:rFonts w:ascii="Times New Roman;serif" w:hAnsi="Times New Roman;serif"/>
          <w:b w:val="false"/>
          <w:color w:val="000000"/>
          <w:sz w:val="24"/>
        </w:rPr>
        <w:t>means the United States Securities and Exchange Commission.</w:t>
      </w:r>
    </w:p>
    <w:p>
      <w:pPr>
        <w:pStyle w:val="TextBody"/>
        <w:bidi w:val="0"/>
        <w:spacing w:lineRule="auto" w:line="300" w:before="0" w:after="240"/>
        <w:ind w:left="0" w:right="0" w:firstLine="720"/>
        <w:jc w:val="both"/>
        <w:rPr/>
      </w:pPr>
      <w:r>
        <w:rPr>
          <w:color w:val="000000"/>
        </w:rPr>
        <w:t>“</w:t>
      </w:r>
      <w:r>
        <w:rPr>
          <w:rFonts w:ascii="Times New Roman;serif" w:hAnsi="Times New Roman;serif"/>
          <w:b w:val="false"/>
          <w:i/>
          <w:color w:val="000000"/>
          <w:sz w:val="24"/>
        </w:rPr>
        <w:t>Securities Act</w:t>
      </w:r>
      <w:r>
        <w:rPr>
          <w:color w:val="000000"/>
        </w:rPr>
        <w:t xml:space="preserve">” </w:t>
      </w:r>
      <w:r>
        <w:rPr>
          <w:rFonts w:ascii="Times New Roman;serif" w:hAnsi="Times New Roman;serif"/>
          <w:b w:val="false"/>
          <w:color w:val="000000"/>
          <w:sz w:val="24"/>
        </w:rPr>
        <w:t>means the Securities Act of 1933, as amended, and the rules and regulations promulgated thereunder.</w:t>
      </w:r>
    </w:p>
    <w:p>
      <w:pPr>
        <w:pStyle w:val="TextBody"/>
        <w:bidi w:val="0"/>
        <w:spacing w:lineRule="auto" w:line="300" w:before="0" w:after="240"/>
        <w:ind w:left="0" w:right="0" w:firstLine="720"/>
        <w:jc w:val="both"/>
        <w:rPr/>
      </w:pPr>
      <w:r>
        <w:rPr>
          <w:color w:val="000000"/>
        </w:rPr>
        <w:t>“</w:t>
      </w:r>
      <w:r>
        <w:rPr>
          <w:rFonts w:ascii="Times New Roman;serif" w:hAnsi="Times New Roman;serif"/>
          <w:b w:val="false"/>
          <w:i/>
          <w:color w:val="000000"/>
          <w:sz w:val="24"/>
        </w:rPr>
        <w:t>Short Derivative Instrument</w:t>
      </w:r>
      <w:r>
        <w:rPr>
          <w:color w:val="000000"/>
        </w:rPr>
        <w:t xml:space="preserve">” </w:t>
      </w:r>
      <w:r>
        <w:rPr>
          <w:rFonts w:ascii="Times New Roman;serif" w:hAnsi="Times New Roman;serif"/>
          <w:b w:val="false"/>
          <w:color w:val="000000"/>
          <w:sz w:val="24"/>
        </w:rPr>
        <w:t>means a Derivative Instrument (i) the value of which generally decreases, and/or the payment or delivery obligations under which generally increase, with positive changes to the Performance References and/or (ii) the value of which generally increases, and/or the payment or delivery obligations under which generally decrease, with negative changes to the Performance References.</w:t>
      </w:r>
    </w:p>
    <w:p>
      <w:pPr>
        <w:pStyle w:val="TextBody"/>
        <w:bidi w:val="0"/>
        <w:spacing w:lineRule="auto" w:line="300" w:before="0" w:after="240"/>
        <w:ind w:left="0" w:right="0" w:firstLine="720"/>
        <w:jc w:val="both"/>
        <w:rPr/>
      </w:pPr>
      <w:r>
        <w:rPr>
          <w:color w:val="000000"/>
        </w:rPr>
        <w:t>“</w:t>
      </w:r>
      <w:r>
        <w:rPr>
          <w:rFonts w:ascii="Times New Roman;serif" w:hAnsi="Times New Roman;serif"/>
          <w:b w:val="false"/>
          <w:i/>
          <w:color w:val="000000"/>
          <w:sz w:val="24"/>
        </w:rPr>
        <w:t>Significant Subsidiary</w:t>
      </w:r>
      <w:r>
        <w:rPr>
          <w:color w:val="000000"/>
        </w:rPr>
        <w:t xml:space="preserve">” </w:t>
      </w:r>
      <w:r>
        <w:rPr>
          <w:rFonts w:ascii="Times New Roman;serif" w:hAnsi="Times New Roman;serif"/>
          <w:b w:val="false"/>
          <w:color w:val="000000"/>
          <w:sz w:val="24"/>
        </w:rPr>
        <w:t>means any Subsidiary that would be a “significant subsidiary” as defined in Article 1, Rule 1-02 of Regulation S-X, promulgated pursuant to the Securities Act, as such Regulation is in effect on the Issue Date.</w:t>
      </w:r>
    </w:p>
    <w:p>
      <w:pPr>
        <w:pStyle w:val="TextBody"/>
        <w:bidi w:val="0"/>
        <w:spacing w:lineRule="auto" w:line="300" w:before="0" w:after="240"/>
        <w:ind w:left="0" w:right="0" w:firstLine="720"/>
        <w:jc w:val="both"/>
        <w:rPr/>
      </w:pPr>
      <w:r>
        <w:rPr>
          <w:color w:val="000000"/>
        </w:rPr>
        <w:t>“</w:t>
      </w:r>
      <w:r>
        <w:rPr>
          <w:rFonts w:ascii="Times New Roman;serif" w:hAnsi="Times New Roman;serif"/>
          <w:b w:val="false"/>
          <w:i/>
          <w:color w:val="000000"/>
          <w:sz w:val="24"/>
        </w:rPr>
        <w:t>Specified Transaction</w:t>
      </w:r>
      <w:r>
        <w:rPr>
          <w:color w:val="000000"/>
        </w:rPr>
        <w:t xml:space="preserve">” </w:t>
      </w:r>
      <w:r>
        <w:rPr>
          <w:rFonts w:ascii="Times New Roman;serif" w:hAnsi="Times New Roman;serif"/>
          <w:b w:val="false"/>
          <w:color w:val="000000"/>
          <w:sz w:val="24"/>
        </w:rPr>
        <w:t>means, with respect to any period, any Investment, the signing of a letter of intent or purchase agreement with respect to any investment, any merger, consolidation or Disposition of assets, incurrence, prepayment or repayment of Indebtedness, dividend, incurrence of Lien, Subsidiary designation, merger, consolidation, amalgamation or otherwise, or other event that by the terms of this Indenture requires a test or covenant to be calculated on a “Pro Forma Basis.”</w:t>
      </w:r>
    </w:p>
    <w:p>
      <w:pPr>
        <w:pStyle w:val="TextBody"/>
        <w:bidi w:val="0"/>
        <w:spacing w:lineRule="auto" w:line="300" w:before="0" w:after="240"/>
        <w:ind w:left="0" w:right="0" w:firstLine="720"/>
        <w:jc w:val="both"/>
        <w:rPr/>
      </w:pPr>
      <w:r>
        <w:rPr>
          <w:color w:val="000000"/>
        </w:rPr>
        <w:t>“</w:t>
      </w:r>
      <w:r>
        <w:rPr>
          <w:rFonts w:ascii="Times New Roman;serif" w:hAnsi="Times New Roman;serif"/>
          <w:b w:val="false"/>
          <w:i/>
          <w:color w:val="000000"/>
          <w:sz w:val="24"/>
        </w:rPr>
        <w:t>Stated Maturity</w:t>
      </w:r>
      <w:r>
        <w:rPr>
          <w:color w:val="000000"/>
        </w:rPr>
        <w:t xml:space="preserve">” </w:t>
      </w:r>
      <w:r>
        <w:rPr>
          <w:rFonts w:ascii="Times New Roman;serif" w:hAnsi="Times New Roman;serif"/>
          <w:b w:val="false"/>
          <w:color w:val="000000"/>
          <w:sz w:val="24"/>
        </w:rPr>
        <w:t xml:space="preserve">means, with respect to any installment of interest or principal on any series of Indebtedness, the date on which such payment of interest or principal was scheduled to be paid in the original documentation governing such Indebtedness, and shall not include any contingent obligations to repay, redeem or repurchase any such interest or principal prior to the date originally scheduled for payment thereof; </w:t>
      </w:r>
      <w:r>
        <w:rPr>
          <w:rFonts w:ascii="Times New Roman;serif" w:hAnsi="Times New Roman;serif"/>
          <w:b w:val="false"/>
          <w:i/>
          <w:color w:val="000000"/>
          <w:sz w:val="24"/>
        </w:rPr>
        <w:t>provided that</w:t>
      </w:r>
      <w:r>
        <w:rPr>
          <w:rFonts w:ascii="Times New Roman;serif" w:hAnsi="Times New Roman;serif"/>
          <w:b w:val="false"/>
          <w:color w:val="000000"/>
          <w:sz w:val="24"/>
        </w:rPr>
        <w:t xml:space="preserve">, with respect to any pollution control revenue bonds or similar instruments, the Stated Maturity of any series thereof shall be </w:t>
      </w:r>
    </w:p>
    <w:p>
      <w:pPr>
        <w:pStyle w:val="TextBody"/>
        <w:bidi w:val="0"/>
        <w:spacing w:before="0" w:after="0"/>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735965"/>
                <wp:effectExtent l="0" t="0" r="0" b="0"/>
                <wp:wrapNone/>
                <wp:docPr id="71" name="Frame71"/>
                <a:graphic xmlns:a="http://schemas.openxmlformats.org/drawingml/2006/main">
                  <a:graphicData uri="http://schemas.microsoft.com/office/word/2010/wordprocessingShape">
                    <wps:wsp>
                      <wps:cNvSpPr txBox="1"/>
                      <wps:spPr>
                        <a:xfrm>
                          <a:off x="0" y="0"/>
                          <a:ext cx="6480175" cy="7359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23</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23</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300" w:before="0" w:after="240"/>
        <w:jc w:val="both"/>
        <w:rPr>
          <w:rFonts w:ascii="Times New Roman;serif" w:hAnsi="Times New Roman;serif"/>
          <w:b w:val="false"/>
          <w:color w:val="000000"/>
          <w:sz w:val="24"/>
        </w:rPr>
      </w:pPr>
      <w:r>
        <w:rPr>
          <w:rFonts w:ascii="Times New Roman;serif" w:hAnsi="Times New Roman;serif"/>
          <w:b w:val="false"/>
          <w:color w:val="000000"/>
          <w:sz w:val="24"/>
        </w:rPr>
        <w:t>deemed to be the date set forth in any instrument governing such Indebtedness for the remarketing of such Indebtedness.</w:t>
      </w:r>
    </w:p>
    <w:p>
      <w:pPr>
        <w:pStyle w:val="TextBody"/>
        <w:bidi w:val="0"/>
        <w:spacing w:lineRule="auto" w:line="300" w:before="0" w:after="240"/>
        <w:ind w:left="0" w:right="0" w:firstLine="720"/>
        <w:jc w:val="both"/>
        <w:rPr/>
      </w:pPr>
      <w:r>
        <w:rPr>
          <w:color w:val="000000"/>
        </w:rPr>
        <w:t>“</w:t>
      </w:r>
      <w:r>
        <w:rPr>
          <w:rFonts w:ascii="Times New Roman;serif" w:hAnsi="Times New Roman;serif"/>
          <w:b w:val="false"/>
          <w:i/>
          <w:color w:val="000000"/>
          <w:sz w:val="24"/>
        </w:rPr>
        <w:t>Subsidiary</w:t>
      </w:r>
      <w:r>
        <w:rPr>
          <w:color w:val="000000"/>
        </w:rPr>
        <w:t xml:space="preserve">” </w:t>
      </w:r>
      <w:r>
        <w:rPr>
          <w:rFonts w:ascii="Times New Roman;serif" w:hAnsi="Times New Roman;serif"/>
          <w:b w:val="false"/>
          <w:color w:val="000000"/>
          <w:sz w:val="24"/>
        </w:rPr>
        <w:t>means, with respect to any specified Person:</w:t>
      </w:r>
    </w:p>
    <w:p>
      <w:pPr>
        <w:pStyle w:val="TextBody"/>
        <w:bidi w:val="0"/>
        <w:spacing w:lineRule="auto" w:line="30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(1)any corporation more than 50% of whose Capital Stock of any class or classes having by the terms thereof ordinary voting power to elect a majority of the directors of such corporation (irrespective of whether or not at the time Capital Stock of any class or classes of such corporation shall have or might have voting power by reason of the happening of any contingency) is at the time owned by such Person directly or indirectly through Subsidiaries; and</w:t>
      </w:r>
    </w:p>
    <w:p>
      <w:pPr>
        <w:pStyle w:val="TextBody"/>
        <w:bidi w:val="0"/>
        <w:spacing w:lineRule="auto" w:line="30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(2)any limited liability company, partnership, association, joint venture or other entity of which such Person directly or indirectly through Subsidiaries has more than a 50% equity interest at the time or is a controlling general partner or controlling member.</w:t>
      </w:r>
    </w:p>
    <w:p>
      <w:pPr>
        <w:pStyle w:val="TextBody"/>
        <w:bidi w:val="0"/>
        <w:spacing w:lineRule="auto" w:line="30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Unless otherwise expressly provided, all references herein to a “Subsidiary” shall mean a Subsidiary of the Issuer.</w:t>
      </w:r>
    </w:p>
    <w:p>
      <w:pPr>
        <w:pStyle w:val="TextBody"/>
        <w:bidi w:val="0"/>
        <w:spacing w:lineRule="auto" w:line="300" w:before="0" w:after="240"/>
        <w:ind w:left="0" w:right="0" w:firstLine="720"/>
        <w:jc w:val="both"/>
        <w:rPr/>
      </w:pPr>
      <w:r>
        <w:rPr>
          <w:color w:val="000000"/>
        </w:rPr>
        <w:t>“</w:t>
      </w:r>
      <w:r>
        <w:rPr>
          <w:rFonts w:ascii="Times New Roman;serif" w:hAnsi="Times New Roman;serif"/>
          <w:b w:val="false"/>
          <w:i/>
          <w:color w:val="000000"/>
          <w:sz w:val="24"/>
        </w:rPr>
        <w:t>Subsidiary Guarantee</w:t>
      </w:r>
      <w:r>
        <w:rPr>
          <w:color w:val="000000"/>
        </w:rPr>
        <w:t xml:space="preserve">” </w:t>
      </w:r>
      <w:r>
        <w:rPr>
          <w:rFonts w:ascii="Times New Roman;serif" w:hAnsi="Times New Roman;serif"/>
          <w:b w:val="false"/>
          <w:color w:val="000000"/>
          <w:sz w:val="24"/>
        </w:rPr>
        <w:t xml:space="preserve">means the guarantee by each Subsidiary Guarantor of the Issuer’s obligations under this Indenture and the Notes, executed pursuant to the provisions of this Indenture or a supplemental indenture hereto. </w:t>
      </w:r>
    </w:p>
    <w:p>
      <w:pPr>
        <w:pStyle w:val="TextBody"/>
        <w:bidi w:val="0"/>
        <w:spacing w:lineRule="auto" w:line="300" w:before="0" w:after="240"/>
        <w:ind w:left="0" w:right="0" w:firstLine="720"/>
        <w:jc w:val="both"/>
        <w:rPr/>
      </w:pPr>
      <w:r>
        <w:rPr>
          <w:color w:val="000000"/>
        </w:rPr>
        <w:t>“</w:t>
      </w:r>
      <w:r>
        <w:rPr>
          <w:rFonts w:ascii="Times New Roman;serif" w:hAnsi="Times New Roman;serif"/>
          <w:b w:val="false"/>
          <w:i/>
          <w:color w:val="000000"/>
          <w:sz w:val="24"/>
        </w:rPr>
        <w:t>Subsidiary Guarantor</w:t>
      </w:r>
      <w:r>
        <w:rPr>
          <w:color w:val="000000"/>
        </w:rPr>
        <w:t xml:space="preserve">” </w:t>
      </w:r>
      <w:r>
        <w:rPr>
          <w:rFonts w:ascii="Times New Roman;serif" w:hAnsi="Times New Roman;serif"/>
          <w:b w:val="false"/>
          <w:color w:val="000000"/>
          <w:sz w:val="24"/>
        </w:rPr>
        <w:t>means any of the Issuer’s current and future Wholly Owned Domestic Subsidiaries that guarantees the Notes pursuant to the provisions of this Indenture, in each case, until the Subsidiary Guarantee of such Person has been released in accordance with the provisions of this Indenture.</w:t>
      </w:r>
    </w:p>
    <w:p>
      <w:pPr>
        <w:pStyle w:val="TextBody"/>
        <w:bidi w:val="0"/>
        <w:spacing w:lineRule="auto" w:line="300" w:before="0" w:after="240"/>
        <w:ind w:left="0" w:right="0" w:firstLine="720"/>
        <w:jc w:val="both"/>
        <w:rPr/>
      </w:pPr>
      <w:r>
        <w:rPr>
          <w:color w:val="000000"/>
        </w:rPr>
        <w:t>“</w:t>
      </w:r>
      <w:r>
        <w:rPr>
          <w:rFonts w:ascii="Times New Roman;serif" w:hAnsi="Times New Roman;serif"/>
          <w:b w:val="false"/>
          <w:i/>
          <w:color w:val="000000"/>
          <w:sz w:val="24"/>
        </w:rPr>
        <w:t>Susquehanna</w:t>
      </w:r>
      <w:r>
        <w:rPr>
          <w:color w:val="000000"/>
        </w:rPr>
        <w:t xml:space="preserve">” </w:t>
      </w:r>
      <w:r>
        <w:rPr>
          <w:rFonts w:ascii="Times New Roman;serif" w:hAnsi="Times New Roman;serif"/>
          <w:b w:val="false"/>
          <w:color w:val="000000"/>
          <w:sz w:val="24"/>
        </w:rPr>
        <w:t>means Susquehanna Nuclear, LLC and any of its successors and assigns.</w:t>
      </w:r>
    </w:p>
    <w:p>
      <w:pPr>
        <w:pStyle w:val="TextBody"/>
        <w:bidi w:val="0"/>
        <w:spacing w:lineRule="auto" w:line="300" w:before="0" w:after="240"/>
        <w:ind w:left="0" w:right="0" w:firstLine="720"/>
        <w:jc w:val="both"/>
        <w:rPr/>
      </w:pPr>
      <w:r>
        <w:rPr>
          <w:color w:val="000000"/>
        </w:rPr>
        <w:t>“</w:t>
      </w:r>
      <w:r>
        <w:rPr>
          <w:rFonts w:ascii="Times New Roman;serif" w:hAnsi="Times New Roman;serif"/>
          <w:b w:val="false"/>
          <w:i/>
          <w:color w:val="000000"/>
          <w:sz w:val="24"/>
        </w:rPr>
        <w:t>Susquehanna Assets</w:t>
      </w:r>
      <w:r>
        <w:rPr>
          <w:color w:val="000000"/>
        </w:rPr>
        <w:t xml:space="preserve">” </w:t>
      </w:r>
      <w:r>
        <w:rPr>
          <w:rFonts w:ascii="Times New Roman;serif" w:hAnsi="Times New Roman;serif"/>
          <w:b w:val="false"/>
          <w:color w:val="000000"/>
          <w:sz w:val="24"/>
        </w:rPr>
        <w:t>means (a) any Equity Interests of Susquehanna and (b) any assets (other than cash and Cash Equivalents) owned by Susquehanna as of the Issue Date that are material to the operations of Susquehanna (as determined by the Issuer) as of the Issue Date.</w:t>
      </w:r>
    </w:p>
    <w:p>
      <w:pPr>
        <w:pStyle w:val="TextBody"/>
        <w:bidi w:val="0"/>
        <w:spacing w:lineRule="auto" w:line="300" w:before="0" w:after="240"/>
        <w:ind w:left="0" w:right="0" w:firstLine="720"/>
        <w:jc w:val="both"/>
        <w:rPr/>
      </w:pPr>
      <w:r>
        <w:rPr>
          <w:color w:val="000000"/>
        </w:rPr>
        <w:t>“</w:t>
      </w:r>
      <w:r>
        <w:rPr>
          <w:rFonts w:ascii="Times New Roman;serif" w:hAnsi="Times New Roman;serif"/>
          <w:b w:val="false"/>
          <w:i/>
          <w:color w:val="000000"/>
          <w:sz w:val="24"/>
        </w:rPr>
        <w:t>Test Period</w:t>
      </w:r>
      <w:r>
        <w:rPr>
          <w:color w:val="000000"/>
        </w:rPr>
        <w:t xml:space="preserve">” </w:t>
      </w:r>
      <w:r>
        <w:rPr>
          <w:rFonts w:ascii="Times New Roman;serif" w:hAnsi="Times New Roman;serif"/>
          <w:b w:val="false"/>
          <w:color w:val="000000"/>
          <w:sz w:val="24"/>
        </w:rPr>
        <w:t xml:space="preserve">means, on any date of determination, the four consecutive fiscal quarters of the Issuer then last ended for which financial statements have been or were required to have been delivered pursuant to </w:t>
      </w:r>
      <w:r>
        <w:rPr>
          <w:rFonts w:ascii="Times New Roman;serif" w:hAnsi="Times New Roman;serif"/>
          <w:b w:val="false"/>
          <w:color w:val="000000"/>
          <w:sz w:val="24"/>
          <w:u w:val="single"/>
        </w:rPr>
        <w:t>Section 4.07</w:t>
      </w:r>
      <w:r>
        <w:rPr>
          <w:color w:val="000000"/>
        </w:rPr>
        <w:t xml:space="preserve"> </w:t>
      </w:r>
      <w:r>
        <w:rPr>
          <w:rFonts w:ascii="Times New Roman;serif" w:hAnsi="Times New Roman;serif"/>
          <w:b w:val="false"/>
          <w:color w:val="000000"/>
          <w:sz w:val="24"/>
        </w:rPr>
        <w:t>or at the sole option of the Issuer, for purposes of any calculation of Consolidated Adjusted EBITDA and/or any financial ratio under this Indenture, financial statements are internally available.</w:t>
      </w:r>
    </w:p>
    <w:p>
      <w:pPr>
        <w:pStyle w:val="TextBody"/>
        <w:bidi w:val="0"/>
        <w:spacing w:lineRule="auto" w:line="300" w:before="0" w:after="240"/>
        <w:ind w:left="0" w:right="0" w:firstLine="720"/>
        <w:jc w:val="both"/>
        <w:rPr/>
      </w:pPr>
      <w:r>
        <w:rPr>
          <w:color w:val="000000"/>
        </w:rPr>
        <w:t>“</w:t>
      </w:r>
      <w:r>
        <w:rPr>
          <w:rFonts w:ascii="Times New Roman;serif" w:hAnsi="Times New Roman;serif"/>
          <w:b w:val="false"/>
          <w:i/>
          <w:color w:val="000000"/>
          <w:sz w:val="24"/>
        </w:rPr>
        <w:t>TIA</w:t>
      </w:r>
      <w:r>
        <w:rPr>
          <w:color w:val="000000"/>
        </w:rPr>
        <w:t xml:space="preserve">” </w:t>
      </w:r>
      <w:r>
        <w:rPr>
          <w:rFonts w:ascii="Times New Roman;serif" w:hAnsi="Times New Roman;serif"/>
          <w:b w:val="false"/>
          <w:color w:val="000000"/>
          <w:sz w:val="24"/>
        </w:rPr>
        <w:t>means the Trust Indenture Act of 1939, as amended (15 U.S.C. §§ 77aaa-77bbbb).</w:t>
      </w:r>
    </w:p>
    <w:p>
      <w:pPr>
        <w:pStyle w:val="TextBody"/>
        <w:bidi w:val="0"/>
        <w:spacing w:before="0" w:after="0"/>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735965"/>
                <wp:effectExtent l="0" t="0" r="0" b="0"/>
                <wp:wrapNone/>
                <wp:docPr id="72" name="Frame72"/>
                <a:graphic xmlns:a="http://schemas.openxmlformats.org/drawingml/2006/main">
                  <a:graphicData uri="http://schemas.microsoft.com/office/word/2010/wordprocessingShape">
                    <wps:wsp>
                      <wps:cNvSpPr txBox="1"/>
                      <wps:spPr>
                        <a:xfrm>
                          <a:off x="0" y="0"/>
                          <a:ext cx="6480175" cy="7359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24</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24</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300" w:before="0" w:after="240"/>
        <w:ind w:left="0" w:right="0" w:firstLine="720"/>
        <w:jc w:val="both"/>
        <w:rPr/>
      </w:pPr>
      <w:r>
        <w:rPr>
          <w:color w:val="000000"/>
        </w:rPr>
        <w:t>“</w:t>
      </w:r>
      <w:r>
        <w:rPr>
          <w:rFonts w:ascii="Times New Roman;serif" w:hAnsi="Times New Roman;serif"/>
          <w:b w:val="false"/>
          <w:i/>
          <w:color w:val="000000"/>
          <w:sz w:val="24"/>
        </w:rPr>
        <w:t>Total Assets</w:t>
      </w:r>
      <w:r>
        <w:rPr>
          <w:color w:val="000000"/>
        </w:rPr>
        <w:t xml:space="preserve">” </w:t>
      </w:r>
      <w:r>
        <w:rPr>
          <w:rFonts w:ascii="Times New Roman;serif" w:hAnsi="Times New Roman;serif"/>
          <w:b w:val="false"/>
          <w:color w:val="000000"/>
          <w:sz w:val="24"/>
        </w:rPr>
        <w:t xml:space="preserve">means, as of any date of determination, the total consolidated assets of the Issuer and its Subsidiaries, determined in accordance with GAAP, as shown on the consolidated balance sheet of the Issuer for the then-most recent fiscal quarter or fiscal year, as applicable, for which financial statements have been delivered pursuant to </w:t>
      </w:r>
      <w:r>
        <w:rPr>
          <w:rFonts w:ascii="Times New Roman;serif" w:hAnsi="Times New Roman;serif"/>
          <w:b w:val="false"/>
          <w:color w:val="000000"/>
          <w:sz w:val="24"/>
          <w:u w:val="single"/>
        </w:rPr>
        <w:t>Section 4.07</w:t>
      </w:r>
      <w:r>
        <w:rPr>
          <w:color w:val="000000"/>
        </w:rPr>
        <w:t xml:space="preserve"> </w:t>
      </w:r>
      <w:r>
        <w:rPr>
          <w:rFonts w:ascii="Times New Roman;serif" w:hAnsi="Times New Roman;serif"/>
          <w:b w:val="false"/>
          <w:color w:val="000000"/>
          <w:sz w:val="24"/>
        </w:rPr>
        <w:t xml:space="preserve">or were required to be delivered (or, at the option of the Issuer, are internally available), and after giving </w:t>
      </w:r>
      <w:r>
        <w:rPr>
          <w:rFonts w:ascii="Times New Roman;serif" w:hAnsi="Times New Roman;serif"/>
          <w:b w:val="false"/>
          <w:i/>
          <w:color w:val="000000"/>
          <w:sz w:val="24"/>
        </w:rPr>
        <w:t>pro forma</w:t>
      </w:r>
      <w:r>
        <w:rPr>
          <w:color w:val="000000"/>
        </w:rPr>
        <w:t xml:space="preserve"> </w:t>
      </w:r>
      <w:r>
        <w:rPr>
          <w:rFonts w:ascii="Times New Roman;serif" w:hAnsi="Times New Roman;serif"/>
          <w:b w:val="false"/>
          <w:color w:val="000000"/>
          <w:sz w:val="24"/>
        </w:rPr>
        <w:t>effect to any acquisition or disposal of any property or assets consummated after the date of the applicable balance sheet and on or prior to the date of determination.</w:t>
      </w:r>
    </w:p>
    <w:p>
      <w:pPr>
        <w:pStyle w:val="TextBody"/>
        <w:bidi w:val="0"/>
        <w:spacing w:lineRule="auto" w:line="300" w:before="0" w:after="240"/>
        <w:ind w:left="0" w:right="0" w:firstLine="720"/>
        <w:jc w:val="both"/>
        <w:rPr/>
      </w:pPr>
      <w:r>
        <w:rPr>
          <w:color w:val="000000"/>
        </w:rPr>
        <w:t>“</w:t>
      </w:r>
      <w:r>
        <w:rPr>
          <w:rFonts w:ascii="Times New Roman;serif" w:hAnsi="Times New Roman;serif"/>
          <w:b w:val="false"/>
          <w:i/>
          <w:color w:val="000000"/>
          <w:sz w:val="24"/>
        </w:rPr>
        <w:t>Transactions</w:t>
      </w:r>
      <w:r>
        <w:rPr>
          <w:color w:val="000000"/>
        </w:rPr>
        <w:t xml:space="preserve">” </w:t>
      </w:r>
      <w:r>
        <w:rPr>
          <w:rFonts w:ascii="Times New Roman;serif" w:hAnsi="Times New Roman;serif"/>
          <w:b w:val="false"/>
          <w:color w:val="000000"/>
          <w:sz w:val="24"/>
        </w:rPr>
        <w:t>means, collectively, the (i) the issuance of the Notes, (ii) the Credit Facility Transactions and (iii) the Cornerstone Acquisition, and the payment of fees, costs, liabilities and expenses in connection with each of the foregoing and the consummation of any other transaction connected with the foregoing.</w:t>
      </w:r>
    </w:p>
    <w:p>
      <w:pPr>
        <w:pStyle w:val="TextBody"/>
        <w:bidi w:val="0"/>
        <w:spacing w:lineRule="auto" w:line="300" w:before="0" w:after="240"/>
        <w:ind w:left="0" w:right="0" w:firstLine="720"/>
        <w:jc w:val="both"/>
        <w:rPr/>
      </w:pPr>
      <w:r>
        <w:rPr>
          <w:color w:val="000000"/>
        </w:rPr>
        <w:t>“</w:t>
      </w:r>
      <w:r>
        <w:rPr>
          <w:rFonts w:ascii="Times New Roman;serif" w:hAnsi="Times New Roman;serif"/>
          <w:b w:val="false"/>
          <w:i/>
          <w:color w:val="000000"/>
          <w:sz w:val="24"/>
        </w:rPr>
        <w:t>Treasury Rate</w:t>
      </w:r>
      <w:r>
        <w:rPr>
          <w:color w:val="000000"/>
        </w:rPr>
        <w:t xml:space="preserve">” </w:t>
      </w:r>
      <w:r>
        <w:rPr>
          <w:rFonts w:ascii="Times New Roman;serif" w:hAnsi="Times New Roman;serif"/>
          <w:b w:val="false"/>
          <w:color w:val="000000"/>
          <w:sz w:val="24"/>
        </w:rPr>
        <w:t xml:space="preserve">means, as of any redemption date, the yield to maturity as of such redemption date of United States Treasury securities with a constant maturity (as compiled and published in the most recent Federal Reserve Statistical Release H.15 that has become publicly available at least two Business Days prior to the redemption date (or, if such Statistical Release is no longer published, any publicly available source of similar market data)) most nearly equal to the period from the redemption date to May 1, 2028;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w:t>
      </w:r>
      <w:r>
        <w:rPr>
          <w:rFonts w:ascii="Times New Roman;serif" w:hAnsi="Times New Roman;serif"/>
          <w:b w:val="false"/>
          <w:i/>
          <w:color w:val="000000"/>
          <w:sz w:val="24"/>
        </w:rPr>
        <w:t>however</w:t>
      </w:r>
      <w:r>
        <w:rPr>
          <w:rFonts w:ascii="Times New Roman;serif" w:hAnsi="Times New Roman;serif"/>
          <w:b w:val="false"/>
          <w:color w:val="000000"/>
          <w:sz w:val="24"/>
        </w:rPr>
        <w:t>, that if the period from the redemption date to May 1, 2028 is less than one year, the weekly average yield on actively traded United States Treasury securities adjusted to a constant maturity of one year will be used.</w:t>
      </w:r>
    </w:p>
    <w:p>
      <w:pPr>
        <w:pStyle w:val="TextBody"/>
        <w:bidi w:val="0"/>
        <w:spacing w:lineRule="auto" w:line="300" w:before="0" w:after="240"/>
        <w:ind w:left="0" w:right="0" w:firstLine="720"/>
        <w:jc w:val="both"/>
        <w:rPr/>
      </w:pPr>
      <w:r>
        <w:rPr>
          <w:color w:val="000000"/>
        </w:rPr>
        <w:t>“</w:t>
      </w:r>
      <w:r>
        <w:rPr>
          <w:rFonts w:ascii="Times New Roman;serif" w:hAnsi="Times New Roman;serif"/>
          <w:b w:val="false"/>
          <w:i/>
          <w:color w:val="000000"/>
          <w:sz w:val="24"/>
        </w:rPr>
        <w:t>Trustee</w:t>
      </w:r>
      <w:r>
        <w:rPr>
          <w:color w:val="000000"/>
        </w:rPr>
        <w:t xml:space="preserve">” </w:t>
      </w:r>
      <w:r>
        <w:rPr>
          <w:rFonts w:ascii="Times New Roman;serif" w:hAnsi="Times New Roman;serif"/>
          <w:b w:val="false"/>
          <w:color w:val="000000"/>
          <w:sz w:val="24"/>
        </w:rPr>
        <w:t>means the Person named as the “Trustee” in the first paragraph of this instrument until a successor Trustee shall have become such pursuant to the applicable provisions of this Indenture, and thereafter “Trustee” shall mean such successor Trustee.</w:t>
      </w:r>
    </w:p>
    <w:p>
      <w:pPr>
        <w:pStyle w:val="TextBody"/>
        <w:bidi w:val="0"/>
        <w:spacing w:lineRule="auto" w:line="300" w:before="0" w:after="240"/>
        <w:ind w:left="0" w:right="0" w:firstLine="720"/>
        <w:jc w:val="both"/>
        <w:rPr/>
      </w:pPr>
      <w:r>
        <w:rPr>
          <w:color w:val="000000"/>
        </w:rPr>
        <w:t>“</w:t>
      </w:r>
      <w:r>
        <w:rPr>
          <w:rFonts w:ascii="Times New Roman;serif" w:hAnsi="Times New Roman;serif"/>
          <w:b w:val="false"/>
          <w:i/>
          <w:color w:val="000000"/>
          <w:sz w:val="24"/>
        </w:rPr>
        <w:t>Unrestricted Definitive Note</w:t>
      </w:r>
      <w:r>
        <w:rPr>
          <w:color w:val="000000"/>
        </w:rPr>
        <w:t xml:space="preserve">” </w:t>
      </w:r>
      <w:r>
        <w:rPr>
          <w:rFonts w:ascii="Times New Roman;serif" w:hAnsi="Times New Roman;serif"/>
          <w:b w:val="false"/>
          <w:color w:val="000000"/>
          <w:sz w:val="24"/>
        </w:rPr>
        <w:t>means a Definitive Note that does not bear and is not required to bear the Private Placement Legend.</w:t>
      </w:r>
      <w:r>
        <w:rPr>
          <w:color w:val="000000"/>
        </w:rPr>
        <w:t xml:space="preserve"> </w:t>
      </w:r>
    </w:p>
    <w:p>
      <w:pPr>
        <w:pStyle w:val="TextBody"/>
        <w:bidi w:val="0"/>
        <w:spacing w:lineRule="auto" w:line="300" w:before="0" w:after="240"/>
        <w:ind w:left="0" w:right="0" w:firstLine="720"/>
        <w:jc w:val="both"/>
        <w:rPr/>
      </w:pPr>
      <w:r>
        <w:rPr>
          <w:color w:val="000000"/>
        </w:rPr>
        <w:t>“</w:t>
      </w:r>
      <w:r>
        <w:rPr>
          <w:rFonts w:ascii="Times New Roman;serif" w:hAnsi="Times New Roman;serif"/>
          <w:b w:val="false"/>
          <w:i/>
          <w:color w:val="000000"/>
          <w:sz w:val="24"/>
        </w:rPr>
        <w:t>Unrestricted Global Note</w:t>
      </w:r>
      <w:r>
        <w:rPr>
          <w:color w:val="000000"/>
        </w:rPr>
        <w:t xml:space="preserve">” </w:t>
      </w:r>
      <w:r>
        <w:rPr>
          <w:rFonts w:ascii="Times New Roman;serif" w:hAnsi="Times New Roman;serif"/>
          <w:b w:val="false"/>
          <w:color w:val="000000"/>
          <w:sz w:val="24"/>
        </w:rPr>
        <w:t>means a Global Note that does not bear and is not required to bear the Private Placement Legend.</w:t>
      </w:r>
    </w:p>
    <w:p>
      <w:pPr>
        <w:pStyle w:val="TextBody"/>
        <w:bidi w:val="0"/>
        <w:spacing w:lineRule="auto" w:line="300" w:before="0" w:after="240"/>
        <w:ind w:left="0" w:right="0" w:firstLine="720"/>
        <w:jc w:val="both"/>
        <w:rPr/>
      </w:pPr>
      <w:r>
        <w:rPr>
          <w:color w:val="000000"/>
        </w:rPr>
        <w:t>“</w:t>
      </w:r>
      <w:r>
        <w:rPr>
          <w:rFonts w:ascii="Times New Roman;serif" w:hAnsi="Times New Roman;serif"/>
          <w:b w:val="false"/>
          <w:i/>
          <w:color w:val="000000"/>
          <w:sz w:val="24"/>
        </w:rPr>
        <w:t>Voting Stock</w:t>
      </w:r>
      <w:r>
        <w:rPr>
          <w:color w:val="000000"/>
        </w:rPr>
        <w:t xml:space="preserve">” </w:t>
      </w:r>
      <w:r>
        <w:rPr>
          <w:rFonts w:ascii="Times New Roman;serif" w:hAnsi="Times New Roman;serif"/>
          <w:b w:val="false"/>
          <w:color w:val="000000"/>
          <w:sz w:val="24"/>
        </w:rPr>
        <w:t>of any Person as of any date means the Capital Stock of such Person that is at the time entitled to vote in the election of the Board of Directors of such Person under ordinary circumstances.</w:t>
      </w:r>
    </w:p>
    <w:p>
      <w:pPr>
        <w:pStyle w:val="TextBody"/>
        <w:bidi w:val="0"/>
        <w:spacing w:lineRule="auto" w:line="300" w:before="0" w:after="240"/>
        <w:ind w:left="0" w:right="0" w:firstLine="720"/>
        <w:jc w:val="both"/>
        <w:rPr/>
      </w:pPr>
      <w:r>
        <w:rPr>
          <w:color w:val="000000"/>
        </w:rPr>
        <w:t>“</w:t>
      </w:r>
      <w:r>
        <w:rPr>
          <w:rFonts w:ascii="Times New Roman;serif" w:hAnsi="Times New Roman;serif"/>
          <w:b w:val="false"/>
          <w:i/>
          <w:color w:val="000000"/>
          <w:sz w:val="24"/>
        </w:rPr>
        <w:t>Wholly Owned Domestic Subsidiary</w:t>
      </w:r>
      <w:r>
        <w:rPr>
          <w:color w:val="000000"/>
        </w:rPr>
        <w:t xml:space="preserve">” </w:t>
      </w:r>
      <w:r>
        <w:rPr>
          <w:rFonts w:ascii="Times New Roman;serif" w:hAnsi="Times New Roman;serif"/>
          <w:b w:val="false"/>
          <w:color w:val="000000"/>
          <w:sz w:val="24"/>
        </w:rPr>
        <w:t xml:space="preserve">means, as to any Person, any Wholly Owned Subsidiary of such Person which is a Domestic Subsidiary. </w:t>
      </w:r>
    </w:p>
    <w:p>
      <w:pPr>
        <w:pStyle w:val="TextBody"/>
        <w:bidi w:val="0"/>
        <w:spacing w:lineRule="auto" w:line="300" w:before="0" w:after="240"/>
        <w:ind w:left="0" w:right="0" w:firstLine="720"/>
        <w:jc w:val="both"/>
        <w:rPr/>
      </w:pPr>
      <w:r>
        <w:rPr>
          <w:color w:val="000000"/>
        </w:rPr>
        <w:t>“</w:t>
      </w:r>
      <w:r>
        <w:rPr>
          <w:rFonts w:ascii="Times New Roman;serif" w:hAnsi="Times New Roman;serif"/>
          <w:b w:val="false"/>
          <w:i/>
          <w:color w:val="000000"/>
          <w:sz w:val="24"/>
        </w:rPr>
        <w:t>Wholly Owned Subsidiary</w:t>
      </w:r>
      <w:r>
        <w:rPr>
          <w:color w:val="000000"/>
        </w:rPr>
        <w:t xml:space="preserve">” </w:t>
      </w:r>
      <w:r>
        <w:rPr>
          <w:rFonts w:ascii="Times New Roman;serif" w:hAnsi="Times New Roman;serif"/>
          <w:b w:val="false"/>
          <w:color w:val="000000"/>
          <w:sz w:val="24"/>
        </w:rPr>
        <w:t xml:space="preserve">means, as to any Person, (i) any corporation 100% of whose Capital Stock is at the time owned by such Person and/or one or more Wholly Owned Subsidiaries of such Person and (ii) any partnership, limited liability company, association, joint venture or other entity in which such Person and/or one or more Wholly Owned Subsidiaries of such Person has a 100% Equity Interest at such time (other than, in the case of a Foreign </w:t>
      </w:r>
    </w:p>
    <w:p>
      <w:pPr>
        <w:pStyle w:val="TextBody"/>
        <w:bidi w:val="0"/>
        <w:spacing w:before="0" w:after="0"/>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735965"/>
                <wp:effectExtent l="0" t="0" r="0" b="0"/>
                <wp:wrapNone/>
                <wp:docPr id="73" name="Frame73"/>
                <a:graphic xmlns:a="http://schemas.openxmlformats.org/drawingml/2006/main">
                  <a:graphicData uri="http://schemas.microsoft.com/office/word/2010/wordprocessingShape">
                    <wps:wsp>
                      <wps:cNvSpPr txBox="1"/>
                      <wps:spPr>
                        <a:xfrm>
                          <a:off x="0" y="0"/>
                          <a:ext cx="6480175" cy="7359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25</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25</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300" w:before="0" w:after="240"/>
        <w:jc w:val="both"/>
        <w:rPr>
          <w:rFonts w:ascii="Times New Roman;serif" w:hAnsi="Times New Roman;serif"/>
          <w:b w:val="false"/>
          <w:color w:val="000000"/>
          <w:sz w:val="24"/>
        </w:rPr>
      </w:pPr>
      <w:r>
        <w:rPr>
          <w:rFonts w:ascii="Times New Roman;serif" w:hAnsi="Times New Roman;serif"/>
          <w:b w:val="false"/>
          <w:color w:val="000000"/>
          <w:sz w:val="24"/>
        </w:rPr>
        <w:t>Subsidiary of the Issuer with respect to the preceding clauses (i) and (ii), director’s qualifying shares and/or other nominal amount of shares required to be held by Persons other than the Issuer and its Subsidiaries under Applicable Law).</w:t>
      </w:r>
    </w:p>
    <w:p>
      <w:pPr>
        <w:pStyle w:val="TextBody"/>
        <w:bidi w:val="0"/>
        <w:spacing w:lineRule="auto" w:line="240" w:before="0" w:after="240"/>
        <w:jc w:val="left"/>
        <w:rPr/>
      </w:pPr>
      <w:r>
        <w:rPr>
          <w:rFonts w:ascii="Times New Roman;serif" w:hAnsi="Times New Roman;serif"/>
          <w:b w:val="false"/>
          <w:color w:val="000000"/>
          <w:sz w:val="24"/>
        </w:rPr>
        <w:t>Section 1.02</w:t>
      </w:r>
      <w:r>
        <w:rPr>
          <w:rFonts w:ascii="Times New Roman;serif" w:hAnsi="Times New Roman;serif"/>
          <w:b w:val="false"/>
          <w:color w:val="000000"/>
          <w:sz w:val="24"/>
          <w:u w:val="single"/>
        </w:rPr>
        <w:t>Other Definitions</w:t>
      </w:r>
      <w:r>
        <w:rPr>
          <w:rFonts w:ascii="Times New Roman;serif" w:hAnsi="Times New Roman;serif"/>
          <w:b w:val="false"/>
          <w:color w:val="000000"/>
          <w:sz w:val="24"/>
        </w:rPr>
        <w:t>.</w:t>
      </w:r>
    </w:p>
    <w:tbl>
      <w:tblPr>
        <w:tblW w:w="7153" w:type="dxa"/>
        <w:jc w:val="center"/>
        <w:tblInd w:w="0" w:type="dxa"/>
        <w:tblLayout w:type="fixed"/>
        <w:tblCellMar>
          <w:top w:w="28" w:type="dxa"/>
          <w:left w:w="28" w:type="dxa"/>
          <w:bottom w:w="28" w:type="dxa"/>
          <w:right w:w="28" w:type="dxa"/>
        </w:tblCellMar>
      </w:tblPr>
      <w:tblGrid>
        <w:gridCol w:w="1801"/>
        <w:gridCol w:w="1583"/>
        <w:gridCol w:w="1595"/>
        <w:gridCol w:w="637"/>
        <w:gridCol w:w="637"/>
        <w:gridCol w:w="900"/>
      </w:tblGrid>
      <w:tr>
        <w:trPr/>
        <w:tc>
          <w:tcPr>
            <w:tcW w:w="1801" w:type="dxa"/>
            <w:tcBorders/>
            <w:vAlign w:val="center"/>
          </w:tcPr>
          <w:p>
            <w:pPr>
              <w:pStyle w:val="TableContents"/>
              <w:bidi w:val="0"/>
              <w:spacing w:before="0" w:after="283"/>
              <w:jc w:val="left"/>
              <w:rPr>
                <w:sz w:val="4"/>
                <w:szCs w:val="4"/>
              </w:rPr>
            </w:pPr>
            <w:r>
              <w:rPr>
                <w:sz w:val="4"/>
                <w:szCs w:val="4"/>
              </w:rPr>
            </w:r>
          </w:p>
        </w:tc>
        <w:tc>
          <w:tcPr>
            <w:tcW w:w="1583" w:type="dxa"/>
            <w:tcBorders/>
            <w:vAlign w:val="center"/>
          </w:tcPr>
          <w:p>
            <w:pPr>
              <w:pStyle w:val="TableContents"/>
              <w:bidi w:val="0"/>
              <w:spacing w:before="0" w:after="283"/>
              <w:jc w:val="left"/>
              <w:rPr>
                <w:sz w:val="4"/>
                <w:szCs w:val="4"/>
              </w:rPr>
            </w:pPr>
            <w:r>
              <w:rPr>
                <w:sz w:val="4"/>
                <w:szCs w:val="4"/>
              </w:rPr>
            </w:r>
          </w:p>
        </w:tc>
        <w:tc>
          <w:tcPr>
            <w:tcW w:w="1595"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r>
      <w:tr>
        <w:trPr/>
        <w:tc>
          <w:tcPr>
            <w:tcW w:w="49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Term</w:t>
            </w:r>
          </w:p>
        </w:tc>
        <w:tc>
          <w:tcPr>
            <w:tcW w:w="21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 xml:space="preserve">Defined in </w:t>
              <w:br/>
              <w:t>Section</w:t>
            </w:r>
          </w:p>
        </w:tc>
      </w:tr>
      <w:tr>
        <w:trPr/>
        <w:tc>
          <w:tcPr>
            <w:tcW w:w="4979" w:type="dxa"/>
            <w:gridSpan w:val="3"/>
            <w:tcBorders>
              <w:top w:val="single" w:sz="2" w:space="0" w:color="95B3D7"/>
            </w:tcBorders>
            <w:tcMar>
              <w:top w:w="30" w:type="dxa"/>
              <w:left w:w="0" w:type="dxa"/>
              <w:bottom w:w="0" w:type="dxa"/>
              <w:right w:w="0" w:type="dxa"/>
            </w:tcMar>
            <w:vAlign w:val="center"/>
          </w:tcPr>
          <w:p>
            <w:pPr>
              <w:pStyle w:val="TableContents"/>
              <w:bidi w:val="0"/>
              <w:spacing w:lineRule="auto" w:line="288" w:before="0" w:after="0"/>
              <w:jc w:val="left"/>
              <w:rPr/>
            </w:pPr>
            <w:r>
              <w:rPr>
                <w:color w:val="000000"/>
              </w:rPr>
              <w:t>“</w:t>
            </w:r>
            <w:r>
              <w:rPr>
                <w:rFonts w:ascii="Times New Roman;serif" w:hAnsi="Times New Roman;serif"/>
                <w:b w:val="false"/>
                <w:i/>
                <w:color w:val="000000"/>
                <w:sz w:val="24"/>
              </w:rPr>
              <w:t>Additional Notes Special Mandatory Redemption</w:t>
            </w:r>
            <w:r>
              <w:rPr>
                <w:color w:val="000000"/>
              </w:rPr>
              <w:t>”</w:t>
            </w:r>
          </w:p>
        </w:tc>
        <w:tc>
          <w:tcPr>
            <w:tcW w:w="2174" w:type="dxa"/>
            <w:gridSpan w:val="3"/>
            <w:tcBorders>
              <w:top w:val="single" w:sz="2" w:space="0" w:color="95B3D7"/>
              <w:left w:val="single" w:sz="2" w:space="0" w:color="95B3D7"/>
            </w:tcBorders>
            <w:tcMar>
              <w:top w:w="3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Section 2.07(a)(5)</w:t>
            </w:r>
          </w:p>
        </w:tc>
      </w:tr>
      <w:tr>
        <w:trPr/>
        <w:tc>
          <w:tcPr>
            <w:tcW w:w="4979" w:type="dxa"/>
            <w:gridSpan w:val="3"/>
            <w:tcBorders>
              <w:top w:val="single" w:sz="2" w:space="0" w:color="95B3D7"/>
            </w:tcBorders>
            <w:tcMar>
              <w:top w:w="30" w:type="dxa"/>
              <w:left w:w="0" w:type="dxa"/>
              <w:bottom w:w="0" w:type="dxa"/>
              <w:right w:w="0" w:type="dxa"/>
            </w:tcMar>
            <w:vAlign w:val="center"/>
          </w:tcPr>
          <w:p>
            <w:pPr>
              <w:pStyle w:val="TableContents"/>
              <w:bidi w:val="0"/>
              <w:spacing w:lineRule="auto" w:line="288" w:before="0" w:after="0"/>
              <w:jc w:val="left"/>
              <w:rPr/>
            </w:pPr>
            <w:r>
              <w:rPr>
                <w:color w:val="000000"/>
              </w:rPr>
              <w:t>“</w:t>
            </w:r>
            <w:r>
              <w:rPr>
                <w:rFonts w:ascii="Times New Roman;serif" w:hAnsi="Times New Roman;serif"/>
                <w:b w:val="false"/>
                <w:i/>
                <w:color w:val="000000"/>
                <w:sz w:val="24"/>
              </w:rPr>
              <w:t>Applicable Premium Deficit</w:t>
            </w:r>
            <w:r>
              <w:rPr>
                <w:color w:val="000000"/>
              </w:rPr>
              <w:t>”</w:t>
            </w:r>
          </w:p>
        </w:tc>
        <w:tc>
          <w:tcPr>
            <w:tcW w:w="2174" w:type="dxa"/>
            <w:gridSpan w:val="3"/>
            <w:tcBorders>
              <w:top w:val="single" w:sz="2" w:space="0" w:color="95B3D7"/>
              <w:left w:val="single" w:sz="2" w:space="0" w:color="95B3D7"/>
            </w:tcBorders>
            <w:tcMar>
              <w:top w:w="3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Section 3.09</w:t>
            </w:r>
          </w:p>
        </w:tc>
      </w:tr>
      <w:tr>
        <w:trPr/>
        <w:tc>
          <w:tcPr>
            <w:tcW w:w="4979" w:type="dxa"/>
            <w:gridSpan w:val="3"/>
            <w:tcBorders>
              <w:top w:val="single" w:sz="2" w:space="0" w:color="95B3D7"/>
            </w:tcBorders>
            <w:tcMar>
              <w:top w:w="30" w:type="dxa"/>
              <w:left w:w="0" w:type="dxa"/>
              <w:bottom w:w="0" w:type="dxa"/>
              <w:right w:w="0" w:type="dxa"/>
            </w:tcMar>
            <w:vAlign w:val="center"/>
          </w:tcPr>
          <w:p>
            <w:pPr>
              <w:pStyle w:val="TableContents"/>
              <w:bidi w:val="0"/>
              <w:spacing w:lineRule="auto" w:line="288" w:before="0" w:after="0"/>
              <w:jc w:val="left"/>
              <w:rPr/>
            </w:pPr>
            <w:r>
              <w:rPr>
                <w:color w:val="000000"/>
              </w:rPr>
              <w:t>“</w:t>
            </w:r>
            <w:r>
              <w:rPr>
                <w:rFonts w:ascii="Times New Roman;serif" w:hAnsi="Times New Roman;serif"/>
                <w:b w:val="false"/>
                <w:i/>
                <w:color w:val="000000"/>
                <w:sz w:val="24"/>
              </w:rPr>
              <w:t>Acquisition Triggering Event</w:t>
            </w:r>
            <w:r>
              <w:rPr>
                <w:color w:val="000000"/>
              </w:rPr>
              <w:t>”</w:t>
            </w:r>
          </w:p>
        </w:tc>
        <w:tc>
          <w:tcPr>
            <w:tcW w:w="2174" w:type="dxa"/>
            <w:gridSpan w:val="3"/>
            <w:tcBorders>
              <w:top w:val="single" w:sz="2" w:space="0" w:color="95B3D7"/>
              <w:left w:val="single" w:sz="2" w:space="0" w:color="95B3D7"/>
            </w:tcBorders>
            <w:tcMar>
              <w:top w:w="3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Section 3.08(b) </w:t>
            </w:r>
          </w:p>
        </w:tc>
      </w:tr>
      <w:tr>
        <w:trPr/>
        <w:tc>
          <w:tcPr>
            <w:tcW w:w="4979" w:type="dxa"/>
            <w:gridSpan w:val="3"/>
            <w:tcBorders>
              <w:top w:val="single" w:sz="2" w:space="0" w:color="95B3D7"/>
            </w:tcBorders>
            <w:tcMar>
              <w:top w:w="30" w:type="dxa"/>
              <w:left w:w="0" w:type="dxa"/>
              <w:bottom w:w="0" w:type="dxa"/>
              <w:right w:w="0" w:type="dxa"/>
            </w:tcMar>
            <w:vAlign w:val="center"/>
          </w:tcPr>
          <w:p>
            <w:pPr>
              <w:pStyle w:val="TableContents"/>
              <w:bidi w:val="0"/>
              <w:spacing w:lineRule="auto" w:line="288" w:before="0" w:after="0"/>
              <w:jc w:val="left"/>
              <w:rPr/>
            </w:pPr>
            <w:r>
              <w:rPr>
                <w:color w:val="000000"/>
              </w:rPr>
              <w:t>“</w:t>
            </w:r>
            <w:r>
              <w:rPr>
                <w:rFonts w:ascii="Times New Roman;serif" w:hAnsi="Times New Roman;serif"/>
                <w:b w:val="false"/>
                <w:i/>
                <w:color w:val="000000"/>
                <w:sz w:val="24"/>
              </w:rPr>
              <w:t>Change of Control Offer</w:t>
            </w:r>
            <w:r>
              <w:rPr>
                <w:color w:val="000000"/>
              </w:rPr>
              <w:t>”</w:t>
            </w:r>
          </w:p>
        </w:tc>
        <w:tc>
          <w:tcPr>
            <w:tcW w:w="2174" w:type="dxa"/>
            <w:gridSpan w:val="3"/>
            <w:tcBorders>
              <w:top w:val="single" w:sz="2" w:space="0" w:color="95B3D7"/>
              <w:left w:val="single" w:sz="2" w:space="0" w:color="95B3D7"/>
            </w:tcBorders>
            <w:tcMar>
              <w:top w:w="3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Section 4.08(a)</w:t>
            </w:r>
          </w:p>
        </w:tc>
      </w:tr>
      <w:tr>
        <w:trPr/>
        <w:tc>
          <w:tcPr>
            <w:tcW w:w="4979" w:type="dxa"/>
            <w:gridSpan w:val="3"/>
            <w:tcBorders>
              <w:top w:val="single" w:sz="2" w:space="0" w:color="95B3D7"/>
            </w:tcBorders>
            <w:tcMar>
              <w:top w:w="30" w:type="dxa"/>
              <w:left w:w="0" w:type="dxa"/>
              <w:bottom w:w="0" w:type="dxa"/>
              <w:right w:w="0" w:type="dxa"/>
            </w:tcMar>
            <w:vAlign w:val="center"/>
          </w:tcPr>
          <w:p>
            <w:pPr>
              <w:pStyle w:val="TableContents"/>
              <w:bidi w:val="0"/>
              <w:spacing w:lineRule="auto" w:line="288" w:before="0" w:after="0"/>
              <w:jc w:val="left"/>
              <w:rPr/>
            </w:pPr>
            <w:r>
              <w:rPr>
                <w:color w:val="000000"/>
              </w:rPr>
              <w:t>“</w:t>
            </w:r>
            <w:r>
              <w:rPr>
                <w:rFonts w:ascii="Times New Roman;serif" w:hAnsi="Times New Roman;serif"/>
                <w:b w:val="false"/>
                <w:i/>
                <w:color w:val="000000"/>
                <w:sz w:val="24"/>
              </w:rPr>
              <w:t>Change</w:t>
            </w:r>
            <w:r>
              <w:rPr>
                <w:color w:val="000000"/>
              </w:rPr>
              <w:t xml:space="preserve"> </w:t>
            </w:r>
            <w:r>
              <w:rPr>
                <w:rFonts w:ascii="Times New Roman;serif" w:hAnsi="Times New Roman;serif"/>
                <w:b w:val="false"/>
                <w:i/>
                <w:color w:val="000000"/>
                <w:sz w:val="24"/>
              </w:rPr>
              <w:t>of</w:t>
            </w:r>
            <w:r>
              <w:rPr>
                <w:color w:val="000000"/>
              </w:rPr>
              <w:t xml:space="preserve"> </w:t>
            </w:r>
            <w:r>
              <w:rPr>
                <w:rFonts w:ascii="Times New Roman;serif" w:hAnsi="Times New Roman;serif"/>
                <w:b w:val="false"/>
                <w:i/>
                <w:color w:val="000000"/>
                <w:sz w:val="24"/>
              </w:rPr>
              <w:t>Control</w:t>
            </w:r>
            <w:r>
              <w:rPr>
                <w:color w:val="000000"/>
              </w:rPr>
              <w:t xml:space="preserve"> </w:t>
            </w:r>
            <w:r>
              <w:rPr>
                <w:rFonts w:ascii="Times New Roman;serif" w:hAnsi="Times New Roman;serif"/>
                <w:b w:val="false"/>
                <w:i/>
                <w:color w:val="000000"/>
                <w:sz w:val="24"/>
              </w:rPr>
              <w:t>Payment</w:t>
            </w:r>
            <w:r>
              <w:rPr>
                <w:color w:val="000000"/>
              </w:rPr>
              <w:t>”</w:t>
            </w:r>
          </w:p>
        </w:tc>
        <w:tc>
          <w:tcPr>
            <w:tcW w:w="2174" w:type="dxa"/>
            <w:gridSpan w:val="3"/>
            <w:tcBorders>
              <w:top w:val="single" w:sz="2" w:space="0" w:color="95B3D7"/>
              <w:left w:val="single" w:sz="2" w:space="0" w:color="95B3D7"/>
            </w:tcBorders>
            <w:tcMar>
              <w:top w:w="3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Section 4.08(a)</w:t>
            </w:r>
          </w:p>
        </w:tc>
      </w:tr>
      <w:tr>
        <w:trPr/>
        <w:tc>
          <w:tcPr>
            <w:tcW w:w="4979" w:type="dxa"/>
            <w:gridSpan w:val="3"/>
            <w:tcBorders>
              <w:top w:val="single" w:sz="2" w:space="0" w:color="95B3D7"/>
            </w:tcBorders>
            <w:tcMar>
              <w:top w:w="30" w:type="dxa"/>
              <w:left w:w="0" w:type="dxa"/>
              <w:bottom w:w="0" w:type="dxa"/>
              <w:right w:w="0" w:type="dxa"/>
            </w:tcMar>
            <w:vAlign w:val="center"/>
          </w:tcPr>
          <w:p>
            <w:pPr>
              <w:pStyle w:val="TableContents"/>
              <w:bidi w:val="0"/>
              <w:spacing w:lineRule="auto" w:line="288" w:before="0" w:after="0"/>
              <w:jc w:val="left"/>
              <w:rPr/>
            </w:pPr>
            <w:r>
              <w:rPr>
                <w:color w:val="000000"/>
              </w:rPr>
              <w:t>“</w:t>
            </w:r>
            <w:r>
              <w:rPr>
                <w:rFonts w:ascii="Times New Roman;serif" w:hAnsi="Times New Roman;serif"/>
                <w:b w:val="false"/>
                <w:i/>
                <w:color w:val="000000"/>
                <w:sz w:val="24"/>
              </w:rPr>
              <w:t>Change</w:t>
            </w:r>
            <w:r>
              <w:rPr>
                <w:color w:val="000000"/>
              </w:rPr>
              <w:t xml:space="preserve"> </w:t>
            </w:r>
            <w:r>
              <w:rPr>
                <w:rFonts w:ascii="Times New Roman;serif" w:hAnsi="Times New Roman;serif"/>
                <w:b w:val="false"/>
                <w:i/>
                <w:color w:val="000000"/>
                <w:sz w:val="24"/>
              </w:rPr>
              <w:t>of</w:t>
            </w:r>
            <w:r>
              <w:rPr>
                <w:color w:val="000000"/>
              </w:rPr>
              <w:t xml:space="preserve"> </w:t>
            </w:r>
            <w:r>
              <w:rPr>
                <w:rFonts w:ascii="Times New Roman;serif" w:hAnsi="Times New Roman;serif"/>
                <w:b w:val="false"/>
                <w:i/>
                <w:color w:val="000000"/>
                <w:sz w:val="24"/>
              </w:rPr>
              <w:t>Control</w:t>
            </w:r>
            <w:r>
              <w:rPr>
                <w:color w:val="000000"/>
              </w:rPr>
              <w:t xml:space="preserve"> </w:t>
            </w:r>
            <w:r>
              <w:rPr>
                <w:rFonts w:ascii="Times New Roman;serif" w:hAnsi="Times New Roman;serif"/>
                <w:b w:val="false"/>
                <w:i/>
                <w:color w:val="000000"/>
                <w:sz w:val="24"/>
              </w:rPr>
              <w:t>Payment</w:t>
            </w:r>
            <w:r>
              <w:rPr>
                <w:color w:val="000000"/>
              </w:rPr>
              <w:t xml:space="preserve"> </w:t>
            </w:r>
            <w:r>
              <w:rPr>
                <w:rFonts w:ascii="Times New Roman;serif" w:hAnsi="Times New Roman;serif"/>
                <w:b w:val="false"/>
                <w:i/>
                <w:color w:val="000000"/>
                <w:sz w:val="24"/>
              </w:rPr>
              <w:t>Date</w:t>
            </w:r>
            <w:r>
              <w:rPr>
                <w:color w:val="000000"/>
              </w:rPr>
              <w:t>”</w:t>
            </w:r>
          </w:p>
        </w:tc>
        <w:tc>
          <w:tcPr>
            <w:tcW w:w="2174" w:type="dxa"/>
            <w:gridSpan w:val="3"/>
            <w:tcBorders>
              <w:top w:val="single" w:sz="2" w:space="0" w:color="95B3D7"/>
              <w:left w:val="single" w:sz="2" w:space="0" w:color="95B3D7"/>
            </w:tcBorders>
            <w:tcMar>
              <w:top w:w="3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Section 4.08(a)(2)</w:t>
            </w:r>
          </w:p>
        </w:tc>
      </w:tr>
      <w:tr>
        <w:trPr/>
        <w:tc>
          <w:tcPr>
            <w:tcW w:w="4979" w:type="dxa"/>
            <w:gridSpan w:val="3"/>
            <w:tcBorders>
              <w:top w:val="single" w:sz="2" w:space="0" w:color="95B3D7"/>
            </w:tcBorders>
            <w:tcMar>
              <w:top w:w="30" w:type="dxa"/>
              <w:left w:w="0" w:type="dxa"/>
              <w:bottom w:w="0" w:type="dxa"/>
              <w:right w:w="0" w:type="dxa"/>
            </w:tcMar>
            <w:vAlign w:val="center"/>
          </w:tcPr>
          <w:p>
            <w:pPr>
              <w:pStyle w:val="TableContents"/>
              <w:bidi w:val="0"/>
              <w:spacing w:lineRule="auto" w:line="288" w:before="0" w:after="0"/>
              <w:jc w:val="left"/>
              <w:rPr/>
            </w:pPr>
            <w:r>
              <w:rPr>
                <w:color w:val="000000"/>
              </w:rPr>
              <w:t>“</w:t>
            </w:r>
            <w:r>
              <w:rPr>
                <w:rFonts w:ascii="Times New Roman;serif" w:hAnsi="Times New Roman;serif"/>
                <w:b w:val="false"/>
                <w:i/>
                <w:color w:val="000000"/>
                <w:sz w:val="24"/>
              </w:rPr>
              <w:t>Covenant Defeasance</w:t>
            </w:r>
            <w:r>
              <w:rPr>
                <w:color w:val="000000"/>
              </w:rPr>
              <w:t>”</w:t>
            </w:r>
          </w:p>
        </w:tc>
        <w:tc>
          <w:tcPr>
            <w:tcW w:w="2174" w:type="dxa"/>
            <w:gridSpan w:val="3"/>
            <w:tcBorders>
              <w:top w:val="single" w:sz="2" w:space="0" w:color="95B3D7"/>
              <w:left w:val="single" w:sz="2" w:space="0" w:color="95B3D7"/>
            </w:tcBorders>
            <w:tcMar>
              <w:top w:w="3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Section 8.03</w:t>
            </w:r>
          </w:p>
        </w:tc>
      </w:tr>
      <w:tr>
        <w:trPr/>
        <w:tc>
          <w:tcPr>
            <w:tcW w:w="4979" w:type="dxa"/>
            <w:gridSpan w:val="3"/>
            <w:tcBorders>
              <w:top w:val="single" w:sz="2" w:space="0" w:color="95B3D7"/>
            </w:tcBorders>
            <w:tcMar>
              <w:top w:w="30" w:type="dxa"/>
              <w:left w:w="0" w:type="dxa"/>
              <w:bottom w:w="0" w:type="dxa"/>
              <w:right w:w="0" w:type="dxa"/>
            </w:tcMar>
            <w:vAlign w:val="center"/>
          </w:tcPr>
          <w:p>
            <w:pPr>
              <w:pStyle w:val="TableContents"/>
              <w:bidi w:val="0"/>
              <w:spacing w:lineRule="auto" w:line="288" w:before="0" w:after="0"/>
              <w:jc w:val="left"/>
              <w:rPr/>
            </w:pPr>
            <w:r>
              <w:rPr>
                <w:color w:val="000000"/>
              </w:rPr>
              <w:t>“</w:t>
            </w:r>
            <w:r>
              <w:rPr>
                <w:rFonts w:ascii="Times New Roman;serif" w:hAnsi="Times New Roman;serif"/>
                <w:b w:val="false"/>
                <w:i/>
                <w:color w:val="000000"/>
                <w:sz w:val="24"/>
              </w:rPr>
              <w:t>Covenant Failure Officer’s Certificate</w:t>
            </w:r>
            <w:r>
              <w:rPr>
                <w:color w:val="000000"/>
              </w:rPr>
              <w:t>”</w:t>
            </w:r>
          </w:p>
        </w:tc>
        <w:tc>
          <w:tcPr>
            <w:tcW w:w="2174" w:type="dxa"/>
            <w:gridSpan w:val="3"/>
            <w:tcBorders>
              <w:top w:val="single" w:sz="2" w:space="0" w:color="95B3D7"/>
              <w:left w:val="single" w:sz="2" w:space="0" w:color="95B3D7"/>
            </w:tcBorders>
            <w:tcMar>
              <w:top w:w="3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Section 6.09(b)</w:t>
            </w:r>
          </w:p>
        </w:tc>
      </w:tr>
      <w:tr>
        <w:trPr/>
        <w:tc>
          <w:tcPr>
            <w:tcW w:w="4979" w:type="dxa"/>
            <w:gridSpan w:val="3"/>
            <w:tcBorders>
              <w:top w:val="single" w:sz="2" w:space="0" w:color="95B3D7"/>
            </w:tcBorders>
            <w:tcMar>
              <w:top w:w="30" w:type="dxa"/>
              <w:left w:w="0" w:type="dxa"/>
              <w:bottom w:w="0" w:type="dxa"/>
              <w:right w:w="0" w:type="dxa"/>
            </w:tcMar>
            <w:vAlign w:val="center"/>
          </w:tcPr>
          <w:p>
            <w:pPr>
              <w:pStyle w:val="TableContents"/>
              <w:bidi w:val="0"/>
              <w:spacing w:lineRule="auto" w:line="288" w:before="0" w:after="0"/>
              <w:jc w:val="left"/>
              <w:rPr/>
            </w:pPr>
            <w:r>
              <w:rPr>
                <w:color w:val="000000"/>
              </w:rPr>
              <w:t>“</w:t>
            </w:r>
            <w:r>
              <w:rPr>
                <w:rFonts w:ascii="Times New Roman;serif" w:hAnsi="Times New Roman;serif"/>
                <w:b w:val="false"/>
                <w:i/>
                <w:color w:val="000000"/>
                <w:sz w:val="24"/>
              </w:rPr>
              <w:t>Covenant Satisfaction Officer’s Certificate</w:t>
            </w:r>
            <w:r>
              <w:rPr>
                <w:color w:val="000000"/>
              </w:rPr>
              <w:t>”</w:t>
            </w:r>
          </w:p>
        </w:tc>
        <w:tc>
          <w:tcPr>
            <w:tcW w:w="2174" w:type="dxa"/>
            <w:gridSpan w:val="3"/>
            <w:tcBorders>
              <w:top w:val="single" w:sz="2" w:space="0" w:color="95B3D7"/>
              <w:left w:val="single" w:sz="2" w:space="0" w:color="95B3D7"/>
            </w:tcBorders>
            <w:tcMar>
              <w:top w:w="3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Section 6.09(b)</w:t>
            </w:r>
          </w:p>
        </w:tc>
      </w:tr>
      <w:tr>
        <w:trPr/>
        <w:tc>
          <w:tcPr>
            <w:tcW w:w="4979" w:type="dxa"/>
            <w:gridSpan w:val="3"/>
            <w:tcBorders>
              <w:top w:val="single" w:sz="2" w:space="0" w:color="95B3D7"/>
            </w:tcBorders>
            <w:tcMar>
              <w:top w:w="30" w:type="dxa"/>
              <w:left w:w="0" w:type="dxa"/>
              <w:bottom w:w="0" w:type="dxa"/>
              <w:right w:w="0" w:type="dxa"/>
            </w:tcMar>
            <w:vAlign w:val="center"/>
          </w:tcPr>
          <w:p>
            <w:pPr>
              <w:pStyle w:val="TableContents"/>
              <w:bidi w:val="0"/>
              <w:spacing w:lineRule="auto" w:line="288" w:before="0" w:after="0"/>
              <w:jc w:val="left"/>
              <w:rPr/>
            </w:pPr>
            <w:r>
              <w:rPr>
                <w:color w:val="000000"/>
              </w:rPr>
              <w:t>“</w:t>
            </w:r>
            <w:r>
              <w:rPr>
                <w:rFonts w:ascii="Times New Roman;serif" w:hAnsi="Times New Roman;serif"/>
                <w:b w:val="false"/>
                <w:i/>
                <w:color w:val="000000"/>
                <w:sz w:val="24"/>
              </w:rPr>
              <w:t>Directing Holder</w:t>
            </w:r>
            <w:r>
              <w:rPr>
                <w:color w:val="000000"/>
              </w:rPr>
              <w:t>”</w:t>
            </w:r>
          </w:p>
        </w:tc>
        <w:tc>
          <w:tcPr>
            <w:tcW w:w="2174" w:type="dxa"/>
            <w:gridSpan w:val="3"/>
            <w:tcBorders>
              <w:top w:val="single" w:sz="2" w:space="0" w:color="95B3D7"/>
              <w:left w:val="single" w:sz="2" w:space="0" w:color="95B3D7"/>
            </w:tcBorders>
            <w:tcMar>
              <w:top w:w="3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Section 6.09(a)</w:t>
            </w:r>
          </w:p>
        </w:tc>
      </w:tr>
      <w:tr>
        <w:trPr/>
        <w:tc>
          <w:tcPr>
            <w:tcW w:w="4979" w:type="dxa"/>
            <w:gridSpan w:val="3"/>
            <w:tcBorders>
              <w:top w:val="single" w:sz="2" w:space="0" w:color="95B3D7"/>
            </w:tcBorders>
            <w:tcMar>
              <w:top w:w="30" w:type="dxa"/>
              <w:left w:w="0" w:type="dxa"/>
              <w:bottom w:w="0" w:type="dxa"/>
              <w:right w:w="0" w:type="dxa"/>
            </w:tcMar>
            <w:vAlign w:val="center"/>
          </w:tcPr>
          <w:p>
            <w:pPr>
              <w:pStyle w:val="TableContents"/>
              <w:bidi w:val="0"/>
              <w:spacing w:lineRule="auto" w:line="288" w:before="0" w:after="0"/>
              <w:jc w:val="left"/>
              <w:rPr/>
            </w:pPr>
            <w:r>
              <w:rPr>
                <w:color w:val="000000"/>
              </w:rPr>
              <w:t>“</w:t>
            </w:r>
            <w:r>
              <w:rPr>
                <w:rFonts w:ascii="Times New Roman;serif" w:hAnsi="Times New Roman;serif"/>
                <w:b w:val="false"/>
                <w:i/>
                <w:color w:val="000000"/>
                <w:sz w:val="24"/>
              </w:rPr>
              <w:t>Event of Default</w:t>
            </w:r>
            <w:r>
              <w:rPr>
                <w:color w:val="000000"/>
              </w:rPr>
              <w:t>”</w:t>
            </w:r>
          </w:p>
        </w:tc>
        <w:tc>
          <w:tcPr>
            <w:tcW w:w="2174" w:type="dxa"/>
            <w:gridSpan w:val="3"/>
            <w:tcBorders>
              <w:top w:val="single" w:sz="2" w:space="0" w:color="95B3D7"/>
              <w:left w:val="single" w:sz="2" w:space="0" w:color="95B3D7"/>
            </w:tcBorders>
            <w:tcMar>
              <w:top w:w="3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Section 6.01</w:t>
            </w:r>
          </w:p>
        </w:tc>
      </w:tr>
      <w:tr>
        <w:trPr/>
        <w:tc>
          <w:tcPr>
            <w:tcW w:w="4979" w:type="dxa"/>
            <w:gridSpan w:val="3"/>
            <w:tcBorders>
              <w:top w:val="single" w:sz="2" w:space="0" w:color="95B3D7"/>
            </w:tcBorders>
            <w:tcMar>
              <w:top w:w="30" w:type="dxa"/>
              <w:left w:w="0" w:type="dxa"/>
              <w:bottom w:w="0" w:type="dxa"/>
              <w:right w:w="0" w:type="dxa"/>
            </w:tcMar>
            <w:vAlign w:val="center"/>
          </w:tcPr>
          <w:p>
            <w:pPr>
              <w:pStyle w:val="TableContents"/>
              <w:bidi w:val="0"/>
              <w:spacing w:lineRule="auto" w:line="288" w:before="0" w:after="0"/>
              <w:jc w:val="left"/>
              <w:rPr/>
            </w:pPr>
            <w:r>
              <w:rPr>
                <w:color w:val="000000"/>
              </w:rPr>
              <w:t>“</w:t>
            </w:r>
            <w:r>
              <w:rPr>
                <w:rFonts w:ascii="Times New Roman;serif" w:hAnsi="Times New Roman;serif"/>
                <w:b w:val="false"/>
                <w:i/>
                <w:color w:val="000000"/>
                <w:sz w:val="24"/>
              </w:rPr>
              <w:t>Final Decision</w:t>
            </w:r>
            <w:r>
              <w:rPr>
                <w:color w:val="000000"/>
              </w:rPr>
              <w:t>”</w:t>
            </w:r>
          </w:p>
        </w:tc>
        <w:tc>
          <w:tcPr>
            <w:tcW w:w="2174" w:type="dxa"/>
            <w:gridSpan w:val="3"/>
            <w:tcBorders>
              <w:top w:val="single" w:sz="2" w:space="0" w:color="95B3D7"/>
              <w:left w:val="single" w:sz="2" w:space="0" w:color="95B3D7"/>
            </w:tcBorders>
            <w:tcMar>
              <w:top w:w="3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Section 6.09(b)</w:t>
            </w:r>
          </w:p>
        </w:tc>
      </w:tr>
      <w:tr>
        <w:trPr/>
        <w:tc>
          <w:tcPr>
            <w:tcW w:w="4979" w:type="dxa"/>
            <w:gridSpan w:val="3"/>
            <w:tcBorders>
              <w:top w:val="single" w:sz="2" w:space="0" w:color="95B3D7"/>
            </w:tcBorders>
            <w:tcMar>
              <w:top w:w="30" w:type="dxa"/>
              <w:left w:w="0" w:type="dxa"/>
              <w:bottom w:w="0" w:type="dxa"/>
              <w:right w:w="0" w:type="dxa"/>
            </w:tcMar>
            <w:vAlign w:val="center"/>
          </w:tcPr>
          <w:p>
            <w:pPr>
              <w:pStyle w:val="TableContents"/>
              <w:bidi w:val="0"/>
              <w:spacing w:lineRule="auto" w:line="288" w:before="0" w:after="0"/>
              <w:jc w:val="left"/>
              <w:rPr/>
            </w:pPr>
            <w:r>
              <w:rPr>
                <w:color w:val="000000"/>
              </w:rPr>
              <w:t>“</w:t>
            </w:r>
            <w:r>
              <w:rPr>
                <w:rFonts w:ascii="Times New Roman;serif" w:hAnsi="Times New Roman;serif"/>
                <w:b w:val="false"/>
                <w:i/>
                <w:color w:val="000000"/>
                <w:sz w:val="24"/>
              </w:rPr>
              <w:t>Fixed Amounts</w:t>
            </w:r>
            <w:r>
              <w:rPr>
                <w:color w:val="000000"/>
              </w:rPr>
              <w:t>”</w:t>
            </w:r>
          </w:p>
        </w:tc>
        <w:tc>
          <w:tcPr>
            <w:tcW w:w="2174" w:type="dxa"/>
            <w:gridSpan w:val="3"/>
            <w:tcBorders>
              <w:top w:val="single" w:sz="2" w:space="0" w:color="95B3D7"/>
              <w:left w:val="single" w:sz="2" w:space="0" w:color="95B3D7"/>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1.05</w:t>
            </w:r>
          </w:p>
        </w:tc>
      </w:tr>
      <w:tr>
        <w:trPr/>
        <w:tc>
          <w:tcPr>
            <w:tcW w:w="4979" w:type="dxa"/>
            <w:gridSpan w:val="3"/>
            <w:tcBorders>
              <w:top w:val="single" w:sz="2" w:space="0" w:color="95B3D7"/>
            </w:tcBorders>
            <w:tcMar>
              <w:top w:w="30" w:type="dxa"/>
              <w:left w:w="0" w:type="dxa"/>
              <w:bottom w:w="0" w:type="dxa"/>
              <w:right w:w="0" w:type="dxa"/>
            </w:tcMar>
            <w:vAlign w:val="center"/>
          </w:tcPr>
          <w:p>
            <w:pPr>
              <w:pStyle w:val="TableContents"/>
              <w:bidi w:val="0"/>
              <w:spacing w:lineRule="auto" w:line="288" w:before="0" w:after="0"/>
              <w:jc w:val="left"/>
              <w:rPr/>
            </w:pPr>
            <w:r>
              <w:rPr>
                <w:color w:val="000000"/>
              </w:rPr>
              <w:t>“</w:t>
            </w:r>
            <w:r>
              <w:rPr>
                <w:rFonts w:ascii="Times New Roman;serif" w:hAnsi="Times New Roman;serif"/>
                <w:b w:val="false"/>
                <w:i/>
                <w:color w:val="000000"/>
                <w:sz w:val="24"/>
              </w:rPr>
              <w:t>Increased Amount</w:t>
            </w:r>
            <w:r>
              <w:rPr>
                <w:color w:val="000000"/>
              </w:rPr>
              <w:t>”</w:t>
            </w:r>
          </w:p>
        </w:tc>
        <w:tc>
          <w:tcPr>
            <w:tcW w:w="2174" w:type="dxa"/>
            <w:gridSpan w:val="3"/>
            <w:tcBorders>
              <w:top w:val="single" w:sz="2" w:space="0" w:color="95B3D7"/>
              <w:left w:val="single" w:sz="2" w:space="0" w:color="95B3D7"/>
            </w:tcBorders>
            <w:tcMar>
              <w:top w:w="3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Section 4.04(c)</w:t>
            </w:r>
          </w:p>
        </w:tc>
      </w:tr>
      <w:tr>
        <w:trPr/>
        <w:tc>
          <w:tcPr>
            <w:tcW w:w="4979" w:type="dxa"/>
            <w:gridSpan w:val="3"/>
            <w:tcBorders>
              <w:top w:val="single" w:sz="2" w:space="0" w:color="95B3D7"/>
            </w:tcBorders>
            <w:tcMar>
              <w:top w:w="30" w:type="dxa"/>
              <w:left w:w="0" w:type="dxa"/>
              <w:bottom w:w="0" w:type="dxa"/>
              <w:right w:w="0" w:type="dxa"/>
            </w:tcMar>
            <w:vAlign w:val="center"/>
          </w:tcPr>
          <w:p>
            <w:pPr>
              <w:pStyle w:val="TableContents"/>
              <w:bidi w:val="0"/>
              <w:spacing w:lineRule="auto" w:line="288" w:before="0" w:after="0"/>
              <w:jc w:val="left"/>
              <w:rPr/>
            </w:pPr>
            <w:r>
              <w:rPr>
                <w:color w:val="000000"/>
              </w:rPr>
              <w:t>“</w:t>
            </w:r>
            <w:r>
              <w:rPr>
                <w:rFonts w:ascii="Times New Roman;serif" w:hAnsi="Times New Roman;serif"/>
                <w:b w:val="false"/>
                <w:i/>
                <w:color w:val="000000"/>
                <w:sz w:val="24"/>
              </w:rPr>
              <w:t>Incurrence-Based Amounts</w:t>
            </w:r>
            <w:r>
              <w:rPr>
                <w:color w:val="000000"/>
              </w:rPr>
              <w:t>”</w:t>
            </w:r>
          </w:p>
        </w:tc>
        <w:tc>
          <w:tcPr>
            <w:tcW w:w="2174" w:type="dxa"/>
            <w:gridSpan w:val="3"/>
            <w:tcBorders>
              <w:top w:val="single" w:sz="2" w:space="0" w:color="95B3D7"/>
              <w:left w:val="single" w:sz="2" w:space="0" w:color="95B3D7"/>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1.05</w:t>
            </w:r>
          </w:p>
        </w:tc>
      </w:tr>
      <w:tr>
        <w:trPr/>
        <w:tc>
          <w:tcPr>
            <w:tcW w:w="4979" w:type="dxa"/>
            <w:gridSpan w:val="3"/>
            <w:tcBorders>
              <w:top w:val="single" w:sz="2" w:space="0" w:color="95B3D7"/>
            </w:tcBorders>
            <w:tcMar>
              <w:top w:w="30" w:type="dxa"/>
              <w:left w:w="0" w:type="dxa"/>
              <w:bottom w:w="0" w:type="dxa"/>
              <w:right w:w="0" w:type="dxa"/>
            </w:tcMar>
            <w:vAlign w:val="center"/>
          </w:tcPr>
          <w:p>
            <w:pPr>
              <w:pStyle w:val="TableContents"/>
              <w:bidi w:val="0"/>
              <w:spacing w:lineRule="auto" w:line="288" w:before="0" w:after="0"/>
              <w:jc w:val="left"/>
              <w:rPr/>
            </w:pPr>
            <w:r>
              <w:rPr>
                <w:color w:val="000000"/>
              </w:rPr>
              <w:t>“</w:t>
            </w:r>
            <w:r>
              <w:rPr>
                <w:rFonts w:ascii="Times New Roman;serif" w:hAnsi="Times New Roman;serif"/>
                <w:b w:val="false"/>
                <w:i/>
                <w:color w:val="000000"/>
                <w:sz w:val="24"/>
              </w:rPr>
              <w:t>LCT Election</w:t>
            </w:r>
            <w:r>
              <w:rPr>
                <w:color w:val="000000"/>
              </w:rPr>
              <w:t>”</w:t>
            </w:r>
          </w:p>
        </w:tc>
        <w:tc>
          <w:tcPr>
            <w:tcW w:w="2174" w:type="dxa"/>
            <w:gridSpan w:val="3"/>
            <w:tcBorders>
              <w:top w:val="single" w:sz="2" w:space="0" w:color="95B3D7"/>
              <w:left w:val="single" w:sz="2" w:space="0" w:color="95B3D7"/>
            </w:tcBorders>
            <w:tcMar>
              <w:top w:w="3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Section 1.04(a)</w:t>
            </w:r>
          </w:p>
        </w:tc>
      </w:tr>
      <w:tr>
        <w:trPr/>
        <w:tc>
          <w:tcPr>
            <w:tcW w:w="4979" w:type="dxa"/>
            <w:gridSpan w:val="3"/>
            <w:tcBorders>
              <w:top w:val="single" w:sz="2" w:space="0" w:color="95B3D7"/>
            </w:tcBorders>
            <w:tcMar>
              <w:top w:w="30" w:type="dxa"/>
              <w:left w:w="0" w:type="dxa"/>
              <w:bottom w:w="0" w:type="dxa"/>
              <w:right w:w="0" w:type="dxa"/>
            </w:tcMar>
            <w:vAlign w:val="center"/>
          </w:tcPr>
          <w:p>
            <w:pPr>
              <w:pStyle w:val="TableContents"/>
              <w:bidi w:val="0"/>
              <w:spacing w:lineRule="auto" w:line="288" w:before="0" w:after="0"/>
              <w:jc w:val="left"/>
              <w:rPr/>
            </w:pPr>
            <w:r>
              <w:rPr>
                <w:color w:val="000000"/>
              </w:rPr>
              <w:t>“</w:t>
            </w:r>
            <w:r>
              <w:rPr>
                <w:rFonts w:ascii="Times New Roman;serif" w:hAnsi="Times New Roman;serif"/>
                <w:b w:val="false"/>
                <w:i/>
                <w:color w:val="000000"/>
                <w:sz w:val="24"/>
              </w:rPr>
              <w:t>LCT Test Date</w:t>
            </w:r>
            <w:r>
              <w:rPr>
                <w:color w:val="000000"/>
              </w:rPr>
              <w:t>”</w:t>
            </w:r>
          </w:p>
        </w:tc>
        <w:tc>
          <w:tcPr>
            <w:tcW w:w="2174" w:type="dxa"/>
            <w:gridSpan w:val="3"/>
            <w:tcBorders>
              <w:top w:val="single" w:sz="2" w:space="0" w:color="95B3D7"/>
              <w:left w:val="single" w:sz="2" w:space="0" w:color="95B3D7"/>
            </w:tcBorders>
            <w:tcMar>
              <w:top w:w="3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Section 1.04(a)</w:t>
            </w:r>
          </w:p>
        </w:tc>
      </w:tr>
      <w:tr>
        <w:trPr/>
        <w:tc>
          <w:tcPr>
            <w:tcW w:w="4979" w:type="dxa"/>
            <w:gridSpan w:val="3"/>
            <w:tcBorders>
              <w:top w:val="single" w:sz="2" w:space="0" w:color="95B3D7"/>
            </w:tcBorders>
            <w:tcMar>
              <w:top w:w="30" w:type="dxa"/>
              <w:left w:w="0" w:type="dxa"/>
              <w:bottom w:w="0" w:type="dxa"/>
              <w:right w:w="0" w:type="dxa"/>
            </w:tcMar>
            <w:vAlign w:val="center"/>
          </w:tcPr>
          <w:p>
            <w:pPr>
              <w:pStyle w:val="TableContents"/>
              <w:bidi w:val="0"/>
              <w:spacing w:lineRule="auto" w:line="288" w:before="0" w:after="0"/>
              <w:jc w:val="left"/>
              <w:rPr/>
            </w:pPr>
            <w:r>
              <w:rPr>
                <w:color w:val="000000"/>
              </w:rPr>
              <w:t>“</w:t>
            </w:r>
            <w:r>
              <w:rPr>
                <w:rFonts w:ascii="Times New Roman;serif" w:hAnsi="Times New Roman;serif"/>
                <w:b w:val="false"/>
                <w:i/>
                <w:color w:val="000000"/>
                <w:sz w:val="24"/>
              </w:rPr>
              <w:t>Legal Defeasance</w:t>
            </w:r>
            <w:r>
              <w:rPr>
                <w:color w:val="000000"/>
              </w:rPr>
              <w:t>”</w:t>
            </w:r>
          </w:p>
        </w:tc>
        <w:tc>
          <w:tcPr>
            <w:tcW w:w="2174" w:type="dxa"/>
            <w:gridSpan w:val="3"/>
            <w:tcBorders>
              <w:top w:val="single" w:sz="2" w:space="0" w:color="95B3D7"/>
              <w:left w:val="single" w:sz="2" w:space="0" w:color="95B3D7"/>
            </w:tcBorders>
            <w:tcMar>
              <w:top w:w="3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Section 8.02</w:t>
            </w:r>
          </w:p>
        </w:tc>
      </w:tr>
      <w:tr>
        <w:trPr/>
        <w:tc>
          <w:tcPr>
            <w:tcW w:w="4979" w:type="dxa"/>
            <w:gridSpan w:val="3"/>
            <w:tcBorders>
              <w:top w:val="single" w:sz="2" w:space="0" w:color="95B3D7"/>
            </w:tcBorders>
            <w:tcMar>
              <w:top w:w="30" w:type="dxa"/>
              <w:left w:w="0" w:type="dxa"/>
              <w:bottom w:w="0" w:type="dxa"/>
              <w:right w:w="0" w:type="dxa"/>
            </w:tcMar>
            <w:vAlign w:val="center"/>
          </w:tcPr>
          <w:p>
            <w:pPr>
              <w:pStyle w:val="TableContents"/>
              <w:bidi w:val="0"/>
              <w:spacing w:lineRule="auto" w:line="288" w:before="0" w:after="0"/>
              <w:jc w:val="left"/>
              <w:rPr/>
            </w:pPr>
            <w:r>
              <w:rPr>
                <w:color w:val="000000"/>
              </w:rPr>
              <w:t>“</w:t>
            </w:r>
            <w:r>
              <w:rPr>
                <w:rFonts w:ascii="Times New Roman;serif" w:hAnsi="Times New Roman;serif"/>
                <w:b w:val="false"/>
                <w:i/>
                <w:color w:val="000000"/>
                <w:sz w:val="24"/>
              </w:rPr>
              <w:t>Limited Condition Transaction</w:t>
            </w:r>
            <w:r>
              <w:rPr>
                <w:color w:val="000000"/>
              </w:rPr>
              <w:t>”</w:t>
            </w:r>
          </w:p>
        </w:tc>
        <w:tc>
          <w:tcPr>
            <w:tcW w:w="2174" w:type="dxa"/>
            <w:gridSpan w:val="3"/>
            <w:tcBorders>
              <w:top w:val="single" w:sz="2" w:space="0" w:color="95B3D7"/>
              <w:left w:val="single" w:sz="2" w:space="0" w:color="95B3D7"/>
            </w:tcBorders>
            <w:tcMar>
              <w:top w:w="3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Section 1.04(a)</w:t>
            </w:r>
          </w:p>
        </w:tc>
      </w:tr>
      <w:tr>
        <w:trPr/>
        <w:tc>
          <w:tcPr>
            <w:tcW w:w="4979" w:type="dxa"/>
            <w:gridSpan w:val="3"/>
            <w:tcBorders>
              <w:top w:val="single" w:sz="2" w:space="0" w:color="95B3D7"/>
            </w:tcBorders>
            <w:tcMar>
              <w:top w:w="30" w:type="dxa"/>
              <w:left w:w="0" w:type="dxa"/>
              <w:bottom w:w="0" w:type="dxa"/>
              <w:right w:w="0" w:type="dxa"/>
            </w:tcMar>
            <w:vAlign w:val="center"/>
          </w:tcPr>
          <w:p>
            <w:pPr>
              <w:pStyle w:val="TableContents"/>
              <w:bidi w:val="0"/>
              <w:spacing w:lineRule="auto" w:line="288" w:before="0" w:after="0"/>
              <w:jc w:val="left"/>
              <w:rPr/>
            </w:pPr>
            <w:r>
              <w:rPr>
                <w:color w:val="000000"/>
              </w:rPr>
              <w:t>“</w:t>
            </w:r>
            <w:r>
              <w:rPr>
                <w:rFonts w:ascii="Times New Roman;serif" w:hAnsi="Times New Roman;serif"/>
                <w:b w:val="false"/>
                <w:i/>
                <w:color w:val="000000"/>
                <w:sz w:val="24"/>
              </w:rPr>
              <w:t>Litigation</w:t>
            </w:r>
            <w:r>
              <w:rPr>
                <w:color w:val="000000"/>
              </w:rPr>
              <w:t>”</w:t>
            </w:r>
          </w:p>
        </w:tc>
        <w:tc>
          <w:tcPr>
            <w:tcW w:w="2174" w:type="dxa"/>
            <w:gridSpan w:val="3"/>
            <w:tcBorders>
              <w:top w:val="single" w:sz="2" w:space="0" w:color="95B3D7"/>
              <w:left w:val="single" w:sz="2" w:space="0" w:color="95B3D7"/>
            </w:tcBorders>
            <w:tcMar>
              <w:top w:w="3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Section 6.09(b)</w:t>
            </w:r>
          </w:p>
        </w:tc>
      </w:tr>
      <w:tr>
        <w:trPr/>
        <w:tc>
          <w:tcPr>
            <w:tcW w:w="4979" w:type="dxa"/>
            <w:gridSpan w:val="3"/>
            <w:tcBorders>
              <w:top w:val="single" w:sz="2" w:space="0" w:color="95B3D7"/>
            </w:tcBorders>
            <w:shd w:fill="FFFFFF" w:val="clear"/>
            <w:tcMar>
              <w:top w:w="30" w:type="dxa"/>
              <w:left w:w="0" w:type="dxa"/>
              <w:bottom w:w="0" w:type="dxa"/>
              <w:right w:w="0" w:type="dxa"/>
            </w:tcMar>
            <w:vAlign w:val="center"/>
          </w:tcPr>
          <w:p>
            <w:pPr>
              <w:pStyle w:val="TableContents"/>
              <w:bidi w:val="0"/>
              <w:spacing w:lineRule="auto" w:line="288" w:before="0" w:after="0"/>
              <w:jc w:val="left"/>
              <w:rPr/>
            </w:pPr>
            <w:r>
              <w:rPr>
                <w:color w:val="000000"/>
              </w:rPr>
              <w:t>“</w:t>
            </w:r>
            <w:r>
              <w:rPr>
                <w:rFonts w:ascii="Times New Roman;serif" w:hAnsi="Times New Roman;serif"/>
                <w:b w:val="false"/>
                <w:i/>
                <w:color w:val="000000"/>
                <w:sz w:val="24"/>
              </w:rPr>
              <w:t>Outside Date”</w:t>
            </w:r>
          </w:p>
        </w:tc>
        <w:tc>
          <w:tcPr>
            <w:tcW w:w="2174" w:type="dxa"/>
            <w:gridSpan w:val="3"/>
            <w:tcBorders>
              <w:top w:val="single" w:sz="2" w:space="0" w:color="95B3D7"/>
              <w:left w:val="single" w:sz="2" w:space="0" w:color="95B3D7"/>
            </w:tcBorders>
            <w:shd w:fill="FFFFFF" w:val="clear"/>
            <w:tcMar>
              <w:top w:w="3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Section 3.08(b) </w:t>
            </w:r>
          </w:p>
        </w:tc>
      </w:tr>
      <w:tr>
        <w:trPr/>
        <w:tc>
          <w:tcPr>
            <w:tcW w:w="4979" w:type="dxa"/>
            <w:gridSpan w:val="3"/>
            <w:tcBorders>
              <w:top w:val="single" w:sz="2" w:space="0" w:color="95B3D7"/>
            </w:tcBorders>
            <w:shd w:fill="FFFFFF" w:val="clear"/>
            <w:tcMar>
              <w:top w:w="30" w:type="dxa"/>
              <w:left w:w="0" w:type="dxa"/>
              <w:bottom w:w="0" w:type="dxa"/>
              <w:right w:w="0" w:type="dxa"/>
            </w:tcMar>
            <w:vAlign w:val="center"/>
          </w:tcPr>
          <w:p>
            <w:pPr>
              <w:pStyle w:val="TableContents"/>
              <w:bidi w:val="0"/>
              <w:spacing w:lineRule="auto" w:line="288" w:before="0" w:after="0"/>
              <w:jc w:val="left"/>
              <w:rPr/>
            </w:pPr>
            <w:r>
              <w:rPr>
                <w:color w:val="000000"/>
              </w:rPr>
              <w:t>“</w:t>
            </w:r>
            <w:r>
              <w:rPr>
                <w:rFonts w:ascii="Times New Roman;serif" w:hAnsi="Times New Roman;serif"/>
                <w:b w:val="false"/>
                <w:i/>
                <w:color w:val="000000"/>
                <w:sz w:val="24"/>
              </w:rPr>
              <w:t>Noteholder Direction</w:t>
            </w:r>
            <w:r>
              <w:rPr>
                <w:color w:val="000000"/>
              </w:rPr>
              <w:t>”</w:t>
            </w:r>
          </w:p>
        </w:tc>
        <w:tc>
          <w:tcPr>
            <w:tcW w:w="2174" w:type="dxa"/>
            <w:gridSpan w:val="3"/>
            <w:tcBorders>
              <w:top w:val="single" w:sz="2" w:space="0" w:color="95B3D7"/>
              <w:left w:val="single" w:sz="2" w:space="0" w:color="95B3D7"/>
            </w:tcBorders>
            <w:shd w:fill="FFFFFF" w:val="clear"/>
            <w:tcMar>
              <w:top w:w="3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Section 6.09(a)</w:t>
            </w:r>
          </w:p>
        </w:tc>
      </w:tr>
      <w:tr>
        <w:trPr/>
        <w:tc>
          <w:tcPr>
            <w:tcW w:w="4979" w:type="dxa"/>
            <w:gridSpan w:val="3"/>
            <w:tcBorders>
              <w:top w:val="single" w:sz="2" w:space="0" w:color="95B3D7"/>
            </w:tcBorders>
            <w:shd w:fill="FFFFFF" w:val="clear"/>
            <w:tcMar>
              <w:top w:w="30" w:type="dxa"/>
              <w:left w:w="0" w:type="dxa"/>
              <w:bottom w:w="0" w:type="dxa"/>
              <w:right w:w="0" w:type="dxa"/>
            </w:tcMar>
            <w:vAlign w:val="center"/>
          </w:tcPr>
          <w:p>
            <w:pPr>
              <w:pStyle w:val="TableContents"/>
              <w:bidi w:val="0"/>
              <w:spacing w:lineRule="auto" w:line="288" w:before="0" w:after="0"/>
              <w:jc w:val="left"/>
              <w:rPr/>
            </w:pPr>
            <w:r>
              <w:rPr>
                <w:color w:val="000000"/>
              </w:rPr>
              <w:t>“</w:t>
            </w:r>
            <w:r>
              <w:rPr>
                <w:rFonts w:ascii="Times New Roman;serif" w:hAnsi="Times New Roman;serif"/>
                <w:b w:val="false"/>
                <w:i/>
                <w:color w:val="000000"/>
                <w:sz w:val="24"/>
              </w:rPr>
              <w:t>Payment Default</w:t>
            </w:r>
            <w:r>
              <w:rPr>
                <w:color w:val="000000"/>
              </w:rPr>
              <w:t>”</w:t>
            </w:r>
          </w:p>
        </w:tc>
        <w:tc>
          <w:tcPr>
            <w:tcW w:w="2174" w:type="dxa"/>
            <w:gridSpan w:val="3"/>
            <w:tcBorders>
              <w:top w:val="single" w:sz="2" w:space="0" w:color="95B3D7"/>
              <w:left w:val="single" w:sz="2" w:space="0" w:color="95B3D7"/>
            </w:tcBorders>
            <w:shd w:fill="FFFFFF" w:val="clear"/>
            <w:tcMar>
              <w:top w:w="3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Section 6.01(4)</w:t>
            </w:r>
          </w:p>
        </w:tc>
      </w:tr>
      <w:tr>
        <w:trPr/>
        <w:tc>
          <w:tcPr>
            <w:tcW w:w="4979" w:type="dxa"/>
            <w:gridSpan w:val="3"/>
            <w:tcBorders>
              <w:top w:val="single" w:sz="2" w:space="0" w:color="95B3D7"/>
            </w:tcBorders>
            <w:shd w:fill="FFFFFF" w:val="clear"/>
            <w:tcMar>
              <w:top w:w="30" w:type="dxa"/>
              <w:left w:w="0" w:type="dxa"/>
              <w:bottom w:w="0" w:type="dxa"/>
              <w:right w:w="0" w:type="dxa"/>
            </w:tcMar>
            <w:vAlign w:val="center"/>
          </w:tcPr>
          <w:p>
            <w:pPr>
              <w:pStyle w:val="TableContents"/>
              <w:bidi w:val="0"/>
              <w:spacing w:lineRule="auto" w:line="288" w:before="0" w:after="0"/>
              <w:jc w:val="left"/>
              <w:rPr/>
            </w:pPr>
            <w:r>
              <w:rPr>
                <w:color w:val="000000"/>
              </w:rPr>
              <w:t>“</w:t>
            </w:r>
            <w:r>
              <w:rPr>
                <w:rFonts w:ascii="Times New Roman;serif" w:hAnsi="Times New Roman;serif"/>
                <w:b w:val="false"/>
                <w:i/>
                <w:color w:val="000000"/>
                <w:sz w:val="24"/>
              </w:rPr>
              <w:t>Position Representation</w:t>
            </w:r>
            <w:r>
              <w:rPr>
                <w:color w:val="000000"/>
              </w:rPr>
              <w:t>”</w:t>
            </w:r>
          </w:p>
        </w:tc>
        <w:tc>
          <w:tcPr>
            <w:tcW w:w="2174" w:type="dxa"/>
            <w:gridSpan w:val="3"/>
            <w:tcBorders>
              <w:top w:val="single" w:sz="2" w:space="0" w:color="95B3D7"/>
              <w:left w:val="single" w:sz="2" w:space="0" w:color="95B3D7"/>
            </w:tcBorders>
            <w:shd w:fill="FFFFFF" w:val="clear"/>
            <w:tcMar>
              <w:top w:w="3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Section 6.09(a)</w:t>
            </w:r>
          </w:p>
        </w:tc>
      </w:tr>
      <w:tr>
        <w:trPr/>
        <w:tc>
          <w:tcPr>
            <w:tcW w:w="4979" w:type="dxa"/>
            <w:gridSpan w:val="3"/>
            <w:tcBorders>
              <w:top w:val="single" w:sz="2" w:space="0" w:color="95B3D7"/>
            </w:tcBorders>
            <w:shd w:fill="FFFFFF" w:val="clear"/>
            <w:tcMar>
              <w:top w:w="30" w:type="dxa"/>
              <w:left w:w="0" w:type="dxa"/>
              <w:bottom w:w="0" w:type="dxa"/>
              <w:right w:w="0" w:type="dxa"/>
            </w:tcMar>
            <w:vAlign w:val="center"/>
          </w:tcPr>
          <w:p>
            <w:pPr>
              <w:pStyle w:val="TableContents"/>
              <w:bidi w:val="0"/>
              <w:spacing w:lineRule="auto" w:line="288" w:before="0" w:after="0"/>
              <w:jc w:val="left"/>
              <w:rPr/>
            </w:pPr>
            <w:r>
              <w:rPr>
                <w:color w:val="000000"/>
              </w:rPr>
              <w:t>“</w:t>
            </w:r>
            <w:r>
              <w:rPr>
                <w:rFonts w:ascii="Times New Roman;serif" w:hAnsi="Times New Roman;serif"/>
                <w:b w:val="false"/>
                <w:i/>
                <w:color w:val="000000"/>
                <w:sz w:val="24"/>
              </w:rPr>
              <w:t>Special Mandatory Redemption</w:t>
            </w:r>
            <w:r>
              <w:rPr>
                <w:color w:val="000000"/>
              </w:rPr>
              <w:t>”</w:t>
            </w:r>
          </w:p>
        </w:tc>
        <w:tc>
          <w:tcPr>
            <w:tcW w:w="2174" w:type="dxa"/>
            <w:gridSpan w:val="3"/>
            <w:tcBorders>
              <w:top w:val="single" w:sz="2" w:space="0" w:color="95B3D7"/>
              <w:left w:val="single" w:sz="2" w:space="0" w:color="95B3D7"/>
            </w:tcBorders>
            <w:shd w:fill="FFFFFF" w:val="clear"/>
            <w:tcMar>
              <w:top w:w="3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Section 3.08(b) </w:t>
            </w:r>
          </w:p>
        </w:tc>
      </w:tr>
      <w:tr>
        <w:trPr/>
        <w:tc>
          <w:tcPr>
            <w:tcW w:w="4979" w:type="dxa"/>
            <w:gridSpan w:val="3"/>
            <w:tcBorders>
              <w:top w:val="single" w:sz="2" w:space="0" w:color="95B3D7"/>
            </w:tcBorders>
            <w:shd w:fill="FFFFFF" w:val="clear"/>
            <w:tcMar>
              <w:top w:w="30" w:type="dxa"/>
              <w:left w:w="0" w:type="dxa"/>
              <w:bottom w:w="0" w:type="dxa"/>
              <w:right w:w="0" w:type="dxa"/>
            </w:tcMar>
            <w:vAlign w:val="center"/>
          </w:tcPr>
          <w:p>
            <w:pPr>
              <w:pStyle w:val="TableContents"/>
              <w:bidi w:val="0"/>
              <w:spacing w:lineRule="auto" w:line="288" w:before="0" w:after="0"/>
              <w:jc w:val="left"/>
              <w:rPr/>
            </w:pPr>
            <w:r>
              <w:rPr>
                <w:color w:val="000000"/>
              </w:rPr>
              <w:t>“</w:t>
            </w:r>
            <w:r>
              <w:rPr>
                <w:rFonts w:ascii="Times New Roman;serif" w:hAnsi="Times New Roman;serif"/>
                <w:b w:val="false"/>
                <w:i/>
                <w:color w:val="000000"/>
                <w:sz w:val="24"/>
              </w:rPr>
              <w:t>Special Mandatory Redemption Date</w:t>
            </w:r>
            <w:r>
              <w:rPr>
                <w:color w:val="000000"/>
              </w:rPr>
              <w:t>”</w:t>
            </w:r>
          </w:p>
        </w:tc>
        <w:tc>
          <w:tcPr>
            <w:tcW w:w="2174" w:type="dxa"/>
            <w:gridSpan w:val="3"/>
            <w:tcBorders>
              <w:top w:val="single" w:sz="2" w:space="0" w:color="95B3D7"/>
              <w:left w:val="single" w:sz="2" w:space="0" w:color="95B3D7"/>
            </w:tcBorders>
            <w:shd w:fill="FFFFFF" w:val="clear"/>
            <w:tcMar>
              <w:top w:w="3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Section 3.08(c) </w:t>
            </w:r>
          </w:p>
        </w:tc>
      </w:tr>
      <w:tr>
        <w:trPr/>
        <w:tc>
          <w:tcPr>
            <w:tcW w:w="4979" w:type="dxa"/>
            <w:gridSpan w:val="3"/>
            <w:tcBorders>
              <w:top w:val="single" w:sz="2" w:space="0" w:color="95B3D7"/>
            </w:tcBorders>
            <w:shd w:fill="FFFFFF" w:val="clear"/>
            <w:tcMar>
              <w:top w:w="30" w:type="dxa"/>
              <w:left w:w="0" w:type="dxa"/>
              <w:bottom w:w="0" w:type="dxa"/>
              <w:right w:w="0" w:type="dxa"/>
            </w:tcMar>
            <w:vAlign w:val="center"/>
          </w:tcPr>
          <w:p>
            <w:pPr>
              <w:pStyle w:val="TableContents"/>
              <w:bidi w:val="0"/>
              <w:spacing w:lineRule="auto" w:line="288" w:before="0" w:after="0"/>
              <w:jc w:val="left"/>
              <w:rPr/>
            </w:pPr>
            <w:r>
              <w:rPr>
                <w:color w:val="000000"/>
              </w:rPr>
              <w:t>“</w:t>
            </w:r>
            <w:r>
              <w:rPr>
                <w:rFonts w:ascii="Times New Roman;serif" w:hAnsi="Times New Roman;serif"/>
                <w:b w:val="false"/>
                <w:i/>
                <w:color w:val="000000"/>
                <w:sz w:val="24"/>
              </w:rPr>
              <w:t>Special Mandatory Redemption Notice</w:t>
            </w:r>
            <w:r>
              <w:rPr>
                <w:color w:val="000000"/>
              </w:rPr>
              <w:t>”</w:t>
            </w:r>
          </w:p>
        </w:tc>
        <w:tc>
          <w:tcPr>
            <w:tcW w:w="2174" w:type="dxa"/>
            <w:gridSpan w:val="3"/>
            <w:tcBorders>
              <w:top w:val="single" w:sz="2" w:space="0" w:color="95B3D7"/>
              <w:left w:val="single" w:sz="2" w:space="0" w:color="95B3D7"/>
            </w:tcBorders>
            <w:shd w:fill="FFFFFF" w:val="clear"/>
            <w:tcMar>
              <w:top w:w="3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Section 3.08(c) </w:t>
            </w:r>
          </w:p>
        </w:tc>
      </w:tr>
      <w:tr>
        <w:trPr/>
        <w:tc>
          <w:tcPr>
            <w:tcW w:w="4979" w:type="dxa"/>
            <w:gridSpan w:val="3"/>
            <w:tcBorders>
              <w:top w:val="single" w:sz="2" w:space="0" w:color="95B3D7"/>
            </w:tcBorders>
            <w:shd w:fill="FFFFFF" w:val="clear"/>
            <w:tcMar>
              <w:top w:w="30" w:type="dxa"/>
              <w:left w:w="0" w:type="dxa"/>
              <w:bottom w:w="0" w:type="dxa"/>
              <w:right w:w="0" w:type="dxa"/>
            </w:tcMar>
            <w:vAlign w:val="center"/>
          </w:tcPr>
          <w:p>
            <w:pPr>
              <w:pStyle w:val="TableContents"/>
              <w:bidi w:val="0"/>
              <w:spacing w:lineRule="auto" w:line="288" w:before="0" w:after="0"/>
              <w:jc w:val="left"/>
              <w:rPr/>
            </w:pPr>
            <w:r>
              <w:rPr>
                <w:color w:val="000000"/>
              </w:rPr>
              <w:t>“</w:t>
            </w:r>
            <w:r>
              <w:rPr>
                <w:rFonts w:ascii="Times New Roman;serif" w:hAnsi="Times New Roman;serif"/>
                <w:b w:val="false"/>
                <w:i/>
                <w:color w:val="000000"/>
                <w:sz w:val="24"/>
              </w:rPr>
              <w:t>Special Mandatory Redemption Notice Date</w:t>
            </w:r>
            <w:r>
              <w:rPr>
                <w:color w:val="000000"/>
              </w:rPr>
              <w:t>”</w:t>
            </w:r>
          </w:p>
        </w:tc>
        <w:tc>
          <w:tcPr>
            <w:tcW w:w="2174" w:type="dxa"/>
            <w:gridSpan w:val="3"/>
            <w:tcBorders>
              <w:top w:val="single" w:sz="2" w:space="0" w:color="95B3D7"/>
              <w:left w:val="single" w:sz="2" w:space="0" w:color="95B3D7"/>
            </w:tcBorders>
            <w:shd w:fill="FFFFFF" w:val="clear"/>
            <w:tcMar>
              <w:top w:w="3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Section 3.08(c)</w:t>
            </w:r>
          </w:p>
        </w:tc>
      </w:tr>
      <w:tr>
        <w:trPr/>
        <w:tc>
          <w:tcPr>
            <w:tcW w:w="4979" w:type="dxa"/>
            <w:gridSpan w:val="3"/>
            <w:tcBorders>
              <w:top w:val="single" w:sz="2" w:space="0" w:color="95B3D7"/>
            </w:tcBorders>
            <w:shd w:fill="FFFFFF" w:val="clear"/>
            <w:tcMar>
              <w:top w:w="30" w:type="dxa"/>
              <w:left w:w="0" w:type="dxa"/>
              <w:bottom w:w="0" w:type="dxa"/>
              <w:right w:w="0" w:type="dxa"/>
            </w:tcMar>
            <w:vAlign w:val="center"/>
          </w:tcPr>
          <w:p>
            <w:pPr>
              <w:pStyle w:val="TableContents"/>
              <w:bidi w:val="0"/>
              <w:spacing w:lineRule="auto" w:line="288" w:before="0" w:after="0"/>
              <w:jc w:val="left"/>
              <w:rPr/>
            </w:pPr>
            <w:r>
              <w:rPr>
                <w:color w:val="000000"/>
              </w:rPr>
              <w:t>“</w:t>
            </w:r>
            <w:r>
              <w:rPr>
                <w:rFonts w:ascii="Times New Roman;serif" w:hAnsi="Times New Roman;serif"/>
                <w:b w:val="false"/>
                <w:i/>
                <w:color w:val="000000"/>
                <w:sz w:val="24"/>
              </w:rPr>
              <w:t>Special Mandatory Redemption Price</w:t>
            </w:r>
            <w:r>
              <w:rPr>
                <w:color w:val="000000"/>
              </w:rPr>
              <w:t>”</w:t>
            </w:r>
          </w:p>
        </w:tc>
        <w:tc>
          <w:tcPr>
            <w:tcW w:w="2174" w:type="dxa"/>
            <w:gridSpan w:val="3"/>
            <w:tcBorders>
              <w:top w:val="single" w:sz="2" w:space="0" w:color="95B3D7"/>
              <w:left w:val="single" w:sz="2" w:space="0" w:color="95B3D7"/>
            </w:tcBorders>
            <w:shd w:fill="FFFFFF" w:val="clear"/>
            <w:tcMar>
              <w:top w:w="3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Section 3.08(b) </w:t>
            </w:r>
          </w:p>
        </w:tc>
      </w:tr>
      <w:tr>
        <w:trPr/>
        <w:tc>
          <w:tcPr>
            <w:tcW w:w="4979" w:type="dxa"/>
            <w:gridSpan w:val="3"/>
            <w:tcBorders>
              <w:top w:val="single" w:sz="2" w:space="0" w:color="95B3D7"/>
            </w:tcBorders>
            <w:shd w:fill="FFFFFF" w:val="clear"/>
            <w:tcMar>
              <w:top w:w="30" w:type="dxa"/>
              <w:left w:w="0" w:type="dxa"/>
              <w:bottom w:w="0" w:type="dxa"/>
              <w:right w:w="0" w:type="dxa"/>
            </w:tcMar>
            <w:vAlign w:val="center"/>
          </w:tcPr>
          <w:p>
            <w:pPr>
              <w:pStyle w:val="TableContents"/>
              <w:bidi w:val="0"/>
              <w:spacing w:lineRule="auto" w:line="288" w:before="0" w:after="0"/>
              <w:jc w:val="left"/>
              <w:rPr/>
            </w:pPr>
            <w:r>
              <w:rPr>
                <w:color w:val="000000"/>
              </w:rPr>
              <w:t>“</w:t>
            </w:r>
            <w:r>
              <w:rPr>
                <w:rFonts w:ascii="Times New Roman;serif" w:hAnsi="Times New Roman;serif"/>
                <w:b w:val="false"/>
                <w:i/>
                <w:color w:val="000000"/>
                <w:sz w:val="24"/>
              </w:rPr>
              <w:t>Subsequent Transaction</w:t>
            </w:r>
            <w:r>
              <w:rPr>
                <w:color w:val="000000"/>
              </w:rPr>
              <w:t>”</w:t>
            </w:r>
          </w:p>
        </w:tc>
        <w:tc>
          <w:tcPr>
            <w:tcW w:w="2174" w:type="dxa"/>
            <w:gridSpan w:val="3"/>
            <w:tcBorders>
              <w:top w:val="single" w:sz="2" w:space="0" w:color="95B3D7"/>
              <w:left w:val="single" w:sz="2" w:space="0" w:color="95B3D7"/>
            </w:tcBorders>
            <w:shd w:fill="FFFFFF" w:val="clear"/>
            <w:tcMar>
              <w:top w:w="3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Section 1.04(a)</w:t>
            </w:r>
          </w:p>
        </w:tc>
      </w:tr>
      <w:tr>
        <w:trPr/>
        <w:tc>
          <w:tcPr>
            <w:tcW w:w="4979" w:type="dxa"/>
            <w:gridSpan w:val="3"/>
            <w:tcBorders>
              <w:top w:val="single" w:sz="2" w:space="0" w:color="95B3D7"/>
            </w:tcBorders>
            <w:shd w:fill="FFFFFF" w:val="clear"/>
            <w:tcMar>
              <w:top w:w="30" w:type="dxa"/>
              <w:left w:w="0" w:type="dxa"/>
              <w:bottom w:w="0" w:type="dxa"/>
              <w:right w:w="0" w:type="dxa"/>
            </w:tcMar>
            <w:vAlign w:val="center"/>
          </w:tcPr>
          <w:p>
            <w:pPr>
              <w:pStyle w:val="TableContents"/>
              <w:bidi w:val="0"/>
              <w:spacing w:lineRule="auto" w:line="288" w:before="0" w:after="0"/>
              <w:jc w:val="left"/>
              <w:rPr/>
            </w:pPr>
            <w:r>
              <w:rPr>
                <w:color w:val="000000"/>
              </w:rPr>
              <w:t>“</w:t>
            </w:r>
            <w:r>
              <w:rPr>
                <w:rFonts w:ascii="Times New Roman;serif" w:hAnsi="Times New Roman;serif"/>
                <w:b w:val="false"/>
                <w:i/>
                <w:color w:val="000000"/>
                <w:sz w:val="24"/>
              </w:rPr>
              <w:t>Successor Issuer</w:t>
            </w:r>
            <w:r>
              <w:rPr>
                <w:color w:val="000000"/>
              </w:rPr>
              <w:t>”</w:t>
            </w:r>
          </w:p>
        </w:tc>
        <w:tc>
          <w:tcPr>
            <w:tcW w:w="2174" w:type="dxa"/>
            <w:gridSpan w:val="3"/>
            <w:tcBorders>
              <w:top w:val="single" w:sz="2" w:space="0" w:color="95B3D7"/>
              <w:left w:val="single" w:sz="2" w:space="0" w:color="95B3D7"/>
            </w:tcBorders>
            <w:shd w:fill="FFFFFF" w:val="clear"/>
            <w:tcMar>
              <w:top w:w="3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Section 5.01(a)(1)(B)</w:t>
            </w:r>
          </w:p>
        </w:tc>
      </w:tr>
      <w:tr>
        <w:trPr/>
        <w:tc>
          <w:tcPr>
            <w:tcW w:w="4979" w:type="dxa"/>
            <w:gridSpan w:val="3"/>
            <w:tcBorders>
              <w:top w:val="single" w:sz="2" w:space="0" w:color="95B3D7"/>
              <w:bottom w:val="single" w:sz="2" w:space="0" w:color="95B3D7"/>
            </w:tcBorders>
            <w:shd w:fill="FFFFFF" w:val="clear"/>
            <w:tcMar>
              <w:top w:w="30" w:type="dxa"/>
              <w:left w:w="0" w:type="dxa"/>
              <w:bottom w:w="30" w:type="dxa"/>
              <w:right w:w="0" w:type="dxa"/>
            </w:tcMar>
            <w:vAlign w:val="center"/>
          </w:tcPr>
          <w:p>
            <w:pPr>
              <w:pStyle w:val="TableContents"/>
              <w:bidi w:val="0"/>
              <w:spacing w:lineRule="auto" w:line="288" w:before="0" w:after="0"/>
              <w:jc w:val="left"/>
              <w:rPr/>
            </w:pPr>
            <w:r>
              <w:rPr>
                <w:color w:val="000000"/>
              </w:rPr>
              <w:t>“</w:t>
            </w:r>
            <w:r>
              <w:rPr>
                <w:rFonts w:ascii="Times New Roman;serif" w:hAnsi="Times New Roman;serif"/>
                <w:b w:val="false"/>
                <w:i/>
                <w:color w:val="000000"/>
                <w:sz w:val="24"/>
              </w:rPr>
              <w:t>Successor Subsidiary Guarantor</w:t>
            </w:r>
            <w:r>
              <w:rPr>
                <w:color w:val="000000"/>
              </w:rPr>
              <w:t>”</w:t>
            </w:r>
          </w:p>
        </w:tc>
        <w:tc>
          <w:tcPr>
            <w:tcW w:w="2174" w:type="dxa"/>
            <w:gridSpan w:val="3"/>
            <w:tcBorders>
              <w:top w:val="single" w:sz="2" w:space="0" w:color="95B3D7"/>
              <w:left w:val="single" w:sz="2" w:space="0" w:color="95B3D7"/>
              <w:bottom w:val="single" w:sz="2" w:space="0" w:color="95B3D7"/>
            </w:tcBorders>
            <w:shd w:fill="FFFFFF" w:val="clear"/>
            <w:tcMar>
              <w:top w:w="30" w:type="dxa"/>
              <w:bottom w:w="3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Section 5.02(a)(1)(B)</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735965"/>
                <wp:effectExtent l="0" t="0" r="0" b="0"/>
                <wp:wrapNone/>
                <wp:docPr id="74" name="Frame74"/>
                <a:graphic xmlns:a="http://schemas.openxmlformats.org/drawingml/2006/main">
                  <a:graphicData uri="http://schemas.microsoft.com/office/word/2010/wordprocessingShape">
                    <wps:wsp>
                      <wps:cNvSpPr txBox="1"/>
                      <wps:spPr>
                        <a:xfrm>
                          <a:off x="0" y="0"/>
                          <a:ext cx="6480175" cy="7359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26</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26</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tbl>
      <w:tblPr>
        <w:tblW w:w="5954" w:type="dxa"/>
        <w:jc w:val="center"/>
        <w:tblInd w:w="0" w:type="dxa"/>
        <w:tblLayout w:type="fixed"/>
        <w:tblCellMar>
          <w:top w:w="28" w:type="dxa"/>
          <w:left w:w="28" w:type="dxa"/>
          <w:bottom w:w="28" w:type="dxa"/>
          <w:right w:w="28" w:type="dxa"/>
        </w:tblCellMar>
      </w:tblPr>
      <w:tblGrid>
        <w:gridCol w:w="1576"/>
        <w:gridCol w:w="1385"/>
        <w:gridCol w:w="1389"/>
        <w:gridCol w:w="468"/>
        <w:gridCol w:w="468"/>
        <w:gridCol w:w="668"/>
      </w:tblGrid>
      <w:tr>
        <w:trPr/>
        <w:tc>
          <w:tcPr>
            <w:tcW w:w="1576"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1389"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r>
      <w:tr>
        <w:trPr/>
        <w:tc>
          <w:tcPr>
            <w:tcW w:w="4350" w:type="dxa"/>
            <w:gridSpan w:val="3"/>
            <w:tcBorders>
              <w:top w:val="single" w:sz="2" w:space="0" w:color="95B3D7"/>
            </w:tcBorders>
            <w:shd w:fill="FFFFFF" w:val="clear"/>
            <w:tcMar>
              <w:top w:w="30" w:type="dxa"/>
              <w:left w:w="0" w:type="dxa"/>
              <w:bottom w:w="0" w:type="dxa"/>
              <w:right w:w="0" w:type="dxa"/>
            </w:tcMar>
            <w:vAlign w:val="center"/>
          </w:tcPr>
          <w:p>
            <w:pPr>
              <w:pStyle w:val="TableContents"/>
              <w:bidi w:val="0"/>
              <w:spacing w:lineRule="auto" w:line="288" w:before="0" w:after="0"/>
              <w:jc w:val="left"/>
              <w:rPr/>
            </w:pPr>
            <w:r>
              <w:rPr>
                <w:color w:val="000000"/>
              </w:rPr>
              <w:t>“</w:t>
            </w:r>
            <w:r>
              <w:rPr>
                <w:rFonts w:ascii="Times New Roman;serif" w:hAnsi="Times New Roman;serif"/>
                <w:b w:val="false"/>
                <w:i/>
                <w:color w:val="000000"/>
                <w:sz w:val="24"/>
              </w:rPr>
              <w:t>Verification Covenant</w:t>
            </w:r>
            <w:r>
              <w:rPr>
                <w:color w:val="000000"/>
              </w:rPr>
              <w:t>”</w:t>
            </w:r>
          </w:p>
        </w:tc>
        <w:tc>
          <w:tcPr>
            <w:tcW w:w="1604" w:type="dxa"/>
            <w:gridSpan w:val="3"/>
            <w:tcBorders>
              <w:top w:val="single" w:sz="2" w:space="0" w:color="95B3D7"/>
              <w:left w:val="single" w:sz="2" w:space="0" w:color="95B3D7"/>
            </w:tcBorders>
            <w:shd w:fill="FFFFFF" w:val="clear"/>
            <w:tcMar>
              <w:top w:w="3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Section 6.09(a)</w:t>
            </w:r>
          </w:p>
        </w:tc>
      </w:tr>
      <w:tr>
        <w:trPr/>
        <w:tc>
          <w:tcPr>
            <w:tcW w:w="4350" w:type="dxa"/>
            <w:gridSpan w:val="3"/>
            <w:tcBorders>
              <w:top w:val="single" w:sz="2" w:space="0" w:color="95B3D7"/>
              <w:bottom w:val="single" w:sz="2" w:space="0" w:color="95B3D7"/>
            </w:tcBorders>
            <w:tcMar>
              <w:top w:w="30" w:type="dxa"/>
              <w:left w:w="0" w:type="dxa"/>
              <w:bottom w:w="30" w:type="dxa"/>
              <w:right w:w="0" w:type="dxa"/>
            </w:tcMar>
            <w:vAlign w:val="center"/>
          </w:tcPr>
          <w:p>
            <w:pPr>
              <w:pStyle w:val="TableContents"/>
              <w:bidi w:val="0"/>
              <w:spacing w:lineRule="auto" w:line="288" w:before="0" w:after="0"/>
              <w:jc w:val="left"/>
              <w:rPr/>
            </w:pPr>
            <w:r>
              <w:rPr>
                <w:color w:val="000000"/>
              </w:rPr>
              <w:t>“</w:t>
            </w:r>
            <w:r>
              <w:rPr>
                <w:rFonts w:ascii="Times New Roman;serif" w:hAnsi="Times New Roman;serif"/>
                <w:b w:val="false"/>
                <w:i/>
                <w:color w:val="000000"/>
                <w:sz w:val="24"/>
              </w:rPr>
              <w:t>Verification Covenant Officer’s Certificate</w:t>
            </w:r>
            <w:r>
              <w:rPr>
                <w:color w:val="000000"/>
              </w:rPr>
              <w:t>”</w:t>
            </w:r>
          </w:p>
        </w:tc>
        <w:tc>
          <w:tcPr>
            <w:tcW w:w="1604" w:type="dxa"/>
            <w:gridSpan w:val="3"/>
            <w:tcBorders>
              <w:top w:val="single" w:sz="2" w:space="0" w:color="95B3D7"/>
              <w:left w:val="single" w:sz="2" w:space="0" w:color="95B3D7"/>
              <w:bottom w:val="single" w:sz="2" w:space="0" w:color="95B3D7"/>
            </w:tcBorders>
            <w:tcMar>
              <w:top w:w="30" w:type="dxa"/>
              <w:bottom w:w="3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Section 6.09(b)</w:t>
            </w:r>
          </w:p>
        </w:tc>
      </w:tr>
    </w:tbl>
    <w:p>
      <w:pPr>
        <w:pStyle w:val="TextBody"/>
        <w:bidi w:val="0"/>
        <w:spacing w:before="0" w:after="0"/>
        <w:jc w:val="left"/>
        <w:rPr/>
      </w:pPr>
      <w:r>
        <w:rPr/>
      </w:r>
    </w:p>
    <w:p>
      <w:pPr>
        <w:pStyle w:val="TextBody"/>
        <w:bidi w:val="0"/>
        <w:spacing w:lineRule="auto" w:line="240" w:before="0" w:after="240"/>
        <w:jc w:val="left"/>
        <w:rPr/>
      </w:pPr>
      <w:r>
        <w:rPr>
          <w:rFonts w:ascii="Times New Roman;serif" w:hAnsi="Times New Roman;serif"/>
          <w:b w:val="false"/>
          <w:color w:val="000000"/>
          <w:sz w:val="24"/>
        </w:rPr>
        <w:t>Section 1.03</w:t>
      </w:r>
      <w:r>
        <w:rPr>
          <w:rFonts w:ascii="Times New Roman;serif" w:hAnsi="Times New Roman;serif"/>
          <w:b w:val="false"/>
          <w:color w:val="000000"/>
          <w:sz w:val="24"/>
          <w:u w:val="single"/>
        </w:rPr>
        <w:t>Rules of Construction</w:t>
      </w:r>
      <w:r>
        <w:rPr>
          <w:rFonts w:ascii="Times New Roman;serif" w:hAnsi="Times New Roman;serif"/>
          <w:b w:val="false"/>
          <w:color w:val="000000"/>
          <w:sz w:val="24"/>
        </w:rPr>
        <w: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Unless the context otherwise requires:</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(1)a term has the meaning assigned to it;</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(2)an accounting term not otherwise defined has the meaning assigned to it in accordance with GAAP;</w:t>
      </w:r>
    </w:p>
    <w:p>
      <w:pPr>
        <w:pStyle w:val="TextBody"/>
        <w:bidi w:val="0"/>
        <w:spacing w:lineRule="auto" w:line="240" w:before="0" w:after="240"/>
        <w:ind w:left="0" w:right="0" w:firstLine="720"/>
        <w:jc w:val="both"/>
        <w:rPr/>
      </w:pPr>
      <w:r>
        <w:rPr>
          <w:rFonts w:ascii="Times New Roman;serif" w:hAnsi="Times New Roman;serif"/>
          <w:b w:val="false"/>
          <w:color w:val="000000"/>
          <w:sz w:val="24"/>
        </w:rPr>
        <w:t>(3)</w:t>
      </w:r>
      <w:r>
        <w:rPr>
          <w:color w:val="000000"/>
        </w:rPr>
        <w:t>“</w:t>
      </w:r>
      <w:r>
        <w:rPr>
          <w:rFonts w:ascii="Times New Roman;serif" w:hAnsi="Times New Roman;serif"/>
          <w:b w:val="false"/>
          <w:color w:val="000000"/>
          <w:sz w:val="24"/>
        </w:rPr>
        <w:t>or” is not exclusive;</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(4)words in the singular include the plural, and in the plural include the singular;</w:t>
      </w:r>
    </w:p>
    <w:p>
      <w:pPr>
        <w:pStyle w:val="TextBody"/>
        <w:bidi w:val="0"/>
        <w:spacing w:lineRule="auto" w:line="240" w:before="0" w:after="240"/>
        <w:ind w:left="0" w:right="0" w:firstLine="720"/>
        <w:jc w:val="both"/>
        <w:rPr/>
      </w:pPr>
      <w:r>
        <w:rPr>
          <w:rFonts w:ascii="Times New Roman;serif" w:hAnsi="Times New Roman;serif"/>
          <w:b w:val="false"/>
          <w:color w:val="000000"/>
          <w:sz w:val="24"/>
        </w:rPr>
        <w:t>(5)</w:t>
      </w:r>
      <w:r>
        <w:rPr>
          <w:color w:val="000000"/>
        </w:rPr>
        <w:t>“</w:t>
      </w:r>
      <w:r>
        <w:rPr>
          <w:rFonts w:ascii="Times New Roman;serif" w:hAnsi="Times New Roman;serif"/>
          <w:b w:val="false"/>
          <w:color w:val="000000"/>
          <w:sz w:val="24"/>
        </w:rPr>
        <w:t>will” shall be interpreted to express a command;</w:t>
      </w:r>
    </w:p>
    <w:p>
      <w:pPr>
        <w:pStyle w:val="TextBody"/>
        <w:bidi w:val="0"/>
        <w:spacing w:lineRule="auto" w:line="240" w:before="0" w:after="240"/>
        <w:ind w:left="0" w:right="0" w:firstLine="720"/>
        <w:jc w:val="both"/>
        <w:rPr/>
      </w:pPr>
      <w:r>
        <w:rPr>
          <w:rFonts w:ascii="Times New Roman;serif" w:hAnsi="Times New Roman;serif"/>
          <w:b w:val="false"/>
          <w:color w:val="000000"/>
          <w:sz w:val="24"/>
        </w:rPr>
        <w:t>(6)</w:t>
      </w:r>
      <w:r>
        <w:rPr>
          <w:color w:val="000000"/>
        </w:rPr>
        <w:t>“</w:t>
      </w:r>
      <w:r>
        <w:rPr>
          <w:rFonts w:ascii="Times New Roman;serif" w:hAnsi="Times New Roman;serif"/>
          <w:b w:val="false"/>
          <w:color w:val="000000"/>
          <w:sz w:val="24"/>
        </w:rPr>
        <w:t>including” or “include” means including or include without limitation;</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(7)provisions apply to successive events and transactions;</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(8)references to sections of or rules under the Securities Act will be deemed to include substitute, replacement or successor sections or rules adopted by the SEC from time to time;</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(9)all references in this instrument to Articles, Sections and Exhibits are references to the corresponding Articles, Sections and Exhibits in and of this instrument; and</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(10)the words “herein,” “hereof,” “hereunder” and other words of similar import refer to this Indenture as a whole and not to any particular Article, Section or other subdivision.</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terms and provisions contained in this Indenture will apply to any Notes issued from time to time pursuant to this Indenture and any Subsidiary Guarantees thereof, except as may be otherwise provided in a supplemental indenture with respect to such Notes.</w:t>
      </w:r>
    </w:p>
    <w:p>
      <w:pPr>
        <w:pStyle w:val="TextBody"/>
        <w:bidi w:val="0"/>
        <w:spacing w:lineRule="auto" w:line="240" w:before="0" w:after="240"/>
        <w:jc w:val="left"/>
        <w:rPr/>
      </w:pPr>
      <w:r>
        <w:rPr>
          <w:rFonts w:ascii="Times New Roman;serif" w:hAnsi="Times New Roman;serif"/>
          <w:b w:val="false"/>
          <w:color w:val="000000"/>
          <w:sz w:val="24"/>
        </w:rPr>
        <w:t>Section 1.04</w:t>
      </w:r>
      <w:r>
        <w:rPr>
          <w:rFonts w:ascii="Times New Roman;serif" w:hAnsi="Times New Roman;serif"/>
          <w:b w:val="false"/>
          <w:color w:val="000000"/>
          <w:sz w:val="24"/>
          <w:u w:val="single"/>
        </w:rPr>
        <w:t>Limited Condition Transactions.</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rPr>
        <w:t>Notwithstanding any other provision of this Indenture, with respect to any (x) transaction that the Issuer or one or more of its Subsidiaries is contractually committed to consummate and consummation of which is not conditioned on the availability of, or on obtaining, third-party financing and (y) redemption, repurchase, defeasance, satisfaction and discharge or payment or repayment of Indebtedness requiring irrevocable notice in advance of such redemption, repurchase, defeasance, satisfaction and discharge, payment or repayment (any transaction described in clauses (x) or (y), a “</w:t>
      </w:r>
      <w:r>
        <w:rPr>
          <w:rFonts w:ascii="Times New Roman;serif" w:hAnsi="Times New Roman;serif"/>
          <w:b w:val="false"/>
          <w:i/>
          <w:color w:val="000000"/>
          <w:sz w:val="24"/>
        </w:rPr>
        <w:t>Limited Condition Transaction</w:t>
      </w:r>
      <w:r>
        <w:rPr>
          <w:color w:val="000000"/>
        </w:rPr>
        <w:t>”</w:t>
      </w:r>
      <w:r>
        <w:rPr>
          <w:rFonts w:ascii="Times New Roman;serif" w:hAnsi="Times New Roman;serif"/>
          <w:b w:val="false"/>
          <w:color w:val="000000"/>
          <w:sz w:val="24"/>
        </w:rPr>
        <w:t>) in each case for purposes of determining:</w:t>
      </w:r>
    </w:p>
    <w:p>
      <w:pPr>
        <w:pStyle w:val="TextBody"/>
        <w:bidi w:val="0"/>
        <w:spacing w:before="0" w:after="0"/>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735965"/>
                <wp:effectExtent l="0" t="0" r="0" b="0"/>
                <wp:wrapNone/>
                <wp:docPr id="75" name="Frame75"/>
                <a:graphic xmlns:a="http://schemas.openxmlformats.org/drawingml/2006/main">
                  <a:graphicData uri="http://schemas.microsoft.com/office/word/2010/wordprocessingShape">
                    <wps:wsp>
                      <wps:cNvSpPr txBox="1"/>
                      <wps:spPr>
                        <a:xfrm>
                          <a:off x="0" y="0"/>
                          <a:ext cx="6480175" cy="7359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27</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27</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00000"/>
          <w:sz w:val="24"/>
        </w:rPr>
        <w:t xml:space="preserve">(1)whether any Lien being incurred in connection with such Limited Condition Transaction or to secure any such Indebtedness is permitted to be incurred in accordance with </w:t>
      </w:r>
      <w:r>
        <w:rPr>
          <w:rFonts w:ascii="Times New Roman;serif" w:hAnsi="Times New Roman;serif"/>
          <w:b w:val="false"/>
          <w:color w:val="000000"/>
          <w:sz w:val="24"/>
          <w:u w:val="single"/>
        </w:rPr>
        <w:t>Section 4.04</w:t>
      </w:r>
      <w:r>
        <w:rPr>
          <w:color w:val="000000"/>
        </w:rPr>
        <w:t xml:space="preserve"> </w:t>
      </w:r>
      <w:r>
        <w:rPr>
          <w:rFonts w:ascii="Times New Roman;serif" w:hAnsi="Times New Roman;serif"/>
          <w:b w:val="false"/>
          <w:color w:val="000000"/>
          <w:sz w:val="24"/>
        </w:rPr>
        <w:t>or the definitions of “Permitted Liens”;</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(2)whether any other transaction undertaken or proposed to be undertaken in connection with such Limited Condition Transaction complies with the covenants or agreements contained in this Indenture or the Notes; </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(3)any calculation of the Consolidated Adjusted EBITDA, Consolidated Secured Net Leverage Ratio or Total Assets; and</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(4)whether a Default or Event of Default exists in connection with the foregoing, </w:t>
      </w:r>
    </w:p>
    <w:p>
      <w:pPr>
        <w:pStyle w:val="TextBody"/>
        <w:bidi w:val="0"/>
        <w:spacing w:lineRule="auto" w:line="288" w:before="0" w:after="240"/>
        <w:jc w:val="both"/>
        <w:rPr/>
      </w:pPr>
      <w:r>
        <w:rPr>
          <w:rFonts w:ascii="Times New Roman;serif" w:hAnsi="Times New Roman;serif"/>
          <w:b w:val="false"/>
          <w:color w:val="000000"/>
          <w:sz w:val="24"/>
        </w:rPr>
        <w:t>in each case, at the option of the Issuer (the Issuer’s election to exercise such option in connection with any Limited Condition Transaction, an “</w:t>
      </w:r>
      <w:r>
        <w:rPr>
          <w:rFonts w:ascii="Times New Roman;serif" w:hAnsi="Times New Roman;serif"/>
          <w:b w:val="false"/>
          <w:i/>
          <w:color w:val="000000"/>
          <w:sz w:val="24"/>
        </w:rPr>
        <w:t>LCT Election</w:t>
      </w:r>
      <w:r>
        <w:rPr>
          <w:color w:val="000000"/>
        </w:rPr>
        <w:t>”</w:t>
      </w:r>
      <w:r>
        <w:rPr>
          <w:rFonts w:ascii="Times New Roman;serif" w:hAnsi="Times New Roman;serif"/>
          <w:b w:val="false"/>
          <w:color w:val="000000"/>
          <w:sz w:val="24"/>
        </w:rPr>
        <w:t>), the date of determination of whether any such action is permitted hereunder (such date, the “</w:t>
      </w:r>
      <w:r>
        <w:rPr>
          <w:rFonts w:ascii="Times New Roman;serif" w:hAnsi="Times New Roman;serif"/>
          <w:b w:val="false"/>
          <w:i/>
          <w:color w:val="000000"/>
          <w:sz w:val="24"/>
        </w:rPr>
        <w:t>LCT Test Date</w:t>
      </w:r>
      <w:r>
        <w:rPr>
          <w:color w:val="000000"/>
        </w:rPr>
        <w:t>”</w:t>
      </w:r>
      <w:r>
        <w:rPr>
          <w:rFonts w:ascii="Times New Roman;serif" w:hAnsi="Times New Roman;serif"/>
          <w:b w:val="false"/>
          <w:color w:val="000000"/>
          <w:sz w:val="24"/>
        </w:rPr>
        <w:t xml:space="preserve">) shall be deemed, in each case, to be at the option of the Issuer: </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     in the case of a Limited Condition Transaction (other than as described in clauses (ii) below):</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(x)    the date the definitive agreement for such transaction is entered into (or the date of the effectiveness of any documentation or agreement with a substantially similar effect as a binding acquisition agreement); </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(y)     at the time that binding commitments to provide any debt contemplated or incurred in connection therewith are provided or at the time such debt is incurred; or </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(z)     at the time of the consummation of the relevant transaction;</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(ii)    in the case of any irrevocable Indebtedness repurchase, payment, repayment or similar Limited Condition Transaction (including with respect to any Indebtedness contemplated or incurred in connection therewith):</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(x)    at the time of delivery of notice with respect to such repurchase, payment, repayment or similar Limited Condition Transaction; </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(y)     at the time that binding commitments to provide any Indebtedness contemplated or incurred in connection therewith are provided or at the time such Indebtedness is incurred; or </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(z)     at the time of the making of such repurchase, repayment or Limited Condition Transaction;</w:t>
      </w:r>
    </w:p>
    <w:p>
      <w:pPr>
        <w:pStyle w:val="TextBody"/>
        <w:bidi w:val="0"/>
        <w:spacing w:lineRule="auto" w:line="300"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and, in each case, if, after giving Pro Forma Effect to the Limited Condition Transaction, the Issuer or any of its Subsidiaries could have been permitted to take such action on the relevant </w:t>
      </w:r>
    </w:p>
    <w:p>
      <w:pPr>
        <w:pStyle w:val="TextBody"/>
        <w:bidi w:val="0"/>
        <w:spacing w:before="0" w:after="0"/>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735965"/>
                <wp:effectExtent l="0" t="0" r="0" b="0"/>
                <wp:wrapNone/>
                <wp:docPr id="76" name="Frame76"/>
                <a:graphic xmlns:a="http://schemas.openxmlformats.org/drawingml/2006/main">
                  <a:graphicData uri="http://schemas.microsoft.com/office/word/2010/wordprocessingShape">
                    <wps:wsp>
                      <wps:cNvSpPr txBox="1"/>
                      <wps:spPr>
                        <a:xfrm>
                          <a:off x="0" y="0"/>
                          <a:ext cx="6480175" cy="7359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28</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28</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300"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LCT Test Date in compliance with the applicable ratios, test, basket or other provisions, such provisions shall be deemed to have been complied with. </w:t>
      </w:r>
    </w:p>
    <w:p>
      <w:pPr>
        <w:pStyle w:val="TextBody"/>
        <w:bidi w:val="0"/>
        <w:spacing w:lineRule="auto" w:line="30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For the avoidance of doubt, if the Issuer has made an LCT Election and, following the LCT Test Date, any of the ratios, tests or baskets for which compliance was determined or tested as of the LCT Test Date could have failed to have been satisfied as a result of fluctuations in any such ratios, tests or baskets, including due to fluctuations in Consolidated Adjusted EBITDA, Consolidated Secured Net Leverage Ratio or Total Assets following the LCT Test Date but at or prior to the consummation of the relevant Limited Condition Transaction, such baskets, tests or ratios will not be deemed to have failed to have been satisfied as a result of such fluctuations.</w:t>
      </w:r>
    </w:p>
    <w:p>
      <w:pPr>
        <w:pStyle w:val="TextBody"/>
        <w:bidi w:val="0"/>
        <w:spacing w:lineRule="auto" w:line="300" w:before="0" w:after="240"/>
        <w:ind w:left="0" w:right="0" w:firstLine="720"/>
        <w:jc w:val="both"/>
        <w:rPr/>
      </w:pPr>
      <w:r>
        <w:rPr>
          <w:rFonts w:ascii="Times New Roman;serif" w:hAnsi="Times New Roman;serif"/>
          <w:b w:val="false"/>
          <w:color w:val="000000"/>
          <w:sz w:val="24"/>
        </w:rPr>
        <w:t>If the Issuer has made an LCT Election for any Limited Condition Transaction, then in connection with any event or transaction occurring after the relevant LCT Test Date and prior to the earlier of the date on which such Limited Condition Transaction is consummated or the date that the definitive agreement or date for redemption, repurchase, defeasance, satisfaction and discharge, payment, repayment or consummation of such Limited Condition Transaction specified in an irrevocable notice for such Limited Condition Transaction is terminated, expires or passes, as applicable, without consummation of such Limited Condition Transaction (a “</w:t>
      </w:r>
      <w:r>
        <w:rPr>
          <w:rFonts w:ascii="Times New Roman;serif" w:hAnsi="Times New Roman;serif"/>
          <w:b w:val="false"/>
          <w:i/>
          <w:color w:val="000000"/>
          <w:sz w:val="24"/>
        </w:rPr>
        <w:t>Subsequent Transaction</w:t>
      </w:r>
      <w:r>
        <w:rPr>
          <w:color w:val="000000"/>
        </w:rPr>
        <w:t>”</w:t>
      </w:r>
      <w:r>
        <w:rPr>
          <w:rFonts w:ascii="Times New Roman;serif" w:hAnsi="Times New Roman;serif"/>
          <w:b w:val="false"/>
          <w:color w:val="000000"/>
          <w:sz w:val="24"/>
        </w:rPr>
        <w:t xml:space="preserve">) in connection with which a ratio, test or basket availability calculation must be made on a Pro Forma Basis or giving Pro Forma Effect to such Subsequent Transaction, for purposes of determining whether such ratio, test or basket availability has been complied with under this Indenture, any such ratio, test or basket shall be required to be satisfied on a Pro Forma Basis assuming such Limited Condition Transaction and other transactions in connection therewith have been consummated until such time as the applicable Limited Condition Transaction has actually closed or the definitive agreement with respect thereto has been terminated;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i/>
          <w:color w:val="000000"/>
          <w:sz w:val="24"/>
        </w:rPr>
        <w:t>that</w:t>
      </w:r>
      <w:r>
        <w:rPr>
          <w:color w:val="000000"/>
        </w:rPr>
        <w:t xml:space="preserve"> </w:t>
      </w:r>
      <w:r>
        <w:rPr>
          <w:rFonts w:ascii="Times New Roman;serif" w:hAnsi="Times New Roman;serif"/>
          <w:b w:val="false"/>
          <w:color w:val="000000"/>
          <w:sz w:val="24"/>
        </w:rPr>
        <w:t>for purposes of any calculation of Consolidated Adjusted EBITDA, total interest expense will be calculated using an assumed interest rate for the Indebtedness to be incurred in connection with such Limited Condition Transaction based on the indicative interest margin contained in any financing commitment documentation with respect to such Indebtedness or, if no such indicative interest margin exists, as reasonably determined by the Issuer in good faith.</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rPr>
        <w:t xml:space="preserve">Notwithstanding anything herein to the contrary, for the purposes of this </w:t>
      </w:r>
      <w:r>
        <w:rPr>
          <w:rFonts w:ascii="Times New Roman;serif" w:hAnsi="Times New Roman;serif"/>
          <w:b w:val="false"/>
          <w:color w:val="000000"/>
          <w:sz w:val="24"/>
          <w:u w:val="single"/>
        </w:rPr>
        <w:t>Section 1.04</w:t>
      </w:r>
      <w:r>
        <w:rPr>
          <w:rFonts w:ascii="Times New Roman;serif" w:hAnsi="Times New Roman;serif"/>
          <w:b w:val="false"/>
          <w:color w:val="000000"/>
          <w:sz w:val="24"/>
        </w:rPr>
        <w:t>, compliance with any requirement relating to absence of Default or Event of Default may be determined as of the LCT Test Date and not as of any later date as would otherwise be required under this Indenture.</w:t>
      </w:r>
    </w:p>
    <w:p>
      <w:pPr>
        <w:pStyle w:val="TextBody"/>
        <w:bidi w:val="0"/>
        <w:spacing w:lineRule="auto" w:line="240" w:before="0" w:after="240"/>
        <w:jc w:val="left"/>
        <w:rPr/>
      </w:pPr>
      <w:r>
        <w:rPr>
          <w:rFonts w:ascii="Times New Roman;serif" w:hAnsi="Times New Roman;serif"/>
          <w:b w:val="false"/>
          <w:color w:val="000000"/>
          <w:sz w:val="24"/>
        </w:rPr>
        <w:t>Section 1.05</w:t>
      </w:r>
      <w:r>
        <w:rPr>
          <w:rFonts w:ascii="Times New Roman;serif" w:hAnsi="Times New Roman;serif"/>
          <w:b w:val="false"/>
          <w:color w:val="000000"/>
          <w:sz w:val="24"/>
          <w:u w:val="single"/>
        </w:rPr>
        <w:t>Measuring Compliance</w:t>
      </w:r>
      <w:r>
        <w:rPr>
          <w:rFonts w:ascii="Times New Roman;serif" w:hAnsi="Times New Roman;serif"/>
          <w:b w:val="false"/>
          <w:color w:val="000000"/>
          <w:sz w:val="24"/>
        </w:rPr>
        <w:t xml:space="preserve">. </w:t>
      </w:r>
    </w:p>
    <w:p>
      <w:pPr>
        <w:pStyle w:val="TextBody"/>
        <w:bidi w:val="0"/>
        <w:spacing w:lineRule="auto" w:line="300" w:before="0" w:after="240"/>
        <w:jc w:val="both"/>
        <w:rPr/>
      </w:pPr>
      <w:r>
        <w:rPr>
          <w:rFonts w:ascii="Times New Roman;serif" w:hAnsi="Times New Roman;serif"/>
          <w:b w:val="false"/>
          <w:color w:val="000000"/>
          <w:sz w:val="24"/>
        </w:rPr>
        <w:t>Section 1.06</w:t>
      </w:r>
      <w:r>
        <w:rPr>
          <w:color w:val="000000"/>
        </w:rPr>
        <w:t>    </w:t>
      </w:r>
      <w:r>
        <w:rPr>
          <w:rFonts w:ascii="Times New Roman;serif" w:hAnsi="Times New Roman;serif"/>
          <w:b w:val="false"/>
          <w:color w:val="000000"/>
          <w:sz w:val="24"/>
        </w:rPr>
        <w:t>Notwithstanding anything herein to the contrary, with respect to any amounts incurred (including any baskets, thresholds, exceptions and any related builder or grower component) or transactions entered into (or consummated) in reliance on a provision of this Indenture that does not require compliance with a financial ratio or test (any such amounts, the “</w:t>
      </w:r>
      <w:r>
        <w:rPr>
          <w:rFonts w:ascii="Times New Roman;serif" w:hAnsi="Times New Roman;serif"/>
          <w:b w:val="false"/>
          <w:i/>
          <w:color w:val="000000"/>
          <w:sz w:val="24"/>
        </w:rPr>
        <w:t>Fixed Amounts</w:t>
      </w:r>
      <w:r>
        <w:rPr>
          <w:color w:val="000000"/>
        </w:rPr>
        <w:t>”</w:t>
      </w:r>
      <w:r>
        <w:rPr>
          <w:rFonts w:ascii="Times New Roman;serif" w:hAnsi="Times New Roman;serif"/>
          <w:b w:val="false"/>
          <w:color w:val="000000"/>
          <w:sz w:val="24"/>
        </w:rPr>
        <w:t xml:space="preserve">) substantially concurrently with any amounts incurred or transactions </w:t>
      </w:r>
    </w:p>
    <w:p>
      <w:pPr>
        <w:pStyle w:val="TextBody"/>
        <w:bidi w:val="0"/>
        <w:spacing w:before="0" w:after="0"/>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735965"/>
                <wp:effectExtent l="0" t="0" r="0" b="0"/>
                <wp:wrapNone/>
                <wp:docPr id="77" name="Frame77"/>
                <a:graphic xmlns:a="http://schemas.openxmlformats.org/drawingml/2006/main">
                  <a:graphicData uri="http://schemas.microsoft.com/office/word/2010/wordprocessingShape">
                    <wps:wsp>
                      <wps:cNvSpPr txBox="1"/>
                      <wps:spPr>
                        <a:xfrm>
                          <a:off x="0" y="0"/>
                          <a:ext cx="6480175" cy="7359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29</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29</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300" w:before="0" w:after="240"/>
        <w:jc w:val="both"/>
        <w:rPr/>
      </w:pPr>
      <w:r>
        <w:rPr>
          <w:rFonts w:ascii="Times New Roman;serif" w:hAnsi="Times New Roman;serif"/>
          <w:b w:val="false"/>
          <w:color w:val="000000"/>
          <w:sz w:val="24"/>
        </w:rPr>
        <w:t>entered into (or consummated) in reliance on a provision of this Indenture that requires compliance with any such financial ratio or test (any such amounts, the “</w:t>
      </w:r>
      <w:r>
        <w:rPr>
          <w:rFonts w:ascii="Times New Roman;serif" w:hAnsi="Times New Roman;serif"/>
          <w:b w:val="false"/>
          <w:i/>
          <w:color w:val="000000"/>
          <w:sz w:val="24"/>
        </w:rPr>
        <w:t>Incurrence-Based Amounts</w:t>
      </w:r>
      <w:r>
        <w:rPr>
          <w:color w:val="000000"/>
        </w:rPr>
        <w:t>”</w:t>
      </w:r>
      <w:r>
        <w:rPr>
          <w:rFonts w:ascii="Times New Roman;serif" w:hAnsi="Times New Roman;serif"/>
          <w:b w:val="false"/>
          <w:color w:val="000000"/>
          <w:sz w:val="24"/>
        </w:rPr>
        <w:t>), it is understood and agreed that any Fixed Amount (and any cash proceeds thereof) shall be disregarded in the calculation of the financial ratio or test applicable to the relevant Incurrence-Based Amount in connection with such substantially concurrent incurrence and amounts incurred, or transactions entered into or consummated, in reliance on a Fixed Amount in a concurrent transaction, a single transaction or a series of related transactions with the amount incurred, or transaction entered into or consummated, under the applicable Incurrence-Based Amount, shall not be given effect in calculating the applicable Incurrence-Based Amount (but giving pro forma effect to all applicable and related transactions (including the use of proceeds of all Indebtedness to be incurred and any repayments, repurchases and redemptions of Indebtedness) and all other Pro Forma Adjustments).</w:t>
      </w:r>
    </w:p>
    <w:p>
      <w:pPr>
        <w:pStyle w:val="TextBody"/>
        <w:bidi w:val="0"/>
        <w:spacing w:before="0" w:after="0"/>
        <w:jc w:val="left"/>
        <w:rPr/>
      </w:pPr>
      <w:r>
        <w:rPr/>
      </w:r>
    </w:p>
    <w:p>
      <w:pPr>
        <w:pStyle w:val="TextBody"/>
        <w:bidi w:val="0"/>
        <w:spacing w:lineRule="auto" w:line="240" w:before="0" w:after="240"/>
        <w:jc w:val="center"/>
        <w:rPr/>
      </w:pPr>
      <w:r>
        <w:rPr>
          <w:rFonts w:ascii="Times New Roman;serif" w:hAnsi="Times New Roman;serif"/>
          <w:b w:val="false"/>
          <w:color w:val="000000"/>
          <w:sz w:val="24"/>
        </w:rPr>
        <w:t>Article 2</w:t>
      </w:r>
      <w:r>
        <w:rPr>
          <w:rFonts w:ascii="Times New Roman;serif" w:hAnsi="Times New Roman;serif"/>
          <w:b w:val="false"/>
          <w:color w:val="000000"/>
          <w:sz w:val="24"/>
        </w:rPr>
        <w:br/>
        <w:t>THE NOTES</w:t>
      </w:r>
    </w:p>
    <w:p>
      <w:pPr>
        <w:pStyle w:val="TextBody"/>
        <w:bidi w:val="0"/>
        <w:spacing w:lineRule="auto" w:line="240" w:before="0" w:after="240"/>
        <w:jc w:val="left"/>
        <w:rPr/>
      </w:pPr>
      <w:r>
        <w:rPr>
          <w:rFonts w:ascii="Times New Roman;serif" w:hAnsi="Times New Roman;serif"/>
          <w:b w:val="false"/>
          <w:color w:val="000000"/>
          <w:sz w:val="24"/>
        </w:rPr>
        <w:t>Section 2.01</w:t>
      </w:r>
      <w:r>
        <w:rPr>
          <w:rFonts w:ascii="Times New Roman;serif" w:hAnsi="Times New Roman;serif"/>
          <w:b w:val="false"/>
          <w:color w:val="000000"/>
          <w:sz w:val="24"/>
          <w:u w:val="single"/>
        </w:rPr>
        <w:t>Form and Dating</w:t>
      </w:r>
      <w:r>
        <w:rPr>
          <w:rFonts w:ascii="Times New Roman;serif" w:hAnsi="Times New Roman;serif"/>
          <w:b w:val="false"/>
          <w:color w:val="000000"/>
          <w:sz w:val="24"/>
        </w:rPr>
        <w:t xml:space="preserve">. </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i/>
          <w:color w:val="000000"/>
          <w:sz w:val="24"/>
        </w:rPr>
        <w:t>General</w:t>
      </w:r>
      <w:r>
        <w:rPr>
          <w:rFonts w:ascii="Times New Roman;serif" w:hAnsi="Times New Roman;serif"/>
          <w:b w:val="false"/>
          <w:color w:val="000000"/>
          <w:sz w:val="24"/>
        </w:rPr>
        <w:t>. The Notes shall be issued in registered global form (except as otherwise permitted herein with respect to Definitive Notes) without</w:t>
      </w:r>
      <w:r>
        <w:rPr>
          <w:color w:val="000000"/>
        </w:rPr>
        <w:t xml:space="preserve"> </w:t>
      </w:r>
      <w:r>
        <w:rPr>
          <w:rFonts w:ascii="Times New Roman;serif" w:hAnsi="Times New Roman;serif"/>
          <w:b w:val="false"/>
          <w:color w:val="000000"/>
          <w:sz w:val="24"/>
        </w:rPr>
        <w:t xml:space="preserve">interest coupons. The Notes and the Trustee’s certificate of authentication shall be substantially in the form of </w:t>
      </w:r>
      <w:r>
        <w:rPr>
          <w:rFonts w:ascii="Times New Roman;serif" w:hAnsi="Times New Roman;serif"/>
          <w:b w:val="false"/>
          <w:color w:val="000000"/>
          <w:sz w:val="24"/>
          <w:u w:val="single"/>
        </w:rPr>
        <w:t>Exhibit A</w:t>
      </w:r>
      <w:r>
        <w:rPr>
          <w:color w:val="000000"/>
        </w:rPr>
        <w:t xml:space="preserve"> </w:t>
      </w:r>
      <w:r>
        <w:rPr>
          <w:rFonts w:ascii="Times New Roman;serif" w:hAnsi="Times New Roman;serif"/>
          <w:b w:val="false"/>
          <w:color w:val="000000"/>
          <w:sz w:val="24"/>
        </w:rPr>
        <w:t>hereto. The Notes may have notations, legends or endorsements required by</w:t>
      </w:r>
      <w:r>
        <w:rPr>
          <w:color w:val="000000"/>
        </w:rPr>
        <w:t xml:space="preserve"> </w:t>
      </w:r>
      <w:r>
        <w:rPr>
          <w:rFonts w:ascii="Times New Roman;serif" w:hAnsi="Times New Roman;serif"/>
          <w:b w:val="false"/>
          <w:color w:val="000000"/>
          <w:sz w:val="24"/>
        </w:rPr>
        <w:t>law, stock exchange rule or usage. The Issuer shall furnish any such notations, legends or endorsements to the Trustee in writing. Each Note shall be</w:t>
      </w:r>
      <w:r>
        <w:rPr>
          <w:color w:val="000000"/>
        </w:rPr>
        <w:t xml:space="preserve"> </w:t>
      </w:r>
      <w:r>
        <w:rPr>
          <w:rFonts w:ascii="Times New Roman;serif" w:hAnsi="Times New Roman;serif"/>
          <w:b w:val="false"/>
          <w:color w:val="000000"/>
          <w:sz w:val="24"/>
        </w:rPr>
        <w:t>dated the date of its authentication. The Notes shall be in minimum denominations of $2,000 and integral multiples of $1,000 in excess thereof.</w:t>
      </w:r>
    </w:p>
    <w:p>
      <w:pPr>
        <w:pStyle w:val="TextBody"/>
        <w:bidi w:val="0"/>
        <w:spacing w:lineRule="auto" w:line="288" w:before="0" w:after="240"/>
        <w:jc w:val="both"/>
        <w:rPr/>
      </w:pPr>
      <w:r>
        <w:rPr>
          <w:rFonts w:ascii="Times New Roman;serif" w:hAnsi="Times New Roman;serif"/>
          <w:b w:val="false"/>
          <w:color w:val="000000"/>
          <w:sz w:val="24"/>
        </w:rPr>
        <w:t>The terms and provisions contained in the Notes shall constitute, and are hereby expressly made, a part of this Indenture and the Issuer,</w:t>
      </w:r>
      <w:r>
        <w:rPr>
          <w:color w:val="000000"/>
        </w:rPr>
        <w:t xml:space="preserve"> </w:t>
      </w:r>
      <w:r>
        <w:rPr>
          <w:rFonts w:ascii="Times New Roman;serif" w:hAnsi="Times New Roman;serif"/>
          <w:b w:val="false"/>
          <w:color w:val="000000"/>
          <w:sz w:val="24"/>
        </w:rPr>
        <w:t>the Subsidiary Guarantors and the Trustee, by their execution and delivery of this Indenture, expressly agree to such terms and</w:t>
      </w:r>
      <w:r>
        <w:rPr>
          <w:color w:val="000000"/>
        </w:rPr>
        <w:t xml:space="preserve"> </w:t>
      </w:r>
      <w:r>
        <w:rPr>
          <w:rFonts w:ascii="Times New Roman;serif" w:hAnsi="Times New Roman;serif"/>
          <w:b w:val="false"/>
          <w:color w:val="000000"/>
          <w:sz w:val="24"/>
        </w:rPr>
        <w:t>provisions and to be bound thereby.</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u w:val="single"/>
        </w:rPr>
        <w:t>Global</w:t>
      </w:r>
      <w:r>
        <w:rPr>
          <w:color w:val="000000"/>
          <w:u w:val="single"/>
        </w:rPr>
        <w:t xml:space="preserve"> </w:t>
      </w:r>
      <w:r>
        <w:rPr>
          <w:rFonts w:ascii="Times New Roman;serif" w:hAnsi="Times New Roman;serif"/>
          <w:b w:val="false"/>
          <w:color w:val="000000"/>
          <w:sz w:val="24"/>
          <w:u w:val="single"/>
        </w:rPr>
        <w:t>Notes</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(1)Notes</w:t>
      </w:r>
      <w:r>
        <w:rPr>
          <w:color w:val="000000"/>
        </w:rPr>
        <w:t xml:space="preserve"> </w:t>
      </w:r>
      <w:r>
        <w:rPr>
          <w:rFonts w:ascii="Times New Roman;serif" w:hAnsi="Times New Roman;serif"/>
          <w:b w:val="false"/>
          <w:color w:val="000000"/>
          <w:sz w:val="24"/>
        </w:rPr>
        <w:t>issued</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global</w:t>
      </w:r>
      <w:r>
        <w:rPr>
          <w:color w:val="000000"/>
        </w:rPr>
        <w:t xml:space="preserve"> </w:t>
      </w:r>
      <w:r>
        <w:rPr>
          <w:rFonts w:ascii="Times New Roman;serif" w:hAnsi="Times New Roman;serif"/>
          <w:b w:val="false"/>
          <w:color w:val="000000"/>
          <w:sz w:val="24"/>
        </w:rPr>
        <w:t>form</w:t>
      </w:r>
      <w:r>
        <w:rPr>
          <w:color w:val="000000"/>
        </w:rPr>
        <w:t xml:space="preserve"> </w:t>
      </w:r>
      <w:r>
        <w:rPr>
          <w:rFonts w:ascii="Times New Roman;serif" w:hAnsi="Times New Roman;serif"/>
          <w:b w:val="false"/>
          <w:color w:val="000000"/>
          <w:sz w:val="24"/>
        </w:rPr>
        <w:t>shall</w:t>
      </w:r>
      <w:r>
        <w:rPr>
          <w:color w:val="000000"/>
        </w:rPr>
        <w:t xml:space="preserve"> </w:t>
      </w:r>
      <w:r>
        <w:rPr>
          <w:rFonts w:ascii="Times New Roman;serif" w:hAnsi="Times New Roman;serif"/>
          <w:b w:val="false"/>
          <w:color w:val="000000"/>
          <w:sz w:val="24"/>
        </w:rPr>
        <w:t>be</w:t>
      </w:r>
      <w:r>
        <w:rPr>
          <w:color w:val="000000"/>
        </w:rPr>
        <w:t xml:space="preserve"> </w:t>
      </w:r>
      <w:r>
        <w:rPr>
          <w:rFonts w:ascii="Times New Roman;serif" w:hAnsi="Times New Roman;serif"/>
          <w:b w:val="false"/>
          <w:color w:val="000000"/>
          <w:sz w:val="24"/>
        </w:rPr>
        <w:t>substantially</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form</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u w:val="single"/>
        </w:rPr>
        <w:t>Exhibit A</w:t>
      </w:r>
      <w:r>
        <w:rPr>
          <w:color w:val="000000"/>
        </w:rPr>
        <w:t xml:space="preserve"> </w:t>
      </w:r>
      <w:r>
        <w:rPr>
          <w:rFonts w:ascii="Times New Roman;serif" w:hAnsi="Times New Roman;serif"/>
          <w:b w:val="false"/>
          <w:color w:val="000000"/>
          <w:sz w:val="24"/>
        </w:rPr>
        <w:t>attached</w:t>
      </w:r>
      <w:r>
        <w:rPr>
          <w:color w:val="000000"/>
        </w:rPr>
        <w:t xml:space="preserve"> </w:t>
      </w:r>
      <w:r>
        <w:rPr>
          <w:rFonts w:ascii="Times New Roman;serif" w:hAnsi="Times New Roman;serif"/>
          <w:b w:val="false"/>
          <w:color w:val="000000"/>
          <w:sz w:val="24"/>
        </w:rPr>
        <w:t>hereto (including the Global Note Legend thereon and the “Schedule of Exchanges of</w:t>
      </w:r>
      <w:r>
        <w:rPr>
          <w:color w:val="000000"/>
        </w:rPr>
        <w:t xml:space="preserve"> </w:t>
      </w:r>
      <w:r>
        <w:rPr>
          <w:rFonts w:ascii="Times New Roman;serif" w:hAnsi="Times New Roman;serif"/>
          <w:b w:val="false"/>
          <w:color w:val="000000"/>
          <w:sz w:val="24"/>
        </w:rPr>
        <w:t xml:space="preserve">Interests in the Global Note” attached thereto). Notes issued in definitive form shall be substantially in the form of </w:t>
      </w:r>
      <w:r>
        <w:rPr>
          <w:rFonts w:ascii="Times New Roman;serif" w:hAnsi="Times New Roman;serif"/>
          <w:b w:val="false"/>
          <w:color w:val="000000"/>
          <w:sz w:val="24"/>
          <w:u w:val="single"/>
        </w:rPr>
        <w:t>Exhibit A</w:t>
      </w:r>
      <w:r>
        <w:rPr>
          <w:color w:val="000000"/>
        </w:rPr>
        <w:t xml:space="preserve"> </w:t>
      </w:r>
      <w:r>
        <w:rPr>
          <w:rFonts w:ascii="Times New Roman;serif" w:hAnsi="Times New Roman;serif"/>
          <w:b w:val="false"/>
          <w:color w:val="000000"/>
          <w:sz w:val="24"/>
        </w:rPr>
        <w:t>attached hereto (but without the Global Note Legend</w:t>
      </w:r>
      <w:r>
        <w:rPr>
          <w:color w:val="000000"/>
        </w:rPr>
        <w:t xml:space="preserve"> </w:t>
      </w:r>
      <w:r>
        <w:rPr>
          <w:rFonts w:ascii="Times New Roman;serif" w:hAnsi="Times New Roman;serif"/>
          <w:b w:val="false"/>
          <w:color w:val="000000"/>
          <w:sz w:val="24"/>
        </w:rPr>
        <w:t>thereon and without the “Schedule of Exchanges of Interests in the Global Note” attached thereto). Each Global Note shall represent such of the</w:t>
      </w:r>
      <w:r>
        <w:rPr>
          <w:color w:val="000000"/>
        </w:rPr>
        <w:t xml:space="preserve"> </w:t>
      </w:r>
      <w:r>
        <w:rPr>
          <w:rFonts w:ascii="Times New Roman;serif" w:hAnsi="Times New Roman;serif"/>
          <w:b w:val="false"/>
          <w:color w:val="000000"/>
          <w:sz w:val="24"/>
        </w:rPr>
        <w:t>outstanding Notes as will be specified therein and each shall provide that it represents the aggregate principal amount of outstanding Notes from</w:t>
      </w:r>
      <w:r>
        <w:rPr>
          <w:color w:val="000000"/>
        </w:rPr>
        <w:t xml:space="preserve"> </w:t>
      </w:r>
      <w:r>
        <w:rPr>
          <w:rFonts w:ascii="Times New Roman;serif" w:hAnsi="Times New Roman;serif"/>
          <w:b w:val="false"/>
          <w:color w:val="000000"/>
          <w:sz w:val="24"/>
        </w:rPr>
        <w:t>time to time as reflected in the records of the Trustee and that the aggregate principal amount of outstanding Notes represented thereby may from</w:t>
      </w:r>
      <w:r>
        <w:rPr>
          <w:color w:val="000000"/>
        </w:rPr>
        <w:t xml:space="preserve"> </w:t>
      </w:r>
      <w:r>
        <w:rPr>
          <w:rFonts w:ascii="Times New Roman;serif" w:hAnsi="Times New Roman;serif"/>
          <w:b w:val="false"/>
          <w:color w:val="000000"/>
          <w:sz w:val="24"/>
        </w:rPr>
        <w:t>time to time be reduced or increased, as appropriate, to reflect exchanges and redemptions. The Trustee’s records shall be noted to reflect the</w:t>
      </w:r>
      <w:r>
        <w:rPr>
          <w:color w:val="000000"/>
        </w:rPr>
        <w:t xml:space="preserve"> </w:t>
      </w:r>
      <w:r>
        <w:rPr>
          <w:rFonts w:ascii="Times New Roman;serif" w:hAnsi="Times New Roman;serif"/>
          <w:b w:val="false"/>
          <w:color w:val="000000"/>
          <w:sz w:val="24"/>
        </w:rPr>
        <w:t>amount of any increase or decrease in the aggregate principal amount of outstanding Notes represented thereby, in accordance with instructions</w:t>
      </w:r>
      <w:r>
        <w:rPr>
          <w:color w:val="000000"/>
        </w:rPr>
        <w:t xml:space="preserve"> </w:t>
      </w:r>
      <w:r>
        <w:rPr>
          <w:rFonts w:ascii="Times New Roman;serif" w:hAnsi="Times New Roman;serif"/>
          <w:b w:val="false"/>
          <w:color w:val="000000"/>
          <w:sz w:val="24"/>
        </w:rPr>
        <w:t xml:space="preserve">given by the Holder thereof as required by </w:t>
      </w:r>
      <w:r>
        <w:rPr>
          <w:rFonts w:ascii="Times New Roman;serif" w:hAnsi="Times New Roman;serif"/>
          <w:b w:val="false"/>
          <w:color w:val="000000"/>
          <w:sz w:val="24"/>
          <w:u w:val="single"/>
        </w:rPr>
        <w:t>Section 2.06</w:t>
      </w:r>
      <w:r>
        <w:rPr>
          <w:color w:val="000000"/>
        </w:rPr>
        <w:t xml:space="preserve"> </w:t>
      </w:r>
      <w:r>
        <w:rPr>
          <w:rFonts w:ascii="Times New Roman;serif" w:hAnsi="Times New Roman;serif"/>
          <w:b w:val="false"/>
          <w:color w:val="000000"/>
          <w:sz w:val="24"/>
        </w:rPr>
        <w:t>hereof.</w:t>
      </w:r>
    </w:p>
    <w:p>
      <w:pPr>
        <w:pStyle w:val="TextBody"/>
        <w:bidi w:val="0"/>
        <w:spacing w:before="0" w:after="0"/>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735965"/>
                <wp:effectExtent l="0" t="0" r="0" b="0"/>
                <wp:wrapNone/>
                <wp:docPr id="78" name="Frame78"/>
                <a:graphic xmlns:a="http://schemas.openxmlformats.org/drawingml/2006/main">
                  <a:graphicData uri="http://schemas.microsoft.com/office/word/2010/wordprocessingShape">
                    <wps:wsp>
                      <wps:cNvSpPr txBox="1"/>
                      <wps:spPr>
                        <a:xfrm>
                          <a:off x="0" y="0"/>
                          <a:ext cx="6480175" cy="7359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30</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30</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00000"/>
          <w:sz w:val="24"/>
        </w:rPr>
        <w:t>(2)Notes sold within the</w:t>
      </w:r>
      <w:r>
        <w:rPr>
          <w:color w:val="000000"/>
        </w:rPr>
        <w:t xml:space="preserve"> </w:t>
      </w:r>
      <w:r>
        <w:rPr>
          <w:rFonts w:ascii="Times New Roman;serif" w:hAnsi="Times New Roman;serif"/>
          <w:b w:val="false"/>
          <w:color w:val="000000"/>
          <w:sz w:val="24"/>
        </w:rPr>
        <w:t>United States of America to</w:t>
      </w:r>
      <w:r>
        <w:rPr>
          <w:color w:val="000000"/>
        </w:rPr>
        <w:t xml:space="preserve"> </w:t>
      </w:r>
      <w:r>
        <w:rPr>
          <w:rFonts w:ascii="Times New Roman;serif" w:hAnsi="Times New Roman;serif"/>
          <w:b w:val="false"/>
          <w:color w:val="000000"/>
          <w:sz w:val="24"/>
        </w:rPr>
        <w:t>QIBs pursuant to</w:t>
      </w:r>
      <w:r>
        <w:rPr>
          <w:color w:val="000000"/>
        </w:rPr>
        <w:t xml:space="preserve"> </w:t>
      </w:r>
      <w:r>
        <w:rPr>
          <w:rFonts w:ascii="Times New Roman;serif" w:hAnsi="Times New Roman;serif"/>
          <w:b w:val="false"/>
          <w:color w:val="000000"/>
          <w:sz w:val="24"/>
        </w:rPr>
        <w:t>Rule</w:t>
      </w:r>
      <w:r>
        <w:rPr>
          <w:color w:val="000000"/>
        </w:rPr>
        <w:t xml:space="preserve"> </w:t>
      </w:r>
      <w:r>
        <w:rPr>
          <w:rFonts w:ascii="Times New Roman;serif" w:hAnsi="Times New Roman;serif"/>
          <w:b w:val="false"/>
          <w:color w:val="000000"/>
          <w:sz w:val="24"/>
        </w:rPr>
        <w:t>144A under the</w:t>
      </w:r>
      <w:r>
        <w:rPr>
          <w:color w:val="000000"/>
        </w:rPr>
        <w:t xml:space="preserve"> </w:t>
      </w:r>
      <w:r>
        <w:rPr>
          <w:rFonts w:ascii="Times New Roman;serif" w:hAnsi="Times New Roman;serif"/>
          <w:b w:val="false"/>
          <w:color w:val="000000"/>
          <w:sz w:val="24"/>
        </w:rPr>
        <w:t>Securities Act shall be issued</w:t>
      </w:r>
      <w:r>
        <w:rPr>
          <w:color w:val="000000"/>
        </w:rPr>
        <w:t xml:space="preserve"> </w:t>
      </w:r>
      <w:r>
        <w:rPr>
          <w:rFonts w:ascii="Times New Roman;serif" w:hAnsi="Times New Roman;serif"/>
          <w:b w:val="false"/>
          <w:color w:val="000000"/>
          <w:sz w:val="24"/>
        </w:rPr>
        <w:t>initially</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form</w:t>
      </w:r>
      <w:r>
        <w:rPr>
          <w:color w:val="000000"/>
        </w:rPr>
        <w:t xml:space="preserve"> </w:t>
      </w:r>
      <w:r>
        <w:rPr>
          <w:rFonts w:ascii="Times New Roman;serif" w:hAnsi="Times New Roman;serif"/>
          <w:b w:val="false"/>
          <w:color w:val="000000"/>
          <w:sz w:val="24"/>
        </w:rPr>
        <w:t>of one or more 144A Global Notes, which shall be deposited on behalf of the purchasers of the Notes represented thereby with the Custodian for DTC and registered in the name of Cede &amp; Co., the nominee of</w:t>
      </w:r>
      <w:r>
        <w:rPr>
          <w:color w:val="000000"/>
        </w:rPr>
        <w:t xml:space="preserve"> </w:t>
      </w:r>
      <w:r>
        <w:rPr>
          <w:rFonts w:ascii="Times New Roman;serif" w:hAnsi="Times New Roman;serif"/>
          <w:b w:val="false"/>
          <w:color w:val="000000"/>
          <w:sz w:val="24"/>
        </w:rPr>
        <w:t>DTC, duly executed by the Issuer and authenticated by the Trustee or the authenticating agent as provided herein. The aggregate principal</w:t>
      </w:r>
      <w:r>
        <w:rPr>
          <w:color w:val="000000"/>
        </w:rPr>
        <w:t xml:space="preserve"> </w:t>
      </w:r>
      <w:r>
        <w:rPr>
          <w:rFonts w:ascii="Times New Roman;serif" w:hAnsi="Times New Roman;serif"/>
          <w:b w:val="false"/>
          <w:color w:val="000000"/>
          <w:sz w:val="24"/>
        </w:rPr>
        <w:t>amount of the 144A Global Notes may from time to time be increased or decreased by adjustments made on the records of the Trustee and the</w:t>
      </w:r>
      <w:r>
        <w:rPr>
          <w:color w:val="000000"/>
        </w:rPr>
        <w:t xml:space="preserve"> </w:t>
      </w:r>
      <w:r>
        <w:rPr>
          <w:rFonts w:ascii="Times New Roman;serif" w:hAnsi="Times New Roman;serif"/>
          <w:b w:val="false"/>
          <w:color w:val="000000"/>
          <w:sz w:val="24"/>
        </w:rPr>
        <w:t>Depository or its nominee, as the case may be, in connection with transfers of interests as hereinafter provided.</w:t>
      </w:r>
    </w:p>
    <w:p>
      <w:pPr>
        <w:pStyle w:val="TextBody"/>
        <w:bidi w:val="0"/>
        <w:spacing w:lineRule="auto" w:line="240" w:before="0" w:after="240"/>
        <w:ind w:left="0" w:right="0" w:firstLine="720"/>
        <w:jc w:val="both"/>
        <w:rPr/>
      </w:pPr>
      <w:r>
        <w:rPr>
          <w:rFonts w:ascii="Times New Roman;serif" w:hAnsi="Times New Roman;serif"/>
          <w:b w:val="false"/>
          <w:color w:val="000000"/>
          <w:sz w:val="24"/>
        </w:rPr>
        <w:t>(3)Notes transferred to Institutional Accredited Investors shall be initially</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form</w:t>
      </w:r>
      <w:r>
        <w:rPr>
          <w:color w:val="000000"/>
        </w:rPr>
        <w:t xml:space="preserve"> </w:t>
      </w:r>
      <w:r>
        <w:rPr>
          <w:rFonts w:ascii="Times New Roman;serif" w:hAnsi="Times New Roman;serif"/>
          <w:b w:val="false"/>
          <w:color w:val="000000"/>
          <w:sz w:val="24"/>
        </w:rPr>
        <w:t>of one or more IAI Global Notes, which shall be deposited on behalf of the purchasers of the Notes represented thereby with the Custodian for DTC and registered in the name of Cede &amp; Co., the nominee of</w:t>
      </w:r>
      <w:r>
        <w:rPr>
          <w:color w:val="000000"/>
        </w:rPr>
        <w:t xml:space="preserve"> </w:t>
      </w:r>
      <w:r>
        <w:rPr>
          <w:rFonts w:ascii="Times New Roman;serif" w:hAnsi="Times New Roman;serif"/>
          <w:b w:val="false"/>
          <w:color w:val="000000"/>
          <w:sz w:val="24"/>
        </w:rPr>
        <w:t>DTC, duly executed by the Issuer and authenticated by the Trustee or the authenticating agent as provided herein. The aggregate principal</w:t>
      </w:r>
      <w:r>
        <w:rPr>
          <w:color w:val="000000"/>
        </w:rPr>
        <w:t xml:space="preserve"> </w:t>
      </w:r>
      <w:r>
        <w:rPr>
          <w:rFonts w:ascii="Times New Roman;serif" w:hAnsi="Times New Roman;serif"/>
          <w:b w:val="false"/>
          <w:color w:val="000000"/>
          <w:sz w:val="24"/>
        </w:rPr>
        <w:t>amount of the IAI Global Notes may from time to time be increased or decreased by adjustments made on the records of the Trustee and the</w:t>
      </w:r>
      <w:r>
        <w:rPr>
          <w:color w:val="000000"/>
        </w:rPr>
        <w:t xml:space="preserve"> </w:t>
      </w:r>
      <w:r>
        <w:rPr>
          <w:rFonts w:ascii="Times New Roman;serif" w:hAnsi="Times New Roman;serif"/>
          <w:b w:val="false"/>
          <w:color w:val="000000"/>
          <w:sz w:val="24"/>
        </w:rPr>
        <w:t>Depository or its nominee, as the case may be, in connection with transfers of interests as hereinafter provided.</w:t>
      </w:r>
    </w:p>
    <w:p>
      <w:pPr>
        <w:pStyle w:val="TextBody"/>
        <w:bidi w:val="0"/>
        <w:spacing w:lineRule="auto" w:line="240" w:before="0" w:after="240"/>
        <w:ind w:left="0" w:right="0" w:firstLine="720"/>
        <w:jc w:val="both"/>
        <w:rPr/>
      </w:pPr>
      <w:r>
        <w:rPr>
          <w:rFonts w:ascii="Times New Roman;serif" w:hAnsi="Times New Roman;serif"/>
          <w:b w:val="false"/>
          <w:color w:val="000000"/>
          <w:sz w:val="24"/>
        </w:rPr>
        <w:t>(4)Notes offered and sold in reliance on Regulation S shall be issued initially in the form of one or more Regulation S Temporary Global</w:t>
      </w:r>
      <w:r>
        <w:rPr>
          <w:color w:val="000000"/>
        </w:rPr>
        <w:t xml:space="preserve"> </w:t>
      </w:r>
      <w:r>
        <w:rPr>
          <w:rFonts w:ascii="Times New Roman;serif" w:hAnsi="Times New Roman;serif"/>
          <w:b w:val="false"/>
          <w:color w:val="000000"/>
          <w:sz w:val="24"/>
        </w:rPr>
        <w:t>Notes, which shall be deposited on behalf of the purchasers of the Notes represented thereby with the Custodian for DTC and</w:t>
      </w:r>
      <w:r>
        <w:rPr>
          <w:color w:val="000000"/>
        </w:rPr>
        <w:t xml:space="preserve"> </w:t>
      </w:r>
      <w:r>
        <w:rPr>
          <w:rFonts w:ascii="Times New Roman;serif" w:hAnsi="Times New Roman;serif"/>
          <w:b w:val="false"/>
          <w:color w:val="000000"/>
          <w:sz w:val="24"/>
        </w:rPr>
        <w:t>registered in the name of Cede &amp; Co., the nominee of DTC, duly executed by the Issuer and authenticated by the Trustee or the authenticating agent as provided herein. In no event shall any Issuer hold an interest in a Regulation S Temporary Global Note other than directly or indirectly in or through</w:t>
      </w:r>
      <w:r>
        <w:rPr>
          <w:color w:val="000000"/>
        </w:rPr>
        <w:t xml:space="preserve"> </w:t>
      </w:r>
      <w:r>
        <w:rPr>
          <w:rFonts w:ascii="Times New Roman;serif" w:hAnsi="Times New Roman;serif"/>
          <w:b w:val="false"/>
          <w:color w:val="000000"/>
          <w:sz w:val="24"/>
        </w:rPr>
        <w:t>accounts</w:t>
      </w:r>
      <w:r>
        <w:rPr>
          <w:color w:val="000000"/>
        </w:rPr>
        <w:t xml:space="preserve"> </w:t>
      </w:r>
      <w:r>
        <w:rPr>
          <w:rFonts w:ascii="Times New Roman;serif" w:hAnsi="Times New Roman;serif"/>
          <w:b w:val="false"/>
          <w:color w:val="000000"/>
          <w:sz w:val="24"/>
        </w:rPr>
        <w:t>maintained</w:t>
      </w:r>
      <w:r>
        <w:rPr>
          <w:color w:val="000000"/>
        </w:rPr>
        <w:t xml:space="preserve"> </w:t>
      </w:r>
      <w:r>
        <w:rPr>
          <w:rFonts w:ascii="Times New Roman;serif" w:hAnsi="Times New Roman;serif"/>
          <w:b w:val="false"/>
          <w:color w:val="000000"/>
          <w:sz w:val="24"/>
        </w:rPr>
        <w:t>at</w:t>
      </w:r>
      <w:r>
        <w:rPr>
          <w:color w:val="000000"/>
        </w:rPr>
        <w:t xml:space="preserve"> </w:t>
      </w:r>
      <w:r>
        <w:rPr>
          <w:rFonts w:ascii="Times New Roman;serif" w:hAnsi="Times New Roman;serif"/>
          <w:b w:val="false"/>
          <w:color w:val="000000"/>
          <w:sz w:val="24"/>
        </w:rPr>
        <w:t>Euroclear</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Clearstream</w:t>
      </w:r>
      <w:r>
        <w:rPr>
          <w:color w:val="000000"/>
        </w:rPr>
        <w:t xml:space="preserve"> </w:t>
      </w:r>
      <w:r>
        <w:rPr>
          <w:rFonts w:ascii="Times New Roman;serif" w:hAnsi="Times New Roman;serif"/>
          <w:b w:val="false"/>
          <w:color w:val="000000"/>
          <w:sz w:val="24"/>
        </w:rPr>
        <w:t>as</w:t>
      </w:r>
      <w:r>
        <w:rPr>
          <w:color w:val="000000"/>
        </w:rPr>
        <w:t xml:space="preserve"> </w:t>
      </w:r>
      <w:r>
        <w:rPr>
          <w:rFonts w:ascii="Times New Roman;serif" w:hAnsi="Times New Roman;serif"/>
          <w:b w:val="false"/>
          <w:color w:val="000000"/>
          <w:sz w:val="24"/>
        </w:rPr>
        <w:t>indirect</w:t>
      </w:r>
      <w:r>
        <w:rPr>
          <w:color w:val="000000"/>
        </w:rPr>
        <w:t xml:space="preserve"> </w:t>
      </w:r>
      <w:r>
        <w:rPr>
          <w:rFonts w:ascii="Times New Roman;serif" w:hAnsi="Times New Roman;serif"/>
          <w:b w:val="false"/>
          <w:color w:val="000000"/>
          <w:sz w:val="24"/>
        </w:rPr>
        <w:t>participants</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DTC.</w:t>
      </w:r>
      <w:r>
        <w:rPr>
          <w:color w:val="000000"/>
        </w:rPr>
        <w:t xml:space="preserve"> </w:t>
      </w:r>
      <w:r>
        <w:rPr>
          <w:rFonts w:ascii="Times New Roman;serif" w:hAnsi="Times New Roman;serif"/>
          <w:b w:val="false"/>
          <w:color w:val="000000"/>
          <w:sz w:val="24"/>
        </w:rPr>
        <w:t>Prior</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termination</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Distribution</w:t>
      </w:r>
      <w:r>
        <w:rPr>
          <w:color w:val="000000"/>
        </w:rPr>
        <w:t xml:space="preserve"> </w:t>
      </w:r>
      <w:r>
        <w:rPr>
          <w:rFonts w:ascii="Times New Roman;serif" w:hAnsi="Times New Roman;serif"/>
          <w:b w:val="false"/>
          <w:color w:val="000000"/>
          <w:sz w:val="24"/>
        </w:rPr>
        <w:t>Compliance</w:t>
      </w:r>
      <w:r>
        <w:rPr>
          <w:color w:val="000000"/>
        </w:rPr>
        <w:t xml:space="preserve"> </w:t>
      </w:r>
      <w:r>
        <w:rPr>
          <w:rFonts w:ascii="Times New Roman;serif" w:hAnsi="Times New Roman;serif"/>
          <w:b w:val="false"/>
          <w:color w:val="000000"/>
          <w:sz w:val="24"/>
        </w:rPr>
        <w:t>Period,</w:t>
      </w:r>
      <w:r>
        <w:rPr>
          <w:color w:val="000000"/>
        </w:rPr>
        <w:t xml:space="preserve"> </w:t>
      </w:r>
      <w:r>
        <w:rPr>
          <w:rFonts w:ascii="Times New Roman;serif" w:hAnsi="Times New Roman;serif"/>
          <w:b w:val="false"/>
          <w:color w:val="000000"/>
          <w:sz w:val="24"/>
        </w:rPr>
        <w:t>an</w:t>
      </w:r>
      <w:r>
        <w:rPr>
          <w:color w:val="000000"/>
        </w:rPr>
        <w:t xml:space="preserve"> </w:t>
      </w:r>
      <w:r>
        <w:rPr>
          <w:rFonts w:ascii="Times New Roman;serif" w:hAnsi="Times New Roman;serif"/>
          <w:b w:val="false"/>
          <w:color w:val="000000"/>
          <w:sz w:val="24"/>
        </w:rPr>
        <w:t>interest in a Regulation S Temporary Global Note may not be transferred to or for the account or benefit of a “U.S. Person” (as defined in Rule</w:t>
      </w:r>
      <w:r>
        <w:rPr>
          <w:color w:val="000000"/>
        </w:rPr>
        <w:t xml:space="preserve"> </w:t>
      </w:r>
      <w:r>
        <w:rPr>
          <w:rFonts w:ascii="Times New Roman;serif" w:hAnsi="Times New Roman;serif"/>
          <w:b w:val="false"/>
          <w:color w:val="000000"/>
          <w:sz w:val="24"/>
        </w:rPr>
        <w:t>902(k) of Regulation S) (other than a “distributor” (as defined in Rule 902(d) of Regulation S)).</w:t>
      </w:r>
    </w:p>
    <w:p>
      <w:pPr>
        <w:pStyle w:val="TextBody"/>
        <w:bidi w:val="0"/>
        <w:spacing w:lineRule="auto" w:line="240" w:before="0" w:after="240"/>
        <w:ind w:left="0" w:right="0" w:firstLine="720"/>
        <w:jc w:val="both"/>
        <w:rPr/>
      </w:pPr>
      <w:r>
        <w:rPr>
          <w:rFonts w:ascii="Times New Roman;serif" w:hAnsi="Times New Roman;serif"/>
          <w:b w:val="false"/>
          <w:color w:val="000000"/>
          <w:sz w:val="24"/>
        </w:rPr>
        <w:t>(5)Following the termination of the Distribution Compliance Period, beneficial interests in the Regulation S Temporary Global Note shall be</w:t>
      </w:r>
      <w:r>
        <w:rPr>
          <w:color w:val="000000"/>
        </w:rPr>
        <w:t xml:space="preserve"> </w:t>
      </w:r>
      <w:r>
        <w:rPr>
          <w:rFonts w:ascii="Times New Roman;serif" w:hAnsi="Times New Roman;serif"/>
          <w:b w:val="false"/>
          <w:color w:val="000000"/>
          <w:sz w:val="24"/>
        </w:rPr>
        <w:t>exchanged for beneficial interests in the Regulation S Permanent Global Note pursuant to the Applicable Procedures.</w:t>
      </w:r>
      <w:r>
        <w:rPr>
          <w:color w:val="000000"/>
        </w:rPr>
        <w:t xml:space="preserve"> </w:t>
      </w:r>
      <w:r>
        <w:rPr>
          <w:rFonts w:ascii="Times New Roman;serif" w:hAnsi="Times New Roman;serif"/>
          <w:b w:val="false"/>
          <w:color w:val="000000"/>
          <w:sz w:val="24"/>
        </w:rPr>
        <w:t>Simultaneously with the authentication of such Regulation S Permanent Global Note, the Trustee shall, upon receipt of an Issuer Order, cancel the</w:t>
      </w:r>
      <w:r>
        <w:rPr>
          <w:color w:val="000000"/>
        </w:rPr>
        <w:t xml:space="preserve"> </w:t>
      </w:r>
      <w:r>
        <w:rPr>
          <w:rFonts w:ascii="Times New Roman;serif" w:hAnsi="Times New Roman;serif"/>
          <w:b w:val="false"/>
          <w:color w:val="000000"/>
          <w:sz w:val="24"/>
        </w:rPr>
        <w:t>Regulation S Temporary Global Note. The aggregate principal amount of the Regulation S Temporary Global Notes and the Regulation S Permanent</w:t>
      </w:r>
      <w:r>
        <w:rPr>
          <w:color w:val="000000"/>
        </w:rPr>
        <w:t xml:space="preserve"> </w:t>
      </w:r>
      <w:r>
        <w:rPr>
          <w:rFonts w:ascii="Times New Roman;serif" w:hAnsi="Times New Roman;serif"/>
          <w:b w:val="false"/>
          <w:color w:val="000000"/>
          <w:sz w:val="24"/>
        </w:rPr>
        <w:t>Global</w:t>
      </w:r>
      <w:r>
        <w:rPr>
          <w:color w:val="000000"/>
        </w:rPr>
        <w:t xml:space="preserve"> </w:t>
      </w:r>
      <w:r>
        <w:rPr>
          <w:rFonts w:ascii="Times New Roman;serif" w:hAnsi="Times New Roman;serif"/>
          <w:b w:val="false"/>
          <w:color w:val="000000"/>
          <w:sz w:val="24"/>
        </w:rPr>
        <w:t>Notes</w:t>
      </w:r>
      <w:r>
        <w:rPr>
          <w:color w:val="000000"/>
        </w:rPr>
        <w:t xml:space="preserve"> </w:t>
      </w:r>
      <w:r>
        <w:rPr>
          <w:rFonts w:ascii="Times New Roman;serif" w:hAnsi="Times New Roman;serif"/>
          <w:b w:val="false"/>
          <w:color w:val="000000"/>
          <w:sz w:val="24"/>
        </w:rPr>
        <w:t>may</w:t>
      </w:r>
      <w:r>
        <w:rPr>
          <w:color w:val="000000"/>
        </w:rPr>
        <w:t xml:space="preserve"> </w:t>
      </w:r>
      <w:r>
        <w:rPr>
          <w:rFonts w:ascii="Times New Roman;serif" w:hAnsi="Times New Roman;serif"/>
          <w:b w:val="false"/>
          <w:color w:val="000000"/>
          <w:sz w:val="24"/>
        </w:rPr>
        <w:t>from</w:t>
      </w:r>
      <w:r>
        <w:rPr>
          <w:color w:val="000000"/>
        </w:rPr>
        <w:t xml:space="preserve"> </w:t>
      </w:r>
      <w:r>
        <w:rPr>
          <w:rFonts w:ascii="Times New Roman;serif" w:hAnsi="Times New Roman;serif"/>
          <w:b w:val="false"/>
          <w:color w:val="000000"/>
          <w:sz w:val="24"/>
        </w:rPr>
        <w:t>time</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time</w:t>
      </w:r>
      <w:r>
        <w:rPr>
          <w:color w:val="000000"/>
        </w:rPr>
        <w:t xml:space="preserve"> </w:t>
      </w:r>
      <w:r>
        <w:rPr>
          <w:rFonts w:ascii="Times New Roman;serif" w:hAnsi="Times New Roman;serif"/>
          <w:b w:val="false"/>
          <w:color w:val="000000"/>
          <w:sz w:val="24"/>
        </w:rPr>
        <w:t>be</w:t>
      </w:r>
      <w:r>
        <w:rPr>
          <w:color w:val="000000"/>
        </w:rPr>
        <w:t xml:space="preserve"> </w:t>
      </w:r>
      <w:r>
        <w:rPr>
          <w:rFonts w:ascii="Times New Roman;serif" w:hAnsi="Times New Roman;serif"/>
          <w:b w:val="false"/>
          <w:color w:val="000000"/>
          <w:sz w:val="24"/>
        </w:rPr>
        <w:t>increased</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decreased</w:t>
      </w:r>
      <w:r>
        <w:rPr>
          <w:color w:val="000000"/>
        </w:rPr>
        <w:t xml:space="preserve"> </w:t>
      </w:r>
      <w:r>
        <w:rPr>
          <w:rFonts w:ascii="Times New Roman;serif" w:hAnsi="Times New Roman;serif"/>
          <w:b w:val="false"/>
          <w:color w:val="000000"/>
          <w:sz w:val="24"/>
        </w:rPr>
        <w:t>by</w:t>
      </w:r>
      <w:r>
        <w:rPr>
          <w:color w:val="000000"/>
        </w:rPr>
        <w:t xml:space="preserve"> </w:t>
      </w:r>
      <w:r>
        <w:rPr>
          <w:rFonts w:ascii="Times New Roman;serif" w:hAnsi="Times New Roman;serif"/>
          <w:b w:val="false"/>
          <w:color w:val="000000"/>
          <w:sz w:val="24"/>
        </w:rPr>
        <w:t>adjustments</w:t>
      </w:r>
      <w:r>
        <w:rPr>
          <w:color w:val="000000"/>
        </w:rPr>
        <w:t xml:space="preserve"> </w:t>
      </w:r>
      <w:r>
        <w:rPr>
          <w:rFonts w:ascii="Times New Roman;serif" w:hAnsi="Times New Roman;serif"/>
          <w:b w:val="false"/>
          <w:color w:val="000000"/>
          <w:sz w:val="24"/>
        </w:rPr>
        <w:t>made</w:t>
      </w:r>
      <w:r>
        <w:rPr>
          <w:color w:val="000000"/>
        </w:rPr>
        <w:t xml:space="preserve"> </w:t>
      </w:r>
      <w:r>
        <w:rPr>
          <w:rFonts w:ascii="Times New Roman;serif" w:hAnsi="Times New Roman;serif"/>
          <w:b w:val="false"/>
          <w:color w:val="000000"/>
          <w:sz w:val="24"/>
        </w:rPr>
        <w:t>on</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records</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Trustee</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Depository</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its</w:t>
      </w:r>
      <w:r>
        <w:rPr>
          <w:color w:val="000000"/>
        </w:rPr>
        <w:t xml:space="preserve"> </w:t>
      </w:r>
      <w:r>
        <w:rPr>
          <w:rFonts w:ascii="Times New Roman;serif" w:hAnsi="Times New Roman;serif"/>
          <w:b w:val="false"/>
          <w:color w:val="000000"/>
          <w:sz w:val="24"/>
        </w:rPr>
        <w:t>nominee, as the case may be, in connection with transfers of interests as hereinafter provided.</w:t>
      </w:r>
    </w:p>
    <w:p>
      <w:pPr>
        <w:pStyle w:val="TextBody"/>
        <w:bidi w:val="0"/>
        <w:spacing w:lineRule="auto" w:line="240" w:before="0" w:after="240"/>
        <w:ind w:left="0" w:right="0" w:firstLine="720"/>
        <w:jc w:val="both"/>
        <w:rPr/>
      </w:pPr>
      <w:r>
        <w:rPr>
          <w:rFonts w:ascii="Times New Roman;serif" w:hAnsi="Times New Roman;serif"/>
          <w:b w:val="false"/>
          <w:color w:val="000000"/>
          <w:sz w:val="24"/>
        </w:rPr>
        <w:t>(c)</w:t>
      </w:r>
      <w:r>
        <w:rPr>
          <w:rFonts w:ascii="Times New Roman;serif" w:hAnsi="Times New Roman;serif"/>
          <w:b w:val="false"/>
          <w:i/>
          <w:color w:val="000000"/>
          <w:sz w:val="24"/>
        </w:rPr>
        <w:t>Book-Entry</w:t>
      </w:r>
      <w:r>
        <w:rPr>
          <w:color w:val="000000"/>
        </w:rPr>
        <w:t xml:space="preserve"> </w:t>
      </w:r>
      <w:r>
        <w:rPr>
          <w:rFonts w:ascii="Times New Roman;serif" w:hAnsi="Times New Roman;serif"/>
          <w:b w:val="false"/>
          <w:i/>
          <w:color w:val="000000"/>
          <w:sz w:val="24"/>
        </w:rPr>
        <w:t>Provisions</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Ownership</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beneficial</w:t>
      </w:r>
      <w:r>
        <w:rPr>
          <w:color w:val="000000"/>
        </w:rPr>
        <w:t xml:space="preserve"> </w:t>
      </w:r>
      <w:r>
        <w:rPr>
          <w:rFonts w:ascii="Times New Roman;serif" w:hAnsi="Times New Roman;serif"/>
          <w:b w:val="false"/>
          <w:color w:val="000000"/>
          <w:sz w:val="24"/>
        </w:rPr>
        <w:t>interests</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Global</w:t>
      </w:r>
      <w:r>
        <w:rPr>
          <w:color w:val="000000"/>
        </w:rPr>
        <w:t xml:space="preserve"> </w:t>
      </w:r>
      <w:r>
        <w:rPr>
          <w:rFonts w:ascii="Times New Roman;serif" w:hAnsi="Times New Roman;serif"/>
          <w:b w:val="false"/>
          <w:color w:val="000000"/>
          <w:sz w:val="24"/>
        </w:rPr>
        <w:t>Notes</w:t>
      </w:r>
      <w:r>
        <w:rPr>
          <w:color w:val="000000"/>
        </w:rPr>
        <w:t xml:space="preserve"> </w:t>
      </w:r>
      <w:r>
        <w:rPr>
          <w:rFonts w:ascii="Times New Roman;serif" w:hAnsi="Times New Roman;serif"/>
          <w:b w:val="false"/>
          <w:color w:val="000000"/>
          <w:sz w:val="24"/>
        </w:rPr>
        <w:t>shall</w:t>
      </w:r>
      <w:r>
        <w:rPr>
          <w:color w:val="000000"/>
        </w:rPr>
        <w:t xml:space="preserve"> </w:t>
      </w:r>
      <w:r>
        <w:rPr>
          <w:rFonts w:ascii="Times New Roman;serif" w:hAnsi="Times New Roman;serif"/>
          <w:b w:val="false"/>
          <w:color w:val="000000"/>
          <w:sz w:val="24"/>
        </w:rPr>
        <w:t>be</w:t>
      </w:r>
      <w:r>
        <w:rPr>
          <w:color w:val="000000"/>
        </w:rPr>
        <w:t xml:space="preserve"> </w:t>
      </w:r>
      <w:r>
        <w:rPr>
          <w:rFonts w:ascii="Times New Roman;serif" w:hAnsi="Times New Roman;serif"/>
          <w:b w:val="false"/>
          <w:color w:val="000000"/>
          <w:sz w:val="24"/>
        </w:rPr>
        <w:t>limited</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persons</w:t>
      </w:r>
      <w:r>
        <w:rPr>
          <w:color w:val="000000"/>
        </w:rPr>
        <w:t xml:space="preserve"> </w:t>
      </w:r>
      <w:r>
        <w:rPr>
          <w:rFonts w:ascii="Times New Roman;serif" w:hAnsi="Times New Roman;serif"/>
          <w:b w:val="false"/>
          <w:color w:val="000000"/>
          <w:sz w:val="24"/>
        </w:rPr>
        <w:t>that</w:t>
      </w:r>
      <w:r>
        <w:rPr>
          <w:color w:val="000000"/>
        </w:rPr>
        <w:t xml:space="preserve"> </w:t>
      </w:r>
      <w:r>
        <w:rPr>
          <w:rFonts w:ascii="Times New Roman;serif" w:hAnsi="Times New Roman;serif"/>
          <w:b w:val="false"/>
          <w:color w:val="000000"/>
          <w:sz w:val="24"/>
        </w:rPr>
        <w:t>have</w:t>
      </w:r>
      <w:r>
        <w:rPr>
          <w:color w:val="000000"/>
        </w:rPr>
        <w:t xml:space="preserve"> </w:t>
      </w:r>
      <w:r>
        <w:rPr>
          <w:rFonts w:ascii="Times New Roman;serif" w:hAnsi="Times New Roman;serif"/>
          <w:b w:val="false"/>
          <w:color w:val="000000"/>
          <w:sz w:val="24"/>
        </w:rPr>
        <w:t>accounts</w:t>
      </w:r>
      <w:r>
        <w:rPr>
          <w:color w:val="000000"/>
        </w:rPr>
        <w:t xml:space="preserve"> </w:t>
      </w:r>
      <w:r>
        <w:rPr>
          <w:rFonts w:ascii="Times New Roman;serif" w:hAnsi="Times New Roman;serif"/>
          <w:b w:val="false"/>
          <w:color w:val="000000"/>
          <w:sz w:val="24"/>
        </w:rPr>
        <w:t>with</w:t>
      </w:r>
      <w:r>
        <w:rPr>
          <w:color w:val="000000"/>
        </w:rPr>
        <w:t xml:space="preserve"> </w:t>
      </w:r>
      <w:r>
        <w:rPr>
          <w:rFonts w:ascii="Times New Roman;serif" w:hAnsi="Times New Roman;serif"/>
          <w:b w:val="false"/>
          <w:color w:val="000000"/>
          <w:sz w:val="24"/>
        </w:rPr>
        <w:t>DTC</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persons that may hold interests through such participants, including through Euroclear and Clearstream. Ownership of beneficial interests in the Global</w:t>
      </w:r>
      <w:r>
        <w:rPr>
          <w:color w:val="000000"/>
        </w:rPr>
        <w:t xml:space="preserve"> </w:t>
      </w:r>
      <w:r>
        <w:rPr>
          <w:rFonts w:ascii="Times New Roman;serif" w:hAnsi="Times New Roman;serif"/>
          <w:b w:val="false"/>
          <w:color w:val="000000"/>
          <w:sz w:val="24"/>
        </w:rPr>
        <w:t>Notes and transfers thereof shall be subject to restrictions on transfer and certification requirements as set forth herein. Participants and Indirect</w:t>
      </w:r>
      <w:r>
        <w:rPr>
          <w:color w:val="000000"/>
        </w:rPr>
        <w:t xml:space="preserve"> </w:t>
      </w:r>
      <w:r>
        <w:rPr>
          <w:rFonts w:ascii="Times New Roman;serif" w:hAnsi="Times New Roman;serif"/>
          <w:b w:val="false"/>
          <w:color w:val="000000"/>
          <w:sz w:val="24"/>
        </w:rPr>
        <w:t>Participants shall have no rights under this Indenture or any Global Note with respect to any Global Note held on their behalf by the Depository or by the</w:t>
      </w:r>
      <w:r>
        <w:rPr>
          <w:color w:val="000000"/>
        </w:rPr>
        <w:t xml:space="preserve"> </w:t>
      </w:r>
      <w:r>
        <w:rPr>
          <w:rFonts w:ascii="Times New Roman;serif" w:hAnsi="Times New Roman;serif"/>
          <w:b w:val="false"/>
          <w:color w:val="000000"/>
          <w:sz w:val="24"/>
        </w:rPr>
        <w:t>Trustee</w:t>
      </w:r>
      <w:r>
        <w:rPr>
          <w:color w:val="000000"/>
        </w:rPr>
        <w:t xml:space="preserve"> </w:t>
      </w:r>
      <w:r>
        <w:rPr>
          <w:rFonts w:ascii="Times New Roman;serif" w:hAnsi="Times New Roman;serif"/>
          <w:b w:val="false"/>
          <w:color w:val="000000"/>
          <w:sz w:val="24"/>
        </w:rPr>
        <w:t>as</w:t>
      </w:r>
      <w:r>
        <w:rPr>
          <w:color w:val="000000"/>
        </w:rPr>
        <w:t xml:space="preserve"> </w:t>
      </w:r>
      <w:r>
        <w:rPr>
          <w:rFonts w:ascii="Times New Roman;serif" w:hAnsi="Times New Roman;serif"/>
          <w:b w:val="false"/>
          <w:color w:val="000000"/>
          <w:sz w:val="24"/>
        </w:rPr>
        <w:t>custodian</w:t>
      </w:r>
      <w:r>
        <w:rPr>
          <w:color w:val="000000"/>
        </w:rPr>
        <w:t xml:space="preserve"> </w:t>
      </w:r>
      <w:r>
        <w:rPr>
          <w:rFonts w:ascii="Times New Roman;serif" w:hAnsi="Times New Roman;serif"/>
          <w:b w:val="false"/>
          <w:color w:val="000000"/>
          <w:sz w:val="24"/>
        </w:rPr>
        <w:t>for</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Depository,</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Depository</w:t>
      </w:r>
      <w:r>
        <w:rPr>
          <w:color w:val="000000"/>
        </w:rPr>
        <w:t xml:space="preserve"> </w:t>
      </w:r>
      <w:r>
        <w:rPr>
          <w:rFonts w:ascii="Times New Roman;serif" w:hAnsi="Times New Roman;serif"/>
          <w:b w:val="false"/>
          <w:color w:val="000000"/>
          <w:sz w:val="24"/>
        </w:rPr>
        <w:t>shall</w:t>
      </w:r>
      <w:r>
        <w:rPr>
          <w:color w:val="000000"/>
        </w:rPr>
        <w:t xml:space="preserve"> </w:t>
      </w:r>
      <w:r>
        <w:rPr>
          <w:rFonts w:ascii="Times New Roman;serif" w:hAnsi="Times New Roman;serif"/>
          <w:b w:val="false"/>
          <w:color w:val="000000"/>
          <w:sz w:val="24"/>
        </w:rPr>
        <w:t>be</w:t>
      </w:r>
      <w:r>
        <w:rPr>
          <w:color w:val="000000"/>
        </w:rPr>
        <w:t xml:space="preserve"> </w:t>
      </w:r>
      <w:r>
        <w:rPr>
          <w:rFonts w:ascii="Times New Roman;serif" w:hAnsi="Times New Roman;serif"/>
          <w:b w:val="false"/>
          <w:color w:val="000000"/>
          <w:sz w:val="24"/>
        </w:rPr>
        <w:t>treated</w:t>
      </w:r>
      <w:r>
        <w:rPr>
          <w:color w:val="000000"/>
        </w:rPr>
        <w:t xml:space="preserve"> </w:t>
      </w:r>
      <w:r>
        <w:rPr>
          <w:rFonts w:ascii="Times New Roman;serif" w:hAnsi="Times New Roman;serif"/>
          <w:b w:val="false"/>
          <w:color w:val="000000"/>
          <w:sz w:val="24"/>
        </w:rPr>
        <w:t>by</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Issuer,</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Trustee</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agent</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Issuer</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Trustee</w:t>
      </w:r>
      <w:r>
        <w:rPr>
          <w:color w:val="000000"/>
        </w:rPr>
        <w:t xml:space="preserve"> </w:t>
      </w:r>
      <w:r>
        <w:rPr>
          <w:rFonts w:ascii="Times New Roman;serif" w:hAnsi="Times New Roman;serif"/>
          <w:b w:val="false"/>
          <w:color w:val="000000"/>
          <w:sz w:val="24"/>
        </w:rPr>
        <w:t>as the absolute owner of such Global Note for all purposes whatsoever. Notwithstanding the foregoing, nothing herein shall prevent the Issuer, the</w:t>
      </w:r>
      <w:r>
        <w:rPr>
          <w:color w:val="000000"/>
        </w:rPr>
        <w:t xml:space="preserve"> </w:t>
      </w:r>
      <w:r>
        <w:rPr>
          <w:rFonts w:ascii="Times New Roman;serif" w:hAnsi="Times New Roman;serif"/>
          <w:b w:val="false"/>
          <w:color w:val="000000"/>
          <w:sz w:val="24"/>
        </w:rPr>
        <w:t xml:space="preserve">Trustee or any agent of the Issuer or the Trustee from </w:t>
      </w:r>
    </w:p>
    <w:p>
      <w:pPr>
        <w:pStyle w:val="TextBody"/>
        <w:bidi w:val="0"/>
        <w:spacing w:before="0" w:after="0"/>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735965"/>
                <wp:effectExtent l="0" t="0" r="0" b="0"/>
                <wp:wrapNone/>
                <wp:docPr id="79" name="Frame79"/>
                <a:graphic xmlns:a="http://schemas.openxmlformats.org/drawingml/2006/main">
                  <a:graphicData uri="http://schemas.microsoft.com/office/word/2010/wordprocessingShape">
                    <wps:wsp>
                      <wps:cNvSpPr txBox="1"/>
                      <wps:spPr>
                        <a:xfrm>
                          <a:off x="0" y="0"/>
                          <a:ext cx="6480175" cy="7359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31</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31</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rPr>
        <w:t>giving effect to any written certification, proxy or other authorization furnished by the</w:t>
      </w:r>
      <w:r>
        <w:rPr>
          <w:color w:val="000000"/>
        </w:rPr>
        <w:t xml:space="preserve"> </w:t>
      </w:r>
      <w:r>
        <w:rPr>
          <w:rFonts w:ascii="Times New Roman;serif" w:hAnsi="Times New Roman;serif"/>
          <w:b w:val="false"/>
          <w:color w:val="000000"/>
          <w:sz w:val="24"/>
        </w:rPr>
        <w:t>Depository or impair, as between the Depository and its Participants or Indirect Participants, the Applicable Procedures or the operation of customary</w:t>
      </w:r>
      <w:r>
        <w:rPr>
          <w:color w:val="000000"/>
        </w:rPr>
        <w:t xml:space="preserve"> </w:t>
      </w:r>
      <w:r>
        <w:rPr>
          <w:rFonts w:ascii="Times New Roman;serif" w:hAnsi="Times New Roman;serif"/>
          <w:b w:val="false"/>
          <w:color w:val="000000"/>
          <w:sz w:val="24"/>
        </w:rPr>
        <w:t>practices of the Depository governing the exercise of the rights of a holder of a beneficial interest in any Global Note.</w:t>
      </w:r>
    </w:p>
    <w:p>
      <w:pPr>
        <w:pStyle w:val="TextBody"/>
        <w:bidi w:val="0"/>
        <w:spacing w:lineRule="auto" w:line="240" w:before="0" w:after="240"/>
        <w:ind w:left="0" w:right="0" w:firstLine="720"/>
        <w:jc w:val="both"/>
        <w:rPr/>
      </w:pPr>
      <w:r>
        <w:rPr>
          <w:rFonts w:ascii="Times New Roman;serif" w:hAnsi="Times New Roman;serif"/>
          <w:b w:val="false"/>
          <w:color w:val="000000"/>
          <w:sz w:val="24"/>
        </w:rPr>
        <w:t>(d)</w:t>
      </w:r>
      <w:r>
        <w:rPr>
          <w:rFonts w:ascii="Times New Roman;serif" w:hAnsi="Times New Roman;serif"/>
          <w:b w:val="false"/>
          <w:i/>
          <w:color w:val="000000"/>
          <w:sz w:val="24"/>
        </w:rPr>
        <w:t>DTC, Euroclear and Clearstream Procedures Applicable</w:t>
      </w:r>
      <w:r>
        <w:rPr>
          <w:rFonts w:ascii="Times New Roman;serif" w:hAnsi="Times New Roman;serif"/>
          <w:b w:val="false"/>
          <w:color w:val="000000"/>
          <w:sz w:val="24"/>
        </w:rPr>
        <w:t>. Transfers of beneficial interests in the Global Notes between participants in DTC,</w:t>
      </w:r>
      <w:r>
        <w:rPr>
          <w:color w:val="000000"/>
        </w:rPr>
        <w:t xml:space="preserve"> </w:t>
      </w:r>
      <w:r>
        <w:rPr>
          <w:rFonts w:ascii="Times New Roman;serif" w:hAnsi="Times New Roman;serif"/>
          <w:b w:val="false"/>
          <w:color w:val="000000"/>
          <w:sz w:val="24"/>
        </w:rPr>
        <w:t>participants in Euroclear or participants in Clearstream shall be effected by DTC, Euroclear or Clearstream pursuant to customary procedures and subject</w:t>
      </w:r>
      <w:r>
        <w:rPr>
          <w:color w:val="000000"/>
        </w:rPr>
        <w:t xml:space="preserve"> </w:t>
      </w:r>
      <w:r>
        <w:rPr>
          <w:rFonts w:ascii="Times New Roman;serif" w:hAnsi="Times New Roman;serif"/>
          <w:b w:val="false"/>
          <w:color w:val="000000"/>
          <w:sz w:val="24"/>
        </w:rPr>
        <w:t>to the applicable rules and procedures established by DTC, Euroclear or Clearstream and their respective participants.</w:t>
      </w:r>
    </w:p>
    <w:p>
      <w:pPr>
        <w:pStyle w:val="TextBody"/>
        <w:bidi w:val="0"/>
        <w:spacing w:lineRule="auto" w:line="240" w:before="0" w:after="240"/>
        <w:jc w:val="left"/>
        <w:rPr/>
      </w:pPr>
      <w:r>
        <w:rPr>
          <w:rFonts w:ascii="Times New Roman;serif" w:hAnsi="Times New Roman;serif"/>
          <w:b w:val="false"/>
          <w:color w:val="000000"/>
          <w:sz w:val="24"/>
        </w:rPr>
        <w:t>Section 2.02</w:t>
      </w:r>
      <w:r>
        <w:rPr>
          <w:rFonts w:ascii="Times New Roman;serif" w:hAnsi="Times New Roman;serif"/>
          <w:b w:val="false"/>
          <w:color w:val="000000"/>
          <w:sz w:val="24"/>
          <w:u w:val="single"/>
        </w:rPr>
        <w:t>Execution and Authentication</w:t>
      </w:r>
      <w:r>
        <w:rPr>
          <w:rFonts w:ascii="Times New Roman;serif" w:hAnsi="Times New Roman;serif"/>
          <w:b w:val="false"/>
          <w:color w:val="000000"/>
          <w:sz w:val="24"/>
        </w:rPr>
        <w:t xml:space="preserve">. </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One Officer must sign the Notes for the Issuer by manual, facsimile or .pdf signature.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If an Officer whose signature is on a Note no longer holds that office at the time a Note is authenticated, the Note will nevertheless be valid.</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 Note will not be valid until authenticated by the manual signature of the Trustee. The signature will be conclusive evidence that the Note has been authenticated under this Indenture. A Note shall be dated the date of its authentication.</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The Trustee shall, upon receipt of an Issuer Order, authenticate Notes for original issue under this Indenture. The aggregate principal amount of Notes outstanding at any time may not exceed the aggregate principal amount of Notes authorized for issuance by the Issuer pursuant to one or more Issuer Orders, except as provided in </w:t>
      </w:r>
      <w:r>
        <w:rPr>
          <w:rFonts w:ascii="Times New Roman;serif" w:hAnsi="Times New Roman;serif"/>
          <w:b w:val="false"/>
          <w:color w:val="000000"/>
          <w:sz w:val="24"/>
          <w:u w:val="single"/>
        </w:rPr>
        <w:t>Section 2.07</w:t>
      </w:r>
      <w:r>
        <w:rPr>
          <w:color w:val="000000"/>
        </w:rPr>
        <w:t xml:space="preserve"> </w:t>
      </w:r>
      <w:r>
        <w:rPr>
          <w:rFonts w:ascii="Times New Roman;serif" w:hAnsi="Times New Roman;serif"/>
          <w:b w:val="false"/>
          <w:color w:val="000000"/>
          <w:sz w:val="24"/>
        </w:rPr>
        <w:t>hereof.</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Trustee shall not be required to authenticate such Notes if the issue thereof will adversely affect the Trustee’s own rights, duties or immunities under the Notes and this Indenture or otherwise in a manner which is not reasonably acceptable to the Trustee.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Trustee may appoint an authenticating agent acceptable to the Issuer to authenticate Notes. An authenticating agent may authenticate Notes whenever the Trustee may do so. Each reference in this Indenture to authentication by the Trustee includes authentication by such agent. An authenticating agent has the same rights as an Agent to deal with Holders, the Issuer or an Affiliate of the Issuer.</w:t>
      </w:r>
    </w:p>
    <w:p>
      <w:pPr>
        <w:pStyle w:val="TextBody"/>
        <w:bidi w:val="0"/>
        <w:spacing w:lineRule="auto" w:line="240" w:before="0" w:after="240"/>
        <w:jc w:val="left"/>
        <w:rPr/>
      </w:pPr>
      <w:r>
        <w:rPr>
          <w:rFonts w:ascii="Times New Roman;serif" w:hAnsi="Times New Roman;serif"/>
          <w:b w:val="false"/>
          <w:color w:val="000000"/>
          <w:sz w:val="24"/>
        </w:rPr>
        <w:t>Section 2.03</w:t>
      </w:r>
      <w:r>
        <w:rPr>
          <w:rFonts w:ascii="Times New Roman;serif" w:hAnsi="Times New Roman;serif"/>
          <w:b w:val="false"/>
          <w:color w:val="000000"/>
          <w:sz w:val="24"/>
          <w:u w:val="single"/>
        </w:rPr>
        <w:t>Registrar and Paying Agent</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rPr>
        <w:t>The Issuer will maintain a Registrar and a Paying Agent with respect to the Notes issued pursuant to this Indenture. The Registrar will keep a register of the Holders and the Notes and of their transfer and exchange. The Issuer may appoint one or more co-registrars and one or more additional Paying Agents and may change any Paying Agent or Registrar without notice to any Holder. The Issuer will notify the Trustee in writing of the name and address of any Agent not a party to this Indenture. The Issuer or any of the Issuer’s Subsidiaries may act as Paying Agent or Registrar.</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rPr>
        <w:t>The Issuer initially appoints DTC to act as Depository with respect to the Global Notes.</w:t>
      </w:r>
    </w:p>
    <w:p>
      <w:pPr>
        <w:pStyle w:val="TextBody"/>
        <w:bidi w:val="0"/>
        <w:spacing w:before="0" w:after="0"/>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735965"/>
                <wp:effectExtent l="0" t="0" r="0" b="0"/>
                <wp:wrapNone/>
                <wp:docPr id="80" name="Frame80"/>
                <a:graphic xmlns:a="http://schemas.openxmlformats.org/drawingml/2006/main">
                  <a:graphicData uri="http://schemas.microsoft.com/office/word/2010/wordprocessingShape">
                    <wps:wsp>
                      <wps:cNvSpPr txBox="1"/>
                      <wps:spPr>
                        <a:xfrm>
                          <a:off x="0" y="0"/>
                          <a:ext cx="6480175" cy="7359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32</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32</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00000"/>
          <w:sz w:val="24"/>
        </w:rPr>
        <w:t>(c)</w:t>
      </w:r>
      <w:r>
        <w:rPr>
          <w:rFonts w:ascii="Times New Roman;serif" w:hAnsi="Times New Roman;serif"/>
          <w:b w:val="false"/>
          <w:color w:val="000000"/>
          <w:sz w:val="24"/>
        </w:rPr>
        <w:t>The Issuer initially appoints the Trustee to act as the Registrar and Paying Agent with respect to the Global Notes.</w:t>
      </w:r>
    </w:p>
    <w:p>
      <w:pPr>
        <w:pStyle w:val="TextBody"/>
        <w:bidi w:val="0"/>
        <w:spacing w:lineRule="auto" w:line="240" w:before="0" w:after="240"/>
        <w:jc w:val="left"/>
        <w:rPr/>
      </w:pPr>
      <w:r>
        <w:rPr>
          <w:rFonts w:ascii="Times New Roman;serif" w:hAnsi="Times New Roman;serif"/>
          <w:b w:val="false"/>
          <w:color w:val="000000"/>
          <w:sz w:val="24"/>
        </w:rPr>
        <w:t>Section 2.04</w:t>
      </w:r>
      <w:r>
        <w:rPr>
          <w:rFonts w:ascii="Times New Roman;serif" w:hAnsi="Times New Roman;serif"/>
          <w:b w:val="false"/>
          <w:color w:val="000000"/>
          <w:sz w:val="24"/>
          <w:u w:val="single"/>
        </w:rPr>
        <w:t>Paying Agent to Hold Money in Trust</w:t>
      </w:r>
      <w:r>
        <w:rPr>
          <w:rFonts w:ascii="Times New Roman;serif" w:hAnsi="Times New Roman;serif"/>
          <w:b w:val="false"/>
          <w:color w:val="000000"/>
          <w:sz w:val="24"/>
        </w:rPr>
        <w: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Issuer will require each Paying Agent other than the Trustee to agree in writing that the Paying Agent (i) will hold in trust for the benefit of Holders or the Trustee all money held by the Paying Agent for the payment of principal, premium or interest on such Notes and (ii) will notify the Trustee in writing of any default by the Issuer in making any such payment. While any such default continues, the Trustee may require a Paying Agent to pay all money held by it to the Trustee. The Issuer at any time may require a Paying Agent to pay all money held by it to the Trustee. Upon payment over to the Trustee, the Paying Agent (if other than the Issuer or a Subsidiary of the Issuer) will have no further liability for the money. If the Issuer or a Subsidiary of the Issuer acts as Paying Agent, it will segregate and hold in a separate trust fund for the benefit of the Holders all money held by it as Paying Agent. Upon any bankruptcy or reorganization proceedings relating to the Issuer, the Trustee will serve as Paying Agent for the Notes. For the avoidance of doubt, the Paying Agent shall be held harmless and have no liability with respect to payments or disbursements to be made by the Paying Agent until the Paying Agent has confirmed receipt of funds sufficient to make such relevant payment.</w:t>
      </w:r>
    </w:p>
    <w:p>
      <w:pPr>
        <w:pStyle w:val="TextBody"/>
        <w:bidi w:val="0"/>
        <w:spacing w:lineRule="auto" w:line="240" w:before="0" w:after="240"/>
        <w:jc w:val="left"/>
        <w:rPr/>
      </w:pPr>
      <w:r>
        <w:rPr>
          <w:rFonts w:ascii="Times New Roman;serif" w:hAnsi="Times New Roman;serif"/>
          <w:b w:val="false"/>
          <w:color w:val="000000"/>
          <w:sz w:val="24"/>
        </w:rPr>
        <w:t>Section 2.05</w:t>
      </w:r>
      <w:r>
        <w:rPr>
          <w:rFonts w:ascii="Times New Roman;serif" w:hAnsi="Times New Roman;serif"/>
          <w:b w:val="false"/>
          <w:color w:val="000000"/>
          <w:sz w:val="24"/>
          <w:u w:val="single"/>
        </w:rPr>
        <w:t>Holder Lists</w:t>
      </w:r>
      <w:r>
        <w:rPr>
          <w:rFonts w:ascii="Times New Roman;serif" w:hAnsi="Times New Roman;serif"/>
          <w:b w:val="false"/>
          <w:color w:val="000000"/>
          <w:sz w:val="24"/>
        </w:rPr>
        <w: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Trustee shall preserve in as current a form as is reasonably practicable the most recent list available to it of the names and addresses of all Holders. If the Trustee is not the Registrar, the Issuer shall furnish to the Trustee at least seven Business Days before each interest payment date and at such other times as the Trustee may request in writing, a list in such form and as of such date as the Trustee may reasonably require of the names and addresses of the Holders.</w:t>
      </w:r>
    </w:p>
    <w:p>
      <w:pPr>
        <w:pStyle w:val="TextBody"/>
        <w:bidi w:val="0"/>
        <w:spacing w:lineRule="auto" w:line="240" w:before="0" w:after="240"/>
        <w:jc w:val="left"/>
        <w:rPr/>
      </w:pPr>
      <w:r>
        <w:rPr>
          <w:rFonts w:ascii="Times New Roman;serif" w:hAnsi="Times New Roman;serif"/>
          <w:b w:val="false"/>
          <w:color w:val="000000"/>
          <w:sz w:val="24"/>
        </w:rPr>
        <w:t>Section 2.06</w:t>
      </w:r>
      <w:r>
        <w:rPr>
          <w:rFonts w:ascii="Times New Roman;serif" w:hAnsi="Times New Roman;serif"/>
          <w:b w:val="false"/>
          <w:color w:val="000000"/>
          <w:sz w:val="24"/>
          <w:u w:val="single"/>
        </w:rPr>
        <w:t>Transfer and Exchange</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i/>
          <w:color w:val="000000"/>
          <w:sz w:val="24"/>
        </w:rPr>
        <w:t>Transfer and Exchange of Global Notes</w:t>
      </w:r>
      <w:r>
        <w:rPr>
          <w:rFonts w:ascii="Times New Roman;serif" w:hAnsi="Times New Roman;serif"/>
          <w:b w:val="false"/>
          <w:color w:val="000000"/>
          <w:sz w:val="24"/>
        </w:rPr>
        <w:t>. A Global Note may not be transferred as a whole except by the Depository to a nominee of the Depository, by a nominee of the Depository to the Depository or to another nominee of the Depository, or by the Depository or any such nominee to a successor Depository or a nominee of such successor Depository. The Issuer shall exchange Global Notes for Definitive Notes if at any time:</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(1)the Issuer delivers to the Trustee notice from the Depository that it is unwilling or unable to continue to act as Depository or that it is no longer a clearing agency registered under the Exchange Act and, in either case, a successor Depository is not appointed by the Issuer within 90 days after the date of such notice from the Depository; or</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(2)upon the written request of a Holder if a Default or Event of Default shall have occurred and be continuing with respect to the Notes.</w:t>
      </w:r>
    </w:p>
    <w:p>
      <w:pPr>
        <w:pStyle w:val="TextBody"/>
        <w:bidi w:val="0"/>
        <w:spacing w:before="0" w:after="0"/>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735965"/>
                <wp:effectExtent l="0" t="0" r="0" b="0"/>
                <wp:wrapNone/>
                <wp:docPr id="81" name="Frame81"/>
                <a:graphic xmlns:a="http://schemas.openxmlformats.org/drawingml/2006/main">
                  <a:graphicData uri="http://schemas.microsoft.com/office/word/2010/wordprocessingShape">
                    <wps:wsp>
                      <wps:cNvSpPr txBox="1"/>
                      <wps:spPr>
                        <a:xfrm>
                          <a:off x="0" y="0"/>
                          <a:ext cx="6480175" cy="7359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33</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33</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Upon the occurrence of any of the preceding events in (1) or (2) above, Definitive Notes shall be issued in such names and in any approved denominations as the Depository shall instruct the Trustee.</w:t>
      </w:r>
    </w:p>
    <w:p>
      <w:pPr>
        <w:pStyle w:val="TextBody"/>
        <w:bidi w:val="0"/>
        <w:spacing w:lineRule="auto" w:line="288" w:before="0" w:after="240"/>
        <w:ind w:left="0" w:right="0" w:firstLine="720"/>
        <w:jc w:val="both"/>
        <w:rPr/>
      </w:pP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no</w:t>
      </w:r>
      <w:r>
        <w:rPr>
          <w:color w:val="000000"/>
        </w:rPr>
        <w:t xml:space="preserve"> </w:t>
      </w:r>
      <w:r>
        <w:rPr>
          <w:rFonts w:ascii="Times New Roman;serif" w:hAnsi="Times New Roman;serif"/>
          <w:b w:val="false"/>
          <w:color w:val="000000"/>
          <w:sz w:val="24"/>
        </w:rPr>
        <w:t>event</w:t>
      </w:r>
      <w:r>
        <w:rPr>
          <w:color w:val="000000"/>
        </w:rPr>
        <w:t xml:space="preserve"> </w:t>
      </w:r>
      <w:r>
        <w:rPr>
          <w:rFonts w:ascii="Times New Roman;serif" w:hAnsi="Times New Roman;serif"/>
          <w:b w:val="false"/>
          <w:color w:val="000000"/>
          <w:sz w:val="24"/>
        </w:rPr>
        <w:t>shall</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Regulation</w:t>
      </w:r>
      <w:r>
        <w:rPr>
          <w:color w:val="000000"/>
        </w:rPr>
        <w:t xml:space="preserve"> </w:t>
      </w:r>
      <w:r>
        <w:rPr>
          <w:rFonts w:ascii="Times New Roman;serif" w:hAnsi="Times New Roman;serif"/>
          <w:b w:val="false"/>
          <w:color w:val="000000"/>
          <w:sz w:val="24"/>
        </w:rPr>
        <w:t>S</w:t>
      </w:r>
      <w:r>
        <w:rPr>
          <w:color w:val="000000"/>
        </w:rPr>
        <w:t xml:space="preserve"> </w:t>
      </w:r>
      <w:r>
        <w:rPr>
          <w:rFonts w:ascii="Times New Roman;serif" w:hAnsi="Times New Roman;serif"/>
          <w:b w:val="false"/>
          <w:color w:val="000000"/>
          <w:sz w:val="24"/>
        </w:rPr>
        <w:t>Temporary</w:t>
      </w:r>
      <w:r>
        <w:rPr>
          <w:color w:val="000000"/>
        </w:rPr>
        <w:t xml:space="preserve"> </w:t>
      </w:r>
      <w:r>
        <w:rPr>
          <w:rFonts w:ascii="Times New Roman;serif" w:hAnsi="Times New Roman;serif"/>
          <w:b w:val="false"/>
          <w:color w:val="000000"/>
          <w:sz w:val="24"/>
        </w:rPr>
        <w:t>Global</w:t>
      </w:r>
      <w:r>
        <w:rPr>
          <w:color w:val="000000"/>
        </w:rPr>
        <w:t xml:space="preserve"> </w:t>
      </w:r>
      <w:r>
        <w:rPr>
          <w:rFonts w:ascii="Times New Roman;serif" w:hAnsi="Times New Roman;serif"/>
          <w:b w:val="false"/>
          <w:color w:val="000000"/>
          <w:sz w:val="24"/>
        </w:rPr>
        <w:t>Note</w:t>
      </w:r>
      <w:r>
        <w:rPr>
          <w:color w:val="000000"/>
        </w:rPr>
        <w:t xml:space="preserve"> </w:t>
      </w:r>
      <w:r>
        <w:rPr>
          <w:rFonts w:ascii="Times New Roman;serif" w:hAnsi="Times New Roman;serif"/>
          <w:b w:val="false"/>
          <w:color w:val="000000"/>
          <w:sz w:val="24"/>
        </w:rPr>
        <w:t>be</w:t>
      </w:r>
      <w:r>
        <w:rPr>
          <w:color w:val="000000"/>
        </w:rPr>
        <w:t xml:space="preserve"> </w:t>
      </w:r>
      <w:r>
        <w:rPr>
          <w:rFonts w:ascii="Times New Roman;serif" w:hAnsi="Times New Roman;serif"/>
          <w:b w:val="false"/>
          <w:color w:val="000000"/>
          <w:sz w:val="24"/>
        </w:rPr>
        <w:t>exchanged</w:t>
      </w:r>
      <w:r>
        <w:rPr>
          <w:color w:val="000000"/>
        </w:rPr>
        <w:t xml:space="preserve"> </w:t>
      </w:r>
      <w:r>
        <w:rPr>
          <w:rFonts w:ascii="Times New Roman;serif" w:hAnsi="Times New Roman;serif"/>
          <w:b w:val="false"/>
          <w:color w:val="000000"/>
          <w:sz w:val="24"/>
        </w:rPr>
        <w:t>by</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Issuer</w:t>
      </w:r>
      <w:r>
        <w:rPr>
          <w:color w:val="000000"/>
        </w:rPr>
        <w:t xml:space="preserve"> </w:t>
      </w:r>
      <w:r>
        <w:rPr>
          <w:rFonts w:ascii="Times New Roman;serif" w:hAnsi="Times New Roman;serif"/>
          <w:b w:val="false"/>
          <w:color w:val="000000"/>
          <w:sz w:val="24"/>
        </w:rPr>
        <w:t>for</w:t>
      </w:r>
      <w:r>
        <w:rPr>
          <w:color w:val="000000"/>
        </w:rPr>
        <w:t xml:space="preserve"> </w:t>
      </w:r>
      <w:r>
        <w:rPr>
          <w:rFonts w:ascii="Times New Roman;serif" w:hAnsi="Times New Roman;serif"/>
          <w:b w:val="false"/>
          <w:color w:val="000000"/>
          <w:sz w:val="24"/>
        </w:rPr>
        <w:t>Definitive</w:t>
      </w:r>
      <w:r>
        <w:rPr>
          <w:color w:val="000000"/>
        </w:rPr>
        <w:t xml:space="preserve"> </w:t>
      </w:r>
      <w:r>
        <w:rPr>
          <w:rFonts w:ascii="Times New Roman;serif" w:hAnsi="Times New Roman;serif"/>
          <w:b w:val="false"/>
          <w:color w:val="000000"/>
          <w:sz w:val="24"/>
        </w:rPr>
        <w:t>Notes</w:t>
      </w:r>
      <w:r>
        <w:rPr>
          <w:color w:val="000000"/>
        </w:rPr>
        <w:t xml:space="preserve"> </w:t>
      </w:r>
      <w:r>
        <w:rPr>
          <w:rFonts w:ascii="Times New Roman;serif" w:hAnsi="Times New Roman;serif"/>
          <w:b w:val="false"/>
          <w:color w:val="000000"/>
          <w:sz w:val="24"/>
        </w:rPr>
        <w:t>prior</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(x)</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expiration</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Distribution</w:t>
      </w:r>
      <w:r>
        <w:rPr>
          <w:color w:val="000000"/>
        </w:rPr>
        <w:t xml:space="preserve"> </w:t>
      </w:r>
      <w:r>
        <w:rPr>
          <w:rFonts w:ascii="Times New Roman;serif" w:hAnsi="Times New Roman;serif"/>
          <w:b w:val="false"/>
          <w:color w:val="000000"/>
          <w:sz w:val="24"/>
        </w:rPr>
        <w:t>Compliance</w:t>
      </w:r>
      <w:r>
        <w:rPr>
          <w:color w:val="000000"/>
        </w:rPr>
        <w:t xml:space="preserve"> </w:t>
      </w:r>
      <w:r>
        <w:rPr>
          <w:rFonts w:ascii="Times New Roman;serif" w:hAnsi="Times New Roman;serif"/>
          <w:b w:val="false"/>
          <w:color w:val="000000"/>
          <w:sz w:val="24"/>
        </w:rPr>
        <w:t>Period</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(y)</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receipt</w:t>
      </w:r>
      <w:r>
        <w:rPr>
          <w:color w:val="000000"/>
        </w:rPr>
        <w:t xml:space="preserve"> </w:t>
      </w:r>
      <w:r>
        <w:rPr>
          <w:rFonts w:ascii="Times New Roman;serif" w:hAnsi="Times New Roman;serif"/>
          <w:b w:val="false"/>
          <w:color w:val="000000"/>
          <w:sz w:val="24"/>
        </w:rPr>
        <w:t>by</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Registrar</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certificates</w:t>
      </w:r>
      <w:r>
        <w:rPr>
          <w:color w:val="000000"/>
        </w:rPr>
        <w:t xml:space="preserve"> </w:t>
      </w:r>
      <w:r>
        <w:rPr>
          <w:rFonts w:ascii="Times New Roman;serif" w:hAnsi="Times New Roman;serif"/>
          <w:b w:val="false"/>
          <w:color w:val="000000"/>
          <w:sz w:val="24"/>
        </w:rPr>
        <w:t>required</w:t>
      </w:r>
      <w:r>
        <w:rPr>
          <w:color w:val="000000"/>
        </w:rPr>
        <w:t xml:space="preserve"> </w:t>
      </w:r>
      <w:r>
        <w:rPr>
          <w:rFonts w:ascii="Times New Roman;serif" w:hAnsi="Times New Roman;serif"/>
          <w:b w:val="false"/>
          <w:color w:val="000000"/>
          <w:sz w:val="24"/>
        </w:rPr>
        <w:t>pursuant</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Rule</w:t>
      </w:r>
      <w:r>
        <w:rPr>
          <w:color w:val="000000"/>
        </w:rPr>
        <w:t xml:space="preserve"> </w:t>
      </w:r>
      <w:r>
        <w:rPr>
          <w:rFonts w:ascii="Times New Roman;serif" w:hAnsi="Times New Roman;serif"/>
          <w:b w:val="false"/>
          <w:color w:val="000000"/>
          <w:sz w:val="24"/>
        </w:rPr>
        <w:t>903(b)(3)(ii)(B)</w:t>
      </w:r>
      <w:r>
        <w:rPr>
          <w:color w:val="000000"/>
        </w:rPr>
        <w:t xml:space="preserve"> </w:t>
      </w:r>
      <w:r>
        <w:rPr>
          <w:rFonts w:ascii="Times New Roman;serif" w:hAnsi="Times New Roman;serif"/>
          <w:b w:val="false"/>
          <w:color w:val="000000"/>
          <w:sz w:val="24"/>
        </w:rPr>
        <w:t>under</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Securities</w:t>
      </w:r>
      <w:r>
        <w:rPr>
          <w:color w:val="000000"/>
        </w:rPr>
        <w:t xml:space="preserve"> </w:t>
      </w:r>
      <w:r>
        <w:rPr>
          <w:rFonts w:ascii="Times New Roman;serif" w:hAnsi="Times New Roman;serif"/>
          <w:b w:val="false"/>
          <w:color w:val="000000"/>
          <w:sz w:val="24"/>
        </w:rPr>
        <w:t>Act.</w:t>
      </w:r>
    </w:p>
    <w:p>
      <w:pPr>
        <w:pStyle w:val="TextBody"/>
        <w:bidi w:val="0"/>
        <w:spacing w:lineRule="auto" w:line="288" w:before="0" w:after="240"/>
        <w:ind w:left="0" w:right="0" w:firstLine="720"/>
        <w:jc w:val="both"/>
        <w:rPr/>
      </w:pPr>
      <w:r>
        <w:rPr>
          <w:rFonts w:ascii="Times New Roman;serif" w:hAnsi="Times New Roman;serif"/>
          <w:b w:val="false"/>
          <w:color w:val="000000"/>
          <w:sz w:val="24"/>
        </w:rPr>
        <w:t>Upon the exchange of a Global Note for Definitive Notes, such Global Note shall, upon receipt of an Issuer Order, be cancelled by the</w:t>
      </w:r>
      <w:r>
        <w:rPr>
          <w:color w:val="000000"/>
        </w:rPr>
        <w:t xml:space="preserve"> </w:t>
      </w:r>
      <w:r>
        <w:rPr>
          <w:rFonts w:ascii="Times New Roman;serif" w:hAnsi="Times New Roman;serif"/>
          <w:b w:val="false"/>
          <w:color w:val="000000"/>
          <w:sz w:val="24"/>
        </w:rPr>
        <w:t xml:space="preserve">Trustee. Definitive Notes issued in exchange for a Global Note pursuant to this </w:t>
      </w:r>
      <w:r>
        <w:rPr>
          <w:rFonts w:ascii="Times New Roman;serif" w:hAnsi="Times New Roman;serif"/>
          <w:b w:val="false"/>
          <w:color w:val="000000"/>
          <w:sz w:val="24"/>
          <w:u w:val="single"/>
        </w:rPr>
        <w:t>Section 2.06</w:t>
      </w:r>
      <w:r>
        <w:rPr>
          <w:color w:val="000000"/>
        </w:rPr>
        <w:t xml:space="preserve"> </w:t>
      </w:r>
      <w:r>
        <w:rPr>
          <w:rFonts w:ascii="Times New Roman;serif" w:hAnsi="Times New Roman;serif"/>
          <w:b w:val="false"/>
          <w:color w:val="000000"/>
          <w:sz w:val="24"/>
        </w:rPr>
        <w:t>shall be registered in such names and in such authorized</w:t>
      </w:r>
      <w:r>
        <w:rPr>
          <w:color w:val="000000"/>
        </w:rPr>
        <w:t xml:space="preserve"> </w:t>
      </w:r>
      <w:r>
        <w:rPr>
          <w:rFonts w:ascii="Times New Roman;serif" w:hAnsi="Times New Roman;serif"/>
          <w:b w:val="false"/>
          <w:color w:val="000000"/>
          <w:sz w:val="24"/>
        </w:rPr>
        <w:t>denominations as the Depository, pursuant to written instructions from its Participants or its Applicable Procedures, shall instruct the Trustee in writing.</w:t>
      </w:r>
      <w:r>
        <w:rPr>
          <w:color w:val="000000"/>
        </w:rPr>
        <w:t xml:space="preserve"> </w:t>
      </w:r>
      <w:r>
        <w:rPr>
          <w:rFonts w:ascii="Times New Roman;serif" w:hAnsi="Times New Roman;serif"/>
          <w:b w:val="false"/>
          <w:color w:val="000000"/>
          <w:sz w:val="24"/>
        </w:rPr>
        <w:t>The Trustee shall deliver such Definitive Notes to or as directed by the Persons in whose names such Definitive Notes are so registered or to the</w:t>
      </w:r>
      <w:r>
        <w:rPr>
          <w:color w:val="000000"/>
        </w:rPr>
        <w:t xml:space="preserve"> </w:t>
      </w:r>
      <w:r>
        <w:rPr>
          <w:rFonts w:ascii="Times New Roman;serif" w:hAnsi="Times New Roman;serif"/>
          <w:b w:val="false"/>
          <w:color w:val="000000"/>
          <w:sz w:val="24"/>
        </w:rPr>
        <w:t>Depository.</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A Global Note may not be exchanged for another Note other than as provided in this </w:t>
      </w:r>
      <w:r>
        <w:rPr>
          <w:rFonts w:ascii="Times New Roman;serif" w:hAnsi="Times New Roman;serif"/>
          <w:b w:val="false"/>
          <w:color w:val="000000"/>
          <w:sz w:val="24"/>
          <w:u w:val="single"/>
        </w:rPr>
        <w:t>Section 2.06(a)</w:t>
      </w:r>
      <w:r>
        <w:rPr>
          <w:rFonts w:ascii="Times New Roman;serif" w:hAnsi="Times New Roman;serif"/>
          <w:b w:val="false"/>
          <w:color w:val="000000"/>
          <w:sz w:val="24"/>
        </w:rPr>
        <w:t>,</w:t>
      </w:r>
      <w:r>
        <w:rPr>
          <w:color w:val="000000"/>
        </w:rPr>
        <w:t xml:space="preserve"> </w:t>
      </w:r>
      <w:r>
        <w:rPr>
          <w:rFonts w:ascii="Times New Roman;serif" w:hAnsi="Times New Roman;serif"/>
          <w:b w:val="false"/>
          <w:i/>
          <w:color w:val="000000"/>
          <w:sz w:val="24"/>
        </w:rPr>
        <w:t>however</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beneficial</w:t>
      </w:r>
      <w:r>
        <w:rPr>
          <w:color w:val="000000"/>
        </w:rPr>
        <w:t xml:space="preserve"> </w:t>
      </w:r>
      <w:r>
        <w:rPr>
          <w:rFonts w:ascii="Times New Roman;serif" w:hAnsi="Times New Roman;serif"/>
          <w:b w:val="false"/>
          <w:color w:val="000000"/>
          <w:sz w:val="24"/>
        </w:rPr>
        <w:t>interests</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 xml:space="preserve">Global Note may be transferred and exchanged as provided in </w:t>
      </w:r>
      <w:r>
        <w:rPr>
          <w:rFonts w:ascii="Times New Roman;serif" w:hAnsi="Times New Roman;serif"/>
          <w:b w:val="false"/>
          <w:color w:val="000000"/>
          <w:sz w:val="24"/>
          <w:u w:val="single"/>
        </w:rPr>
        <w:t>Section 2.06(b)</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u w:val="single"/>
        </w:rPr>
        <w:t>(c)</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(d)</w:t>
      </w:r>
      <w:r>
        <w:rPr>
          <w:color w:val="000000"/>
        </w:rPr>
        <w:t xml:space="preserve"> </w:t>
      </w:r>
      <w:r>
        <w:rPr>
          <w:rFonts w:ascii="Times New Roman;serif" w:hAnsi="Times New Roman;serif"/>
          <w:b w:val="false"/>
          <w:color w:val="000000"/>
          <w:sz w:val="24"/>
        </w:rPr>
        <w:t>hereof.</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i/>
          <w:color w:val="000000"/>
          <w:sz w:val="24"/>
        </w:rPr>
        <w:t>Transfer</w:t>
      </w:r>
      <w:r>
        <w:rPr>
          <w:color w:val="000000"/>
        </w:rPr>
        <w:t xml:space="preserve"> </w:t>
      </w:r>
      <w:r>
        <w:rPr>
          <w:rFonts w:ascii="Times New Roman;serif" w:hAnsi="Times New Roman;serif"/>
          <w:b w:val="false"/>
          <w:i/>
          <w:color w:val="000000"/>
          <w:sz w:val="24"/>
        </w:rPr>
        <w:t>and</w:t>
      </w:r>
      <w:r>
        <w:rPr>
          <w:color w:val="000000"/>
        </w:rPr>
        <w:t xml:space="preserve"> </w:t>
      </w:r>
      <w:r>
        <w:rPr>
          <w:rFonts w:ascii="Times New Roman;serif" w:hAnsi="Times New Roman;serif"/>
          <w:b w:val="false"/>
          <w:i/>
          <w:color w:val="000000"/>
          <w:sz w:val="24"/>
        </w:rPr>
        <w:t>Exchange</w:t>
      </w:r>
      <w:r>
        <w:rPr>
          <w:color w:val="000000"/>
        </w:rPr>
        <w:t xml:space="preserve"> </w:t>
      </w:r>
      <w:r>
        <w:rPr>
          <w:rFonts w:ascii="Times New Roman;serif" w:hAnsi="Times New Roman;serif"/>
          <w:b w:val="false"/>
          <w:i/>
          <w:color w:val="000000"/>
          <w:sz w:val="24"/>
        </w:rPr>
        <w:t>of</w:t>
      </w:r>
      <w:r>
        <w:rPr>
          <w:color w:val="000000"/>
        </w:rPr>
        <w:t xml:space="preserve"> </w:t>
      </w:r>
      <w:r>
        <w:rPr>
          <w:rFonts w:ascii="Times New Roman;serif" w:hAnsi="Times New Roman;serif"/>
          <w:b w:val="false"/>
          <w:i/>
          <w:color w:val="000000"/>
          <w:sz w:val="24"/>
        </w:rPr>
        <w:t>Beneficial</w:t>
      </w:r>
      <w:r>
        <w:rPr>
          <w:color w:val="000000"/>
        </w:rPr>
        <w:t xml:space="preserve"> </w:t>
      </w:r>
      <w:r>
        <w:rPr>
          <w:rFonts w:ascii="Times New Roman;serif" w:hAnsi="Times New Roman;serif"/>
          <w:b w:val="false"/>
          <w:i/>
          <w:color w:val="000000"/>
          <w:sz w:val="24"/>
        </w:rPr>
        <w:t>Interests</w:t>
      </w:r>
      <w:r>
        <w:rPr>
          <w:color w:val="000000"/>
        </w:rPr>
        <w:t xml:space="preserve"> </w:t>
      </w:r>
      <w:r>
        <w:rPr>
          <w:rFonts w:ascii="Times New Roman;serif" w:hAnsi="Times New Roman;serif"/>
          <w:b w:val="false"/>
          <w:i/>
          <w:color w:val="000000"/>
          <w:sz w:val="24"/>
        </w:rPr>
        <w:t>in</w:t>
      </w:r>
      <w:r>
        <w:rPr>
          <w:color w:val="000000"/>
        </w:rPr>
        <w:t xml:space="preserve"> </w:t>
      </w:r>
      <w:r>
        <w:rPr>
          <w:rFonts w:ascii="Times New Roman;serif" w:hAnsi="Times New Roman;serif"/>
          <w:b w:val="false"/>
          <w:i/>
          <w:color w:val="000000"/>
          <w:sz w:val="24"/>
        </w:rPr>
        <w:t>the</w:t>
      </w:r>
      <w:r>
        <w:rPr>
          <w:color w:val="000000"/>
        </w:rPr>
        <w:t xml:space="preserve"> </w:t>
      </w:r>
      <w:r>
        <w:rPr>
          <w:rFonts w:ascii="Times New Roman;serif" w:hAnsi="Times New Roman;serif"/>
          <w:b w:val="false"/>
          <w:i/>
          <w:color w:val="000000"/>
          <w:sz w:val="24"/>
        </w:rPr>
        <w:t>Global</w:t>
      </w:r>
      <w:r>
        <w:rPr>
          <w:color w:val="000000"/>
        </w:rPr>
        <w:t xml:space="preserve"> </w:t>
      </w:r>
      <w:r>
        <w:rPr>
          <w:rFonts w:ascii="Times New Roman;serif" w:hAnsi="Times New Roman;serif"/>
          <w:b w:val="false"/>
          <w:i/>
          <w:color w:val="000000"/>
          <w:sz w:val="24"/>
        </w:rPr>
        <w:t>Notes</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transfer</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exchange</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beneficial</w:t>
      </w:r>
      <w:r>
        <w:rPr>
          <w:color w:val="000000"/>
        </w:rPr>
        <w:t xml:space="preserve"> </w:t>
      </w:r>
      <w:r>
        <w:rPr>
          <w:rFonts w:ascii="Times New Roman;serif" w:hAnsi="Times New Roman;serif"/>
          <w:b w:val="false"/>
          <w:color w:val="000000"/>
          <w:sz w:val="24"/>
        </w:rPr>
        <w:t>interests</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Global</w:t>
      </w:r>
      <w:r>
        <w:rPr>
          <w:color w:val="000000"/>
        </w:rPr>
        <w:t xml:space="preserve"> </w:t>
      </w:r>
      <w:r>
        <w:rPr>
          <w:rFonts w:ascii="Times New Roman;serif" w:hAnsi="Times New Roman;serif"/>
          <w:b w:val="false"/>
          <w:color w:val="000000"/>
          <w:sz w:val="24"/>
        </w:rPr>
        <w:t>Notes</w:t>
      </w:r>
      <w:r>
        <w:rPr>
          <w:color w:val="000000"/>
        </w:rPr>
        <w:t xml:space="preserve"> </w:t>
      </w:r>
      <w:r>
        <w:rPr>
          <w:rFonts w:ascii="Times New Roman;serif" w:hAnsi="Times New Roman;serif"/>
          <w:b w:val="false"/>
          <w:color w:val="000000"/>
          <w:sz w:val="24"/>
        </w:rPr>
        <w:t>shall</w:t>
      </w:r>
      <w:r>
        <w:rPr>
          <w:color w:val="000000"/>
        </w:rPr>
        <w:t xml:space="preserve"> </w:t>
      </w:r>
      <w:r>
        <w:rPr>
          <w:rFonts w:ascii="Times New Roman;serif" w:hAnsi="Times New Roman;serif"/>
          <w:b w:val="false"/>
          <w:color w:val="000000"/>
          <w:sz w:val="24"/>
        </w:rPr>
        <w:t>be effected through the Depository, in accordance with the provisions of this Indenture and the Applicable Procedures. Transfers of beneficial interests in</w:t>
      </w:r>
      <w:r>
        <w:rPr>
          <w:color w:val="000000"/>
        </w:rPr>
        <w:t xml:space="preserve"> </w:t>
      </w:r>
      <w:r>
        <w:rPr>
          <w:rFonts w:ascii="Times New Roman;serif" w:hAnsi="Times New Roman;serif"/>
          <w:b w:val="false"/>
          <w:color w:val="000000"/>
          <w:sz w:val="24"/>
        </w:rPr>
        <w:t>the Global Notes also will require compliance with either subparagraph (1) or (2) below, as applicable, as well as one or more of the other following</w:t>
      </w:r>
      <w:r>
        <w:rPr>
          <w:color w:val="000000"/>
        </w:rPr>
        <w:t xml:space="preserve"> </w:t>
      </w:r>
      <w:r>
        <w:rPr>
          <w:rFonts w:ascii="Times New Roman;serif" w:hAnsi="Times New Roman;serif"/>
          <w:b w:val="false"/>
          <w:color w:val="000000"/>
          <w:sz w:val="24"/>
        </w:rPr>
        <w:t>subparagraphs, as applicable:</w:t>
      </w:r>
    </w:p>
    <w:p>
      <w:pPr>
        <w:pStyle w:val="TextBody"/>
        <w:bidi w:val="0"/>
        <w:spacing w:lineRule="auto" w:line="240" w:before="0" w:after="240"/>
        <w:ind w:left="0" w:right="0" w:firstLine="720"/>
        <w:jc w:val="both"/>
        <w:rPr/>
      </w:pPr>
      <w:r>
        <w:rPr>
          <w:rFonts w:ascii="Times New Roman;serif" w:hAnsi="Times New Roman;serif"/>
          <w:b w:val="false"/>
          <w:color w:val="000000"/>
          <w:sz w:val="24"/>
        </w:rPr>
        <w:t>(1)</w:t>
      </w:r>
      <w:r>
        <w:rPr>
          <w:rFonts w:ascii="Times New Roman;serif" w:hAnsi="Times New Roman;serif"/>
          <w:b w:val="false"/>
          <w:i/>
          <w:color w:val="000000"/>
          <w:sz w:val="24"/>
        </w:rPr>
        <w:t>Transfer of Beneficial Interests in the Same Global Note</w:t>
      </w:r>
      <w:r>
        <w:rPr>
          <w:rFonts w:ascii="Times New Roman;serif" w:hAnsi="Times New Roman;serif"/>
          <w:b w:val="false"/>
          <w:color w:val="000000"/>
          <w:sz w:val="24"/>
        </w:rPr>
        <w:t>. Beneficial interests in any Restricted Global Note may be transferred to Persons</w:t>
      </w:r>
      <w:r>
        <w:rPr>
          <w:color w:val="000000"/>
        </w:rPr>
        <w:t xml:space="preserve"> </w:t>
      </w:r>
      <w:r>
        <w:rPr>
          <w:rFonts w:ascii="Times New Roman;serif" w:hAnsi="Times New Roman;serif"/>
          <w:b w:val="false"/>
          <w:color w:val="000000"/>
          <w:sz w:val="24"/>
        </w:rPr>
        <w:t>who take delivery thereof in the form of a beneficial interest in the same Restricted Global Note in accordance with the transfer restrictions set forth</w:t>
      </w:r>
      <w:r>
        <w:rPr>
          <w:color w:val="000000"/>
        </w:rPr>
        <w:t xml:space="preserve"> </w:t>
      </w:r>
      <w:r>
        <w:rPr>
          <w:rFonts w:ascii="Times New Roman;serif" w:hAnsi="Times New Roman;serif"/>
          <w:b w:val="false"/>
          <w:color w:val="000000"/>
          <w:sz w:val="24"/>
        </w:rPr>
        <w:t>in the Private Placement Legend;</w:t>
      </w:r>
    </w:p>
    <w:p>
      <w:pPr>
        <w:pStyle w:val="TextBody"/>
        <w:bidi w:val="0"/>
        <w:spacing w:lineRule="auto" w:line="288" w:before="0" w:after="240"/>
        <w:jc w:val="both"/>
        <w:rPr/>
      </w:pPr>
      <w:r>
        <w:rPr>
          <w:rFonts w:ascii="Times New Roman;serif" w:hAnsi="Times New Roman;serif"/>
          <w:b w:val="false"/>
          <w:i/>
          <w:color w:val="000000"/>
          <w:sz w:val="24"/>
        </w:rPr>
        <w:t>provided</w:t>
      </w:r>
      <w:r>
        <w:rPr>
          <w:rFonts w:ascii="Times New Roman;serif" w:hAnsi="Times New Roman;serif"/>
          <w:b w:val="false"/>
          <w:color w:val="000000"/>
          <w:sz w:val="24"/>
        </w:rPr>
        <w:t>,</w:t>
      </w:r>
      <w:r>
        <w:rPr>
          <w:color w:val="000000"/>
        </w:rPr>
        <w:t xml:space="preserve"> </w:t>
      </w:r>
      <w:r>
        <w:rPr>
          <w:rFonts w:ascii="Times New Roman;serif" w:hAnsi="Times New Roman;serif"/>
          <w:b w:val="false"/>
          <w:i/>
          <w:color w:val="000000"/>
          <w:sz w:val="24"/>
        </w:rPr>
        <w:t>however</w:t>
      </w:r>
      <w:r>
        <w:rPr>
          <w:rFonts w:ascii="Times New Roman;serif" w:hAnsi="Times New Roman;serif"/>
          <w:b w:val="false"/>
          <w:color w:val="000000"/>
          <w:sz w:val="24"/>
        </w:rPr>
        <w:t>, that prior to the expiration of the Distribution Compliance Period, transfers of beneficial interests in the Regulation S Temporary</w:t>
      </w:r>
      <w:r>
        <w:rPr>
          <w:color w:val="000000"/>
        </w:rPr>
        <w:t xml:space="preserve"> </w:t>
      </w:r>
      <w:r>
        <w:rPr>
          <w:rFonts w:ascii="Times New Roman;serif" w:hAnsi="Times New Roman;serif"/>
          <w:b w:val="false"/>
          <w:color w:val="000000"/>
          <w:sz w:val="24"/>
        </w:rPr>
        <w:t>Global Note may not be made to or for the account or benefit of a “U.S. Person” (as defined in Rule 902(k) of Regulation S) (other than a</w:t>
      </w:r>
      <w:r>
        <w:rPr>
          <w:color w:val="000000"/>
        </w:rPr>
        <w:t xml:space="preserve"> “</w:t>
      </w:r>
      <w:r>
        <w:rPr>
          <w:rFonts w:ascii="Times New Roman;serif" w:hAnsi="Times New Roman;serif"/>
          <w:b w:val="false"/>
          <w:color w:val="000000"/>
          <w:sz w:val="24"/>
        </w:rPr>
        <w:t>distributor” (as defined in Rule 902(d) of Regulation S)). Beneficial interests in any Unrestricted Global Note may be transferred to Persons who</w:t>
      </w:r>
      <w:r>
        <w:rPr>
          <w:color w:val="000000"/>
        </w:rPr>
        <w:t xml:space="preserve"> </w:t>
      </w:r>
      <w:r>
        <w:rPr>
          <w:rFonts w:ascii="Times New Roman;serif" w:hAnsi="Times New Roman;serif"/>
          <w:b w:val="false"/>
          <w:color w:val="000000"/>
          <w:sz w:val="24"/>
        </w:rPr>
        <w:t>take delivery thereof in the form of a beneficial interest in an Unrestricted Global Note. No written orders or instructions shall be required to be</w:t>
      </w:r>
      <w:r>
        <w:rPr>
          <w:color w:val="000000"/>
        </w:rPr>
        <w:t xml:space="preserve"> </w:t>
      </w:r>
      <w:r>
        <w:rPr>
          <w:rFonts w:ascii="Times New Roman;serif" w:hAnsi="Times New Roman;serif"/>
          <w:b w:val="false"/>
          <w:color w:val="000000"/>
          <w:sz w:val="24"/>
        </w:rPr>
        <w:t xml:space="preserve">delivered to the Registrar to effect the transfers described in this </w:t>
      </w:r>
      <w:r>
        <w:rPr>
          <w:rFonts w:ascii="Times New Roman;serif" w:hAnsi="Times New Roman;serif"/>
          <w:b w:val="false"/>
          <w:color w:val="000000"/>
          <w:sz w:val="24"/>
          <w:u w:val="single"/>
        </w:rPr>
        <w:t>Section 2.06(b)(1)</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(2)</w:t>
      </w:r>
      <w:r>
        <w:rPr>
          <w:rFonts w:ascii="Times New Roman;serif" w:hAnsi="Times New Roman;serif"/>
          <w:b w:val="false"/>
          <w:i/>
          <w:color w:val="000000"/>
          <w:sz w:val="24"/>
        </w:rPr>
        <w:t>All Other Transfers and Exchanges of Beneficial Interests in Global Notes</w:t>
      </w:r>
      <w:r>
        <w:rPr>
          <w:rFonts w:ascii="Times New Roman;serif" w:hAnsi="Times New Roman;serif"/>
          <w:b w:val="false"/>
          <w:color w:val="000000"/>
          <w:sz w:val="24"/>
        </w:rPr>
        <w:t>. In connection with all transfers and exchanges of beneficial</w:t>
      </w:r>
      <w:r>
        <w:rPr>
          <w:color w:val="000000"/>
        </w:rPr>
        <w:t xml:space="preserve"> </w:t>
      </w:r>
      <w:r>
        <w:rPr>
          <w:rFonts w:ascii="Times New Roman;serif" w:hAnsi="Times New Roman;serif"/>
          <w:b w:val="false"/>
          <w:color w:val="000000"/>
          <w:sz w:val="24"/>
        </w:rPr>
        <w:t xml:space="preserve">interests that are not subject to </w:t>
      </w:r>
      <w:r>
        <w:rPr>
          <w:rFonts w:ascii="Times New Roman;serif" w:hAnsi="Times New Roman;serif"/>
          <w:b w:val="false"/>
          <w:color w:val="000000"/>
          <w:sz w:val="24"/>
          <w:u w:val="single"/>
        </w:rPr>
        <w:t>Section 2.06(b)(1)</w:t>
      </w:r>
      <w:r>
        <w:rPr>
          <w:color w:val="000000"/>
        </w:rPr>
        <w:t xml:space="preserve"> </w:t>
      </w:r>
      <w:r>
        <w:rPr>
          <w:rFonts w:ascii="Times New Roman;serif" w:hAnsi="Times New Roman;serif"/>
          <w:b w:val="false"/>
          <w:color w:val="000000"/>
          <w:sz w:val="24"/>
        </w:rPr>
        <w:t>above, the transferor of such beneficial interest must deliver to the Registrar either:</w:t>
      </w:r>
    </w:p>
    <w:p>
      <w:pPr>
        <w:pStyle w:val="TextBody"/>
        <w:bidi w:val="0"/>
        <w:spacing w:lineRule="auto" w:line="240"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(A)both:</w:t>
      </w:r>
    </w:p>
    <w:p>
      <w:pPr>
        <w:pStyle w:val="TextBody"/>
        <w:bidi w:val="0"/>
        <w:spacing w:before="0" w:after="0"/>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735965"/>
                <wp:effectExtent l="0" t="0" r="0" b="0"/>
                <wp:wrapNone/>
                <wp:docPr id="82" name="Frame82"/>
                <a:graphic xmlns:a="http://schemas.openxmlformats.org/drawingml/2006/main">
                  <a:graphicData uri="http://schemas.microsoft.com/office/word/2010/wordprocessingShape">
                    <wps:wsp>
                      <wps:cNvSpPr txBox="1"/>
                      <wps:spPr>
                        <a:xfrm>
                          <a:off x="0" y="0"/>
                          <a:ext cx="6480175" cy="7359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34</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34</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erif" w:hAnsi="Times New Roman;serif"/>
          <w:b w:val="false"/>
          <w:color w:val="000000"/>
          <w:sz w:val="24"/>
        </w:rPr>
        <w:t>(i)a written order from a Participant or an Indirect Participant given to the Depository in accordance with the Applicable</w:t>
      </w:r>
      <w:r>
        <w:rPr>
          <w:color w:val="000000"/>
        </w:rPr>
        <w:t xml:space="preserve"> </w:t>
      </w:r>
      <w:r>
        <w:rPr>
          <w:rFonts w:ascii="Times New Roman;serif" w:hAnsi="Times New Roman;serif"/>
          <w:b w:val="false"/>
          <w:color w:val="000000"/>
          <w:sz w:val="24"/>
        </w:rPr>
        <w:t>Procedures directing the Depository to credit or cause to be credited a beneficial interest in another Global Note in</w:t>
      </w:r>
      <w:r>
        <w:rPr>
          <w:color w:val="000000"/>
        </w:rPr>
        <w:t xml:space="preserve"> </w:t>
      </w:r>
      <w:r>
        <w:rPr>
          <w:rFonts w:ascii="Times New Roman;serif" w:hAnsi="Times New Roman;serif"/>
          <w:b w:val="false"/>
          <w:color w:val="000000"/>
          <w:sz w:val="24"/>
        </w:rPr>
        <w:t xml:space="preserve">an amount equal to the beneficial interest to be transferred or exchanged; and </w:t>
      </w:r>
    </w:p>
    <w:p>
      <w:pPr>
        <w:pStyle w:val="TextBody"/>
        <w:bidi w:val="0"/>
        <w:spacing w:lineRule="auto" w:line="240" w:before="0" w:after="240"/>
        <w:ind w:left="0" w:right="0" w:firstLine="1440"/>
        <w:jc w:val="both"/>
        <w:rPr/>
      </w:pPr>
      <w:r>
        <w:rPr>
          <w:rFonts w:ascii="Times New Roman;serif" w:hAnsi="Times New Roman;serif"/>
          <w:b w:val="false"/>
          <w:color w:val="000000"/>
          <w:sz w:val="24"/>
        </w:rPr>
        <w:t>(ii)instructions given in accordance with the Applicable Procedures containing information regarding the Participant account</w:t>
      </w:r>
      <w:r>
        <w:rPr>
          <w:color w:val="000000"/>
        </w:rPr>
        <w:t xml:space="preserve"> </w:t>
      </w:r>
      <w:r>
        <w:rPr>
          <w:rFonts w:ascii="Times New Roman;serif" w:hAnsi="Times New Roman;serif"/>
          <w:b w:val="false"/>
          <w:color w:val="000000"/>
          <w:sz w:val="24"/>
        </w:rPr>
        <w:t>to be credited with such increase; or</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(B)both:</w:t>
      </w:r>
    </w:p>
    <w:p>
      <w:pPr>
        <w:pStyle w:val="TextBody"/>
        <w:bidi w:val="0"/>
        <w:spacing w:lineRule="auto" w:line="240" w:before="0" w:after="240"/>
        <w:ind w:left="0" w:right="0" w:firstLine="1440"/>
        <w:jc w:val="both"/>
        <w:rPr/>
      </w:pPr>
      <w:r>
        <w:rPr>
          <w:rFonts w:ascii="Times New Roman;serif" w:hAnsi="Times New Roman;serif"/>
          <w:b w:val="false"/>
          <w:color w:val="000000"/>
          <w:sz w:val="24"/>
        </w:rPr>
        <w:t>(i)a written order from a Participant or an Indirect Participant given to the Depository in accordance with the Applicable</w:t>
      </w:r>
      <w:r>
        <w:rPr>
          <w:color w:val="000000"/>
        </w:rPr>
        <w:t xml:space="preserve"> </w:t>
      </w:r>
      <w:r>
        <w:rPr>
          <w:rFonts w:ascii="Times New Roman;serif" w:hAnsi="Times New Roman;serif"/>
          <w:b w:val="false"/>
          <w:color w:val="000000"/>
          <w:sz w:val="24"/>
        </w:rPr>
        <w:t>Procedures directing the Depository to cause to be issued a Definitive Note in an amount equal to the beneficial</w:t>
      </w:r>
      <w:r>
        <w:rPr>
          <w:color w:val="000000"/>
        </w:rPr>
        <w:t xml:space="preserve"> </w:t>
      </w:r>
      <w:r>
        <w:rPr>
          <w:rFonts w:ascii="Times New Roman;serif" w:hAnsi="Times New Roman;serif"/>
          <w:b w:val="false"/>
          <w:color w:val="000000"/>
          <w:sz w:val="24"/>
        </w:rPr>
        <w:t>interest to be transferred or exchanged; and</w:t>
      </w:r>
    </w:p>
    <w:p>
      <w:pPr>
        <w:pStyle w:val="TextBody"/>
        <w:bidi w:val="0"/>
        <w:spacing w:lineRule="auto" w:line="240" w:before="0" w:after="240"/>
        <w:ind w:left="0" w:right="0" w:firstLine="1440"/>
        <w:jc w:val="both"/>
        <w:rPr/>
      </w:pPr>
      <w:r>
        <w:rPr>
          <w:rFonts w:ascii="Times New Roman;serif" w:hAnsi="Times New Roman;serif"/>
          <w:b w:val="false"/>
          <w:color w:val="000000"/>
          <w:sz w:val="24"/>
        </w:rPr>
        <w:t>(ii)instructions given by the Depository to the Registrar containing information regarding the Person in whose name such</w:t>
      </w:r>
      <w:r>
        <w:rPr>
          <w:color w:val="000000"/>
        </w:rPr>
        <w:t xml:space="preserve"> </w:t>
      </w:r>
      <w:r>
        <w:rPr>
          <w:rFonts w:ascii="Times New Roman;serif" w:hAnsi="Times New Roman;serif"/>
          <w:b w:val="false"/>
          <w:color w:val="000000"/>
          <w:sz w:val="24"/>
        </w:rPr>
        <w:t xml:space="preserve">Definitive Note shall be registered to effect the transfer or exchange referred to in (i) above; </w:t>
      </w:r>
      <w:r>
        <w:rPr>
          <w:rFonts w:ascii="Times New Roman;serif" w:hAnsi="Times New Roman;serif"/>
          <w:b w:val="false"/>
          <w:i/>
          <w:color w:val="000000"/>
          <w:sz w:val="24"/>
        </w:rPr>
        <w:t>provided that</w:t>
      </w:r>
      <w:r>
        <w:rPr>
          <w:color w:val="000000"/>
        </w:rPr>
        <w:t xml:space="preserve"> </w:t>
      </w:r>
      <w:r>
        <w:rPr>
          <w:rFonts w:ascii="Times New Roman;serif" w:hAnsi="Times New Roman;serif"/>
          <w:b w:val="false"/>
          <w:color w:val="000000"/>
          <w:sz w:val="24"/>
        </w:rPr>
        <w:t>in no event shall Definitive</w:t>
      </w:r>
      <w:r>
        <w:rPr>
          <w:color w:val="000000"/>
        </w:rPr>
        <w:t xml:space="preserve"> </w:t>
      </w:r>
      <w:r>
        <w:rPr>
          <w:rFonts w:ascii="Times New Roman;serif" w:hAnsi="Times New Roman;serif"/>
          <w:b w:val="false"/>
          <w:color w:val="000000"/>
          <w:sz w:val="24"/>
        </w:rPr>
        <w:t>Notes be issued upon the transfer or exchange of beneficial interests in a Regulation S Temporary Global Note prior to (x) the</w:t>
      </w:r>
      <w:r>
        <w:rPr>
          <w:color w:val="000000"/>
        </w:rPr>
        <w:t xml:space="preserve"> </w:t>
      </w:r>
      <w:r>
        <w:rPr>
          <w:rFonts w:ascii="Times New Roman;serif" w:hAnsi="Times New Roman;serif"/>
          <w:b w:val="false"/>
          <w:color w:val="000000"/>
          <w:sz w:val="24"/>
        </w:rPr>
        <w:t>expiration of the Distribution Compliance Period and (y) the receipt by the Registrar of any certificates required pursuant to Rule</w:t>
      </w:r>
      <w:r>
        <w:rPr>
          <w:color w:val="000000"/>
        </w:rPr>
        <w:t xml:space="preserve"> </w:t>
      </w:r>
      <w:r>
        <w:rPr>
          <w:rFonts w:ascii="Times New Roman;serif" w:hAnsi="Times New Roman;serif"/>
          <w:b w:val="false"/>
          <w:color w:val="000000"/>
          <w:sz w:val="24"/>
        </w:rPr>
        <w:t>903(b)(3)(ii)(B) under the Securities Act.</w:t>
      </w:r>
    </w:p>
    <w:p>
      <w:pPr>
        <w:pStyle w:val="TextBody"/>
        <w:bidi w:val="0"/>
        <w:spacing w:lineRule="auto" w:line="288" w:before="0" w:after="240"/>
        <w:jc w:val="both"/>
        <w:rPr/>
      </w:pPr>
      <w:r>
        <w:rPr>
          <w:rFonts w:ascii="Times New Roman;serif" w:hAnsi="Times New Roman;serif"/>
          <w:b w:val="false"/>
          <w:color w:val="000000"/>
          <w:sz w:val="24"/>
        </w:rPr>
        <w:t xml:space="preserve">Upon satisfaction of all of the requirements for transfer or exchange of beneficial interests in Global Notes contained in this Indenture and the Notes or otherwise applicable under the Securities Act, and upon receipt of an Officer’s Certificate in form reasonably satisfactory to the Trustee, the Trustee shall adjust the principal amount of the relevant Global Note(s) pursuant to </w:t>
      </w:r>
      <w:r>
        <w:rPr>
          <w:rFonts w:ascii="Times New Roman;serif" w:hAnsi="Times New Roman;serif"/>
          <w:b w:val="false"/>
          <w:color w:val="000000"/>
          <w:sz w:val="24"/>
          <w:u w:val="single"/>
        </w:rPr>
        <w:t>Section 2.06(g)</w:t>
      </w:r>
      <w:r>
        <w:rPr>
          <w:color w:val="000000"/>
        </w:rPr>
        <w:t xml:space="preserve"> </w:t>
      </w:r>
      <w:r>
        <w:rPr>
          <w:rFonts w:ascii="Times New Roman;serif" w:hAnsi="Times New Roman;serif"/>
          <w:b w:val="false"/>
          <w:color w:val="000000"/>
          <w:sz w:val="24"/>
        </w:rPr>
        <w:t>hereof.</w:t>
      </w:r>
    </w:p>
    <w:p>
      <w:pPr>
        <w:pStyle w:val="TextBody"/>
        <w:bidi w:val="0"/>
        <w:spacing w:lineRule="auto" w:line="240" w:before="0" w:after="240"/>
        <w:ind w:left="0" w:right="0" w:firstLine="720"/>
        <w:jc w:val="both"/>
        <w:rPr/>
      </w:pPr>
      <w:r>
        <w:rPr>
          <w:rFonts w:ascii="Times New Roman;serif" w:hAnsi="Times New Roman;serif"/>
          <w:b w:val="false"/>
          <w:color w:val="000000"/>
          <w:sz w:val="24"/>
        </w:rPr>
        <w:t>(3)</w:t>
      </w:r>
      <w:r>
        <w:rPr>
          <w:rFonts w:ascii="Times New Roman;serif" w:hAnsi="Times New Roman;serif"/>
          <w:b w:val="false"/>
          <w:i/>
          <w:color w:val="000000"/>
          <w:sz w:val="24"/>
        </w:rPr>
        <w:t>Transfer of Beneficial Interests to Another Restricted Global Note</w:t>
      </w:r>
      <w:r>
        <w:rPr>
          <w:rFonts w:ascii="Times New Roman;serif" w:hAnsi="Times New Roman;serif"/>
          <w:b w:val="false"/>
          <w:color w:val="000000"/>
          <w:sz w:val="24"/>
        </w:rPr>
        <w:t>. A beneficial interest in any Restricted Global Note may be transferred</w:t>
      </w:r>
      <w:r>
        <w:rPr>
          <w:color w:val="000000"/>
        </w:rPr>
        <w:t xml:space="preserve"> </w:t>
      </w:r>
      <w:r>
        <w:rPr>
          <w:rFonts w:ascii="Times New Roman;serif" w:hAnsi="Times New Roman;serif"/>
          <w:b w:val="false"/>
          <w:color w:val="000000"/>
          <w:sz w:val="24"/>
        </w:rPr>
        <w:t>to a Person who takes delivery thereof in the form of a beneficial interest in another Restricted Global Note if the transfer</w:t>
      </w:r>
      <w:r>
        <w:rPr>
          <w:color w:val="000000"/>
        </w:rPr>
        <w:t xml:space="preserve"> </w:t>
      </w:r>
      <w:r>
        <w:rPr>
          <w:rFonts w:ascii="Times New Roman;serif" w:hAnsi="Times New Roman;serif"/>
          <w:b w:val="false"/>
          <w:color w:val="000000"/>
          <w:sz w:val="24"/>
        </w:rPr>
        <w:t xml:space="preserve">complies with the requirements of </w:t>
      </w:r>
      <w:r>
        <w:rPr>
          <w:rFonts w:ascii="Times New Roman;serif" w:hAnsi="Times New Roman;serif"/>
          <w:b w:val="false"/>
          <w:color w:val="000000"/>
          <w:sz w:val="24"/>
          <w:u w:val="single"/>
        </w:rPr>
        <w:t>Section 2.06(b)(2)</w:t>
      </w:r>
      <w:r>
        <w:rPr>
          <w:color w:val="000000"/>
        </w:rPr>
        <w:t xml:space="preserve"> </w:t>
      </w:r>
      <w:r>
        <w:rPr>
          <w:rFonts w:ascii="Times New Roman;serif" w:hAnsi="Times New Roman;serif"/>
          <w:b w:val="false"/>
          <w:color w:val="000000"/>
          <w:sz w:val="24"/>
        </w:rPr>
        <w:t>above and the Registrar receives the following:</w:t>
      </w:r>
    </w:p>
    <w:p>
      <w:pPr>
        <w:pStyle w:val="TextBody"/>
        <w:bidi w:val="0"/>
        <w:spacing w:lineRule="auto" w:line="240" w:before="0" w:after="240"/>
        <w:ind w:left="0" w:right="0" w:firstLine="720"/>
        <w:jc w:val="both"/>
        <w:rPr/>
      </w:pPr>
      <w:r>
        <w:rPr>
          <w:rFonts w:ascii="Times New Roman;serif" w:hAnsi="Times New Roman;serif"/>
          <w:b w:val="false"/>
          <w:color w:val="000000"/>
          <w:sz w:val="24"/>
        </w:rPr>
        <w:t>(A)if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transferee</w:t>
      </w:r>
      <w:r>
        <w:rPr>
          <w:color w:val="000000"/>
        </w:rPr>
        <w:t xml:space="preserve"> </w:t>
      </w:r>
      <w:r>
        <w:rPr>
          <w:rFonts w:ascii="Times New Roman;serif" w:hAnsi="Times New Roman;serif"/>
          <w:b w:val="false"/>
          <w:color w:val="000000"/>
          <w:sz w:val="24"/>
        </w:rPr>
        <w:t>will</w:t>
      </w:r>
      <w:r>
        <w:rPr>
          <w:color w:val="000000"/>
        </w:rPr>
        <w:t xml:space="preserve"> </w:t>
      </w:r>
      <w:r>
        <w:rPr>
          <w:rFonts w:ascii="Times New Roman;serif" w:hAnsi="Times New Roman;serif"/>
          <w:b w:val="false"/>
          <w:color w:val="000000"/>
          <w:sz w:val="24"/>
        </w:rPr>
        <w:t>take</w:t>
      </w:r>
      <w:r>
        <w:rPr>
          <w:color w:val="000000"/>
        </w:rPr>
        <w:t xml:space="preserve"> </w:t>
      </w:r>
      <w:r>
        <w:rPr>
          <w:rFonts w:ascii="Times New Roman;serif" w:hAnsi="Times New Roman;serif"/>
          <w:b w:val="false"/>
          <w:color w:val="000000"/>
          <w:sz w:val="24"/>
        </w:rPr>
        <w:t>delivery</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form</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beneficial</w:t>
      </w:r>
      <w:r>
        <w:rPr>
          <w:color w:val="000000"/>
        </w:rPr>
        <w:t xml:space="preserve"> </w:t>
      </w:r>
      <w:r>
        <w:rPr>
          <w:rFonts w:ascii="Times New Roman;serif" w:hAnsi="Times New Roman;serif"/>
          <w:b w:val="false"/>
          <w:color w:val="000000"/>
          <w:sz w:val="24"/>
        </w:rPr>
        <w:t>interest</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144A</w:t>
      </w:r>
      <w:r>
        <w:rPr>
          <w:color w:val="000000"/>
        </w:rPr>
        <w:t xml:space="preserve"> </w:t>
      </w:r>
      <w:r>
        <w:rPr>
          <w:rFonts w:ascii="Times New Roman;serif" w:hAnsi="Times New Roman;serif"/>
          <w:b w:val="false"/>
          <w:color w:val="000000"/>
          <w:sz w:val="24"/>
        </w:rPr>
        <w:t>Global</w:t>
      </w:r>
      <w:r>
        <w:rPr>
          <w:color w:val="000000"/>
        </w:rPr>
        <w:t xml:space="preserve"> </w:t>
      </w:r>
      <w:r>
        <w:rPr>
          <w:rFonts w:ascii="Times New Roman;serif" w:hAnsi="Times New Roman;serif"/>
          <w:b w:val="false"/>
          <w:color w:val="000000"/>
          <w:sz w:val="24"/>
        </w:rPr>
        <w:t>Note,</w:t>
      </w:r>
      <w:r>
        <w:rPr>
          <w:color w:val="000000"/>
        </w:rPr>
        <w:t xml:space="preserve"> </w:t>
      </w:r>
      <w:r>
        <w:rPr>
          <w:rFonts w:ascii="Times New Roman;serif" w:hAnsi="Times New Roman;serif"/>
          <w:b w:val="false"/>
          <w:color w:val="000000"/>
          <w:sz w:val="24"/>
        </w:rPr>
        <w:t>then</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transferor</w:t>
      </w:r>
      <w:r>
        <w:rPr>
          <w:color w:val="000000"/>
        </w:rPr>
        <w:t xml:space="preserve"> </w:t>
      </w:r>
      <w:r>
        <w:rPr>
          <w:rFonts w:ascii="Times New Roman;serif" w:hAnsi="Times New Roman;serif"/>
          <w:b w:val="false"/>
          <w:color w:val="000000"/>
          <w:sz w:val="24"/>
        </w:rPr>
        <w:t>must</w:t>
      </w:r>
      <w:r>
        <w:rPr>
          <w:color w:val="000000"/>
        </w:rPr>
        <w:t xml:space="preserve"> </w:t>
      </w:r>
      <w:r>
        <w:rPr>
          <w:rFonts w:ascii="Times New Roman;serif" w:hAnsi="Times New Roman;serif"/>
          <w:b w:val="false"/>
          <w:color w:val="000000"/>
          <w:sz w:val="24"/>
        </w:rPr>
        <w:t>deliver</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 xml:space="preserve">certificate in the form of </w:t>
      </w:r>
      <w:r>
        <w:rPr>
          <w:rFonts w:ascii="Times New Roman;serif" w:hAnsi="Times New Roman;serif"/>
          <w:b w:val="false"/>
          <w:color w:val="000000"/>
          <w:sz w:val="24"/>
          <w:u w:val="single"/>
        </w:rPr>
        <w:t>Exhibit B</w:t>
      </w:r>
      <w:r>
        <w:rPr>
          <w:color w:val="000000"/>
        </w:rPr>
        <w:t xml:space="preserve"> </w:t>
      </w:r>
      <w:r>
        <w:rPr>
          <w:rFonts w:ascii="Times New Roman;serif" w:hAnsi="Times New Roman;serif"/>
          <w:b w:val="false"/>
          <w:color w:val="000000"/>
          <w:sz w:val="24"/>
        </w:rPr>
        <w:t xml:space="preserve">hereto, including the certifications in item (1) thereof; </w:t>
      </w:r>
    </w:p>
    <w:p>
      <w:pPr>
        <w:pStyle w:val="TextBody"/>
        <w:bidi w:val="0"/>
        <w:spacing w:lineRule="auto" w:line="240" w:before="0" w:after="240"/>
        <w:ind w:left="0" w:right="0" w:firstLine="720"/>
        <w:jc w:val="both"/>
        <w:rPr/>
      </w:pPr>
      <w:r>
        <w:rPr>
          <w:rFonts w:ascii="Times New Roman;serif" w:hAnsi="Times New Roman;serif"/>
          <w:b w:val="false"/>
          <w:color w:val="000000"/>
          <w:sz w:val="24"/>
        </w:rPr>
        <w:t>(B)if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transferee</w:t>
      </w:r>
      <w:r>
        <w:rPr>
          <w:color w:val="000000"/>
        </w:rPr>
        <w:t xml:space="preserve"> </w:t>
      </w:r>
      <w:r>
        <w:rPr>
          <w:rFonts w:ascii="Times New Roman;serif" w:hAnsi="Times New Roman;serif"/>
          <w:b w:val="false"/>
          <w:color w:val="000000"/>
          <w:sz w:val="24"/>
        </w:rPr>
        <w:t>will</w:t>
      </w:r>
      <w:r>
        <w:rPr>
          <w:color w:val="000000"/>
        </w:rPr>
        <w:t xml:space="preserve"> </w:t>
      </w:r>
      <w:r>
        <w:rPr>
          <w:rFonts w:ascii="Times New Roman;serif" w:hAnsi="Times New Roman;serif"/>
          <w:b w:val="false"/>
          <w:color w:val="000000"/>
          <w:sz w:val="24"/>
        </w:rPr>
        <w:t>take</w:t>
      </w:r>
      <w:r>
        <w:rPr>
          <w:color w:val="000000"/>
        </w:rPr>
        <w:t xml:space="preserve"> </w:t>
      </w:r>
      <w:r>
        <w:rPr>
          <w:rFonts w:ascii="Times New Roman;serif" w:hAnsi="Times New Roman;serif"/>
          <w:b w:val="false"/>
          <w:color w:val="000000"/>
          <w:sz w:val="24"/>
        </w:rPr>
        <w:t>delivery</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form</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beneficial</w:t>
      </w:r>
      <w:r>
        <w:rPr>
          <w:color w:val="000000"/>
        </w:rPr>
        <w:t xml:space="preserve"> </w:t>
      </w:r>
      <w:r>
        <w:rPr>
          <w:rFonts w:ascii="Times New Roman;serif" w:hAnsi="Times New Roman;serif"/>
          <w:b w:val="false"/>
          <w:color w:val="000000"/>
          <w:sz w:val="24"/>
        </w:rPr>
        <w:t>interest</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Regulation</w:t>
      </w:r>
      <w:r>
        <w:rPr>
          <w:color w:val="000000"/>
        </w:rPr>
        <w:t xml:space="preserve"> </w:t>
      </w:r>
      <w:r>
        <w:rPr>
          <w:rFonts w:ascii="Times New Roman;serif" w:hAnsi="Times New Roman;serif"/>
          <w:b w:val="false"/>
          <w:color w:val="000000"/>
          <w:sz w:val="24"/>
        </w:rPr>
        <w:t>S</w:t>
      </w:r>
      <w:r>
        <w:rPr>
          <w:color w:val="000000"/>
        </w:rPr>
        <w:t xml:space="preserve"> </w:t>
      </w:r>
      <w:r>
        <w:rPr>
          <w:rFonts w:ascii="Times New Roman;serif" w:hAnsi="Times New Roman;serif"/>
          <w:b w:val="false"/>
          <w:color w:val="000000"/>
          <w:sz w:val="24"/>
        </w:rPr>
        <w:t>Temporary</w:t>
      </w:r>
      <w:r>
        <w:rPr>
          <w:color w:val="000000"/>
        </w:rPr>
        <w:t xml:space="preserve"> </w:t>
      </w:r>
      <w:r>
        <w:rPr>
          <w:rFonts w:ascii="Times New Roman;serif" w:hAnsi="Times New Roman;serif"/>
          <w:b w:val="false"/>
          <w:color w:val="000000"/>
          <w:sz w:val="24"/>
        </w:rPr>
        <w:t>Global</w:t>
      </w:r>
      <w:r>
        <w:rPr>
          <w:color w:val="000000"/>
        </w:rPr>
        <w:t xml:space="preserve"> </w:t>
      </w:r>
      <w:r>
        <w:rPr>
          <w:rFonts w:ascii="Times New Roman;serif" w:hAnsi="Times New Roman;serif"/>
          <w:b w:val="false"/>
          <w:color w:val="000000"/>
          <w:sz w:val="24"/>
        </w:rPr>
        <w:t>Note</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Regulation</w:t>
      </w:r>
      <w:r>
        <w:rPr>
          <w:color w:val="000000"/>
        </w:rPr>
        <w:t xml:space="preserve"> </w:t>
      </w:r>
      <w:r>
        <w:rPr>
          <w:rFonts w:ascii="Times New Roman;serif" w:hAnsi="Times New Roman;serif"/>
          <w:b w:val="false"/>
          <w:color w:val="000000"/>
          <w:sz w:val="24"/>
        </w:rPr>
        <w:t>S</w:t>
      </w:r>
      <w:r>
        <w:rPr>
          <w:color w:val="000000"/>
        </w:rPr>
        <w:t xml:space="preserve"> </w:t>
      </w:r>
      <w:r>
        <w:rPr>
          <w:rFonts w:ascii="Times New Roman;serif" w:hAnsi="Times New Roman;serif"/>
          <w:b w:val="false"/>
          <w:color w:val="000000"/>
          <w:sz w:val="24"/>
        </w:rPr>
        <w:t xml:space="preserve">Permanent Global Note, as the case may be, then the transferor must deliver a certificate in the form of </w:t>
      </w:r>
      <w:r>
        <w:rPr>
          <w:rFonts w:ascii="Times New Roman;serif" w:hAnsi="Times New Roman;serif"/>
          <w:b w:val="false"/>
          <w:color w:val="000000"/>
          <w:sz w:val="24"/>
          <w:u w:val="single"/>
        </w:rPr>
        <w:t>Exhibit B</w:t>
      </w:r>
      <w:r>
        <w:rPr>
          <w:color w:val="000000"/>
        </w:rPr>
        <w:t xml:space="preserve"> </w:t>
      </w:r>
      <w:r>
        <w:rPr>
          <w:rFonts w:ascii="Times New Roman;serif" w:hAnsi="Times New Roman;serif"/>
          <w:b w:val="false"/>
          <w:color w:val="000000"/>
          <w:sz w:val="24"/>
        </w:rPr>
        <w:t>hereto, including the</w:t>
      </w:r>
      <w:r>
        <w:rPr>
          <w:color w:val="000000"/>
        </w:rPr>
        <w:t xml:space="preserve"> </w:t>
      </w:r>
      <w:r>
        <w:rPr>
          <w:rFonts w:ascii="Times New Roman;serif" w:hAnsi="Times New Roman;serif"/>
          <w:b w:val="false"/>
          <w:color w:val="000000"/>
          <w:sz w:val="24"/>
        </w:rPr>
        <w:t>certifications in item (2) thereof; and</w:t>
      </w:r>
    </w:p>
    <w:p>
      <w:pPr>
        <w:pStyle w:val="TextBody"/>
        <w:bidi w:val="0"/>
        <w:spacing w:lineRule="auto" w:line="240" w:before="0" w:after="240"/>
        <w:ind w:left="0" w:right="0" w:firstLine="720"/>
        <w:jc w:val="both"/>
        <w:rPr/>
      </w:pPr>
      <w:r>
        <w:rPr>
          <w:rFonts w:ascii="Times New Roman;serif" w:hAnsi="Times New Roman;serif"/>
          <w:b w:val="false"/>
          <w:color w:val="000000"/>
          <w:sz w:val="24"/>
        </w:rPr>
        <w:t xml:space="preserve">(C)if the transferee will take delivery in the form of a beneficial interest in the IAI Global Note, then the transferor must deliver a certificate in the form of </w:t>
      </w:r>
      <w:r>
        <w:rPr>
          <w:rFonts w:ascii="Times New Roman;serif" w:hAnsi="Times New Roman;serif"/>
          <w:b w:val="false"/>
          <w:color w:val="000000"/>
          <w:sz w:val="24"/>
          <w:u w:val="single"/>
        </w:rPr>
        <w:t>Exhibit B</w:t>
      </w:r>
      <w:r>
        <w:rPr>
          <w:color w:val="000000"/>
        </w:rPr>
        <w:t xml:space="preserve"> </w:t>
      </w:r>
      <w:r>
        <w:rPr>
          <w:rFonts w:ascii="Times New Roman;serif" w:hAnsi="Times New Roman;serif"/>
          <w:b w:val="false"/>
          <w:color w:val="000000"/>
          <w:sz w:val="24"/>
        </w:rPr>
        <w:t>hereto, including the certifications, certificates and Opinion of Counsel required by item (3)(d) thereof, if applicable.</w:t>
      </w:r>
    </w:p>
    <w:p>
      <w:pPr>
        <w:pStyle w:val="TextBody"/>
        <w:bidi w:val="0"/>
        <w:spacing w:before="0" w:after="0"/>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735965"/>
                <wp:effectExtent l="0" t="0" r="0" b="0"/>
                <wp:wrapNone/>
                <wp:docPr id="83" name="Frame83"/>
                <a:graphic xmlns:a="http://schemas.openxmlformats.org/drawingml/2006/main">
                  <a:graphicData uri="http://schemas.microsoft.com/office/word/2010/wordprocessingShape">
                    <wps:wsp>
                      <wps:cNvSpPr txBox="1"/>
                      <wps:spPr>
                        <a:xfrm>
                          <a:off x="0" y="0"/>
                          <a:ext cx="6480175" cy="7359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35</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35</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00000"/>
          <w:sz w:val="24"/>
        </w:rPr>
        <w:t>(4)</w:t>
      </w:r>
      <w:r>
        <w:rPr>
          <w:rFonts w:ascii="Times New Roman;serif" w:hAnsi="Times New Roman;serif"/>
          <w:b w:val="false"/>
          <w:i/>
          <w:color w:val="000000"/>
          <w:sz w:val="24"/>
        </w:rPr>
        <w:t>Transfer and Exchange of Beneficial Interests in a Restricted Global Note for Beneficial Interests in an Unrestricted Global Note</w:t>
      </w:r>
      <w:r>
        <w:rPr>
          <w:rFonts w:ascii="Times New Roman;serif" w:hAnsi="Times New Roman;serif"/>
          <w:b w:val="false"/>
          <w:color w:val="000000"/>
          <w:sz w:val="24"/>
        </w:rPr>
        <w:t>. A</w:t>
      </w:r>
      <w:r>
        <w:rPr>
          <w:color w:val="000000"/>
        </w:rPr>
        <w:t xml:space="preserve"> </w:t>
      </w:r>
      <w:r>
        <w:rPr>
          <w:rFonts w:ascii="Times New Roman;serif" w:hAnsi="Times New Roman;serif"/>
          <w:b w:val="false"/>
          <w:color w:val="000000"/>
          <w:sz w:val="24"/>
        </w:rPr>
        <w:t>beneficial</w:t>
      </w:r>
      <w:r>
        <w:rPr>
          <w:color w:val="000000"/>
        </w:rPr>
        <w:t xml:space="preserve"> </w:t>
      </w:r>
      <w:r>
        <w:rPr>
          <w:rFonts w:ascii="Times New Roman;serif" w:hAnsi="Times New Roman;serif"/>
          <w:b w:val="false"/>
          <w:color w:val="000000"/>
          <w:sz w:val="24"/>
        </w:rPr>
        <w:t>interest</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Restricted</w:t>
      </w:r>
      <w:r>
        <w:rPr>
          <w:color w:val="000000"/>
        </w:rPr>
        <w:t xml:space="preserve"> </w:t>
      </w:r>
      <w:r>
        <w:rPr>
          <w:rFonts w:ascii="Times New Roman;serif" w:hAnsi="Times New Roman;serif"/>
          <w:b w:val="false"/>
          <w:color w:val="000000"/>
          <w:sz w:val="24"/>
        </w:rPr>
        <w:t>Global</w:t>
      </w:r>
      <w:r>
        <w:rPr>
          <w:color w:val="000000"/>
        </w:rPr>
        <w:t xml:space="preserve"> </w:t>
      </w:r>
      <w:r>
        <w:rPr>
          <w:rFonts w:ascii="Times New Roman;serif" w:hAnsi="Times New Roman;serif"/>
          <w:b w:val="false"/>
          <w:color w:val="000000"/>
          <w:sz w:val="24"/>
        </w:rPr>
        <w:t>Note</w:t>
      </w:r>
      <w:r>
        <w:rPr>
          <w:color w:val="000000"/>
        </w:rPr>
        <w:t xml:space="preserve"> </w:t>
      </w:r>
      <w:r>
        <w:rPr>
          <w:rFonts w:ascii="Times New Roman;serif" w:hAnsi="Times New Roman;serif"/>
          <w:b w:val="false"/>
          <w:color w:val="000000"/>
          <w:sz w:val="24"/>
        </w:rPr>
        <w:t>may</w:t>
      </w:r>
      <w:r>
        <w:rPr>
          <w:color w:val="000000"/>
        </w:rPr>
        <w:t xml:space="preserve"> </w:t>
      </w:r>
      <w:r>
        <w:rPr>
          <w:rFonts w:ascii="Times New Roman;serif" w:hAnsi="Times New Roman;serif"/>
          <w:b w:val="false"/>
          <w:color w:val="000000"/>
          <w:sz w:val="24"/>
        </w:rPr>
        <w:t>be</w:t>
      </w:r>
      <w:r>
        <w:rPr>
          <w:color w:val="000000"/>
        </w:rPr>
        <w:t xml:space="preserve"> </w:t>
      </w:r>
      <w:r>
        <w:rPr>
          <w:rFonts w:ascii="Times New Roman;serif" w:hAnsi="Times New Roman;serif"/>
          <w:b w:val="false"/>
          <w:color w:val="000000"/>
          <w:sz w:val="24"/>
        </w:rPr>
        <w:t>exchanged</w:t>
      </w:r>
      <w:r>
        <w:rPr>
          <w:color w:val="000000"/>
        </w:rPr>
        <w:t xml:space="preserve"> </w:t>
      </w:r>
      <w:r>
        <w:rPr>
          <w:rFonts w:ascii="Times New Roman;serif" w:hAnsi="Times New Roman;serif"/>
          <w:b w:val="false"/>
          <w:color w:val="000000"/>
          <w:sz w:val="24"/>
        </w:rPr>
        <w:t>by</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Holder</w:t>
      </w:r>
      <w:r>
        <w:rPr>
          <w:color w:val="000000"/>
        </w:rPr>
        <w:t xml:space="preserve"> </w:t>
      </w:r>
      <w:r>
        <w:rPr>
          <w:rFonts w:ascii="Times New Roman;serif" w:hAnsi="Times New Roman;serif"/>
          <w:b w:val="false"/>
          <w:color w:val="000000"/>
          <w:sz w:val="24"/>
        </w:rPr>
        <w:t>thereof</w:t>
      </w:r>
      <w:r>
        <w:rPr>
          <w:color w:val="000000"/>
        </w:rPr>
        <w:t xml:space="preserve"> </w:t>
      </w:r>
      <w:r>
        <w:rPr>
          <w:rFonts w:ascii="Times New Roman;serif" w:hAnsi="Times New Roman;serif"/>
          <w:b w:val="false"/>
          <w:color w:val="000000"/>
          <w:sz w:val="24"/>
        </w:rPr>
        <w:t>for</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beneficial</w:t>
      </w:r>
      <w:r>
        <w:rPr>
          <w:color w:val="000000"/>
        </w:rPr>
        <w:t xml:space="preserve"> </w:t>
      </w:r>
      <w:r>
        <w:rPr>
          <w:rFonts w:ascii="Times New Roman;serif" w:hAnsi="Times New Roman;serif"/>
          <w:b w:val="false"/>
          <w:color w:val="000000"/>
          <w:sz w:val="24"/>
        </w:rPr>
        <w:t>interest</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an</w:t>
      </w:r>
      <w:r>
        <w:rPr>
          <w:color w:val="000000"/>
        </w:rPr>
        <w:t xml:space="preserve"> </w:t>
      </w:r>
      <w:r>
        <w:rPr>
          <w:rFonts w:ascii="Times New Roman;serif" w:hAnsi="Times New Roman;serif"/>
          <w:b w:val="false"/>
          <w:color w:val="000000"/>
          <w:sz w:val="24"/>
        </w:rPr>
        <w:t>Unrestricted</w:t>
      </w:r>
      <w:r>
        <w:rPr>
          <w:color w:val="000000"/>
        </w:rPr>
        <w:t xml:space="preserve"> </w:t>
      </w:r>
      <w:r>
        <w:rPr>
          <w:rFonts w:ascii="Times New Roman;serif" w:hAnsi="Times New Roman;serif"/>
          <w:b w:val="false"/>
          <w:color w:val="000000"/>
          <w:sz w:val="24"/>
        </w:rPr>
        <w:t>Global</w:t>
      </w:r>
      <w:r>
        <w:rPr>
          <w:color w:val="000000"/>
        </w:rPr>
        <w:t xml:space="preserve"> </w:t>
      </w:r>
      <w:r>
        <w:rPr>
          <w:rFonts w:ascii="Times New Roman;serif" w:hAnsi="Times New Roman;serif"/>
          <w:b w:val="false"/>
          <w:color w:val="000000"/>
          <w:sz w:val="24"/>
        </w:rPr>
        <w:t>Note</w:t>
      </w:r>
      <w:r>
        <w:rPr>
          <w:color w:val="000000"/>
        </w:rPr>
        <w:t xml:space="preserve"> </w:t>
      </w:r>
      <w:r>
        <w:rPr>
          <w:rFonts w:ascii="Times New Roman;serif" w:hAnsi="Times New Roman;serif"/>
          <w:b w:val="false"/>
          <w:color w:val="000000"/>
          <w:sz w:val="24"/>
        </w:rPr>
        <w:t xml:space="preserve">or transferred to a Person who takes delivery thereof in the form of a beneficial interest in an Unrestricted Global Note if the exchange or transfer complies with the requirements of </w:t>
      </w:r>
      <w:r>
        <w:rPr>
          <w:rFonts w:ascii="Times New Roman;serif" w:hAnsi="Times New Roman;serif"/>
          <w:b w:val="false"/>
          <w:color w:val="000000"/>
          <w:sz w:val="24"/>
          <w:u w:val="single"/>
        </w:rPr>
        <w:t>Section 2.06(b)(2)</w:t>
      </w:r>
      <w:r>
        <w:rPr>
          <w:color w:val="000000"/>
        </w:rPr>
        <w:t xml:space="preserve"> </w:t>
      </w:r>
      <w:r>
        <w:rPr>
          <w:rFonts w:ascii="Times New Roman;serif" w:hAnsi="Times New Roman;serif"/>
          <w:b w:val="false"/>
          <w:color w:val="000000"/>
          <w:sz w:val="24"/>
        </w:rPr>
        <w:t>above and:</w:t>
      </w:r>
    </w:p>
    <w:p>
      <w:pPr>
        <w:pStyle w:val="TextBody"/>
        <w:bidi w:val="0"/>
        <w:spacing w:lineRule="auto" w:line="240" w:before="0" w:after="240"/>
        <w:ind w:left="0" w:right="0" w:firstLine="720"/>
        <w:jc w:val="both"/>
        <w:rPr/>
      </w:pPr>
      <w:r>
        <w:rPr>
          <w:rFonts w:ascii="Times New Roman;serif" w:hAnsi="Times New Roman;serif"/>
          <w:b w:val="false"/>
          <w:color w:val="000000"/>
          <w:sz w:val="24"/>
        </w:rPr>
        <w:t>(A)the</w:t>
      </w:r>
      <w:r>
        <w:rPr>
          <w:color w:val="000000"/>
        </w:rPr>
        <w:t xml:space="preserve"> </w:t>
      </w:r>
      <w:r>
        <w:rPr>
          <w:rFonts w:ascii="Times New Roman;serif" w:hAnsi="Times New Roman;serif"/>
          <w:b w:val="false"/>
          <w:color w:val="000000"/>
          <w:sz w:val="24"/>
        </w:rPr>
        <w:t>Registrar</w:t>
      </w:r>
      <w:r>
        <w:rPr>
          <w:color w:val="000000"/>
        </w:rPr>
        <w:t xml:space="preserve"> </w:t>
      </w:r>
      <w:r>
        <w:rPr>
          <w:rFonts w:ascii="Times New Roman;serif" w:hAnsi="Times New Roman;serif"/>
          <w:b w:val="false"/>
          <w:color w:val="000000"/>
          <w:sz w:val="24"/>
        </w:rPr>
        <w:t>receives</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following:</w:t>
      </w:r>
    </w:p>
    <w:p>
      <w:pPr>
        <w:pStyle w:val="TextBody"/>
        <w:bidi w:val="0"/>
        <w:spacing w:lineRule="auto" w:line="240" w:before="0" w:after="240"/>
        <w:ind w:left="0" w:right="0" w:firstLine="1440"/>
        <w:jc w:val="both"/>
        <w:rPr/>
      </w:pPr>
      <w:r>
        <w:rPr>
          <w:rFonts w:ascii="Times New Roman;serif" w:hAnsi="Times New Roman;serif"/>
          <w:b w:val="false"/>
          <w:color w:val="000000"/>
          <w:sz w:val="24"/>
        </w:rPr>
        <w:t>(i)if the Holder of such beneficial interest in a Restricted Global Note proposes to exchange such beneficial interest for a</w:t>
      </w:r>
      <w:r>
        <w:rPr>
          <w:color w:val="000000"/>
        </w:rPr>
        <w:t xml:space="preserve"> </w:t>
      </w:r>
      <w:r>
        <w:rPr>
          <w:rFonts w:ascii="Times New Roman;serif" w:hAnsi="Times New Roman;serif"/>
          <w:b w:val="false"/>
          <w:color w:val="000000"/>
          <w:sz w:val="24"/>
        </w:rPr>
        <w:t xml:space="preserve">beneficial interest in an Unrestricted Global Note, a certificate from such Holder in the form of </w:t>
      </w:r>
      <w:r>
        <w:rPr>
          <w:rFonts w:ascii="Times New Roman;serif" w:hAnsi="Times New Roman;serif"/>
          <w:b w:val="false"/>
          <w:color w:val="000000"/>
          <w:sz w:val="24"/>
          <w:u w:val="single"/>
        </w:rPr>
        <w:t>Exhibit D</w:t>
      </w:r>
      <w:r>
        <w:rPr>
          <w:color w:val="000000"/>
        </w:rPr>
        <w:t xml:space="preserve"> </w:t>
      </w:r>
      <w:r>
        <w:rPr>
          <w:rFonts w:ascii="Times New Roman;serif" w:hAnsi="Times New Roman;serif"/>
          <w:b w:val="false"/>
          <w:color w:val="000000"/>
          <w:sz w:val="24"/>
        </w:rPr>
        <w:t>hereto, including the</w:t>
      </w:r>
      <w:r>
        <w:rPr>
          <w:color w:val="000000"/>
        </w:rPr>
        <w:t xml:space="preserve"> </w:t>
      </w:r>
      <w:r>
        <w:rPr>
          <w:rFonts w:ascii="Times New Roman;serif" w:hAnsi="Times New Roman;serif"/>
          <w:b w:val="false"/>
          <w:color w:val="000000"/>
          <w:sz w:val="24"/>
        </w:rPr>
        <w:t>certifications in item (1)(a) thereof; or</w:t>
      </w:r>
    </w:p>
    <w:p>
      <w:pPr>
        <w:pStyle w:val="TextBody"/>
        <w:bidi w:val="0"/>
        <w:spacing w:lineRule="auto" w:line="240" w:before="0" w:after="240"/>
        <w:ind w:left="0" w:right="0" w:firstLine="1440"/>
        <w:jc w:val="both"/>
        <w:rPr/>
      </w:pPr>
      <w:r>
        <w:rPr>
          <w:rFonts w:ascii="Times New Roman;serif" w:hAnsi="Times New Roman;serif"/>
          <w:b w:val="false"/>
          <w:color w:val="000000"/>
          <w:sz w:val="24"/>
        </w:rPr>
        <w:t>(ii)if the Holder of such beneficial interest in a Restricted Global Note proposes to transfer such beneficial interest to a Person</w:t>
      </w:r>
      <w:r>
        <w:rPr>
          <w:color w:val="000000"/>
        </w:rPr>
        <w:t xml:space="preserve"> </w:t>
      </w:r>
      <w:r>
        <w:rPr>
          <w:rFonts w:ascii="Times New Roman;serif" w:hAnsi="Times New Roman;serif"/>
          <w:b w:val="false"/>
          <w:color w:val="000000"/>
          <w:sz w:val="24"/>
        </w:rPr>
        <w:t>who</w:t>
      </w:r>
      <w:r>
        <w:rPr>
          <w:color w:val="000000"/>
        </w:rPr>
        <w:t xml:space="preserve"> </w:t>
      </w:r>
      <w:r>
        <w:rPr>
          <w:rFonts w:ascii="Times New Roman;serif" w:hAnsi="Times New Roman;serif"/>
          <w:b w:val="false"/>
          <w:color w:val="000000"/>
          <w:sz w:val="24"/>
        </w:rPr>
        <w:t>shall</w:t>
      </w:r>
      <w:r>
        <w:rPr>
          <w:color w:val="000000"/>
        </w:rPr>
        <w:t xml:space="preserve"> </w:t>
      </w:r>
      <w:r>
        <w:rPr>
          <w:rFonts w:ascii="Times New Roman;serif" w:hAnsi="Times New Roman;serif"/>
          <w:b w:val="false"/>
          <w:color w:val="000000"/>
          <w:sz w:val="24"/>
        </w:rPr>
        <w:t>take</w:t>
      </w:r>
      <w:r>
        <w:rPr>
          <w:color w:val="000000"/>
        </w:rPr>
        <w:t xml:space="preserve"> </w:t>
      </w:r>
      <w:r>
        <w:rPr>
          <w:rFonts w:ascii="Times New Roman;serif" w:hAnsi="Times New Roman;serif"/>
          <w:b w:val="false"/>
          <w:color w:val="000000"/>
          <w:sz w:val="24"/>
        </w:rPr>
        <w:t>delivery</w:t>
      </w:r>
      <w:r>
        <w:rPr>
          <w:color w:val="000000"/>
        </w:rPr>
        <w:t xml:space="preserve"> </w:t>
      </w:r>
      <w:r>
        <w:rPr>
          <w:rFonts w:ascii="Times New Roman;serif" w:hAnsi="Times New Roman;serif"/>
          <w:b w:val="false"/>
          <w:color w:val="000000"/>
          <w:sz w:val="24"/>
        </w:rPr>
        <w:t>thereof</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form</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beneficial</w:t>
      </w:r>
      <w:r>
        <w:rPr>
          <w:color w:val="000000"/>
        </w:rPr>
        <w:t xml:space="preserve"> </w:t>
      </w:r>
      <w:r>
        <w:rPr>
          <w:rFonts w:ascii="Times New Roman;serif" w:hAnsi="Times New Roman;serif"/>
          <w:b w:val="false"/>
          <w:color w:val="000000"/>
          <w:sz w:val="24"/>
        </w:rPr>
        <w:t>interest</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an</w:t>
      </w:r>
      <w:r>
        <w:rPr>
          <w:color w:val="000000"/>
        </w:rPr>
        <w:t xml:space="preserve"> </w:t>
      </w:r>
      <w:r>
        <w:rPr>
          <w:rFonts w:ascii="Times New Roman;serif" w:hAnsi="Times New Roman;serif"/>
          <w:b w:val="false"/>
          <w:color w:val="000000"/>
          <w:sz w:val="24"/>
        </w:rPr>
        <w:t>Unrestricted</w:t>
      </w:r>
      <w:r>
        <w:rPr>
          <w:color w:val="000000"/>
        </w:rPr>
        <w:t xml:space="preserve"> </w:t>
      </w:r>
      <w:r>
        <w:rPr>
          <w:rFonts w:ascii="Times New Roman;serif" w:hAnsi="Times New Roman;serif"/>
          <w:b w:val="false"/>
          <w:color w:val="000000"/>
          <w:sz w:val="24"/>
        </w:rPr>
        <w:t>Global</w:t>
      </w:r>
      <w:r>
        <w:rPr>
          <w:color w:val="000000"/>
        </w:rPr>
        <w:t xml:space="preserve"> </w:t>
      </w:r>
      <w:r>
        <w:rPr>
          <w:rFonts w:ascii="Times New Roman;serif" w:hAnsi="Times New Roman;serif"/>
          <w:b w:val="false"/>
          <w:color w:val="000000"/>
          <w:sz w:val="24"/>
        </w:rPr>
        <w:t>Note,</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certificate</w:t>
      </w:r>
      <w:r>
        <w:rPr>
          <w:color w:val="000000"/>
        </w:rPr>
        <w:t xml:space="preserve"> </w:t>
      </w:r>
      <w:r>
        <w:rPr>
          <w:rFonts w:ascii="Times New Roman;serif" w:hAnsi="Times New Roman;serif"/>
          <w:b w:val="false"/>
          <w:color w:val="000000"/>
          <w:sz w:val="24"/>
        </w:rPr>
        <w:t>from</w:t>
      </w:r>
      <w:r>
        <w:rPr>
          <w:color w:val="000000"/>
        </w:rPr>
        <w:t xml:space="preserve"> </w:t>
      </w:r>
      <w:r>
        <w:rPr>
          <w:rFonts w:ascii="Times New Roman;serif" w:hAnsi="Times New Roman;serif"/>
          <w:b w:val="false"/>
          <w:color w:val="000000"/>
          <w:sz w:val="24"/>
        </w:rPr>
        <w:t>such</w:t>
      </w:r>
      <w:r>
        <w:rPr>
          <w:color w:val="000000"/>
        </w:rPr>
        <w:t xml:space="preserve"> </w:t>
      </w:r>
      <w:r>
        <w:rPr>
          <w:rFonts w:ascii="Times New Roman;serif" w:hAnsi="Times New Roman;serif"/>
          <w:b w:val="false"/>
          <w:color w:val="000000"/>
          <w:sz w:val="24"/>
        </w:rPr>
        <w:t>Holder</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 xml:space="preserve">form of </w:t>
      </w:r>
      <w:r>
        <w:rPr>
          <w:rFonts w:ascii="Times New Roman;serif" w:hAnsi="Times New Roman;serif"/>
          <w:b w:val="false"/>
          <w:color w:val="000000"/>
          <w:sz w:val="24"/>
          <w:u w:val="single"/>
        </w:rPr>
        <w:t>Exhibit B</w:t>
      </w:r>
      <w:r>
        <w:rPr>
          <w:color w:val="000000"/>
        </w:rPr>
        <w:t xml:space="preserve"> </w:t>
      </w:r>
      <w:r>
        <w:rPr>
          <w:rFonts w:ascii="Times New Roman;serif" w:hAnsi="Times New Roman;serif"/>
          <w:b w:val="false"/>
          <w:color w:val="000000"/>
          <w:sz w:val="24"/>
        </w:rPr>
        <w:t>hereto, including the certifications in item (4) thereof;</w:t>
      </w:r>
    </w:p>
    <w:p>
      <w:pPr>
        <w:pStyle w:val="TextBody"/>
        <w:bidi w:val="0"/>
        <w:spacing w:lineRule="auto" w:line="288" w:before="0" w:after="240"/>
        <w:jc w:val="both"/>
        <w:rPr/>
      </w:pPr>
      <w:r>
        <w:rPr>
          <w:rFonts w:ascii="Times New Roman;serif" w:hAnsi="Times New Roman;serif"/>
          <w:b w:val="false"/>
          <w:color w:val="000000"/>
          <w:sz w:val="24"/>
        </w:rPr>
        <w:t>and, in each such case set forth in this subparagraph (A), if the Registrar so requests or if the Applicable Procedures so require, an Opinion</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Counsel in form</w:t>
      </w:r>
      <w:r>
        <w:rPr>
          <w:color w:val="000000"/>
        </w:rPr>
        <w:t xml:space="preserve"> </w:t>
      </w:r>
      <w:r>
        <w:rPr>
          <w:rFonts w:ascii="Times New Roman;serif" w:hAnsi="Times New Roman;serif"/>
          <w:b w:val="false"/>
          <w:color w:val="000000"/>
          <w:sz w:val="24"/>
        </w:rPr>
        <w:t>reasonably</w:t>
      </w:r>
      <w:r>
        <w:rPr>
          <w:color w:val="000000"/>
        </w:rPr>
        <w:t xml:space="preserve"> </w:t>
      </w:r>
      <w:r>
        <w:rPr>
          <w:rFonts w:ascii="Times New Roman;serif" w:hAnsi="Times New Roman;serif"/>
          <w:b w:val="false"/>
          <w:color w:val="000000"/>
          <w:sz w:val="24"/>
        </w:rPr>
        <w:t>acceptable to the Registrar to the effect that such</w:t>
      </w:r>
      <w:r>
        <w:rPr>
          <w:color w:val="000000"/>
        </w:rPr>
        <w:t xml:space="preserve"> </w:t>
      </w:r>
      <w:r>
        <w:rPr>
          <w:rFonts w:ascii="Times New Roman;serif" w:hAnsi="Times New Roman;serif"/>
          <w:b w:val="false"/>
          <w:color w:val="000000"/>
          <w:sz w:val="24"/>
        </w:rPr>
        <w:t>exchange or</w:t>
      </w:r>
      <w:r>
        <w:rPr>
          <w:color w:val="000000"/>
        </w:rPr>
        <w:t xml:space="preserve"> </w:t>
      </w:r>
      <w:r>
        <w:rPr>
          <w:rFonts w:ascii="Times New Roman;serif" w:hAnsi="Times New Roman;serif"/>
          <w:b w:val="false"/>
          <w:color w:val="000000"/>
          <w:sz w:val="24"/>
        </w:rPr>
        <w:t>transfer is in compliance with</w:t>
      </w:r>
      <w:r>
        <w:rPr>
          <w:color w:val="000000"/>
        </w:rPr>
        <w:t xml:space="preserve"> </w:t>
      </w:r>
      <w:r>
        <w:rPr>
          <w:rFonts w:ascii="Times New Roman;serif" w:hAnsi="Times New Roman;serif"/>
          <w:b w:val="false"/>
          <w:color w:val="000000"/>
          <w:sz w:val="24"/>
        </w:rPr>
        <w:t>the Securities</w:t>
      </w:r>
      <w:r>
        <w:rPr>
          <w:color w:val="000000"/>
        </w:rPr>
        <w:t xml:space="preserve"> </w:t>
      </w:r>
      <w:r>
        <w:rPr>
          <w:rFonts w:ascii="Times New Roman;serif" w:hAnsi="Times New Roman;serif"/>
          <w:b w:val="false"/>
          <w:color w:val="000000"/>
          <w:sz w:val="24"/>
        </w:rPr>
        <w:t>Act and that the restrictions on transfer contained herein and in the Private Placement Legend are no longer required in order to maintain</w:t>
      </w:r>
      <w:r>
        <w:rPr>
          <w:color w:val="000000"/>
        </w:rPr>
        <w:t xml:space="preserve"> </w:t>
      </w:r>
      <w:r>
        <w:rPr>
          <w:rFonts w:ascii="Times New Roman;serif" w:hAnsi="Times New Roman;serif"/>
          <w:b w:val="false"/>
          <w:color w:val="000000"/>
          <w:sz w:val="24"/>
        </w:rPr>
        <w:t>compliance with the Securities Act.</w:t>
      </w:r>
    </w:p>
    <w:p>
      <w:pPr>
        <w:pStyle w:val="TextBody"/>
        <w:bidi w:val="0"/>
        <w:spacing w:lineRule="auto" w:line="288" w:before="0" w:after="240"/>
        <w:jc w:val="both"/>
        <w:rPr/>
      </w:pPr>
      <w:r>
        <w:rPr>
          <w:rFonts w:ascii="Times New Roman;serif" w:hAnsi="Times New Roman;serif"/>
          <w:b w:val="false"/>
          <w:color w:val="000000"/>
          <w:sz w:val="24"/>
        </w:rPr>
        <w:t>If any such transfer is effected pursuant to subparagraph (A) above at a time when an Unrestricted Global Note has not yet been issued,</w:t>
      </w:r>
      <w:r>
        <w:rPr>
          <w:color w:val="000000"/>
        </w:rPr>
        <w:t xml:space="preserve"> </w:t>
      </w:r>
      <w:r>
        <w:rPr>
          <w:rFonts w:ascii="Times New Roman;serif" w:hAnsi="Times New Roman;serif"/>
          <w:b w:val="false"/>
          <w:color w:val="000000"/>
          <w:sz w:val="24"/>
        </w:rPr>
        <w:t xml:space="preserve">the Issuer shall issue and, upon receipt of an Issuer Order in accordance with </w:t>
      </w:r>
      <w:r>
        <w:rPr>
          <w:rFonts w:ascii="Times New Roman;serif" w:hAnsi="Times New Roman;serif"/>
          <w:b w:val="false"/>
          <w:color w:val="000000"/>
          <w:sz w:val="24"/>
          <w:u w:val="single"/>
        </w:rPr>
        <w:t>Section 2.02</w:t>
      </w:r>
      <w:r>
        <w:rPr>
          <w:color w:val="000000"/>
        </w:rPr>
        <w:t xml:space="preserve"> </w:t>
      </w:r>
      <w:r>
        <w:rPr>
          <w:rFonts w:ascii="Times New Roman;serif" w:hAnsi="Times New Roman;serif"/>
          <w:b w:val="false"/>
          <w:color w:val="000000"/>
          <w:sz w:val="24"/>
        </w:rPr>
        <w:t>hereof, the Trustee shall authenticate one or more</w:t>
      </w:r>
      <w:r>
        <w:rPr>
          <w:color w:val="000000"/>
        </w:rPr>
        <w:t xml:space="preserve"> </w:t>
      </w:r>
      <w:r>
        <w:rPr>
          <w:rFonts w:ascii="Times New Roman;serif" w:hAnsi="Times New Roman;serif"/>
          <w:b w:val="false"/>
          <w:color w:val="000000"/>
          <w:sz w:val="24"/>
        </w:rPr>
        <w:t>Unrestricted Global Notes in an aggregate principal amount equal to the aggregate principal amount of beneficial interests transferred pursuant to</w:t>
      </w:r>
      <w:r>
        <w:rPr>
          <w:color w:val="000000"/>
        </w:rPr>
        <w:t xml:space="preserve"> </w:t>
      </w:r>
      <w:r>
        <w:rPr>
          <w:rFonts w:ascii="Times New Roman;serif" w:hAnsi="Times New Roman;serif"/>
          <w:b w:val="false"/>
          <w:color w:val="000000"/>
          <w:sz w:val="24"/>
        </w:rPr>
        <w:t>subparagraph (A) above.</w:t>
      </w:r>
    </w:p>
    <w:p>
      <w:pPr>
        <w:pStyle w:val="TextBody"/>
        <w:bidi w:val="0"/>
        <w:spacing w:lineRule="auto" w:line="288" w:before="0" w:after="240"/>
        <w:jc w:val="both"/>
        <w:rPr/>
      </w:pPr>
      <w:r>
        <w:rPr>
          <w:rFonts w:ascii="Times New Roman;serif" w:hAnsi="Times New Roman;serif"/>
          <w:b w:val="false"/>
          <w:color w:val="000000"/>
          <w:sz w:val="24"/>
        </w:rPr>
        <w:t>Beneficial interests in an Unrestricted Global Note cannot be exchanged for, or transferred to Persons who take delivery thereof in the form</w:t>
      </w:r>
      <w:r>
        <w:rPr>
          <w:color w:val="000000"/>
        </w:rPr>
        <w:t xml:space="preserve"> </w:t>
      </w:r>
      <w:r>
        <w:rPr>
          <w:rFonts w:ascii="Times New Roman;serif" w:hAnsi="Times New Roman;serif"/>
          <w:b w:val="false"/>
          <w:color w:val="000000"/>
          <w:sz w:val="24"/>
        </w:rPr>
        <w:t>of, a beneficial interest in a Restricted Global Note.</w:t>
      </w:r>
    </w:p>
    <w:p>
      <w:pPr>
        <w:pStyle w:val="TextBody"/>
        <w:bidi w:val="0"/>
        <w:spacing w:lineRule="auto" w:line="240" w:before="0" w:after="240"/>
        <w:ind w:left="0" w:right="0" w:firstLine="720"/>
        <w:jc w:val="both"/>
        <w:rPr/>
      </w:pPr>
      <w:r>
        <w:rPr>
          <w:rFonts w:ascii="Times New Roman;serif" w:hAnsi="Times New Roman;serif"/>
          <w:b w:val="false"/>
          <w:color w:val="000000"/>
          <w:sz w:val="24"/>
        </w:rPr>
        <w:t>(c)</w:t>
      </w:r>
      <w:r>
        <w:rPr>
          <w:rFonts w:ascii="Times New Roman;serif" w:hAnsi="Times New Roman;serif"/>
          <w:b w:val="false"/>
          <w:i/>
          <w:color w:val="000000"/>
          <w:sz w:val="24"/>
        </w:rPr>
        <w:t>Transfer or Exchange of Beneficial Interests in Global Notes for Definitive Notes</w:t>
      </w:r>
      <w:r>
        <w:rPr>
          <w:rFonts w:ascii="Times New Roman;serif" w:hAnsi="Times New Roman;serif"/>
          <w:b w:val="false"/>
          <w:color w:val="000000"/>
          <w:sz w:val="24"/>
        </w:rPr>
        <w:t>. Transfers or exchanges of beneficial interests in Global Notes</w:t>
      </w:r>
      <w:r>
        <w:rPr>
          <w:color w:val="000000"/>
        </w:rPr>
        <w:t xml:space="preserve"> </w:t>
      </w:r>
      <w:r>
        <w:rPr>
          <w:rFonts w:ascii="Times New Roman;serif" w:hAnsi="Times New Roman;serif"/>
          <w:b w:val="false"/>
          <w:color w:val="000000"/>
          <w:sz w:val="24"/>
        </w:rPr>
        <w:t xml:space="preserve">for Definitive Notes shall in each case be subject to the satisfaction of any applicable conditions set forth in </w:t>
      </w:r>
      <w:r>
        <w:rPr>
          <w:rFonts w:ascii="Times New Roman;serif" w:hAnsi="Times New Roman;serif"/>
          <w:b w:val="false"/>
          <w:color w:val="000000"/>
          <w:sz w:val="24"/>
          <w:u w:val="single"/>
        </w:rPr>
        <w:t>Section 2.06(b)(2)</w:t>
      </w:r>
      <w:r>
        <w:rPr>
          <w:color w:val="000000"/>
        </w:rPr>
        <w:t xml:space="preserve"> </w:t>
      </w:r>
      <w:r>
        <w:rPr>
          <w:rFonts w:ascii="Times New Roman;serif" w:hAnsi="Times New Roman;serif"/>
          <w:b w:val="false"/>
          <w:color w:val="000000"/>
          <w:sz w:val="24"/>
        </w:rPr>
        <w:t>hereof, and to the</w:t>
      </w:r>
      <w:r>
        <w:rPr>
          <w:color w:val="000000"/>
        </w:rPr>
        <w:t xml:space="preserve"> </w:t>
      </w:r>
      <w:r>
        <w:rPr>
          <w:rFonts w:ascii="Times New Roman;serif" w:hAnsi="Times New Roman;serif"/>
          <w:b w:val="false"/>
          <w:color w:val="000000"/>
          <w:sz w:val="24"/>
        </w:rPr>
        <w:t xml:space="preserve">requirements set forth below in this </w:t>
      </w:r>
      <w:r>
        <w:rPr>
          <w:rFonts w:ascii="Times New Roman;serif" w:hAnsi="Times New Roman;serif"/>
          <w:b w:val="false"/>
          <w:color w:val="000000"/>
          <w:sz w:val="24"/>
          <w:u w:val="single"/>
        </w:rPr>
        <w:t>Section 2.06(c)</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(1)</w:t>
      </w:r>
      <w:r>
        <w:rPr>
          <w:rFonts w:ascii="Times New Roman;serif" w:hAnsi="Times New Roman;serif"/>
          <w:b w:val="false"/>
          <w:i/>
          <w:color w:val="000000"/>
          <w:sz w:val="24"/>
        </w:rPr>
        <w:t>Beneficial Interests in Restricted Global Notes to Restricted Definitive Notes</w:t>
      </w:r>
      <w:r>
        <w:rPr>
          <w:rFonts w:ascii="Times New Roman;serif" w:hAnsi="Times New Roman;serif"/>
          <w:b w:val="false"/>
          <w:color w:val="000000"/>
          <w:sz w:val="24"/>
        </w:rPr>
        <w:t>. If any Holder of a beneficial interest in a Restricted Global</w:t>
      </w:r>
      <w:r>
        <w:rPr>
          <w:color w:val="000000"/>
        </w:rPr>
        <w:t xml:space="preserve"> </w:t>
      </w:r>
      <w:r>
        <w:rPr>
          <w:rFonts w:ascii="Times New Roman;serif" w:hAnsi="Times New Roman;serif"/>
          <w:b w:val="false"/>
          <w:color w:val="000000"/>
          <w:sz w:val="24"/>
        </w:rPr>
        <w:t>Note proposes to exchange such beneficial interest for a Restricted Definitive Note or to transfer such beneficial interest to a</w:t>
      </w:r>
      <w:r>
        <w:rPr>
          <w:color w:val="000000"/>
        </w:rPr>
        <w:t xml:space="preserve"> </w:t>
      </w:r>
      <w:r>
        <w:rPr>
          <w:rFonts w:ascii="Times New Roman;serif" w:hAnsi="Times New Roman;serif"/>
          <w:b w:val="false"/>
          <w:color w:val="000000"/>
          <w:sz w:val="24"/>
        </w:rPr>
        <w:t>Person who takes delivery thereof in the form of a Restricted Definitive Note, then, upon receipt by the Registrar of the following</w:t>
      </w:r>
      <w:r>
        <w:rPr>
          <w:color w:val="000000"/>
        </w:rPr>
        <w:t xml:space="preserve"> </w:t>
      </w:r>
      <w:r>
        <w:rPr>
          <w:rFonts w:ascii="Times New Roman;serif" w:hAnsi="Times New Roman;serif"/>
          <w:b w:val="false"/>
          <w:color w:val="000000"/>
          <w:sz w:val="24"/>
        </w:rPr>
        <w:t>documentation:</w:t>
      </w:r>
    </w:p>
    <w:p>
      <w:pPr>
        <w:pStyle w:val="TextBody"/>
        <w:bidi w:val="0"/>
        <w:spacing w:before="0" w:after="0"/>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735965"/>
                <wp:effectExtent l="0" t="0" r="0" b="0"/>
                <wp:wrapNone/>
                <wp:docPr id="84" name="Frame84"/>
                <a:graphic xmlns:a="http://schemas.openxmlformats.org/drawingml/2006/main">
                  <a:graphicData uri="http://schemas.microsoft.com/office/word/2010/wordprocessingShape">
                    <wps:wsp>
                      <wps:cNvSpPr txBox="1"/>
                      <wps:spPr>
                        <a:xfrm>
                          <a:off x="0" y="0"/>
                          <a:ext cx="6480175" cy="7359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36</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36</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00000"/>
          <w:sz w:val="24"/>
        </w:rPr>
        <w:t>(A)if the Holder of such beneficial interest in a Restricted Global Note proposes to exchange such beneficial interest for a Restricted</w:t>
      </w:r>
      <w:r>
        <w:rPr>
          <w:color w:val="000000"/>
        </w:rPr>
        <w:t xml:space="preserve"> </w:t>
      </w:r>
      <w:r>
        <w:rPr>
          <w:rFonts w:ascii="Times New Roman;serif" w:hAnsi="Times New Roman;serif"/>
          <w:b w:val="false"/>
          <w:color w:val="000000"/>
          <w:sz w:val="24"/>
        </w:rPr>
        <w:t xml:space="preserve">Definitive Note, a certificate from such Holder in the form of </w:t>
      </w:r>
      <w:r>
        <w:rPr>
          <w:rFonts w:ascii="Times New Roman;serif" w:hAnsi="Times New Roman;serif"/>
          <w:b w:val="false"/>
          <w:color w:val="000000"/>
          <w:sz w:val="24"/>
          <w:u w:val="single"/>
        </w:rPr>
        <w:t>Exhibit C</w:t>
      </w:r>
      <w:r>
        <w:rPr>
          <w:color w:val="000000"/>
        </w:rPr>
        <w:t xml:space="preserve"> </w:t>
      </w:r>
      <w:r>
        <w:rPr>
          <w:rFonts w:ascii="Times New Roman;serif" w:hAnsi="Times New Roman;serif"/>
          <w:b w:val="false"/>
          <w:color w:val="000000"/>
          <w:sz w:val="24"/>
        </w:rPr>
        <w:t>hereto, including the certifications in item (2)(a) thereof;</w:t>
      </w:r>
    </w:p>
    <w:p>
      <w:pPr>
        <w:pStyle w:val="TextBody"/>
        <w:bidi w:val="0"/>
        <w:spacing w:lineRule="auto" w:line="240" w:before="0" w:after="240"/>
        <w:ind w:left="0" w:right="0" w:firstLine="720"/>
        <w:jc w:val="both"/>
        <w:rPr/>
      </w:pPr>
      <w:r>
        <w:rPr>
          <w:rFonts w:ascii="Times New Roman;serif" w:hAnsi="Times New Roman;serif"/>
          <w:b w:val="false"/>
          <w:color w:val="000000"/>
          <w:sz w:val="24"/>
        </w:rPr>
        <w:t>(B)if</w:t>
      </w:r>
      <w:r>
        <w:rPr>
          <w:color w:val="000000"/>
        </w:rPr>
        <w:t xml:space="preserve"> </w:t>
      </w:r>
      <w:r>
        <w:rPr>
          <w:rFonts w:ascii="Times New Roman;serif" w:hAnsi="Times New Roman;serif"/>
          <w:b w:val="false"/>
          <w:color w:val="000000"/>
          <w:sz w:val="24"/>
        </w:rPr>
        <w:t>such</w:t>
      </w:r>
      <w:r>
        <w:rPr>
          <w:color w:val="000000"/>
        </w:rPr>
        <w:t xml:space="preserve"> </w:t>
      </w:r>
      <w:r>
        <w:rPr>
          <w:rFonts w:ascii="Times New Roman;serif" w:hAnsi="Times New Roman;serif"/>
          <w:b w:val="false"/>
          <w:color w:val="000000"/>
          <w:sz w:val="24"/>
        </w:rPr>
        <w:t>beneficial</w:t>
      </w:r>
      <w:r>
        <w:rPr>
          <w:color w:val="000000"/>
        </w:rPr>
        <w:t xml:space="preserve"> </w:t>
      </w:r>
      <w:r>
        <w:rPr>
          <w:rFonts w:ascii="Times New Roman;serif" w:hAnsi="Times New Roman;serif"/>
          <w:b w:val="false"/>
          <w:color w:val="000000"/>
          <w:sz w:val="24"/>
        </w:rPr>
        <w:t>interest</w:t>
      </w:r>
      <w:r>
        <w:rPr>
          <w:color w:val="000000"/>
        </w:rPr>
        <w:t xml:space="preserve"> </w:t>
      </w:r>
      <w:r>
        <w:rPr>
          <w:rFonts w:ascii="Times New Roman;serif" w:hAnsi="Times New Roman;serif"/>
          <w:b w:val="false"/>
          <w:color w:val="000000"/>
          <w:sz w:val="24"/>
        </w:rPr>
        <w:t>is</w:t>
      </w:r>
      <w:r>
        <w:rPr>
          <w:color w:val="000000"/>
        </w:rPr>
        <w:t xml:space="preserve"> </w:t>
      </w:r>
      <w:r>
        <w:rPr>
          <w:rFonts w:ascii="Times New Roman;serif" w:hAnsi="Times New Roman;serif"/>
          <w:b w:val="false"/>
          <w:color w:val="000000"/>
          <w:sz w:val="24"/>
        </w:rPr>
        <w:t>being</w:t>
      </w:r>
      <w:r>
        <w:rPr>
          <w:color w:val="000000"/>
        </w:rPr>
        <w:t xml:space="preserve"> </w:t>
      </w:r>
      <w:r>
        <w:rPr>
          <w:rFonts w:ascii="Times New Roman;serif" w:hAnsi="Times New Roman;serif"/>
          <w:b w:val="false"/>
          <w:color w:val="000000"/>
          <w:sz w:val="24"/>
        </w:rPr>
        <w:t>transferred</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QIB</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accordance</w:t>
      </w:r>
      <w:r>
        <w:rPr>
          <w:color w:val="000000"/>
        </w:rPr>
        <w:t xml:space="preserve"> </w:t>
      </w:r>
      <w:r>
        <w:rPr>
          <w:rFonts w:ascii="Times New Roman;serif" w:hAnsi="Times New Roman;serif"/>
          <w:b w:val="false"/>
          <w:color w:val="000000"/>
          <w:sz w:val="24"/>
        </w:rPr>
        <w:t>with</w:t>
      </w:r>
      <w:r>
        <w:rPr>
          <w:color w:val="000000"/>
        </w:rPr>
        <w:t xml:space="preserve"> </w:t>
      </w:r>
      <w:r>
        <w:rPr>
          <w:rFonts w:ascii="Times New Roman;serif" w:hAnsi="Times New Roman;serif"/>
          <w:b w:val="false"/>
          <w:color w:val="000000"/>
          <w:sz w:val="24"/>
        </w:rPr>
        <w:t>Rule</w:t>
      </w:r>
      <w:r>
        <w:rPr>
          <w:color w:val="000000"/>
        </w:rPr>
        <w:t xml:space="preserve"> </w:t>
      </w:r>
      <w:r>
        <w:rPr>
          <w:rFonts w:ascii="Times New Roman;serif" w:hAnsi="Times New Roman;serif"/>
          <w:b w:val="false"/>
          <w:color w:val="000000"/>
          <w:sz w:val="24"/>
        </w:rPr>
        <w:t>144A,</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certificate</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effect</w:t>
      </w:r>
      <w:r>
        <w:rPr>
          <w:color w:val="000000"/>
        </w:rPr>
        <w:t xml:space="preserve"> </w:t>
      </w:r>
      <w:r>
        <w:rPr>
          <w:rFonts w:ascii="Times New Roman;serif" w:hAnsi="Times New Roman;serif"/>
          <w:b w:val="false"/>
          <w:color w:val="000000"/>
          <w:sz w:val="24"/>
        </w:rPr>
        <w:t>set</w:t>
      </w:r>
      <w:r>
        <w:rPr>
          <w:color w:val="000000"/>
        </w:rPr>
        <w:t xml:space="preserve"> </w:t>
      </w:r>
      <w:r>
        <w:rPr>
          <w:rFonts w:ascii="Times New Roman;serif" w:hAnsi="Times New Roman;serif"/>
          <w:b w:val="false"/>
          <w:color w:val="000000"/>
          <w:sz w:val="24"/>
        </w:rPr>
        <w:t>forth</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u w:val="single"/>
        </w:rPr>
        <w:t>Exhibit B</w:t>
      </w:r>
      <w:r>
        <w:rPr>
          <w:color w:val="000000"/>
        </w:rPr>
        <w:t xml:space="preserve"> </w:t>
      </w:r>
      <w:r>
        <w:rPr>
          <w:rFonts w:ascii="Times New Roman;serif" w:hAnsi="Times New Roman;serif"/>
          <w:b w:val="false"/>
          <w:color w:val="000000"/>
          <w:sz w:val="24"/>
        </w:rPr>
        <w:t>hereto, including the certifications in item (1) thereof;</w:t>
      </w:r>
    </w:p>
    <w:p>
      <w:pPr>
        <w:pStyle w:val="TextBody"/>
        <w:bidi w:val="0"/>
        <w:spacing w:lineRule="auto" w:line="240" w:before="0" w:after="240"/>
        <w:ind w:left="0" w:right="0" w:firstLine="720"/>
        <w:jc w:val="both"/>
        <w:rPr/>
      </w:pPr>
      <w:r>
        <w:rPr>
          <w:rFonts w:ascii="Times New Roman;serif" w:hAnsi="Times New Roman;serif"/>
          <w:b w:val="false"/>
          <w:color w:val="000000"/>
          <w:sz w:val="24"/>
        </w:rPr>
        <w:t>(C)if</w:t>
      </w:r>
      <w:r>
        <w:rPr>
          <w:color w:val="000000"/>
        </w:rPr>
        <w:t xml:space="preserve"> </w:t>
      </w:r>
      <w:r>
        <w:rPr>
          <w:rFonts w:ascii="Times New Roman;serif" w:hAnsi="Times New Roman;serif"/>
          <w:b w:val="false"/>
          <w:color w:val="000000"/>
          <w:sz w:val="24"/>
        </w:rPr>
        <w:t>such</w:t>
      </w:r>
      <w:r>
        <w:rPr>
          <w:color w:val="000000"/>
        </w:rPr>
        <w:t xml:space="preserve"> </w:t>
      </w:r>
      <w:r>
        <w:rPr>
          <w:rFonts w:ascii="Times New Roman;serif" w:hAnsi="Times New Roman;serif"/>
          <w:b w:val="false"/>
          <w:color w:val="000000"/>
          <w:sz w:val="24"/>
        </w:rPr>
        <w:t>beneficial</w:t>
      </w:r>
      <w:r>
        <w:rPr>
          <w:color w:val="000000"/>
        </w:rPr>
        <w:t xml:space="preserve"> </w:t>
      </w:r>
      <w:r>
        <w:rPr>
          <w:rFonts w:ascii="Times New Roman;serif" w:hAnsi="Times New Roman;serif"/>
          <w:b w:val="false"/>
          <w:color w:val="000000"/>
          <w:sz w:val="24"/>
        </w:rPr>
        <w:t>interest</w:t>
      </w:r>
      <w:r>
        <w:rPr>
          <w:color w:val="000000"/>
        </w:rPr>
        <w:t xml:space="preserve"> </w:t>
      </w:r>
      <w:r>
        <w:rPr>
          <w:rFonts w:ascii="Times New Roman;serif" w:hAnsi="Times New Roman;serif"/>
          <w:b w:val="false"/>
          <w:color w:val="000000"/>
          <w:sz w:val="24"/>
        </w:rPr>
        <w:t>is</w:t>
      </w:r>
      <w:r>
        <w:rPr>
          <w:color w:val="000000"/>
        </w:rPr>
        <w:t xml:space="preserve"> </w:t>
      </w:r>
      <w:r>
        <w:rPr>
          <w:rFonts w:ascii="Times New Roman;serif" w:hAnsi="Times New Roman;serif"/>
          <w:b w:val="false"/>
          <w:color w:val="000000"/>
          <w:sz w:val="24"/>
        </w:rPr>
        <w:t>being</w:t>
      </w:r>
      <w:r>
        <w:rPr>
          <w:color w:val="000000"/>
        </w:rPr>
        <w:t xml:space="preserve"> </w:t>
      </w:r>
      <w:r>
        <w:rPr>
          <w:rFonts w:ascii="Times New Roman;serif" w:hAnsi="Times New Roman;serif"/>
          <w:b w:val="false"/>
          <w:color w:val="000000"/>
          <w:sz w:val="24"/>
        </w:rPr>
        <w:t>transferred</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a non-U.S.</w:t>
      </w:r>
      <w:r>
        <w:rPr>
          <w:color w:val="000000"/>
        </w:rPr>
        <w:t xml:space="preserve"> </w:t>
      </w:r>
      <w:r>
        <w:rPr>
          <w:rFonts w:ascii="Times New Roman;serif" w:hAnsi="Times New Roman;serif"/>
          <w:b w:val="false"/>
          <w:color w:val="000000"/>
          <w:sz w:val="24"/>
        </w:rPr>
        <w:t>Person</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an</w:t>
      </w:r>
      <w:r>
        <w:rPr>
          <w:color w:val="000000"/>
        </w:rPr>
        <w:t xml:space="preserve"> </w:t>
      </w:r>
      <w:r>
        <w:rPr>
          <w:rFonts w:ascii="Times New Roman;serif" w:hAnsi="Times New Roman;serif"/>
          <w:b w:val="false"/>
          <w:color w:val="000000"/>
          <w:sz w:val="24"/>
        </w:rPr>
        <w:t>offshore</w:t>
      </w:r>
      <w:r>
        <w:rPr>
          <w:color w:val="000000"/>
        </w:rPr>
        <w:t xml:space="preserve"> </w:t>
      </w:r>
      <w:r>
        <w:rPr>
          <w:rFonts w:ascii="Times New Roman;serif" w:hAnsi="Times New Roman;serif"/>
          <w:b w:val="false"/>
          <w:color w:val="000000"/>
          <w:sz w:val="24"/>
        </w:rPr>
        <w:t>transaction</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accordance</w:t>
      </w:r>
      <w:r>
        <w:rPr>
          <w:color w:val="000000"/>
        </w:rPr>
        <w:t xml:space="preserve"> </w:t>
      </w:r>
      <w:r>
        <w:rPr>
          <w:rFonts w:ascii="Times New Roman;serif" w:hAnsi="Times New Roman;serif"/>
          <w:b w:val="false"/>
          <w:color w:val="000000"/>
          <w:sz w:val="24"/>
        </w:rPr>
        <w:t>with</w:t>
      </w:r>
      <w:r>
        <w:rPr>
          <w:color w:val="000000"/>
        </w:rPr>
        <w:t xml:space="preserve"> </w:t>
      </w:r>
      <w:r>
        <w:rPr>
          <w:rFonts w:ascii="Times New Roman;serif" w:hAnsi="Times New Roman;serif"/>
          <w:b w:val="false"/>
          <w:color w:val="000000"/>
          <w:sz w:val="24"/>
        </w:rPr>
        <w:t>Rule</w:t>
      </w:r>
      <w:r>
        <w:rPr>
          <w:color w:val="000000"/>
        </w:rPr>
        <w:t xml:space="preserve"> </w:t>
      </w:r>
      <w:r>
        <w:rPr>
          <w:rFonts w:ascii="Times New Roman;serif" w:hAnsi="Times New Roman;serif"/>
          <w:b w:val="false"/>
          <w:color w:val="000000"/>
          <w:sz w:val="24"/>
        </w:rPr>
        <w:t>903</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Rule</w:t>
      </w:r>
      <w:r>
        <w:rPr>
          <w:color w:val="000000"/>
        </w:rPr>
        <w:t xml:space="preserve"> </w:t>
      </w:r>
      <w:r>
        <w:rPr>
          <w:rFonts w:ascii="Times New Roman;serif" w:hAnsi="Times New Roman;serif"/>
          <w:b w:val="false"/>
          <w:color w:val="000000"/>
          <w:sz w:val="24"/>
        </w:rPr>
        <w:t xml:space="preserve">904 of Regulation S, a certificate to the effect set forth in </w:t>
      </w:r>
      <w:r>
        <w:rPr>
          <w:rFonts w:ascii="Times New Roman;serif" w:hAnsi="Times New Roman;serif"/>
          <w:b w:val="false"/>
          <w:color w:val="000000"/>
          <w:sz w:val="24"/>
          <w:u w:val="single"/>
        </w:rPr>
        <w:t>Exhibit B</w:t>
      </w:r>
      <w:r>
        <w:rPr>
          <w:color w:val="000000"/>
        </w:rPr>
        <w:t xml:space="preserve"> </w:t>
      </w:r>
      <w:r>
        <w:rPr>
          <w:rFonts w:ascii="Times New Roman;serif" w:hAnsi="Times New Roman;serif"/>
          <w:b w:val="false"/>
          <w:color w:val="000000"/>
          <w:sz w:val="24"/>
        </w:rPr>
        <w:t>hereto, including the certifications in item (2) thereof;</w:t>
      </w:r>
    </w:p>
    <w:p>
      <w:pPr>
        <w:pStyle w:val="TextBody"/>
        <w:bidi w:val="0"/>
        <w:spacing w:lineRule="auto" w:line="240" w:before="0" w:after="240"/>
        <w:ind w:left="0" w:right="0" w:firstLine="720"/>
        <w:jc w:val="both"/>
        <w:rPr/>
      </w:pPr>
      <w:r>
        <w:rPr>
          <w:rFonts w:ascii="Times New Roman;serif" w:hAnsi="Times New Roman;serif"/>
          <w:b w:val="false"/>
          <w:color w:val="000000"/>
          <w:sz w:val="24"/>
        </w:rPr>
        <w:t>(D)if such beneficial interest is being transferred pursuant to an exemption from the registration requirements of the Securities Act in</w:t>
      </w:r>
      <w:r>
        <w:rPr>
          <w:color w:val="000000"/>
        </w:rPr>
        <w:t xml:space="preserve"> </w:t>
      </w:r>
      <w:r>
        <w:rPr>
          <w:rFonts w:ascii="Times New Roman;serif" w:hAnsi="Times New Roman;serif"/>
          <w:b w:val="false"/>
          <w:color w:val="000000"/>
          <w:sz w:val="24"/>
        </w:rPr>
        <w:t xml:space="preserve">accordance with Rule 144, a certificate to the effect set forth in </w:t>
      </w:r>
      <w:r>
        <w:rPr>
          <w:rFonts w:ascii="Times New Roman;serif" w:hAnsi="Times New Roman;serif"/>
          <w:b w:val="false"/>
          <w:color w:val="000000"/>
          <w:sz w:val="24"/>
          <w:u w:val="single"/>
        </w:rPr>
        <w:t>Exhibit B</w:t>
      </w:r>
      <w:r>
        <w:rPr>
          <w:color w:val="000000"/>
        </w:rPr>
        <w:t xml:space="preserve"> </w:t>
      </w:r>
      <w:r>
        <w:rPr>
          <w:rFonts w:ascii="Times New Roman;serif" w:hAnsi="Times New Roman;serif"/>
          <w:b w:val="false"/>
          <w:color w:val="000000"/>
          <w:sz w:val="24"/>
        </w:rPr>
        <w:t>hereto, including the certifications in item (3)(a) thereof;</w:t>
      </w:r>
    </w:p>
    <w:p>
      <w:pPr>
        <w:pStyle w:val="TextBody"/>
        <w:bidi w:val="0"/>
        <w:spacing w:lineRule="auto" w:line="240" w:before="0" w:after="240"/>
        <w:ind w:left="0" w:right="0" w:firstLine="720"/>
        <w:jc w:val="both"/>
        <w:rPr/>
      </w:pPr>
      <w:r>
        <w:rPr>
          <w:rFonts w:ascii="Times New Roman;serif" w:hAnsi="Times New Roman;serif"/>
          <w:b w:val="false"/>
          <w:color w:val="000000"/>
          <w:sz w:val="24"/>
        </w:rPr>
        <w:t>(E)if such beneficial interest is being transferred to the Issuer or any of its Subsidiaries, a certificate to the effect set forth in</w:t>
      </w:r>
      <w:r>
        <w:rPr>
          <w:color w:val="000000"/>
        </w:rPr>
        <w:t xml:space="preserve"> </w:t>
      </w:r>
      <w:r>
        <w:rPr>
          <w:rFonts w:ascii="Times New Roman;serif" w:hAnsi="Times New Roman;serif"/>
          <w:b w:val="false"/>
          <w:color w:val="000000"/>
          <w:sz w:val="24"/>
          <w:u w:val="single"/>
        </w:rPr>
        <w:t>Exhibit B</w:t>
      </w:r>
      <w:r>
        <w:rPr>
          <w:color w:val="000000"/>
        </w:rPr>
        <w:t xml:space="preserve"> </w:t>
      </w:r>
      <w:r>
        <w:rPr>
          <w:rFonts w:ascii="Times New Roman;serif" w:hAnsi="Times New Roman;serif"/>
          <w:b w:val="false"/>
          <w:color w:val="000000"/>
          <w:sz w:val="24"/>
        </w:rPr>
        <w:t>hereto, including the certifications in item (3)(b) thereof;</w:t>
      </w:r>
    </w:p>
    <w:p>
      <w:pPr>
        <w:pStyle w:val="TextBody"/>
        <w:bidi w:val="0"/>
        <w:spacing w:lineRule="auto" w:line="240" w:before="0" w:after="240"/>
        <w:ind w:left="0" w:right="0" w:firstLine="720"/>
        <w:jc w:val="both"/>
        <w:rPr/>
      </w:pPr>
      <w:r>
        <w:rPr>
          <w:rFonts w:ascii="Times New Roman;serif" w:hAnsi="Times New Roman;serif"/>
          <w:b w:val="false"/>
          <w:color w:val="000000"/>
          <w:sz w:val="24"/>
        </w:rPr>
        <w:t>(F)if such beneficial interest is being transferred pursuant to an effective registration statement under the Securities Act in</w:t>
      </w:r>
      <w:r>
        <w:rPr>
          <w:color w:val="000000"/>
        </w:rPr>
        <w:t xml:space="preserve"> </w:t>
      </w:r>
      <w:r>
        <w:rPr>
          <w:rFonts w:ascii="Times New Roman;serif" w:hAnsi="Times New Roman;serif"/>
          <w:b w:val="false"/>
          <w:color w:val="000000"/>
          <w:sz w:val="24"/>
        </w:rPr>
        <w:t xml:space="preserve">compliance with the prospectus delivery requirements of the Securities Act, a certificate to the effect set forth in </w:t>
      </w:r>
      <w:r>
        <w:rPr>
          <w:rFonts w:ascii="Times New Roman;serif" w:hAnsi="Times New Roman;serif"/>
          <w:b w:val="false"/>
          <w:color w:val="000000"/>
          <w:sz w:val="24"/>
          <w:u w:val="single"/>
        </w:rPr>
        <w:t>Exhibit B</w:t>
      </w:r>
      <w:r>
        <w:rPr>
          <w:color w:val="000000"/>
        </w:rPr>
        <w:t xml:space="preserve"> </w:t>
      </w:r>
      <w:r>
        <w:rPr>
          <w:rFonts w:ascii="Times New Roman;serif" w:hAnsi="Times New Roman;serif"/>
          <w:b w:val="false"/>
          <w:color w:val="000000"/>
          <w:sz w:val="24"/>
        </w:rPr>
        <w:t>hereto, including</w:t>
      </w:r>
      <w:r>
        <w:rPr>
          <w:color w:val="000000"/>
        </w:rPr>
        <w:t xml:space="preserve"> </w:t>
      </w:r>
      <w:r>
        <w:rPr>
          <w:rFonts w:ascii="Times New Roman;serif" w:hAnsi="Times New Roman;serif"/>
          <w:b w:val="false"/>
          <w:color w:val="000000"/>
          <w:sz w:val="24"/>
        </w:rPr>
        <w:t>the certifications in item (3)(c) thereof; or</w:t>
      </w:r>
    </w:p>
    <w:p>
      <w:pPr>
        <w:pStyle w:val="TextBody"/>
        <w:bidi w:val="0"/>
        <w:spacing w:lineRule="auto" w:line="240" w:before="0" w:after="240"/>
        <w:ind w:left="0" w:right="0" w:firstLine="720"/>
        <w:jc w:val="both"/>
        <w:rPr/>
      </w:pPr>
      <w:r>
        <w:rPr>
          <w:rFonts w:ascii="Times New Roman;serif" w:hAnsi="Times New Roman;serif"/>
          <w:b w:val="false"/>
          <w:color w:val="000000"/>
          <w:sz w:val="24"/>
        </w:rPr>
        <w:t>(G)if such beneficial interest is being transferred to an Institutional Accredited Investor pursuant to an exemption from the registration requirements of the Securities Act</w:t>
      </w:r>
      <w:r>
        <w:rPr>
          <w:color w:val="000000"/>
        </w:rPr>
        <w:t xml:space="preserve"> </w:t>
      </w:r>
      <w:r>
        <w:rPr>
          <w:rFonts w:ascii="Times New Roman;serif" w:hAnsi="Times New Roman;serif"/>
          <w:b w:val="false"/>
          <w:color w:val="000000"/>
          <w:sz w:val="24"/>
        </w:rPr>
        <w:t>other</w:t>
      </w:r>
      <w:r>
        <w:rPr>
          <w:color w:val="000000"/>
        </w:rPr>
        <w:t xml:space="preserve"> </w:t>
      </w:r>
      <w:r>
        <w:rPr>
          <w:rFonts w:ascii="Times New Roman;serif" w:hAnsi="Times New Roman;serif"/>
          <w:b w:val="false"/>
          <w:color w:val="000000"/>
          <w:sz w:val="24"/>
        </w:rPr>
        <w:t>than</w:t>
      </w:r>
      <w:r>
        <w:rPr>
          <w:color w:val="000000"/>
        </w:rPr>
        <w:t xml:space="preserve"> </w:t>
      </w:r>
      <w:r>
        <w:rPr>
          <w:rFonts w:ascii="Times New Roman;serif" w:hAnsi="Times New Roman;serif"/>
          <w:b w:val="false"/>
          <w:color w:val="000000"/>
          <w:sz w:val="24"/>
        </w:rPr>
        <w:t>Rule</w:t>
      </w:r>
      <w:r>
        <w:rPr>
          <w:color w:val="000000"/>
        </w:rPr>
        <w:t xml:space="preserve"> </w:t>
      </w:r>
      <w:r>
        <w:rPr>
          <w:rFonts w:ascii="Times New Roman;serif" w:hAnsi="Times New Roman;serif"/>
          <w:b w:val="false"/>
          <w:color w:val="000000"/>
          <w:sz w:val="24"/>
        </w:rPr>
        <w:t>144A,</w:t>
      </w:r>
      <w:r>
        <w:rPr>
          <w:color w:val="000000"/>
        </w:rPr>
        <w:t xml:space="preserve"> </w:t>
      </w:r>
      <w:r>
        <w:rPr>
          <w:rFonts w:ascii="Times New Roman;serif" w:hAnsi="Times New Roman;serif"/>
          <w:b w:val="false"/>
          <w:color w:val="000000"/>
          <w:sz w:val="24"/>
        </w:rPr>
        <w:t>Rule</w:t>
      </w:r>
      <w:r>
        <w:rPr>
          <w:color w:val="000000"/>
        </w:rPr>
        <w:t xml:space="preserve"> </w:t>
      </w:r>
      <w:r>
        <w:rPr>
          <w:rFonts w:ascii="Times New Roman;serif" w:hAnsi="Times New Roman;serif"/>
          <w:b w:val="false"/>
          <w:color w:val="000000"/>
          <w:sz w:val="24"/>
        </w:rPr>
        <w:t>144,</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Rule</w:t>
      </w:r>
      <w:r>
        <w:rPr>
          <w:color w:val="000000"/>
        </w:rPr>
        <w:t xml:space="preserve"> </w:t>
      </w:r>
      <w:r>
        <w:rPr>
          <w:rFonts w:ascii="Times New Roman;serif" w:hAnsi="Times New Roman;serif"/>
          <w:b w:val="false"/>
          <w:color w:val="000000"/>
          <w:sz w:val="24"/>
        </w:rPr>
        <w:t>903</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Rule</w:t>
      </w:r>
      <w:r>
        <w:rPr>
          <w:color w:val="000000"/>
        </w:rPr>
        <w:t xml:space="preserve"> </w:t>
      </w:r>
      <w:r>
        <w:rPr>
          <w:rFonts w:ascii="Times New Roman;serif" w:hAnsi="Times New Roman;serif"/>
          <w:b w:val="false"/>
          <w:color w:val="000000"/>
          <w:sz w:val="24"/>
        </w:rPr>
        <w:t>904</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Regulation</w:t>
      </w:r>
      <w:r>
        <w:rPr>
          <w:color w:val="000000"/>
        </w:rPr>
        <w:t xml:space="preserve"> </w:t>
      </w:r>
      <w:r>
        <w:rPr>
          <w:rFonts w:ascii="Times New Roman;serif" w:hAnsi="Times New Roman;serif"/>
          <w:b w:val="false"/>
          <w:color w:val="000000"/>
          <w:sz w:val="24"/>
        </w:rPr>
        <w:t>S,</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certificate</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effect</w:t>
      </w:r>
      <w:r>
        <w:rPr>
          <w:color w:val="000000"/>
        </w:rPr>
        <w:t xml:space="preserve"> </w:t>
      </w:r>
      <w:r>
        <w:rPr>
          <w:rFonts w:ascii="Times New Roman;serif" w:hAnsi="Times New Roman;serif"/>
          <w:b w:val="false"/>
          <w:color w:val="000000"/>
          <w:sz w:val="24"/>
        </w:rPr>
        <w:t>set</w:t>
      </w:r>
      <w:r>
        <w:rPr>
          <w:color w:val="000000"/>
        </w:rPr>
        <w:t xml:space="preserve"> </w:t>
      </w:r>
      <w:r>
        <w:rPr>
          <w:rFonts w:ascii="Times New Roman;serif" w:hAnsi="Times New Roman;serif"/>
          <w:b w:val="false"/>
          <w:color w:val="000000"/>
          <w:sz w:val="24"/>
        </w:rPr>
        <w:t>forth</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u w:val="single"/>
        </w:rPr>
        <w:t>Exhibit B</w:t>
      </w:r>
      <w:r>
        <w:rPr>
          <w:color w:val="000000"/>
        </w:rPr>
        <w:t xml:space="preserve"> </w:t>
      </w:r>
      <w:r>
        <w:rPr>
          <w:rFonts w:ascii="Times New Roman;serif" w:hAnsi="Times New Roman;serif"/>
          <w:b w:val="false"/>
          <w:color w:val="000000"/>
          <w:sz w:val="24"/>
        </w:rPr>
        <w:t>hereto,</w:t>
      </w:r>
      <w:r>
        <w:rPr>
          <w:color w:val="000000"/>
        </w:rPr>
        <w:t xml:space="preserve"> </w:t>
      </w:r>
      <w:r>
        <w:rPr>
          <w:rFonts w:ascii="Times New Roman;serif" w:hAnsi="Times New Roman;serif"/>
          <w:b w:val="false"/>
          <w:color w:val="000000"/>
          <w:sz w:val="24"/>
        </w:rPr>
        <w:t>including the certifications, certificates and Opinion of Counsel required by item (3)(d) thereof, if applicable;</w:t>
      </w:r>
    </w:p>
    <w:p>
      <w:pPr>
        <w:pStyle w:val="TextBody"/>
        <w:bidi w:val="0"/>
        <w:spacing w:lineRule="auto" w:line="288" w:before="0" w:after="240"/>
        <w:jc w:val="both"/>
        <w:rPr/>
      </w:pPr>
      <w:r>
        <w:rPr>
          <w:rFonts w:ascii="Times New Roman;serif" w:hAnsi="Times New Roman;serif"/>
          <w:b w:val="false"/>
          <w:color w:val="000000"/>
          <w:sz w:val="24"/>
        </w:rPr>
        <w:t>the Trustee shall cause the aggregate principal amount of the applicable Global Note to be reduced accordingly pursuant to</w:t>
      </w:r>
      <w:r>
        <w:rPr>
          <w:color w:val="000000"/>
        </w:rPr>
        <w:t xml:space="preserve"> </w:t>
      </w:r>
      <w:r>
        <w:rPr>
          <w:rFonts w:ascii="Times New Roman;serif" w:hAnsi="Times New Roman;serif"/>
          <w:b w:val="false"/>
          <w:color w:val="000000"/>
          <w:sz w:val="24"/>
          <w:u w:val="single"/>
        </w:rPr>
        <w:t>Section 2.06(g)</w:t>
      </w:r>
      <w:r>
        <w:rPr>
          <w:color w:val="000000"/>
        </w:rPr>
        <w:t xml:space="preserve"> </w:t>
      </w:r>
      <w:r>
        <w:rPr>
          <w:rFonts w:ascii="Times New Roman;serif" w:hAnsi="Times New Roman;serif"/>
          <w:b w:val="false"/>
          <w:color w:val="000000"/>
          <w:sz w:val="24"/>
        </w:rPr>
        <w:t>hereof,</w:t>
      </w:r>
      <w:r>
        <w:rPr>
          <w:color w:val="000000"/>
        </w:rPr>
        <w:t xml:space="preserve"> </w:t>
      </w:r>
      <w:r>
        <w:rPr>
          <w:rFonts w:ascii="Times New Roman;serif" w:hAnsi="Times New Roman;serif"/>
          <w:b w:val="false"/>
          <w:color w:val="000000"/>
          <w:sz w:val="24"/>
        </w:rPr>
        <w:t xml:space="preserve">and the Issuer shall execute and, upon receipt of an Issuer Order in accordance with </w:t>
      </w:r>
      <w:r>
        <w:rPr>
          <w:rFonts w:ascii="Times New Roman;serif" w:hAnsi="Times New Roman;serif"/>
          <w:b w:val="false"/>
          <w:color w:val="000000"/>
          <w:sz w:val="24"/>
          <w:u w:val="single"/>
        </w:rPr>
        <w:t>Section 2.02</w:t>
      </w:r>
      <w:r>
        <w:rPr>
          <w:color w:val="000000"/>
        </w:rPr>
        <w:t xml:space="preserve"> </w:t>
      </w:r>
      <w:r>
        <w:rPr>
          <w:rFonts w:ascii="Times New Roman;serif" w:hAnsi="Times New Roman;serif"/>
          <w:b w:val="false"/>
          <w:color w:val="000000"/>
          <w:sz w:val="24"/>
        </w:rPr>
        <w:t>hereof, the Trustee shall authenticate and</w:t>
      </w:r>
      <w:r>
        <w:rPr>
          <w:color w:val="000000"/>
        </w:rPr>
        <w:t xml:space="preserve"> </w:t>
      </w:r>
      <w:r>
        <w:rPr>
          <w:rFonts w:ascii="Times New Roman;serif" w:hAnsi="Times New Roman;serif"/>
          <w:b w:val="false"/>
          <w:color w:val="000000"/>
          <w:sz w:val="24"/>
        </w:rPr>
        <w:t>deliver</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Person</w:t>
      </w:r>
      <w:r>
        <w:rPr>
          <w:color w:val="000000"/>
        </w:rPr>
        <w:t xml:space="preserve"> </w:t>
      </w:r>
      <w:r>
        <w:rPr>
          <w:rFonts w:ascii="Times New Roman;serif" w:hAnsi="Times New Roman;serif"/>
          <w:b w:val="false"/>
          <w:color w:val="000000"/>
          <w:sz w:val="24"/>
        </w:rPr>
        <w:t>designated</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instructions</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Definitive</w:t>
      </w:r>
      <w:r>
        <w:rPr>
          <w:color w:val="000000"/>
        </w:rPr>
        <w:t xml:space="preserve"> </w:t>
      </w:r>
      <w:r>
        <w:rPr>
          <w:rFonts w:ascii="Times New Roman;serif" w:hAnsi="Times New Roman;serif"/>
          <w:b w:val="false"/>
          <w:color w:val="000000"/>
          <w:sz w:val="24"/>
        </w:rPr>
        <w:t>Note</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appropriate</w:t>
      </w:r>
      <w:r>
        <w:rPr>
          <w:color w:val="000000"/>
        </w:rPr>
        <w:t xml:space="preserve"> </w:t>
      </w:r>
      <w:r>
        <w:rPr>
          <w:rFonts w:ascii="Times New Roman;serif" w:hAnsi="Times New Roman;serif"/>
          <w:b w:val="false"/>
          <w:color w:val="000000"/>
          <w:sz w:val="24"/>
        </w:rPr>
        <w:t>principal</w:t>
      </w:r>
      <w:r>
        <w:rPr>
          <w:color w:val="000000"/>
        </w:rPr>
        <w:t xml:space="preserve"> </w:t>
      </w:r>
      <w:r>
        <w:rPr>
          <w:rFonts w:ascii="Times New Roman;serif" w:hAnsi="Times New Roman;serif"/>
          <w:b w:val="false"/>
          <w:color w:val="000000"/>
          <w:sz w:val="24"/>
        </w:rPr>
        <w:t>amount.</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Definitive</w:t>
      </w:r>
      <w:r>
        <w:rPr>
          <w:color w:val="000000"/>
        </w:rPr>
        <w:t xml:space="preserve"> </w:t>
      </w:r>
      <w:r>
        <w:rPr>
          <w:rFonts w:ascii="Times New Roman;serif" w:hAnsi="Times New Roman;serif"/>
          <w:b w:val="false"/>
          <w:color w:val="000000"/>
          <w:sz w:val="24"/>
        </w:rPr>
        <w:t>Note</w:t>
      </w:r>
      <w:r>
        <w:rPr>
          <w:color w:val="000000"/>
        </w:rPr>
        <w:t xml:space="preserve"> </w:t>
      </w:r>
      <w:r>
        <w:rPr>
          <w:rFonts w:ascii="Times New Roman;serif" w:hAnsi="Times New Roman;serif"/>
          <w:b w:val="false"/>
          <w:color w:val="000000"/>
          <w:sz w:val="24"/>
        </w:rPr>
        <w:t>issued</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exchange</w:t>
      </w:r>
      <w:r>
        <w:rPr>
          <w:color w:val="000000"/>
        </w:rPr>
        <w:t xml:space="preserve"> </w:t>
      </w:r>
      <w:r>
        <w:rPr>
          <w:rFonts w:ascii="Times New Roman;serif" w:hAnsi="Times New Roman;serif"/>
          <w:b w:val="false"/>
          <w:color w:val="000000"/>
          <w:sz w:val="24"/>
        </w:rPr>
        <w:t xml:space="preserve">for a beneficial interest in a Restricted Global Note pursuant to this </w:t>
      </w:r>
      <w:r>
        <w:rPr>
          <w:rFonts w:ascii="Times New Roman;serif" w:hAnsi="Times New Roman;serif"/>
          <w:b w:val="false"/>
          <w:color w:val="000000"/>
          <w:sz w:val="24"/>
          <w:u w:val="single"/>
        </w:rPr>
        <w:t>Section 2.06(c)</w:t>
      </w:r>
      <w:r>
        <w:rPr>
          <w:color w:val="000000"/>
        </w:rPr>
        <w:t xml:space="preserve"> </w:t>
      </w:r>
      <w:r>
        <w:rPr>
          <w:rFonts w:ascii="Times New Roman;serif" w:hAnsi="Times New Roman;serif"/>
          <w:b w:val="false"/>
          <w:color w:val="000000"/>
          <w:sz w:val="24"/>
        </w:rPr>
        <w:t>shall be registered in such name or names and in such authorized</w:t>
      </w:r>
      <w:r>
        <w:rPr>
          <w:color w:val="000000"/>
        </w:rPr>
        <w:t xml:space="preserve"> </w:t>
      </w:r>
      <w:r>
        <w:rPr>
          <w:rFonts w:ascii="Times New Roman;serif" w:hAnsi="Times New Roman;serif"/>
          <w:b w:val="false"/>
          <w:color w:val="000000"/>
          <w:sz w:val="24"/>
        </w:rPr>
        <w:t>denomination</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denominations</w:t>
      </w:r>
      <w:r>
        <w:rPr>
          <w:color w:val="000000"/>
        </w:rPr>
        <w:t xml:space="preserve"> </w:t>
      </w:r>
      <w:r>
        <w:rPr>
          <w:rFonts w:ascii="Times New Roman;serif" w:hAnsi="Times New Roman;serif"/>
          <w:b w:val="false"/>
          <w:color w:val="000000"/>
          <w:sz w:val="24"/>
        </w:rPr>
        <w:t>as</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Holder</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such</w:t>
      </w:r>
      <w:r>
        <w:rPr>
          <w:color w:val="000000"/>
        </w:rPr>
        <w:t xml:space="preserve"> </w:t>
      </w:r>
      <w:r>
        <w:rPr>
          <w:rFonts w:ascii="Times New Roman;serif" w:hAnsi="Times New Roman;serif"/>
          <w:b w:val="false"/>
          <w:color w:val="000000"/>
          <w:sz w:val="24"/>
        </w:rPr>
        <w:t>beneficial</w:t>
      </w:r>
      <w:r>
        <w:rPr>
          <w:color w:val="000000"/>
        </w:rPr>
        <w:t xml:space="preserve"> </w:t>
      </w:r>
      <w:r>
        <w:rPr>
          <w:rFonts w:ascii="Times New Roman;serif" w:hAnsi="Times New Roman;serif"/>
          <w:b w:val="false"/>
          <w:color w:val="000000"/>
          <w:sz w:val="24"/>
        </w:rPr>
        <w:t>interest</w:t>
      </w:r>
      <w:r>
        <w:rPr>
          <w:color w:val="000000"/>
        </w:rPr>
        <w:t xml:space="preserve"> </w:t>
      </w:r>
      <w:r>
        <w:rPr>
          <w:rFonts w:ascii="Times New Roman;serif" w:hAnsi="Times New Roman;serif"/>
          <w:b w:val="false"/>
          <w:color w:val="000000"/>
          <w:sz w:val="24"/>
        </w:rPr>
        <w:t>shall</w:t>
      </w:r>
      <w:r>
        <w:rPr>
          <w:color w:val="000000"/>
        </w:rPr>
        <w:t xml:space="preserve"> </w:t>
      </w:r>
      <w:r>
        <w:rPr>
          <w:rFonts w:ascii="Times New Roman;serif" w:hAnsi="Times New Roman;serif"/>
          <w:b w:val="false"/>
          <w:color w:val="000000"/>
          <w:sz w:val="24"/>
        </w:rPr>
        <w:t>instruct</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Registrar</w:t>
      </w:r>
      <w:r>
        <w:rPr>
          <w:color w:val="000000"/>
        </w:rPr>
        <w:t xml:space="preserve"> </w:t>
      </w:r>
      <w:r>
        <w:rPr>
          <w:rFonts w:ascii="Times New Roman;serif" w:hAnsi="Times New Roman;serif"/>
          <w:b w:val="false"/>
          <w:color w:val="000000"/>
          <w:sz w:val="24"/>
        </w:rPr>
        <w:t>through</w:t>
      </w:r>
      <w:r>
        <w:rPr>
          <w:color w:val="000000"/>
        </w:rPr>
        <w:t xml:space="preserve"> </w:t>
      </w:r>
      <w:r>
        <w:rPr>
          <w:rFonts w:ascii="Times New Roman;serif" w:hAnsi="Times New Roman;serif"/>
          <w:b w:val="false"/>
          <w:color w:val="000000"/>
          <w:sz w:val="24"/>
        </w:rPr>
        <w:t>instructions</w:t>
      </w:r>
      <w:r>
        <w:rPr>
          <w:color w:val="000000"/>
        </w:rPr>
        <w:t xml:space="preserve"> </w:t>
      </w:r>
      <w:r>
        <w:rPr>
          <w:rFonts w:ascii="Times New Roman;serif" w:hAnsi="Times New Roman;serif"/>
          <w:b w:val="false"/>
          <w:color w:val="000000"/>
          <w:sz w:val="24"/>
        </w:rPr>
        <w:t>from</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Depository</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the Participant or Indirect Participant. The Trustee shall deliver such Definitive Notes to the Persons in whose names such Notes are so registered.</w:t>
      </w:r>
      <w:r>
        <w:rPr>
          <w:color w:val="000000"/>
        </w:rPr>
        <w:t xml:space="preserve"> </w:t>
      </w:r>
      <w:r>
        <w:rPr>
          <w:rFonts w:ascii="Times New Roman;serif" w:hAnsi="Times New Roman;serif"/>
          <w:b w:val="false"/>
          <w:color w:val="000000"/>
          <w:sz w:val="24"/>
        </w:rPr>
        <w:t xml:space="preserve">Any Definitive Note issued in exchange for a beneficial interest in a Restricted Global Note pursuant to this </w:t>
      </w:r>
      <w:r>
        <w:rPr>
          <w:rFonts w:ascii="Times New Roman;serif" w:hAnsi="Times New Roman;serif"/>
          <w:b w:val="false"/>
          <w:color w:val="000000"/>
          <w:sz w:val="24"/>
          <w:u w:val="single"/>
        </w:rPr>
        <w:t>Section 2.06(c)(1)</w:t>
      </w:r>
      <w:r>
        <w:rPr>
          <w:color w:val="000000"/>
        </w:rPr>
        <w:t xml:space="preserve"> </w:t>
      </w:r>
      <w:r>
        <w:rPr>
          <w:rFonts w:ascii="Times New Roman;serif" w:hAnsi="Times New Roman;serif"/>
          <w:b w:val="false"/>
          <w:color w:val="000000"/>
          <w:sz w:val="24"/>
        </w:rPr>
        <w:t>shall bear the Private</w:t>
      </w:r>
      <w:r>
        <w:rPr>
          <w:color w:val="000000"/>
        </w:rPr>
        <w:t xml:space="preserve"> </w:t>
      </w:r>
      <w:r>
        <w:rPr>
          <w:rFonts w:ascii="Times New Roman;serif" w:hAnsi="Times New Roman;serif"/>
          <w:b w:val="false"/>
          <w:color w:val="000000"/>
          <w:sz w:val="24"/>
        </w:rPr>
        <w:t>Placement Legend and shall be subject to all restrictions on transfer contained therein.</w:t>
      </w:r>
    </w:p>
    <w:p>
      <w:pPr>
        <w:pStyle w:val="TextBody"/>
        <w:bidi w:val="0"/>
        <w:spacing w:before="0" w:after="0"/>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735965"/>
                <wp:effectExtent l="0" t="0" r="0" b="0"/>
                <wp:wrapNone/>
                <wp:docPr id="85" name="Frame85"/>
                <a:graphic xmlns:a="http://schemas.openxmlformats.org/drawingml/2006/main">
                  <a:graphicData uri="http://schemas.microsoft.com/office/word/2010/wordprocessingShape">
                    <wps:wsp>
                      <wps:cNvSpPr txBox="1"/>
                      <wps:spPr>
                        <a:xfrm>
                          <a:off x="0" y="0"/>
                          <a:ext cx="6480175" cy="7359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37</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37</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00000"/>
          <w:sz w:val="24"/>
        </w:rPr>
        <w:t>(2)</w:t>
      </w:r>
      <w:r>
        <w:rPr>
          <w:rFonts w:ascii="Times New Roman;serif" w:hAnsi="Times New Roman;serif"/>
          <w:b w:val="false"/>
          <w:i/>
          <w:color w:val="000000"/>
          <w:sz w:val="24"/>
        </w:rPr>
        <w:t>Beneficial Interests in Regulation S Temporary Global Notes to Definitive Notes</w:t>
      </w:r>
      <w:r>
        <w:rPr>
          <w:rFonts w:ascii="Times New Roman;serif" w:hAnsi="Times New Roman;serif"/>
          <w:b w:val="false"/>
          <w:color w:val="000000"/>
          <w:sz w:val="24"/>
        </w:rPr>
        <w:t xml:space="preserve">. Notwithstanding </w:t>
      </w:r>
      <w:r>
        <w:rPr>
          <w:rFonts w:ascii="Times New Roman;serif" w:hAnsi="Times New Roman;serif"/>
          <w:b w:val="false"/>
          <w:color w:val="000000"/>
          <w:sz w:val="24"/>
          <w:u w:val="single"/>
        </w:rPr>
        <w:t>Sections 2.06(c)(1)(A)</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(C)</w:t>
      </w:r>
      <w:r>
        <w:rPr>
          <w:rFonts w:ascii="Times New Roman;serif" w:hAnsi="Times New Roman;serif"/>
          <w:b w:val="false"/>
          <w:color w:val="000000"/>
          <w:sz w:val="24"/>
        </w:rPr>
        <w:t>, a</w:t>
      </w:r>
      <w:r>
        <w:rPr>
          <w:color w:val="000000"/>
        </w:rPr>
        <w:t xml:space="preserve"> </w:t>
      </w:r>
      <w:r>
        <w:rPr>
          <w:rFonts w:ascii="Times New Roman;serif" w:hAnsi="Times New Roman;serif"/>
          <w:b w:val="false"/>
          <w:color w:val="000000"/>
          <w:sz w:val="24"/>
        </w:rPr>
        <w:t>beneficial interest in the Regulation S Temporary Global Note may not be exchanged for a Definitive Note or transferred to a Person who takes</w:t>
      </w:r>
      <w:r>
        <w:rPr>
          <w:color w:val="000000"/>
        </w:rPr>
        <w:t xml:space="preserve"> </w:t>
      </w:r>
      <w:r>
        <w:rPr>
          <w:rFonts w:ascii="Times New Roman;serif" w:hAnsi="Times New Roman;serif"/>
          <w:b w:val="false"/>
          <w:color w:val="000000"/>
          <w:sz w:val="24"/>
        </w:rPr>
        <w:t>delivery</w:t>
      </w:r>
      <w:r>
        <w:rPr>
          <w:color w:val="000000"/>
        </w:rPr>
        <w:t xml:space="preserve"> </w:t>
      </w:r>
      <w:r>
        <w:rPr>
          <w:rFonts w:ascii="Times New Roman;serif" w:hAnsi="Times New Roman;serif"/>
          <w:b w:val="false"/>
          <w:color w:val="000000"/>
          <w:sz w:val="24"/>
        </w:rPr>
        <w:t>thereof</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form</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Definitive</w:t>
      </w:r>
      <w:r>
        <w:rPr>
          <w:color w:val="000000"/>
        </w:rPr>
        <w:t xml:space="preserve"> </w:t>
      </w:r>
      <w:r>
        <w:rPr>
          <w:rFonts w:ascii="Times New Roman;serif" w:hAnsi="Times New Roman;serif"/>
          <w:b w:val="false"/>
          <w:color w:val="000000"/>
          <w:sz w:val="24"/>
        </w:rPr>
        <w:t>Note</w:t>
      </w:r>
      <w:r>
        <w:rPr>
          <w:color w:val="000000"/>
        </w:rPr>
        <w:t xml:space="preserve"> </w:t>
      </w:r>
      <w:r>
        <w:rPr>
          <w:rFonts w:ascii="Times New Roman;serif" w:hAnsi="Times New Roman;serif"/>
          <w:b w:val="false"/>
          <w:color w:val="000000"/>
          <w:sz w:val="24"/>
        </w:rPr>
        <w:t>prior</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(x)</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expiration</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Distribution</w:t>
      </w:r>
      <w:r>
        <w:rPr>
          <w:color w:val="000000"/>
        </w:rPr>
        <w:t xml:space="preserve"> </w:t>
      </w:r>
      <w:r>
        <w:rPr>
          <w:rFonts w:ascii="Times New Roman;serif" w:hAnsi="Times New Roman;serif"/>
          <w:b w:val="false"/>
          <w:color w:val="000000"/>
          <w:sz w:val="24"/>
        </w:rPr>
        <w:t>Compliance</w:t>
      </w:r>
      <w:r>
        <w:rPr>
          <w:color w:val="000000"/>
        </w:rPr>
        <w:t xml:space="preserve"> </w:t>
      </w:r>
      <w:r>
        <w:rPr>
          <w:rFonts w:ascii="Times New Roman;serif" w:hAnsi="Times New Roman;serif"/>
          <w:b w:val="false"/>
          <w:color w:val="000000"/>
          <w:sz w:val="24"/>
        </w:rPr>
        <w:t>Period</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(y)</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receipt</w:t>
      </w:r>
      <w:r>
        <w:rPr>
          <w:color w:val="000000"/>
        </w:rPr>
        <w:t xml:space="preserve"> </w:t>
      </w:r>
      <w:r>
        <w:rPr>
          <w:rFonts w:ascii="Times New Roman;serif" w:hAnsi="Times New Roman;serif"/>
          <w:b w:val="false"/>
          <w:color w:val="000000"/>
          <w:sz w:val="24"/>
        </w:rPr>
        <w:t>by</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Registrar</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certificates</w:t>
      </w:r>
      <w:r>
        <w:rPr>
          <w:color w:val="000000"/>
        </w:rPr>
        <w:t xml:space="preserve"> </w:t>
      </w:r>
      <w:r>
        <w:rPr>
          <w:rFonts w:ascii="Times New Roman;serif" w:hAnsi="Times New Roman;serif"/>
          <w:b w:val="false"/>
          <w:color w:val="000000"/>
          <w:sz w:val="24"/>
        </w:rPr>
        <w:t>required</w:t>
      </w:r>
      <w:r>
        <w:rPr>
          <w:color w:val="000000"/>
        </w:rPr>
        <w:t xml:space="preserve"> </w:t>
      </w:r>
      <w:r>
        <w:rPr>
          <w:rFonts w:ascii="Times New Roman;serif" w:hAnsi="Times New Roman;serif"/>
          <w:b w:val="false"/>
          <w:color w:val="000000"/>
          <w:sz w:val="24"/>
        </w:rPr>
        <w:t>pursuant</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Rule</w:t>
      </w:r>
      <w:r>
        <w:rPr>
          <w:color w:val="000000"/>
        </w:rPr>
        <w:t xml:space="preserve"> </w:t>
      </w:r>
      <w:r>
        <w:rPr>
          <w:rFonts w:ascii="Times New Roman;serif" w:hAnsi="Times New Roman;serif"/>
          <w:b w:val="false"/>
          <w:color w:val="000000"/>
          <w:sz w:val="24"/>
        </w:rPr>
        <w:t>903(b)(3)(ii)(B)</w:t>
      </w:r>
      <w:r>
        <w:rPr>
          <w:color w:val="000000"/>
        </w:rPr>
        <w:t xml:space="preserve"> </w:t>
      </w:r>
      <w:r>
        <w:rPr>
          <w:rFonts w:ascii="Times New Roman;serif" w:hAnsi="Times New Roman;serif"/>
          <w:b w:val="false"/>
          <w:color w:val="000000"/>
          <w:sz w:val="24"/>
        </w:rPr>
        <w:t>under</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Securities</w:t>
      </w:r>
      <w:r>
        <w:rPr>
          <w:color w:val="000000"/>
        </w:rPr>
        <w:t xml:space="preserve"> </w:t>
      </w:r>
      <w:r>
        <w:rPr>
          <w:rFonts w:ascii="Times New Roman;serif" w:hAnsi="Times New Roman;serif"/>
          <w:b w:val="false"/>
          <w:color w:val="000000"/>
          <w:sz w:val="24"/>
        </w:rPr>
        <w:t>Act,</w:t>
      </w:r>
      <w:r>
        <w:rPr>
          <w:color w:val="000000"/>
        </w:rPr>
        <w:t xml:space="preserve"> </w:t>
      </w:r>
      <w:r>
        <w:rPr>
          <w:rFonts w:ascii="Times New Roman;serif" w:hAnsi="Times New Roman;serif"/>
          <w:b w:val="false"/>
          <w:color w:val="000000"/>
          <w:sz w:val="24"/>
        </w:rPr>
        <w:t>except</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case</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transfer</w:t>
      </w:r>
      <w:r>
        <w:rPr>
          <w:color w:val="000000"/>
        </w:rPr>
        <w:t xml:space="preserve"> </w:t>
      </w:r>
      <w:r>
        <w:rPr>
          <w:rFonts w:ascii="Times New Roman;serif" w:hAnsi="Times New Roman;serif"/>
          <w:b w:val="false"/>
          <w:color w:val="000000"/>
          <w:sz w:val="24"/>
        </w:rPr>
        <w:t>pursuant</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an</w:t>
      </w:r>
      <w:r>
        <w:rPr>
          <w:color w:val="000000"/>
        </w:rPr>
        <w:t xml:space="preserve"> </w:t>
      </w:r>
      <w:r>
        <w:rPr>
          <w:rFonts w:ascii="Times New Roman;serif" w:hAnsi="Times New Roman;serif"/>
          <w:b w:val="false"/>
          <w:color w:val="000000"/>
          <w:sz w:val="24"/>
        </w:rPr>
        <w:t>exemption</w:t>
      </w:r>
      <w:r>
        <w:rPr>
          <w:color w:val="000000"/>
        </w:rPr>
        <w:t xml:space="preserve"> </w:t>
      </w:r>
      <w:r>
        <w:rPr>
          <w:rFonts w:ascii="Times New Roman;serif" w:hAnsi="Times New Roman;serif"/>
          <w:b w:val="false"/>
          <w:color w:val="000000"/>
          <w:sz w:val="24"/>
        </w:rPr>
        <w:t>from</w:t>
      </w:r>
      <w:r>
        <w:rPr>
          <w:color w:val="000000"/>
        </w:rPr>
        <w:t xml:space="preserve"> </w:t>
      </w:r>
      <w:r>
        <w:rPr>
          <w:rFonts w:ascii="Times New Roman;serif" w:hAnsi="Times New Roman;serif"/>
          <w:b w:val="false"/>
          <w:color w:val="000000"/>
          <w:sz w:val="24"/>
        </w:rPr>
        <w:t>the registration requirements of the Securities Act other than Rule 903 or Rule 904.</w:t>
      </w:r>
    </w:p>
    <w:p>
      <w:pPr>
        <w:pStyle w:val="TextBody"/>
        <w:bidi w:val="0"/>
        <w:spacing w:lineRule="auto" w:line="240" w:before="0" w:after="240"/>
        <w:ind w:left="0" w:right="0" w:firstLine="720"/>
        <w:jc w:val="both"/>
        <w:rPr/>
      </w:pPr>
      <w:r>
        <w:rPr>
          <w:rFonts w:ascii="Times New Roman;serif" w:hAnsi="Times New Roman;serif"/>
          <w:b w:val="false"/>
          <w:color w:val="000000"/>
          <w:sz w:val="24"/>
        </w:rPr>
        <w:t>(3)</w:t>
      </w:r>
      <w:r>
        <w:rPr>
          <w:rFonts w:ascii="Times New Roman;serif" w:hAnsi="Times New Roman;serif"/>
          <w:b w:val="false"/>
          <w:i/>
          <w:color w:val="000000"/>
          <w:sz w:val="24"/>
        </w:rPr>
        <w:t>Beneficial Interests in Restricted Global Notes to Unrestricted Definitive Notes</w:t>
      </w:r>
      <w:r>
        <w:rPr>
          <w:rFonts w:ascii="Times New Roman;serif" w:hAnsi="Times New Roman;serif"/>
          <w:b w:val="false"/>
          <w:color w:val="000000"/>
          <w:sz w:val="24"/>
        </w:rPr>
        <w:t>. A Holder of a beneficial interest in a Restricted Global</w:t>
      </w:r>
      <w:r>
        <w:rPr>
          <w:color w:val="000000"/>
        </w:rPr>
        <w:t xml:space="preserve"> </w:t>
      </w:r>
      <w:r>
        <w:rPr>
          <w:rFonts w:ascii="Times New Roman;serif" w:hAnsi="Times New Roman;serif"/>
          <w:b w:val="false"/>
          <w:color w:val="000000"/>
          <w:sz w:val="24"/>
        </w:rPr>
        <w:t>Note may exchange such beneficial interest for an Unrestricted Definitive Note or may transfer such beneficial interest to a</w:t>
      </w:r>
      <w:r>
        <w:rPr>
          <w:color w:val="000000"/>
        </w:rPr>
        <w:t xml:space="preserve"> </w:t>
      </w:r>
      <w:r>
        <w:rPr>
          <w:rFonts w:ascii="Times New Roman;serif" w:hAnsi="Times New Roman;serif"/>
          <w:b w:val="false"/>
          <w:color w:val="000000"/>
          <w:sz w:val="24"/>
        </w:rPr>
        <w:t>Person who takes delivery thereof in the form of an Unrestricted Definitive Note only if:</w:t>
      </w:r>
    </w:p>
    <w:p>
      <w:pPr>
        <w:pStyle w:val="TextBody"/>
        <w:bidi w:val="0"/>
        <w:spacing w:lineRule="auto" w:line="240" w:before="0" w:after="240"/>
        <w:ind w:left="0" w:right="0" w:firstLine="720"/>
        <w:jc w:val="left"/>
        <w:rPr/>
      </w:pPr>
      <w:r>
        <w:rPr>
          <w:rFonts w:ascii="Times New Roman;serif" w:hAnsi="Times New Roman;serif"/>
          <w:b w:val="false"/>
          <w:color w:val="000000"/>
          <w:sz w:val="24"/>
        </w:rPr>
        <w:t>(A)the</w:t>
      </w:r>
      <w:r>
        <w:rPr>
          <w:color w:val="000000"/>
        </w:rPr>
        <w:t xml:space="preserve"> </w:t>
      </w:r>
      <w:r>
        <w:rPr>
          <w:rFonts w:ascii="Times New Roman;serif" w:hAnsi="Times New Roman;serif"/>
          <w:b w:val="false"/>
          <w:color w:val="000000"/>
          <w:sz w:val="24"/>
        </w:rPr>
        <w:t>Registrar</w:t>
      </w:r>
      <w:r>
        <w:rPr>
          <w:color w:val="000000"/>
        </w:rPr>
        <w:t xml:space="preserve"> </w:t>
      </w:r>
      <w:r>
        <w:rPr>
          <w:rFonts w:ascii="Times New Roman;serif" w:hAnsi="Times New Roman;serif"/>
          <w:b w:val="false"/>
          <w:color w:val="000000"/>
          <w:sz w:val="24"/>
        </w:rPr>
        <w:t>receives</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following:</w:t>
      </w:r>
    </w:p>
    <w:p>
      <w:pPr>
        <w:pStyle w:val="TextBody"/>
        <w:bidi w:val="0"/>
        <w:spacing w:lineRule="auto" w:line="240" w:before="0" w:after="240"/>
        <w:ind w:left="0" w:right="0" w:firstLine="1440"/>
        <w:jc w:val="both"/>
        <w:rPr/>
      </w:pPr>
      <w:r>
        <w:rPr>
          <w:rFonts w:ascii="Times New Roman;serif" w:hAnsi="Times New Roman;serif"/>
          <w:b w:val="false"/>
          <w:color w:val="000000"/>
          <w:sz w:val="24"/>
        </w:rPr>
        <w:t>(i)if the Holder of such beneficial interest in a Restricted Global Note proposes to exchange such beneficial interest for an</w:t>
      </w:r>
      <w:r>
        <w:rPr>
          <w:color w:val="000000"/>
        </w:rPr>
        <w:t xml:space="preserve"> </w:t>
      </w:r>
      <w:r>
        <w:rPr>
          <w:rFonts w:ascii="Times New Roman;serif" w:hAnsi="Times New Roman;serif"/>
          <w:b w:val="false"/>
          <w:color w:val="000000"/>
          <w:sz w:val="24"/>
        </w:rPr>
        <w:t>Unrestricted</w:t>
      </w:r>
      <w:r>
        <w:rPr>
          <w:color w:val="000000"/>
        </w:rPr>
        <w:t xml:space="preserve"> </w:t>
      </w:r>
      <w:r>
        <w:rPr>
          <w:rFonts w:ascii="Times New Roman;serif" w:hAnsi="Times New Roman;serif"/>
          <w:b w:val="false"/>
          <w:color w:val="000000"/>
          <w:sz w:val="24"/>
        </w:rPr>
        <w:t>Definitive</w:t>
      </w:r>
      <w:r>
        <w:rPr>
          <w:color w:val="000000"/>
        </w:rPr>
        <w:t xml:space="preserve"> </w:t>
      </w:r>
      <w:r>
        <w:rPr>
          <w:rFonts w:ascii="Times New Roman;serif" w:hAnsi="Times New Roman;serif"/>
          <w:b w:val="false"/>
          <w:color w:val="000000"/>
          <w:sz w:val="24"/>
        </w:rPr>
        <w:t>Note,</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certificate</w:t>
      </w:r>
      <w:r>
        <w:rPr>
          <w:color w:val="000000"/>
        </w:rPr>
        <w:t xml:space="preserve"> </w:t>
      </w:r>
      <w:r>
        <w:rPr>
          <w:rFonts w:ascii="Times New Roman;serif" w:hAnsi="Times New Roman;serif"/>
          <w:b w:val="false"/>
          <w:color w:val="000000"/>
          <w:sz w:val="24"/>
        </w:rPr>
        <w:t>from</w:t>
      </w:r>
      <w:r>
        <w:rPr>
          <w:color w:val="000000"/>
        </w:rPr>
        <w:t xml:space="preserve"> </w:t>
      </w:r>
      <w:r>
        <w:rPr>
          <w:rFonts w:ascii="Times New Roman;serif" w:hAnsi="Times New Roman;serif"/>
          <w:b w:val="false"/>
          <w:color w:val="000000"/>
          <w:sz w:val="24"/>
        </w:rPr>
        <w:t>such</w:t>
      </w:r>
      <w:r>
        <w:rPr>
          <w:color w:val="000000"/>
        </w:rPr>
        <w:t xml:space="preserve"> </w:t>
      </w:r>
      <w:r>
        <w:rPr>
          <w:rFonts w:ascii="Times New Roman;serif" w:hAnsi="Times New Roman;serif"/>
          <w:b w:val="false"/>
          <w:color w:val="000000"/>
          <w:sz w:val="24"/>
        </w:rPr>
        <w:t>Holder</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form</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u w:val="single"/>
        </w:rPr>
        <w:t>Exhibit D</w:t>
      </w:r>
      <w:r>
        <w:rPr>
          <w:color w:val="000000"/>
        </w:rPr>
        <w:t xml:space="preserve"> </w:t>
      </w:r>
      <w:r>
        <w:rPr>
          <w:rFonts w:ascii="Times New Roman;serif" w:hAnsi="Times New Roman;serif"/>
          <w:b w:val="false"/>
          <w:color w:val="000000"/>
          <w:sz w:val="24"/>
        </w:rPr>
        <w:t>hereto,</w:t>
      </w:r>
      <w:r>
        <w:rPr>
          <w:color w:val="000000"/>
        </w:rPr>
        <w:t xml:space="preserve"> </w:t>
      </w:r>
      <w:r>
        <w:rPr>
          <w:rFonts w:ascii="Times New Roman;serif" w:hAnsi="Times New Roman;serif"/>
          <w:b w:val="false"/>
          <w:color w:val="000000"/>
          <w:sz w:val="24"/>
        </w:rPr>
        <w:t>including</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certifications</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item</w:t>
      </w:r>
      <w:r>
        <w:rPr>
          <w:color w:val="000000"/>
        </w:rPr>
        <w:t xml:space="preserve"> </w:t>
      </w:r>
      <w:r>
        <w:rPr>
          <w:rFonts w:ascii="Times New Roman;serif" w:hAnsi="Times New Roman;serif"/>
          <w:b w:val="false"/>
          <w:color w:val="000000"/>
          <w:sz w:val="24"/>
        </w:rPr>
        <w:t>(1)(b)</w:t>
      </w:r>
      <w:r>
        <w:rPr>
          <w:color w:val="000000"/>
        </w:rPr>
        <w:t xml:space="preserve"> </w:t>
      </w:r>
      <w:r>
        <w:rPr>
          <w:rFonts w:ascii="Times New Roman;serif" w:hAnsi="Times New Roman;serif"/>
          <w:b w:val="false"/>
          <w:color w:val="000000"/>
          <w:sz w:val="24"/>
        </w:rPr>
        <w:t>thereof; or</w:t>
      </w:r>
    </w:p>
    <w:p>
      <w:pPr>
        <w:pStyle w:val="TextBody"/>
        <w:bidi w:val="0"/>
        <w:spacing w:lineRule="auto" w:line="240" w:before="0" w:after="240"/>
        <w:ind w:left="0" w:right="0" w:firstLine="1440"/>
        <w:jc w:val="both"/>
        <w:rPr/>
      </w:pPr>
      <w:r>
        <w:rPr>
          <w:rFonts w:ascii="Times New Roman;serif" w:hAnsi="Times New Roman;serif"/>
          <w:b w:val="false"/>
          <w:color w:val="000000"/>
          <w:sz w:val="24"/>
        </w:rPr>
        <w:t>(ii)if the Holder of such beneficial interest in a Restricted Global Note proposes to transfer such beneficial interest to a Person</w:t>
      </w:r>
      <w:r>
        <w:rPr>
          <w:color w:val="000000"/>
        </w:rPr>
        <w:t xml:space="preserve"> </w:t>
      </w:r>
      <w:r>
        <w:rPr>
          <w:rFonts w:ascii="Times New Roman;serif" w:hAnsi="Times New Roman;serif"/>
          <w:b w:val="false"/>
          <w:color w:val="000000"/>
          <w:sz w:val="24"/>
        </w:rPr>
        <w:t xml:space="preserve">who shall take delivery thereof in the form of an Unrestricted Definitive Note, a certificate from such Holder in the form of </w:t>
      </w:r>
      <w:r>
        <w:rPr>
          <w:rFonts w:ascii="Times New Roman;serif" w:hAnsi="Times New Roman;serif"/>
          <w:b w:val="false"/>
          <w:color w:val="000000"/>
          <w:sz w:val="24"/>
          <w:u w:val="single"/>
        </w:rPr>
        <w:t>Exhibit C</w:t>
      </w:r>
      <w:r>
        <w:rPr>
          <w:color w:val="000000"/>
        </w:rPr>
        <w:t xml:space="preserve"> </w:t>
      </w:r>
      <w:r>
        <w:rPr>
          <w:rFonts w:ascii="Times New Roman;serif" w:hAnsi="Times New Roman;serif"/>
          <w:b w:val="false"/>
          <w:color w:val="000000"/>
          <w:sz w:val="24"/>
        </w:rPr>
        <w:t>hereto, including the certifications in item (4) thereof;</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and, in each such case set forth in this subparagraph (A), if the Registrar so requests or if the Applicable Procedures so require, an Opinion of Counsel in form reasonably acceptable to the Registrar to the effect that such exchange or transfer is in compliance with the Securities Act and that the restrictions on transfer contained herein and in the Private Placement Legend are no longer required in order to maintain compliance with the Securities Act.</w:t>
      </w:r>
    </w:p>
    <w:p>
      <w:pPr>
        <w:pStyle w:val="TextBody"/>
        <w:bidi w:val="0"/>
        <w:spacing w:lineRule="auto" w:line="288" w:before="0" w:after="240"/>
        <w:jc w:val="both"/>
        <w:rPr/>
      </w:pPr>
      <w:r>
        <w:rPr>
          <w:rFonts w:ascii="Times New Roman;serif" w:hAnsi="Times New Roman;serif"/>
          <w:b w:val="false"/>
          <w:color w:val="000000"/>
          <w:sz w:val="24"/>
        </w:rPr>
        <w:t xml:space="preserve">The Trustee shall cause the aggregate principal amount of the applicable Global Note to be reduced accordingly pursuant to </w:t>
      </w:r>
      <w:r>
        <w:rPr>
          <w:rFonts w:ascii="Times New Roman;serif" w:hAnsi="Times New Roman;serif"/>
          <w:b w:val="false"/>
          <w:color w:val="000000"/>
          <w:sz w:val="24"/>
          <w:u w:val="single"/>
        </w:rPr>
        <w:t>Section 2.06(g)</w:t>
      </w:r>
      <w:r>
        <w:rPr>
          <w:color w:val="000000"/>
        </w:rPr>
        <w:t xml:space="preserve"> </w:t>
      </w:r>
      <w:r>
        <w:rPr>
          <w:rFonts w:ascii="Times New Roman;serif" w:hAnsi="Times New Roman;serif"/>
          <w:b w:val="false"/>
          <w:color w:val="000000"/>
          <w:sz w:val="24"/>
        </w:rPr>
        <w:t xml:space="preserve">hereof, and the Issuer shall execute and, upon receipt of an Issuer Order in accordance with </w:t>
      </w:r>
      <w:r>
        <w:rPr>
          <w:rFonts w:ascii="Times New Roman;serif" w:hAnsi="Times New Roman;serif"/>
          <w:b w:val="false"/>
          <w:color w:val="000000"/>
          <w:sz w:val="24"/>
          <w:u w:val="single"/>
        </w:rPr>
        <w:t>Section 2.02</w:t>
      </w:r>
      <w:r>
        <w:rPr>
          <w:color w:val="000000"/>
        </w:rPr>
        <w:t xml:space="preserve"> </w:t>
      </w:r>
      <w:r>
        <w:rPr>
          <w:rFonts w:ascii="Times New Roman;serif" w:hAnsi="Times New Roman;serif"/>
          <w:b w:val="false"/>
          <w:color w:val="000000"/>
          <w:sz w:val="24"/>
        </w:rPr>
        <w:t xml:space="preserve">hereof, the Trustee shall authenticate and deliver to the Person designated in the Issuer Order a Definitive Note in the appropriate principal amount. Any Definitive Note issued in exchange for a beneficial interest in a Restricted Global Note pursuant to this </w:t>
      </w:r>
      <w:r>
        <w:rPr>
          <w:rFonts w:ascii="Times New Roman;serif" w:hAnsi="Times New Roman;serif"/>
          <w:b w:val="false"/>
          <w:color w:val="000000"/>
          <w:sz w:val="24"/>
          <w:u w:val="single"/>
        </w:rPr>
        <w:t>Section 2.06(c)</w:t>
      </w:r>
      <w:r>
        <w:rPr>
          <w:color w:val="000000"/>
        </w:rPr>
        <w:t xml:space="preserve"> </w:t>
      </w:r>
      <w:r>
        <w:rPr>
          <w:rFonts w:ascii="Times New Roman;serif" w:hAnsi="Times New Roman;serif"/>
          <w:b w:val="false"/>
          <w:color w:val="000000"/>
          <w:sz w:val="24"/>
        </w:rPr>
        <w:t>shall be registered in such name or names and in such authorized denomination or denominations as the Depository shall instruct, pursuant to written instruction from its Participants or its Applicable Procedures. The Trustee shall deliver such Definitive Notes to, or as directed by, the Persons in whose names such Definitive Notes are so registered.</w:t>
      </w:r>
    </w:p>
    <w:p>
      <w:pPr>
        <w:pStyle w:val="TextBody"/>
        <w:bidi w:val="0"/>
        <w:spacing w:lineRule="auto" w:line="240" w:before="0" w:after="240"/>
        <w:ind w:left="0" w:right="0" w:firstLine="720"/>
        <w:jc w:val="both"/>
        <w:rPr/>
      </w:pPr>
      <w:r>
        <w:rPr>
          <w:rFonts w:ascii="Times New Roman;serif" w:hAnsi="Times New Roman;serif"/>
          <w:b w:val="false"/>
          <w:color w:val="000000"/>
          <w:sz w:val="24"/>
        </w:rPr>
        <w:t>(4)</w:t>
      </w:r>
      <w:r>
        <w:rPr>
          <w:rFonts w:ascii="Times New Roman;serif" w:hAnsi="Times New Roman;serif"/>
          <w:b w:val="false"/>
          <w:i/>
          <w:color w:val="000000"/>
          <w:sz w:val="24"/>
        </w:rPr>
        <w:t>Beneficial Interests in Unrestricted Global Notes to Unrestricted Definitive Notes</w:t>
      </w:r>
      <w:r>
        <w:rPr>
          <w:rFonts w:ascii="Times New Roman;serif" w:hAnsi="Times New Roman;serif"/>
          <w:b w:val="false"/>
          <w:color w:val="000000"/>
          <w:sz w:val="24"/>
        </w:rPr>
        <w:t>. If any Holder of a beneficial interest in an Unrestricted</w:t>
      </w:r>
      <w:r>
        <w:rPr>
          <w:color w:val="000000"/>
        </w:rPr>
        <w:t xml:space="preserve"> </w:t>
      </w:r>
      <w:r>
        <w:rPr>
          <w:rFonts w:ascii="Times New Roman;serif" w:hAnsi="Times New Roman;serif"/>
          <w:b w:val="false"/>
          <w:color w:val="000000"/>
          <w:sz w:val="24"/>
        </w:rPr>
        <w:t>Global</w:t>
      </w:r>
      <w:r>
        <w:rPr>
          <w:color w:val="000000"/>
        </w:rPr>
        <w:t xml:space="preserve"> </w:t>
      </w:r>
      <w:r>
        <w:rPr>
          <w:rFonts w:ascii="Times New Roman;serif" w:hAnsi="Times New Roman;serif"/>
          <w:b w:val="false"/>
          <w:color w:val="000000"/>
          <w:sz w:val="24"/>
        </w:rPr>
        <w:t>Note</w:t>
      </w:r>
      <w:r>
        <w:rPr>
          <w:color w:val="000000"/>
        </w:rPr>
        <w:t xml:space="preserve"> </w:t>
      </w:r>
    </w:p>
    <w:p>
      <w:pPr>
        <w:pStyle w:val="TextBody"/>
        <w:bidi w:val="0"/>
        <w:spacing w:before="0" w:after="0"/>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735965"/>
                <wp:effectExtent l="0" t="0" r="0" b="0"/>
                <wp:wrapNone/>
                <wp:docPr id="86" name="Frame86"/>
                <a:graphic xmlns:a="http://schemas.openxmlformats.org/drawingml/2006/main">
                  <a:graphicData uri="http://schemas.microsoft.com/office/word/2010/wordprocessingShape">
                    <wps:wsp>
                      <wps:cNvSpPr txBox="1"/>
                      <wps:spPr>
                        <a:xfrm>
                          <a:off x="0" y="0"/>
                          <a:ext cx="6480175" cy="7359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38</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38</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rPr>
        <w:t>proposes</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exchange</w:t>
      </w:r>
      <w:r>
        <w:rPr>
          <w:color w:val="000000"/>
        </w:rPr>
        <w:t xml:space="preserve"> </w:t>
      </w:r>
      <w:r>
        <w:rPr>
          <w:rFonts w:ascii="Times New Roman;serif" w:hAnsi="Times New Roman;serif"/>
          <w:b w:val="false"/>
          <w:color w:val="000000"/>
          <w:sz w:val="24"/>
        </w:rPr>
        <w:t>such</w:t>
      </w:r>
      <w:r>
        <w:rPr>
          <w:color w:val="000000"/>
        </w:rPr>
        <w:t xml:space="preserve"> </w:t>
      </w:r>
      <w:r>
        <w:rPr>
          <w:rFonts w:ascii="Times New Roman;serif" w:hAnsi="Times New Roman;serif"/>
          <w:b w:val="false"/>
          <w:color w:val="000000"/>
          <w:sz w:val="24"/>
        </w:rPr>
        <w:t>beneficial</w:t>
      </w:r>
      <w:r>
        <w:rPr>
          <w:color w:val="000000"/>
        </w:rPr>
        <w:t xml:space="preserve"> </w:t>
      </w:r>
      <w:r>
        <w:rPr>
          <w:rFonts w:ascii="Times New Roman;serif" w:hAnsi="Times New Roman;serif"/>
          <w:b w:val="false"/>
          <w:color w:val="000000"/>
          <w:sz w:val="24"/>
        </w:rPr>
        <w:t>interest</w:t>
      </w:r>
      <w:r>
        <w:rPr>
          <w:color w:val="000000"/>
        </w:rPr>
        <w:t xml:space="preserve"> </w:t>
      </w:r>
      <w:r>
        <w:rPr>
          <w:rFonts w:ascii="Times New Roman;serif" w:hAnsi="Times New Roman;serif"/>
          <w:b w:val="false"/>
          <w:color w:val="000000"/>
          <w:sz w:val="24"/>
        </w:rPr>
        <w:t>for</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Definitive</w:t>
      </w:r>
      <w:r>
        <w:rPr>
          <w:color w:val="000000"/>
        </w:rPr>
        <w:t xml:space="preserve"> </w:t>
      </w:r>
      <w:r>
        <w:rPr>
          <w:rFonts w:ascii="Times New Roman;serif" w:hAnsi="Times New Roman;serif"/>
          <w:b w:val="false"/>
          <w:color w:val="000000"/>
          <w:sz w:val="24"/>
        </w:rPr>
        <w:t>Note</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transfer</w:t>
      </w:r>
      <w:r>
        <w:rPr>
          <w:color w:val="000000"/>
        </w:rPr>
        <w:t xml:space="preserve"> </w:t>
      </w:r>
      <w:r>
        <w:rPr>
          <w:rFonts w:ascii="Times New Roman;serif" w:hAnsi="Times New Roman;serif"/>
          <w:b w:val="false"/>
          <w:color w:val="000000"/>
          <w:sz w:val="24"/>
        </w:rPr>
        <w:t>such</w:t>
      </w:r>
      <w:r>
        <w:rPr>
          <w:color w:val="000000"/>
        </w:rPr>
        <w:t xml:space="preserve"> </w:t>
      </w:r>
      <w:r>
        <w:rPr>
          <w:rFonts w:ascii="Times New Roman;serif" w:hAnsi="Times New Roman;serif"/>
          <w:b w:val="false"/>
          <w:color w:val="000000"/>
          <w:sz w:val="24"/>
        </w:rPr>
        <w:t>beneficial</w:t>
      </w:r>
      <w:r>
        <w:rPr>
          <w:color w:val="000000"/>
        </w:rPr>
        <w:t xml:space="preserve"> </w:t>
      </w:r>
      <w:r>
        <w:rPr>
          <w:rFonts w:ascii="Times New Roman;serif" w:hAnsi="Times New Roman;serif"/>
          <w:b w:val="false"/>
          <w:color w:val="000000"/>
          <w:sz w:val="24"/>
        </w:rPr>
        <w:t>interest</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Person</w:t>
      </w:r>
      <w:r>
        <w:rPr>
          <w:color w:val="000000"/>
        </w:rPr>
        <w:t xml:space="preserve"> </w:t>
      </w:r>
      <w:r>
        <w:rPr>
          <w:rFonts w:ascii="Times New Roman;serif" w:hAnsi="Times New Roman;serif"/>
          <w:b w:val="false"/>
          <w:color w:val="000000"/>
          <w:sz w:val="24"/>
        </w:rPr>
        <w:t>who</w:t>
      </w:r>
      <w:r>
        <w:rPr>
          <w:color w:val="000000"/>
        </w:rPr>
        <w:t xml:space="preserve"> </w:t>
      </w:r>
      <w:r>
        <w:rPr>
          <w:rFonts w:ascii="Times New Roman;serif" w:hAnsi="Times New Roman;serif"/>
          <w:b w:val="false"/>
          <w:color w:val="000000"/>
          <w:sz w:val="24"/>
        </w:rPr>
        <w:t>takes</w:t>
      </w:r>
      <w:r>
        <w:rPr>
          <w:color w:val="000000"/>
        </w:rPr>
        <w:t xml:space="preserve"> </w:t>
      </w:r>
      <w:r>
        <w:rPr>
          <w:rFonts w:ascii="Times New Roman;serif" w:hAnsi="Times New Roman;serif"/>
          <w:b w:val="false"/>
          <w:color w:val="000000"/>
          <w:sz w:val="24"/>
        </w:rPr>
        <w:t>delivery thereof in the form of a Definitive Note, then the Trustee shall cause the aggregate principal amount of the applicable Global Note to be</w:t>
      </w:r>
      <w:r>
        <w:rPr>
          <w:color w:val="000000"/>
        </w:rPr>
        <w:t xml:space="preserve"> </w:t>
      </w:r>
      <w:r>
        <w:rPr>
          <w:rFonts w:ascii="Times New Roman;serif" w:hAnsi="Times New Roman;serif"/>
          <w:b w:val="false"/>
          <w:color w:val="000000"/>
          <w:sz w:val="24"/>
        </w:rPr>
        <w:t xml:space="preserve">reduced accordingly pursuant to </w:t>
      </w:r>
      <w:r>
        <w:rPr>
          <w:rFonts w:ascii="Times New Roman;serif" w:hAnsi="Times New Roman;serif"/>
          <w:b w:val="false"/>
          <w:color w:val="000000"/>
          <w:sz w:val="24"/>
          <w:u w:val="single"/>
        </w:rPr>
        <w:t>Section 2.06(g)</w:t>
      </w:r>
      <w:r>
        <w:rPr>
          <w:color w:val="000000"/>
        </w:rPr>
        <w:t xml:space="preserve"> </w:t>
      </w:r>
      <w:r>
        <w:rPr>
          <w:rFonts w:ascii="Times New Roman;serif" w:hAnsi="Times New Roman;serif"/>
          <w:b w:val="false"/>
          <w:color w:val="000000"/>
          <w:sz w:val="24"/>
        </w:rPr>
        <w:t>hereof, and the Issuer shall execute and, upon receipt of an Issuer Order in accordance with</w:t>
      </w:r>
      <w:r>
        <w:rPr>
          <w:color w:val="000000"/>
        </w:rPr>
        <w:t xml:space="preserve"> </w:t>
      </w:r>
      <w:r>
        <w:rPr>
          <w:rFonts w:ascii="Times New Roman;serif" w:hAnsi="Times New Roman;serif"/>
          <w:b w:val="false"/>
          <w:color w:val="000000"/>
          <w:sz w:val="24"/>
          <w:u w:val="single"/>
        </w:rPr>
        <w:t>Section 2.02</w:t>
      </w:r>
      <w:r>
        <w:rPr>
          <w:color w:val="000000"/>
        </w:rPr>
        <w:t xml:space="preserve"> </w:t>
      </w:r>
      <w:r>
        <w:rPr>
          <w:rFonts w:ascii="Times New Roman;serif" w:hAnsi="Times New Roman;serif"/>
          <w:b w:val="false"/>
          <w:color w:val="000000"/>
          <w:sz w:val="24"/>
        </w:rPr>
        <w:t>hereof, the Trustee shall authenticate and deliver to the Person designated in the instructions a Definitive Note in the appropriate</w:t>
      </w:r>
      <w:r>
        <w:rPr>
          <w:color w:val="000000"/>
        </w:rPr>
        <w:t xml:space="preserve"> </w:t>
      </w:r>
      <w:r>
        <w:rPr>
          <w:rFonts w:ascii="Times New Roman;serif" w:hAnsi="Times New Roman;serif"/>
          <w:b w:val="false"/>
          <w:color w:val="000000"/>
          <w:sz w:val="24"/>
        </w:rPr>
        <w:t>principal amount. Any Definitive Note issued in exchange for a beneficial interest pursuant to this</w:t>
      </w:r>
      <w:r>
        <w:rPr>
          <w:color w:val="000000"/>
        </w:rPr>
        <w:t xml:space="preserve"> </w:t>
      </w:r>
      <w:r>
        <w:rPr>
          <w:rFonts w:ascii="Times New Roman;serif" w:hAnsi="Times New Roman;serif"/>
          <w:b w:val="false"/>
          <w:color w:val="000000"/>
          <w:sz w:val="24"/>
          <w:u w:val="single"/>
        </w:rPr>
        <w:t>Section 2.06(c)(4)</w:t>
      </w:r>
      <w:r>
        <w:rPr>
          <w:color w:val="000000"/>
        </w:rPr>
        <w:t xml:space="preserve"> </w:t>
      </w:r>
      <w:r>
        <w:rPr>
          <w:rFonts w:ascii="Times New Roman;serif" w:hAnsi="Times New Roman;serif"/>
          <w:b w:val="false"/>
          <w:color w:val="000000"/>
          <w:sz w:val="24"/>
        </w:rPr>
        <w:t>shall be registered in such</w:t>
      </w:r>
      <w:r>
        <w:rPr>
          <w:color w:val="000000"/>
        </w:rPr>
        <w:t xml:space="preserve"> </w:t>
      </w:r>
      <w:r>
        <w:rPr>
          <w:rFonts w:ascii="Times New Roman;serif" w:hAnsi="Times New Roman;serif"/>
          <w:b w:val="false"/>
          <w:color w:val="000000"/>
          <w:sz w:val="24"/>
        </w:rPr>
        <w:t>name</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names</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such</w:t>
      </w:r>
      <w:r>
        <w:rPr>
          <w:color w:val="000000"/>
        </w:rPr>
        <w:t xml:space="preserve"> </w:t>
      </w:r>
      <w:r>
        <w:rPr>
          <w:rFonts w:ascii="Times New Roman;serif" w:hAnsi="Times New Roman;serif"/>
          <w:b w:val="false"/>
          <w:color w:val="000000"/>
          <w:sz w:val="24"/>
        </w:rPr>
        <w:t>authorized</w:t>
      </w:r>
      <w:r>
        <w:rPr>
          <w:color w:val="000000"/>
        </w:rPr>
        <w:t xml:space="preserve"> </w:t>
      </w:r>
      <w:r>
        <w:rPr>
          <w:rFonts w:ascii="Times New Roman;serif" w:hAnsi="Times New Roman;serif"/>
          <w:b w:val="false"/>
          <w:color w:val="000000"/>
          <w:sz w:val="24"/>
        </w:rPr>
        <w:t>denomination</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denominations</w:t>
      </w:r>
      <w:r>
        <w:rPr>
          <w:color w:val="000000"/>
        </w:rPr>
        <w:t xml:space="preserve"> </w:t>
      </w:r>
      <w:r>
        <w:rPr>
          <w:rFonts w:ascii="Times New Roman;serif" w:hAnsi="Times New Roman;serif"/>
          <w:b w:val="false"/>
          <w:color w:val="000000"/>
          <w:sz w:val="24"/>
        </w:rPr>
        <w:t>as</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Holder</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such</w:t>
      </w:r>
      <w:r>
        <w:rPr>
          <w:color w:val="000000"/>
        </w:rPr>
        <w:t xml:space="preserve"> </w:t>
      </w:r>
      <w:r>
        <w:rPr>
          <w:rFonts w:ascii="Times New Roman;serif" w:hAnsi="Times New Roman;serif"/>
          <w:b w:val="false"/>
          <w:color w:val="000000"/>
          <w:sz w:val="24"/>
        </w:rPr>
        <w:t>beneficial</w:t>
      </w:r>
      <w:r>
        <w:rPr>
          <w:color w:val="000000"/>
        </w:rPr>
        <w:t xml:space="preserve"> </w:t>
      </w:r>
      <w:r>
        <w:rPr>
          <w:rFonts w:ascii="Times New Roman;serif" w:hAnsi="Times New Roman;serif"/>
          <w:b w:val="false"/>
          <w:color w:val="000000"/>
          <w:sz w:val="24"/>
        </w:rPr>
        <w:t>interest</w:t>
      </w:r>
      <w:r>
        <w:rPr>
          <w:color w:val="000000"/>
        </w:rPr>
        <w:t xml:space="preserve"> </w:t>
      </w:r>
      <w:r>
        <w:rPr>
          <w:rFonts w:ascii="Times New Roman;serif" w:hAnsi="Times New Roman;serif"/>
          <w:b w:val="false"/>
          <w:color w:val="000000"/>
          <w:sz w:val="24"/>
        </w:rPr>
        <w:t>requests</w:t>
      </w:r>
      <w:r>
        <w:rPr>
          <w:color w:val="000000"/>
        </w:rPr>
        <w:t xml:space="preserve"> </w:t>
      </w:r>
      <w:r>
        <w:rPr>
          <w:rFonts w:ascii="Times New Roman;serif" w:hAnsi="Times New Roman;serif"/>
          <w:b w:val="false"/>
          <w:color w:val="000000"/>
          <w:sz w:val="24"/>
        </w:rPr>
        <w:t>through</w:t>
      </w:r>
      <w:r>
        <w:rPr>
          <w:color w:val="000000"/>
        </w:rPr>
        <w:t xml:space="preserve"> </w:t>
      </w:r>
      <w:r>
        <w:rPr>
          <w:rFonts w:ascii="Times New Roman;serif" w:hAnsi="Times New Roman;serif"/>
          <w:b w:val="false"/>
          <w:color w:val="000000"/>
          <w:sz w:val="24"/>
        </w:rPr>
        <w:t>instructions</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the Registrar from or through the Depository and the Participant or Indirect Participant. The Trustee shall deliver such Definitive Notes to the</w:t>
      </w:r>
      <w:r>
        <w:rPr>
          <w:color w:val="000000"/>
        </w:rPr>
        <w:t xml:space="preserve"> </w:t>
      </w:r>
      <w:r>
        <w:rPr>
          <w:rFonts w:ascii="Times New Roman;serif" w:hAnsi="Times New Roman;serif"/>
          <w:b w:val="false"/>
          <w:color w:val="000000"/>
          <w:sz w:val="24"/>
        </w:rPr>
        <w:t xml:space="preserve">Persons in whose names such Notes are so registered. Any Definitive Note issued in exchange for a beneficial interest pursuant to this </w:t>
      </w:r>
      <w:r>
        <w:rPr>
          <w:rFonts w:ascii="Times New Roman;serif" w:hAnsi="Times New Roman;serif"/>
          <w:b w:val="false"/>
          <w:color w:val="000000"/>
          <w:sz w:val="24"/>
          <w:u w:val="single"/>
        </w:rPr>
        <w:t>Section 2.06(c)(4)</w:t>
      </w:r>
      <w:r>
        <w:rPr>
          <w:color w:val="000000"/>
        </w:rPr>
        <w:t xml:space="preserve"> </w:t>
      </w:r>
      <w:r>
        <w:rPr>
          <w:rFonts w:ascii="Times New Roman;serif" w:hAnsi="Times New Roman;serif"/>
          <w:b w:val="false"/>
          <w:color w:val="000000"/>
          <w:sz w:val="24"/>
        </w:rPr>
        <w:t>will not bear the Private Placement Legend.</w:t>
      </w:r>
    </w:p>
    <w:p>
      <w:pPr>
        <w:pStyle w:val="TextBody"/>
        <w:bidi w:val="0"/>
        <w:spacing w:lineRule="auto" w:line="240" w:before="0" w:after="240"/>
        <w:ind w:left="0" w:right="0" w:firstLine="720"/>
        <w:jc w:val="both"/>
        <w:rPr/>
      </w:pPr>
      <w:r>
        <w:rPr>
          <w:rFonts w:ascii="Times New Roman;serif" w:hAnsi="Times New Roman;serif"/>
          <w:b w:val="false"/>
          <w:color w:val="000000"/>
          <w:sz w:val="24"/>
        </w:rPr>
        <w:t>(d)</w:t>
      </w:r>
      <w:r>
        <w:rPr>
          <w:rFonts w:ascii="Times New Roman;serif" w:hAnsi="Times New Roman;serif"/>
          <w:b w:val="false"/>
          <w:i/>
          <w:color w:val="000000"/>
          <w:sz w:val="24"/>
        </w:rPr>
        <w:t>Transfer</w:t>
      </w:r>
      <w:r>
        <w:rPr>
          <w:color w:val="000000"/>
        </w:rPr>
        <w:t xml:space="preserve"> </w:t>
      </w:r>
      <w:r>
        <w:rPr>
          <w:rFonts w:ascii="Times New Roman;serif" w:hAnsi="Times New Roman;serif"/>
          <w:b w:val="false"/>
          <w:i/>
          <w:color w:val="000000"/>
          <w:sz w:val="24"/>
        </w:rPr>
        <w:t>and</w:t>
      </w:r>
      <w:r>
        <w:rPr>
          <w:color w:val="000000"/>
        </w:rPr>
        <w:t xml:space="preserve"> </w:t>
      </w:r>
      <w:r>
        <w:rPr>
          <w:rFonts w:ascii="Times New Roman;serif" w:hAnsi="Times New Roman;serif"/>
          <w:b w:val="false"/>
          <w:i/>
          <w:color w:val="000000"/>
          <w:sz w:val="24"/>
        </w:rPr>
        <w:t>Exchange</w:t>
      </w:r>
      <w:r>
        <w:rPr>
          <w:color w:val="000000"/>
        </w:rPr>
        <w:t xml:space="preserve"> </w:t>
      </w:r>
      <w:r>
        <w:rPr>
          <w:rFonts w:ascii="Times New Roman;serif" w:hAnsi="Times New Roman;serif"/>
          <w:b w:val="false"/>
          <w:i/>
          <w:color w:val="000000"/>
          <w:sz w:val="24"/>
        </w:rPr>
        <w:t>of</w:t>
      </w:r>
      <w:r>
        <w:rPr>
          <w:color w:val="000000"/>
        </w:rPr>
        <w:t xml:space="preserve"> </w:t>
      </w:r>
      <w:r>
        <w:rPr>
          <w:rFonts w:ascii="Times New Roman;serif" w:hAnsi="Times New Roman;serif"/>
          <w:b w:val="false"/>
          <w:i/>
          <w:color w:val="000000"/>
          <w:sz w:val="24"/>
        </w:rPr>
        <w:t>Definitive</w:t>
      </w:r>
      <w:r>
        <w:rPr>
          <w:color w:val="000000"/>
        </w:rPr>
        <w:t xml:space="preserve"> </w:t>
      </w:r>
      <w:r>
        <w:rPr>
          <w:rFonts w:ascii="Times New Roman;serif" w:hAnsi="Times New Roman;serif"/>
          <w:b w:val="false"/>
          <w:i/>
          <w:color w:val="000000"/>
          <w:sz w:val="24"/>
        </w:rPr>
        <w:t>Notes</w:t>
      </w:r>
      <w:r>
        <w:rPr>
          <w:color w:val="000000"/>
        </w:rPr>
        <w:t xml:space="preserve"> </w:t>
      </w:r>
      <w:r>
        <w:rPr>
          <w:rFonts w:ascii="Times New Roman;serif" w:hAnsi="Times New Roman;serif"/>
          <w:b w:val="false"/>
          <w:i/>
          <w:color w:val="000000"/>
          <w:sz w:val="24"/>
        </w:rPr>
        <w:t>for</w:t>
      </w:r>
      <w:r>
        <w:rPr>
          <w:color w:val="000000"/>
        </w:rPr>
        <w:t xml:space="preserve"> </w:t>
      </w:r>
      <w:r>
        <w:rPr>
          <w:rFonts w:ascii="Times New Roman;serif" w:hAnsi="Times New Roman;serif"/>
          <w:b w:val="false"/>
          <w:i/>
          <w:color w:val="000000"/>
          <w:sz w:val="24"/>
        </w:rPr>
        <w:t>Beneficial</w:t>
      </w:r>
      <w:r>
        <w:rPr>
          <w:color w:val="000000"/>
        </w:rPr>
        <w:t xml:space="preserve"> </w:t>
      </w:r>
      <w:r>
        <w:rPr>
          <w:rFonts w:ascii="Times New Roman;serif" w:hAnsi="Times New Roman;serif"/>
          <w:b w:val="false"/>
          <w:i/>
          <w:color w:val="000000"/>
          <w:sz w:val="24"/>
        </w:rPr>
        <w:t>Interests</w:t>
      </w:r>
      <w:r>
        <w:rPr>
          <w:color w:val="000000"/>
        </w:rPr>
        <w:t xml:space="preserve"> </w:t>
      </w:r>
      <w:r>
        <w:rPr>
          <w:rFonts w:ascii="Times New Roman;serif" w:hAnsi="Times New Roman;serif"/>
          <w:b w:val="false"/>
          <w:i/>
          <w:color w:val="000000"/>
          <w:sz w:val="24"/>
        </w:rPr>
        <w:t>in</w:t>
      </w:r>
      <w:r>
        <w:rPr>
          <w:color w:val="000000"/>
        </w:rPr>
        <w:t xml:space="preserve"> </w:t>
      </w:r>
      <w:r>
        <w:rPr>
          <w:rFonts w:ascii="Times New Roman;serif" w:hAnsi="Times New Roman;serif"/>
          <w:b w:val="false"/>
          <w:i/>
          <w:color w:val="000000"/>
          <w:sz w:val="24"/>
        </w:rPr>
        <w:t>Global</w:t>
      </w:r>
      <w:r>
        <w:rPr>
          <w:color w:val="000000"/>
        </w:rPr>
        <w:t xml:space="preserve"> </w:t>
      </w:r>
      <w:r>
        <w:rPr>
          <w:rFonts w:ascii="Times New Roman;serif" w:hAnsi="Times New Roman;serif"/>
          <w:b w:val="false"/>
          <w:i/>
          <w:color w:val="000000"/>
          <w:sz w:val="24"/>
        </w:rPr>
        <w:t>Notes</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(1)</w:t>
      </w:r>
      <w:r>
        <w:rPr>
          <w:rFonts w:ascii="Times New Roman;serif" w:hAnsi="Times New Roman;serif"/>
          <w:b w:val="false"/>
          <w:i/>
          <w:color w:val="000000"/>
          <w:sz w:val="24"/>
        </w:rPr>
        <w:t>Restricted Definitive Notes to Beneficial Interests in Restricted Global Notes</w:t>
      </w:r>
      <w:r>
        <w:rPr>
          <w:rFonts w:ascii="Times New Roman;serif" w:hAnsi="Times New Roman;serif"/>
          <w:b w:val="false"/>
          <w:color w:val="000000"/>
          <w:sz w:val="24"/>
        </w:rPr>
        <w:t>. If any Holder of a Restricted Definitive Note proposes to</w:t>
      </w:r>
      <w:r>
        <w:rPr>
          <w:color w:val="000000"/>
        </w:rPr>
        <w:t xml:space="preserve"> </w:t>
      </w:r>
      <w:r>
        <w:rPr>
          <w:rFonts w:ascii="Times New Roman;serif" w:hAnsi="Times New Roman;serif"/>
          <w:b w:val="false"/>
          <w:color w:val="000000"/>
          <w:sz w:val="24"/>
        </w:rPr>
        <w:t>exchange such Note for a beneficial interest in a Restricted Global Note or to transfer such Restricted Definitive Notes to a</w:t>
      </w:r>
      <w:r>
        <w:rPr>
          <w:color w:val="000000"/>
        </w:rPr>
        <w:t xml:space="preserve"> </w:t>
      </w:r>
      <w:r>
        <w:rPr>
          <w:rFonts w:ascii="Times New Roman;serif" w:hAnsi="Times New Roman;serif"/>
          <w:b w:val="false"/>
          <w:color w:val="000000"/>
          <w:sz w:val="24"/>
        </w:rPr>
        <w:t>Person who takes delivery thereof in the form of a beneficial interest in a Restricted Global Note, then, upon receipt by the</w:t>
      </w:r>
      <w:r>
        <w:rPr>
          <w:color w:val="000000"/>
        </w:rPr>
        <w:t xml:space="preserve"> </w:t>
      </w:r>
      <w:r>
        <w:rPr>
          <w:rFonts w:ascii="Times New Roman;serif" w:hAnsi="Times New Roman;serif"/>
          <w:b w:val="false"/>
          <w:color w:val="000000"/>
          <w:sz w:val="24"/>
        </w:rPr>
        <w:t>Registrar of the following documentation:</w:t>
      </w:r>
    </w:p>
    <w:p>
      <w:pPr>
        <w:pStyle w:val="TextBody"/>
        <w:bidi w:val="0"/>
        <w:spacing w:lineRule="auto" w:line="240" w:before="0" w:after="240"/>
        <w:ind w:left="0" w:right="0" w:firstLine="720"/>
        <w:jc w:val="both"/>
        <w:rPr/>
      </w:pPr>
      <w:r>
        <w:rPr>
          <w:rFonts w:ascii="Times New Roman;serif" w:hAnsi="Times New Roman;serif"/>
          <w:b w:val="false"/>
          <w:color w:val="000000"/>
          <w:sz w:val="24"/>
        </w:rPr>
        <w:t>(A)if the Holder of such Restricted Definitive Note proposes to exchange such Note for a beneficial interest in a Restricted Global Note, a</w:t>
      </w:r>
      <w:r>
        <w:rPr>
          <w:color w:val="000000"/>
        </w:rPr>
        <w:t xml:space="preserve"> </w:t>
      </w:r>
      <w:r>
        <w:rPr>
          <w:rFonts w:ascii="Times New Roman;serif" w:hAnsi="Times New Roman;serif"/>
          <w:b w:val="false"/>
          <w:color w:val="000000"/>
          <w:sz w:val="24"/>
        </w:rPr>
        <w:t xml:space="preserve">certificate from such Holder in the form of </w:t>
      </w:r>
      <w:r>
        <w:rPr>
          <w:rFonts w:ascii="Times New Roman;serif" w:hAnsi="Times New Roman;serif"/>
          <w:b w:val="false"/>
          <w:color w:val="000000"/>
          <w:sz w:val="24"/>
          <w:u w:val="single"/>
        </w:rPr>
        <w:t>Exhibit B</w:t>
      </w:r>
      <w:r>
        <w:rPr>
          <w:color w:val="000000"/>
        </w:rPr>
        <w:t xml:space="preserve"> </w:t>
      </w:r>
      <w:r>
        <w:rPr>
          <w:rFonts w:ascii="Times New Roman;serif" w:hAnsi="Times New Roman;serif"/>
          <w:b w:val="false"/>
          <w:color w:val="000000"/>
          <w:sz w:val="24"/>
        </w:rPr>
        <w:t>hereto, including the certifications in item (2)(b) thereof;</w:t>
      </w:r>
    </w:p>
    <w:p>
      <w:pPr>
        <w:pStyle w:val="TextBody"/>
        <w:bidi w:val="0"/>
        <w:spacing w:lineRule="auto" w:line="240" w:before="0" w:after="240"/>
        <w:ind w:left="0" w:right="0" w:firstLine="720"/>
        <w:jc w:val="both"/>
        <w:rPr/>
      </w:pPr>
      <w:r>
        <w:rPr>
          <w:rFonts w:ascii="Times New Roman;serif" w:hAnsi="Times New Roman;serif"/>
          <w:b w:val="false"/>
          <w:color w:val="000000"/>
          <w:sz w:val="24"/>
        </w:rPr>
        <w:t>(B)if</w:t>
      </w:r>
      <w:r>
        <w:rPr>
          <w:color w:val="000000"/>
        </w:rPr>
        <w:t xml:space="preserve"> </w:t>
      </w:r>
      <w:r>
        <w:rPr>
          <w:rFonts w:ascii="Times New Roman;serif" w:hAnsi="Times New Roman;serif"/>
          <w:b w:val="false"/>
          <w:color w:val="000000"/>
          <w:sz w:val="24"/>
        </w:rPr>
        <w:t>such</w:t>
      </w:r>
      <w:r>
        <w:rPr>
          <w:color w:val="000000"/>
        </w:rPr>
        <w:t xml:space="preserve"> </w:t>
      </w:r>
      <w:r>
        <w:rPr>
          <w:rFonts w:ascii="Times New Roman;serif" w:hAnsi="Times New Roman;serif"/>
          <w:b w:val="false"/>
          <w:color w:val="000000"/>
          <w:sz w:val="24"/>
        </w:rPr>
        <w:t>Restricted</w:t>
      </w:r>
      <w:r>
        <w:rPr>
          <w:color w:val="000000"/>
        </w:rPr>
        <w:t xml:space="preserve"> </w:t>
      </w:r>
      <w:r>
        <w:rPr>
          <w:rFonts w:ascii="Times New Roman;serif" w:hAnsi="Times New Roman;serif"/>
          <w:b w:val="false"/>
          <w:color w:val="000000"/>
          <w:sz w:val="24"/>
        </w:rPr>
        <w:t>Definitive</w:t>
      </w:r>
      <w:r>
        <w:rPr>
          <w:color w:val="000000"/>
        </w:rPr>
        <w:t xml:space="preserve"> </w:t>
      </w:r>
      <w:r>
        <w:rPr>
          <w:rFonts w:ascii="Times New Roman;serif" w:hAnsi="Times New Roman;serif"/>
          <w:b w:val="false"/>
          <w:color w:val="000000"/>
          <w:sz w:val="24"/>
        </w:rPr>
        <w:t>Note</w:t>
      </w:r>
      <w:r>
        <w:rPr>
          <w:color w:val="000000"/>
        </w:rPr>
        <w:t xml:space="preserve"> </w:t>
      </w:r>
      <w:r>
        <w:rPr>
          <w:rFonts w:ascii="Times New Roman;serif" w:hAnsi="Times New Roman;serif"/>
          <w:b w:val="false"/>
          <w:color w:val="000000"/>
          <w:sz w:val="24"/>
        </w:rPr>
        <w:t>is</w:t>
      </w:r>
      <w:r>
        <w:rPr>
          <w:color w:val="000000"/>
        </w:rPr>
        <w:t xml:space="preserve"> </w:t>
      </w:r>
      <w:r>
        <w:rPr>
          <w:rFonts w:ascii="Times New Roman;serif" w:hAnsi="Times New Roman;serif"/>
          <w:b w:val="false"/>
          <w:color w:val="000000"/>
          <w:sz w:val="24"/>
        </w:rPr>
        <w:t>being</w:t>
      </w:r>
      <w:r>
        <w:rPr>
          <w:color w:val="000000"/>
        </w:rPr>
        <w:t xml:space="preserve"> </w:t>
      </w:r>
      <w:r>
        <w:rPr>
          <w:rFonts w:ascii="Times New Roman;serif" w:hAnsi="Times New Roman;serif"/>
          <w:b w:val="false"/>
          <w:color w:val="000000"/>
          <w:sz w:val="24"/>
        </w:rPr>
        <w:t>transferred</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QIB</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accordance</w:t>
      </w:r>
      <w:r>
        <w:rPr>
          <w:color w:val="000000"/>
        </w:rPr>
        <w:t xml:space="preserve"> </w:t>
      </w:r>
      <w:r>
        <w:rPr>
          <w:rFonts w:ascii="Times New Roman;serif" w:hAnsi="Times New Roman;serif"/>
          <w:b w:val="false"/>
          <w:color w:val="000000"/>
          <w:sz w:val="24"/>
        </w:rPr>
        <w:t>with</w:t>
      </w:r>
      <w:r>
        <w:rPr>
          <w:color w:val="000000"/>
        </w:rPr>
        <w:t xml:space="preserve"> </w:t>
      </w:r>
      <w:r>
        <w:rPr>
          <w:rFonts w:ascii="Times New Roman;serif" w:hAnsi="Times New Roman;serif"/>
          <w:b w:val="false"/>
          <w:color w:val="000000"/>
          <w:sz w:val="24"/>
        </w:rPr>
        <w:t>Rule</w:t>
      </w:r>
      <w:r>
        <w:rPr>
          <w:color w:val="000000"/>
        </w:rPr>
        <w:t xml:space="preserve"> </w:t>
      </w:r>
      <w:r>
        <w:rPr>
          <w:rFonts w:ascii="Times New Roman;serif" w:hAnsi="Times New Roman;serif"/>
          <w:b w:val="false"/>
          <w:color w:val="000000"/>
          <w:sz w:val="24"/>
        </w:rPr>
        <w:t>144A,</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certificate</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effect</w:t>
      </w:r>
      <w:r>
        <w:rPr>
          <w:color w:val="000000"/>
        </w:rPr>
        <w:t xml:space="preserve"> </w:t>
      </w:r>
      <w:r>
        <w:rPr>
          <w:rFonts w:ascii="Times New Roman;serif" w:hAnsi="Times New Roman;serif"/>
          <w:b w:val="false"/>
          <w:color w:val="000000"/>
          <w:sz w:val="24"/>
        </w:rPr>
        <w:t>set</w:t>
      </w:r>
      <w:r>
        <w:rPr>
          <w:color w:val="000000"/>
        </w:rPr>
        <w:t xml:space="preserve"> </w:t>
      </w:r>
      <w:r>
        <w:rPr>
          <w:rFonts w:ascii="Times New Roman;serif" w:hAnsi="Times New Roman;serif"/>
          <w:b w:val="false"/>
          <w:color w:val="000000"/>
          <w:sz w:val="24"/>
        </w:rPr>
        <w:t>forth</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u w:val="single"/>
        </w:rPr>
        <w:t>Exhibit B</w:t>
      </w:r>
      <w:r>
        <w:rPr>
          <w:color w:val="000000"/>
        </w:rPr>
        <w:t xml:space="preserve"> </w:t>
      </w:r>
      <w:r>
        <w:rPr>
          <w:rFonts w:ascii="Times New Roman;serif" w:hAnsi="Times New Roman;serif"/>
          <w:b w:val="false"/>
          <w:color w:val="000000"/>
          <w:sz w:val="24"/>
        </w:rPr>
        <w:t>hereto, including the certifications in item (1) thereof;</w:t>
      </w:r>
    </w:p>
    <w:p>
      <w:pPr>
        <w:pStyle w:val="TextBody"/>
        <w:bidi w:val="0"/>
        <w:spacing w:lineRule="auto" w:line="240" w:before="0" w:after="240"/>
        <w:ind w:left="0" w:right="0" w:firstLine="720"/>
        <w:jc w:val="both"/>
        <w:rPr/>
      </w:pPr>
      <w:r>
        <w:rPr>
          <w:rFonts w:ascii="Times New Roman;serif" w:hAnsi="Times New Roman;serif"/>
          <w:b w:val="false"/>
          <w:color w:val="000000"/>
          <w:sz w:val="24"/>
        </w:rPr>
        <w:t>(C)if</w:t>
      </w:r>
      <w:r>
        <w:rPr>
          <w:color w:val="000000"/>
        </w:rPr>
        <w:t xml:space="preserve"> </w:t>
      </w:r>
      <w:r>
        <w:rPr>
          <w:rFonts w:ascii="Times New Roman;serif" w:hAnsi="Times New Roman;serif"/>
          <w:b w:val="false"/>
          <w:color w:val="000000"/>
          <w:sz w:val="24"/>
        </w:rPr>
        <w:t>such</w:t>
      </w:r>
      <w:r>
        <w:rPr>
          <w:color w:val="000000"/>
        </w:rPr>
        <w:t xml:space="preserve"> </w:t>
      </w:r>
      <w:r>
        <w:rPr>
          <w:rFonts w:ascii="Times New Roman;serif" w:hAnsi="Times New Roman;serif"/>
          <w:b w:val="false"/>
          <w:color w:val="000000"/>
          <w:sz w:val="24"/>
        </w:rPr>
        <w:t>Restricted</w:t>
      </w:r>
      <w:r>
        <w:rPr>
          <w:color w:val="000000"/>
        </w:rPr>
        <w:t xml:space="preserve"> </w:t>
      </w:r>
      <w:r>
        <w:rPr>
          <w:rFonts w:ascii="Times New Roman;serif" w:hAnsi="Times New Roman;serif"/>
          <w:b w:val="false"/>
          <w:color w:val="000000"/>
          <w:sz w:val="24"/>
        </w:rPr>
        <w:t>Definitive</w:t>
      </w:r>
      <w:r>
        <w:rPr>
          <w:color w:val="000000"/>
        </w:rPr>
        <w:t xml:space="preserve"> </w:t>
      </w:r>
      <w:r>
        <w:rPr>
          <w:rFonts w:ascii="Times New Roman;serif" w:hAnsi="Times New Roman;serif"/>
          <w:b w:val="false"/>
          <w:color w:val="000000"/>
          <w:sz w:val="24"/>
        </w:rPr>
        <w:t>Note</w:t>
      </w:r>
      <w:r>
        <w:rPr>
          <w:color w:val="000000"/>
        </w:rPr>
        <w:t xml:space="preserve"> </w:t>
      </w:r>
      <w:r>
        <w:rPr>
          <w:rFonts w:ascii="Times New Roman;serif" w:hAnsi="Times New Roman;serif"/>
          <w:b w:val="false"/>
          <w:color w:val="000000"/>
          <w:sz w:val="24"/>
        </w:rPr>
        <w:t>is</w:t>
      </w:r>
      <w:r>
        <w:rPr>
          <w:color w:val="000000"/>
        </w:rPr>
        <w:t xml:space="preserve"> </w:t>
      </w:r>
      <w:r>
        <w:rPr>
          <w:rFonts w:ascii="Times New Roman;serif" w:hAnsi="Times New Roman;serif"/>
          <w:b w:val="false"/>
          <w:color w:val="000000"/>
          <w:sz w:val="24"/>
        </w:rPr>
        <w:t>being</w:t>
      </w:r>
      <w:r>
        <w:rPr>
          <w:color w:val="000000"/>
        </w:rPr>
        <w:t xml:space="preserve"> </w:t>
      </w:r>
      <w:r>
        <w:rPr>
          <w:rFonts w:ascii="Times New Roman;serif" w:hAnsi="Times New Roman;serif"/>
          <w:b w:val="false"/>
          <w:color w:val="000000"/>
          <w:sz w:val="24"/>
        </w:rPr>
        <w:t>transferred</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non-U.S.</w:t>
      </w:r>
      <w:r>
        <w:rPr>
          <w:color w:val="000000"/>
        </w:rPr>
        <w:t xml:space="preserve"> </w:t>
      </w:r>
      <w:r>
        <w:rPr>
          <w:rFonts w:ascii="Times New Roman;serif" w:hAnsi="Times New Roman;serif"/>
          <w:b w:val="false"/>
          <w:color w:val="000000"/>
          <w:sz w:val="24"/>
        </w:rPr>
        <w:t>Person</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an</w:t>
      </w:r>
      <w:r>
        <w:rPr>
          <w:color w:val="000000"/>
        </w:rPr>
        <w:t xml:space="preserve"> </w:t>
      </w:r>
      <w:r>
        <w:rPr>
          <w:rFonts w:ascii="Times New Roman;serif" w:hAnsi="Times New Roman;serif"/>
          <w:b w:val="false"/>
          <w:color w:val="000000"/>
          <w:sz w:val="24"/>
        </w:rPr>
        <w:t>offshore</w:t>
      </w:r>
      <w:r>
        <w:rPr>
          <w:color w:val="000000"/>
        </w:rPr>
        <w:t xml:space="preserve"> </w:t>
      </w:r>
      <w:r>
        <w:rPr>
          <w:rFonts w:ascii="Times New Roman;serif" w:hAnsi="Times New Roman;serif"/>
          <w:b w:val="false"/>
          <w:color w:val="000000"/>
          <w:sz w:val="24"/>
        </w:rPr>
        <w:t>transaction</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accordance</w:t>
      </w:r>
      <w:r>
        <w:rPr>
          <w:color w:val="000000"/>
        </w:rPr>
        <w:t xml:space="preserve"> </w:t>
      </w:r>
      <w:r>
        <w:rPr>
          <w:rFonts w:ascii="Times New Roman;serif" w:hAnsi="Times New Roman;serif"/>
          <w:b w:val="false"/>
          <w:color w:val="000000"/>
          <w:sz w:val="24"/>
        </w:rPr>
        <w:t>with</w:t>
      </w:r>
      <w:r>
        <w:rPr>
          <w:color w:val="000000"/>
        </w:rPr>
        <w:t xml:space="preserve"> </w:t>
      </w:r>
      <w:r>
        <w:rPr>
          <w:rFonts w:ascii="Times New Roman;serif" w:hAnsi="Times New Roman;serif"/>
          <w:b w:val="false"/>
          <w:color w:val="000000"/>
          <w:sz w:val="24"/>
        </w:rPr>
        <w:t>Rule</w:t>
      </w:r>
      <w:r>
        <w:rPr>
          <w:color w:val="000000"/>
        </w:rPr>
        <w:t xml:space="preserve"> </w:t>
      </w:r>
      <w:r>
        <w:rPr>
          <w:rFonts w:ascii="Times New Roman;serif" w:hAnsi="Times New Roman;serif"/>
          <w:b w:val="false"/>
          <w:color w:val="000000"/>
          <w:sz w:val="24"/>
        </w:rPr>
        <w:t>903</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Rule</w:t>
      </w:r>
      <w:r>
        <w:rPr>
          <w:color w:val="000000"/>
        </w:rPr>
        <w:t xml:space="preserve"> </w:t>
      </w:r>
      <w:r>
        <w:rPr>
          <w:rFonts w:ascii="Times New Roman;serif" w:hAnsi="Times New Roman;serif"/>
          <w:b w:val="false"/>
          <w:color w:val="000000"/>
          <w:sz w:val="24"/>
        </w:rPr>
        <w:t xml:space="preserve">904 of Regulation S, a certificate to the effect set forth in </w:t>
      </w:r>
      <w:r>
        <w:rPr>
          <w:rFonts w:ascii="Times New Roman;serif" w:hAnsi="Times New Roman;serif"/>
          <w:b w:val="false"/>
          <w:color w:val="000000"/>
          <w:sz w:val="24"/>
          <w:u w:val="single"/>
        </w:rPr>
        <w:t>Exhibit B</w:t>
      </w:r>
      <w:r>
        <w:rPr>
          <w:color w:val="000000"/>
        </w:rPr>
        <w:t xml:space="preserve"> </w:t>
      </w:r>
      <w:r>
        <w:rPr>
          <w:rFonts w:ascii="Times New Roman;serif" w:hAnsi="Times New Roman;serif"/>
          <w:b w:val="false"/>
          <w:color w:val="000000"/>
          <w:sz w:val="24"/>
        </w:rPr>
        <w:t>hereto, including the certifications in item (2) thereof;</w:t>
      </w:r>
    </w:p>
    <w:p>
      <w:pPr>
        <w:pStyle w:val="TextBody"/>
        <w:bidi w:val="0"/>
        <w:spacing w:lineRule="auto" w:line="240" w:before="0" w:after="240"/>
        <w:ind w:left="0" w:right="0" w:firstLine="720"/>
        <w:jc w:val="both"/>
        <w:rPr/>
      </w:pPr>
      <w:r>
        <w:rPr>
          <w:rFonts w:ascii="Times New Roman;serif" w:hAnsi="Times New Roman;serif"/>
          <w:b w:val="false"/>
          <w:color w:val="000000"/>
          <w:sz w:val="24"/>
        </w:rPr>
        <w:t>(D)if such Restricted Definitive Note is being transferred pursuant to an exemption from the registration requirements of the Securities Act in</w:t>
      </w:r>
      <w:r>
        <w:rPr>
          <w:color w:val="000000"/>
        </w:rPr>
        <w:t xml:space="preserve"> </w:t>
      </w:r>
      <w:r>
        <w:rPr>
          <w:rFonts w:ascii="Times New Roman;serif" w:hAnsi="Times New Roman;serif"/>
          <w:b w:val="false"/>
          <w:color w:val="000000"/>
          <w:sz w:val="24"/>
        </w:rPr>
        <w:t xml:space="preserve">accordance with Rule 144, a certificate to the effect set forth in </w:t>
      </w:r>
      <w:r>
        <w:rPr>
          <w:rFonts w:ascii="Times New Roman;serif" w:hAnsi="Times New Roman;serif"/>
          <w:b w:val="false"/>
          <w:color w:val="000000"/>
          <w:sz w:val="24"/>
          <w:u w:val="single"/>
        </w:rPr>
        <w:t>Exhibit B</w:t>
      </w:r>
      <w:r>
        <w:rPr>
          <w:color w:val="000000"/>
        </w:rPr>
        <w:t xml:space="preserve"> </w:t>
      </w:r>
      <w:r>
        <w:rPr>
          <w:rFonts w:ascii="Times New Roman;serif" w:hAnsi="Times New Roman;serif"/>
          <w:b w:val="false"/>
          <w:color w:val="000000"/>
          <w:sz w:val="24"/>
        </w:rPr>
        <w:t>hereto, including the certifications in item (3)(a) thereof;</w:t>
      </w:r>
    </w:p>
    <w:p>
      <w:pPr>
        <w:pStyle w:val="TextBody"/>
        <w:bidi w:val="0"/>
        <w:spacing w:lineRule="auto" w:line="240" w:before="0" w:after="240"/>
        <w:ind w:left="0" w:right="0" w:firstLine="720"/>
        <w:jc w:val="both"/>
        <w:rPr/>
      </w:pPr>
      <w:r>
        <w:rPr>
          <w:rFonts w:ascii="Times New Roman;serif" w:hAnsi="Times New Roman;serif"/>
          <w:b w:val="false"/>
          <w:color w:val="000000"/>
          <w:sz w:val="24"/>
        </w:rPr>
        <w:t>(E)if such Restricted Definitive Note is being transferred to the Issuer or any of its Subsidiaries, a certificate to the effect set forth in</w:t>
      </w:r>
      <w:r>
        <w:rPr>
          <w:color w:val="000000"/>
        </w:rPr>
        <w:t xml:space="preserve"> </w:t>
      </w:r>
      <w:r>
        <w:rPr>
          <w:rFonts w:ascii="Times New Roman;serif" w:hAnsi="Times New Roman;serif"/>
          <w:b w:val="false"/>
          <w:color w:val="000000"/>
          <w:sz w:val="24"/>
          <w:u w:val="single"/>
        </w:rPr>
        <w:t>Exhibit B</w:t>
      </w:r>
      <w:r>
        <w:rPr>
          <w:color w:val="000000"/>
        </w:rPr>
        <w:t xml:space="preserve"> </w:t>
      </w:r>
      <w:r>
        <w:rPr>
          <w:rFonts w:ascii="Times New Roman;serif" w:hAnsi="Times New Roman;serif"/>
          <w:b w:val="false"/>
          <w:color w:val="000000"/>
          <w:sz w:val="24"/>
        </w:rPr>
        <w:t>hereto, including the certifications in item (3)(b) thereof;</w:t>
      </w:r>
    </w:p>
    <w:p>
      <w:pPr>
        <w:pStyle w:val="TextBody"/>
        <w:bidi w:val="0"/>
        <w:spacing w:lineRule="auto" w:line="240" w:before="0" w:after="240"/>
        <w:ind w:left="0" w:right="0" w:firstLine="720"/>
        <w:jc w:val="both"/>
        <w:rPr/>
      </w:pPr>
      <w:r>
        <w:rPr>
          <w:rFonts w:ascii="Times New Roman;serif" w:hAnsi="Times New Roman;serif"/>
          <w:b w:val="false"/>
          <w:color w:val="000000"/>
          <w:sz w:val="24"/>
        </w:rPr>
        <w:t>(F)if such beneficial interest is being transferred pursuant to an effective registration statement under the Securities Act in compliance with</w:t>
      </w:r>
      <w:r>
        <w:rPr>
          <w:color w:val="000000"/>
        </w:rPr>
        <w:t xml:space="preserve"> </w:t>
      </w:r>
      <w:r>
        <w:rPr>
          <w:rFonts w:ascii="Times New Roman;serif" w:hAnsi="Times New Roman;serif"/>
          <w:b w:val="false"/>
          <w:color w:val="000000"/>
          <w:sz w:val="24"/>
        </w:rPr>
        <w:t xml:space="preserve">the prospectus delivery requirements of the Securities Act, a certificate to the effect set forth in </w:t>
      </w:r>
      <w:r>
        <w:rPr>
          <w:rFonts w:ascii="Times New Roman;serif" w:hAnsi="Times New Roman;serif"/>
          <w:b w:val="false"/>
          <w:color w:val="000000"/>
          <w:sz w:val="24"/>
          <w:u w:val="single"/>
        </w:rPr>
        <w:t>Exhibit B</w:t>
      </w:r>
      <w:r>
        <w:rPr>
          <w:color w:val="000000"/>
        </w:rPr>
        <w:t xml:space="preserve"> </w:t>
      </w:r>
      <w:r>
        <w:rPr>
          <w:rFonts w:ascii="Times New Roman;serif" w:hAnsi="Times New Roman;serif"/>
          <w:b w:val="false"/>
          <w:color w:val="000000"/>
          <w:sz w:val="24"/>
        </w:rPr>
        <w:t>hereto, including the certifications in item</w:t>
      </w:r>
      <w:r>
        <w:rPr>
          <w:color w:val="000000"/>
        </w:rPr>
        <w:t xml:space="preserve"> </w:t>
      </w:r>
      <w:r>
        <w:rPr>
          <w:rFonts w:ascii="Times New Roman;serif" w:hAnsi="Times New Roman;serif"/>
          <w:b w:val="false"/>
          <w:color w:val="000000"/>
          <w:sz w:val="24"/>
        </w:rPr>
        <w:t>(3)(c) thereof; or</w:t>
      </w:r>
    </w:p>
    <w:p>
      <w:pPr>
        <w:pStyle w:val="TextBody"/>
        <w:bidi w:val="0"/>
        <w:spacing w:before="0" w:after="0"/>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735965"/>
                <wp:effectExtent l="0" t="0" r="0" b="0"/>
                <wp:wrapNone/>
                <wp:docPr id="87" name="Frame87"/>
                <a:graphic xmlns:a="http://schemas.openxmlformats.org/drawingml/2006/main">
                  <a:graphicData uri="http://schemas.microsoft.com/office/word/2010/wordprocessingShape">
                    <wps:wsp>
                      <wps:cNvSpPr txBox="1"/>
                      <wps:spPr>
                        <a:xfrm>
                          <a:off x="0" y="0"/>
                          <a:ext cx="6480175" cy="7359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39</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39</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00000"/>
          <w:sz w:val="24"/>
        </w:rPr>
        <w:t>(G)if such beneficial interest is being transferred to an Institutional Accredit Investor pursuant to an exemption from the registration requirements of the Securities Act other than</w:t>
      </w:r>
      <w:r>
        <w:rPr>
          <w:color w:val="000000"/>
        </w:rPr>
        <w:t xml:space="preserve"> </w:t>
      </w:r>
      <w:r>
        <w:rPr>
          <w:rFonts w:ascii="Times New Roman;serif" w:hAnsi="Times New Roman;serif"/>
          <w:b w:val="false"/>
          <w:color w:val="000000"/>
          <w:sz w:val="24"/>
        </w:rPr>
        <w:t>Rule</w:t>
      </w:r>
      <w:r>
        <w:rPr>
          <w:color w:val="000000"/>
        </w:rPr>
        <w:t xml:space="preserve"> </w:t>
      </w:r>
      <w:r>
        <w:rPr>
          <w:rFonts w:ascii="Times New Roman;serif" w:hAnsi="Times New Roman;serif"/>
          <w:b w:val="false"/>
          <w:color w:val="000000"/>
          <w:sz w:val="24"/>
        </w:rPr>
        <w:t>144A,</w:t>
      </w:r>
      <w:r>
        <w:rPr>
          <w:color w:val="000000"/>
        </w:rPr>
        <w:t xml:space="preserve"> </w:t>
      </w:r>
      <w:r>
        <w:rPr>
          <w:rFonts w:ascii="Times New Roman;serif" w:hAnsi="Times New Roman;serif"/>
          <w:b w:val="false"/>
          <w:color w:val="000000"/>
          <w:sz w:val="24"/>
        </w:rPr>
        <w:t>Rule</w:t>
      </w:r>
      <w:r>
        <w:rPr>
          <w:color w:val="000000"/>
        </w:rPr>
        <w:t xml:space="preserve"> </w:t>
      </w:r>
      <w:r>
        <w:rPr>
          <w:rFonts w:ascii="Times New Roman;serif" w:hAnsi="Times New Roman;serif"/>
          <w:b w:val="false"/>
          <w:color w:val="000000"/>
          <w:sz w:val="24"/>
        </w:rPr>
        <w:t>144,</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Rule</w:t>
      </w:r>
      <w:r>
        <w:rPr>
          <w:color w:val="000000"/>
        </w:rPr>
        <w:t xml:space="preserve"> </w:t>
      </w:r>
      <w:r>
        <w:rPr>
          <w:rFonts w:ascii="Times New Roman;serif" w:hAnsi="Times New Roman;serif"/>
          <w:b w:val="false"/>
          <w:color w:val="000000"/>
          <w:sz w:val="24"/>
        </w:rPr>
        <w:t>903</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Rule</w:t>
      </w:r>
      <w:r>
        <w:rPr>
          <w:color w:val="000000"/>
        </w:rPr>
        <w:t xml:space="preserve"> </w:t>
      </w:r>
      <w:r>
        <w:rPr>
          <w:rFonts w:ascii="Times New Roman;serif" w:hAnsi="Times New Roman;serif"/>
          <w:b w:val="false"/>
          <w:color w:val="000000"/>
          <w:sz w:val="24"/>
        </w:rPr>
        <w:t>904</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Regulation</w:t>
      </w:r>
      <w:r>
        <w:rPr>
          <w:color w:val="000000"/>
        </w:rPr>
        <w:t xml:space="preserve"> </w:t>
      </w:r>
      <w:r>
        <w:rPr>
          <w:rFonts w:ascii="Times New Roman;serif" w:hAnsi="Times New Roman;serif"/>
          <w:b w:val="false"/>
          <w:color w:val="000000"/>
          <w:sz w:val="24"/>
        </w:rPr>
        <w:t>S,</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certificate</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effect</w:t>
      </w:r>
      <w:r>
        <w:rPr>
          <w:color w:val="000000"/>
        </w:rPr>
        <w:t xml:space="preserve"> </w:t>
      </w:r>
      <w:r>
        <w:rPr>
          <w:rFonts w:ascii="Times New Roman;serif" w:hAnsi="Times New Roman;serif"/>
          <w:b w:val="false"/>
          <w:color w:val="000000"/>
          <w:sz w:val="24"/>
        </w:rPr>
        <w:t>set</w:t>
      </w:r>
      <w:r>
        <w:rPr>
          <w:color w:val="000000"/>
        </w:rPr>
        <w:t xml:space="preserve"> </w:t>
      </w:r>
      <w:r>
        <w:rPr>
          <w:rFonts w:ascii="Times New Roman;serif" w:hAnsi="Times New Roman;serif"/>
          <w:b w:val="false"/>
          <w:color w:val="000000"/>
          <w:sz w:val="24"/>
        </w:rPr>
        <w:t>forth</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u w:val="single"/>
        </w:rPr>
        <w:t>Exhibit B</w:t>
      </w:r>
      <w:r>
        <w:rPr>
          <w:color w:val="000000"/>
        </w:rPr>
        <w:t xml:space="preserve"> </w:t>
      </w:r>
      <w:r>
        <w:rPr>
          <w:rFonts w:ascii="Times New Roman;serif" w:hAnsi="Times New Roman;serif"/>
          <w:b w:val="false"/>
          <w:color w:val="000000"/>
          <w:sz w:val="24"/>
        </w:rPr>
        <w:t>hereto,</w:t>
      </w:r>
      <w:r>
        <w:rPr>
          <w:color w:val="000000"/>
        </w:rPr>
        <w:t xml:space="preserve"> </w:t>
      </w:r>
      <w:r>
        <w:rPr>
          <w:rFonts w:ascii="Times New Roman;serif" w:hAnsi="Times New Roman;serif"/>
          <w:b w:val="false"/>
          <w:color w:val="000000"/>
          <w:sz w:val="24"/>
        </w:rPr>
        <w:t>including</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certifications, certificates and Opinion of Counsel required by item (3)(d) thereof, if applicable;</w:t>
      </w:r>
    </w:p>
    <w:p>
      <w:pPr>
        <w:pStyle w:val="TextBody"/>
        <w:bidi w:val="0"/>
        <w:spacing w:lineRule="auto" w:line="288" w:before="0" w:after="240"/>
        <w:jc w:val="both"/>
        <w:rPr/>
      </w:pPr>
      <w:r>
        <w:rPr>
          <w:rFonts w:ascii="Times New Roman;serif" w:hAnsi="Times New Roman;serif"/>
          <w:b w:val="false"/>
          <w:color w:val="000000"/>
          <w:sz w:val="24"/>
        </w:rPr>
        <w:t>the Trustee, upon receipt of an Issuer Order, shall cancel the Restricted Definitive Note, and increase or cause to be increased in a corresponding</w:t>
      </w:r>
      <w:r>
        <w:rPr>
          <w:color w:val="000000"/>
        </w:rPr>
        <w:t xml:space="preserve"> </w:t>
      </w:r>
      <w:r>
        <w:rPr>
          <w:rFonts w:ascii="Times New Roman;serif" w:hAnsi="Times New Roman;serif"/>
          <w:b w:val="false"/>
          <w:color w:val="000000"/>
          <w:sz w:val="24"/>
        </w:rPr>
        <w:t xml:space="preserve">amount pursuant to </w:t>
      </w:r>
      <w:r>
        <w:rPr>
          <w:rFonts w:ascii="Times New Roman;serif" w:hAnsi="Times New Roman;serif"/>
          <w:b w:val="false"/>
          <w:color w:val="000000"/>
          <w:sz w:val="24"/>
          <w:u w:val="single"/>
        </w:rPr>
        <w:t>Section 2.06(g)</w:t>
      </w:r>
      <w:r>
        <w:rPr>
          <w:color w:val="000000"/>
        </w:rPr>
        <w:t xml:space="preserve"> </w:t>
      </w:r>
      <w:r>
        <w:rPr>
          <w:rFonts w:ascii="Times New Roman;serif" w:hAnsi="Times New Roman;serif"/>
          <w:b w:val="false"/>
          <w:color w:val="000000"/>
          <w:sz w:val="24"/>
        </w:rPr>
        <w:t>the aggregate principal amount of, in the case of clause (A) above, the appropriate Restricted Global Note, in the case</w:t>
      </w:r>
      <w:r>
        <w:rPr>
          <w:color w:val="000000"/>
        </w:rPr>
        <w:t xml:space="preserve"> </w:t>
      </w:r>
      <w:r>
        <w:rPr>
          <w:rFonts w:ascii="Times New Roman;serif" w:hAnsi="Times New Roman;serif"/>
          <w:b w:val="false"/>
          <w:color w:val="000000"/>
          <w:sz w:val="24"/>
        </w:rPr>
        <w:t>of clause (B) above, a 144A Global Note, and, in the case of clause (C) above, a Regulation S Global Note, and in the case of clause (G) above, the IAI Global Note.</w:t>
      </w:r>
    </w:p>
    <w:p>
      <w:pPr>
        <w:pStyle w:val="TextBody"/>
        <w:bidi w:val="0"/>
        <w:spacing w:lineRule="auto" w:line="240" w:before="0" w:after="240"/>
        <w:ind w:left="0" w:right="0" w:firstLine="720"/>
        <w:jc w:val="both"/>
        <w:rPr/>
      </w:pPr>
      <w:r>
        <w:rPr>
          <w:rFonts w:ascii="Times New Roman;serif" w:hAnsi="Times New Roman;serif"/>
          <w:b w:val="false"/>
          <w:color w:val="000000"/>
          <w:sz w:val="24"/>
        </w:rPr>
        <w:t>(2)</w:t>
      </w:r>
      <w:r>
        <w:rPr>
          <w:rFonts w:ascii="Times New Roman;serif" w:hAnsi="Times New Roman;serif"/>
          <w:b w:val="false"/>
          <w:i/>
          <w:color w:val="000000"/>
          <w:sz w:val="24"/>
        </w:rPr>
        <w:t>Restricted Definitive Notes to Beneficial Interests in Unrestricted Global Notes</w:t>
      </w:r>
      <w:r>
        <w:rPr>
          <w:rFonts w:ascii="Times New Roman;serif" w:hAnsi="Times New Roman;serif"/>
          <w:b w:val="false"/>
          <w:color w:val="000000"/>
          <w:sz w:val="24"/>
        </w:rPr>
        <w:t>. A Holder of a Restricted Definitive Note may exchange such</w:t>
      </w:r>
      <w:r>
        <w:rPr>
          <w:color w:val="000000"/>
        </w:rPr>
        <w:t xml:space="preserve"> </w:t>
      </w:r>
      <w:r>
        <w:rPr>
          <w:rFonts w:ascii="Times New Roman;serif" w:hAnsi="Times New Roman;serif"/>
          <w:b w:val="false"/>
          <w:color w:val="000000"/>
          <w:sz w:val="24"/>
        </w:rPr>
        <w:t>Note for a beneficial interest in an Unrestricted Global Note or transfer such Restricted Definitive Note to a Person who takes delivery</w:t>
      </w:r>
      <w:r>
        <w:rPr>
          <w:color w:val="000000"/>
        </w:rPr>
        <w:t xml:space="preserve"> </w:t>
      </w:r>
      <w:r>
        <w:rPr>
          <w:rFonts w:ascii="Times New Roman;serif" w:hAnsi="Times New Roman;serif"/>
          <w:b w:val="false"/>
          <w:color w:val="000000"/>
          <w:sz w:val="24"/>
        </w:rPr>
        <w:t>thereof in the form of a beneficial interest in an Unrestricted Global Note only if:</w:t>
      </w:r>
    </w:p>
    <w:p>
      <w:pPr>
        <w:pStyle w:val="TextBody"/>
        <w:bidi w:val="0"/>
        <w:spacing w:lineRule="auto" w:line="240" w:before="0" w:after="240"/>
        <w:ind w:left="0" w:right="0" w:firstLine="720"/>
        <w:jc w:val="both"/>
        <w:rPr/>
      </w:pPr>
      <w:r>
        <w:rPr>
          <w:rFonts w:ascii="Times New Roman;serif" w:hAnsi="Times New Roman;serif"/>
          <w:b w:val="false"/>
          <w:color w:val="000000"/>
          <w:sz w:val="24"/>
        </w:rPr>
        <w:t>(A)the</w:t>
      </w:r>
      <w:r>
        <w:rPr>
          <w:color w:val="000000"/>
        </w:rPr>
        <w:t xml:space="preserve"> </w:t>
      </w:r>
      <w:r>
        <w:rPr>
          <w:rFonts w:ascii="Times New Roman;serif" w:hAnsi="Times New Roman;serif"/>
          <w:b w:val="false"/>
          <w:color w:val="000000"/>
          <w:sz w:val="24"/>
        </w:rPr>
        <w:t>Registrar</w:t>
      </w:r>
      <w:r>
        <w:rPr>
          <w:color w:val="000000"/>
        </w:rPr>
        <w:t xml:space="preserve"> </w:t>
      </w:r>
      <w:r>
        <w:rPr>
          <w:rFonts w:ascii="Times New Roman;serif" w:hAnsi="Times New Roman;serif"/>
          <w:b w:val="false"/>
          <w:color w:val="000000"/>
          <w:sz w:val="24"/>
        </w:rPr>
        <w:t>receives</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following:</w:t>
      </w:r>
    </w:p>
    <w:p>
      <w:pPr>
        <w:pStyle w:val="TextBody"/>
        <w:bidi w:val="0"/>
        <w:spacing w:lineRule="auto" w:line="240" w:before="0" w:after="240"/>
        <w:ind w:left="0" w:right="0" w:firstLine="1440"/>
        <w:jc w:val="both"/>
        <w:rPr/>
      </w:pPr>
      <w:r>
        <w:rPr>
          <w:rFonts w:ascii="Times New Roman;serif" w:hAnsi="Times New Roman;serif"/>
          <w:b w:val="false"/>
          <w:color w:val="000000"/>
          <w:sz w:val="24"/>
        </w:rPr>
        <w:t>(i)if the Holder of such Restricted Definitive Notes proposes to exchange such Notes for a beneficial interest in the</w:t>
      </w:r>
      <w:r>
        <w:rPr>
          <w:color w:val="000000"/>
        </w:rPr>
        <w:t xml:space="preserve"> </w:t>
      </w:r>
      <w:r>
        <w:rPr>
          <w:rFonts w:ascii="Times New Roman;serif" w:hAnsi="Times New Roman;serif"/>
          <w:b w:val="false"/>
          <w:color w:val="000000"/>
          <w:sz w:val="24"/>
        </w:rPr>
        <w:t>Unrestricted</w:t>
      </w:r>
      <w:r>
        <w:rPr>
          <w:color w:val="000000"/>
        </w:rPr>
        <w:t xml:space="preserve"> </w:t>
      </w:r>
      <w:r>
        <w:rPr>
          <w:rFonts w:ascii="Times New Roman;serif" w:hAnsi="Times New Roman;serif"/>
          <w:b w:val="false"/>
          <w:color w:val="000000"/>
          <w:sz w:val="24"/>
        </w:rPr>
        <w:t>Global</w:t>
      </w:r>
      <w:r>
        <w:rPr>
          <w:color w:val="000000"/>
        </w:rPr>
        <w:t xml:space="preserve"> </w:t>
      </w:r>
      <w:r>
        <w:rPr>
          <w:rFonts w:ascii="Times New Roman;serif" w:hAnsi="Times New Roman;serif"/>
          <w:b w:val="false"/>
          <w:color w:val="000000"/>
          <w:sz w:val="24"/>
        </w:rPr>
        <w:t>Note,</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certificate</w:t>
      </w:r>
      <w:r>
        <w:rPr>
          <w:color w:val="000000"/>
        </w:rPr>
        <w:t xml:space="preserve"> </w:t>
      </w:r>
      <w:r>
        <w:rPr>
          <w:rFonts w:ascii="Times New Roman;serif" w:hAnsi="Times New Roman;serif"/>
          <w:b w:val="false"/>
          <w:color w:val="000000"/>
          <w:sz w:val="24"/>
        </w:rPr>
        <w:t>from</w:t>
      </w:r>
      <w:r>
        <w:rPr>
          <w:color w:val="000000"/>
        </w:rPr>
        <w:t xml:space="preserve"> </w:t>
      </w:r>
      <w:r>
        <w:rPr>
          <w:rFonts w:ascii="Times New Roman;serif" w:hAnsi="Times New Roman;serif"/>
          <w:b w:val="false"/>
          <w:color w:val="000000"/>
          <w:sz w:val="24"/>
        </w:rPr>
        <w:t>such</w:t>
      </w:r>
      <w:r>
        <w:rPr>
          <w:color w:val="000000"/>
        </w:rPr>
        <w:t xml:space="preserve"> </w:t>
      </w:r>
      <w:r>
        <w:rPr>
          <w:rFonts w:ascii="Times New Roman;serif" w:hAnsi="Times New Roman;serif"/>
          <w:b w:val="false"/>
          <w:color w:val="000000"/>
          <w:sz w:val="24"/>
        </w:rPr>
        <w:t>Holder</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form</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u w:val="single"/>
        </w:rPr>
        <w:t>Exhibit D</w:t>
      </w:r>
      <w:r>
        <w:rPr>
          <w:color w:val="000000"/>
        </w:rPr>
        <w:t xml:space="preserve"> </w:t>
      </w:r>
      <w:r>
        <w:rPr>
          <w:rFonts w:ascii="Times New Roman;serif" w:hAnsi="Times New Roman;serif"/>
          <w:b w:val="false"/>
          <w:color w:val="000000"/>
          <w:sz w:val="24"/>
        </w:rPr>
        <w:t>hereto,</w:t>
      </w:r>
      <w:r>
        <w:rPr>
          <w:color w:val="000000"/>
        </w:rPr>
        <w:t xml:space="preserve"> </w:t>
      </w:r>
      <w:r>
        <w:rPr>
          <w:rFonts w:ascii="Times New Roman;serif" w:hAnsi="Times New Roman;serif"/>
          <w:b w:val="false"/>
          <w:color w:val="000000"/>
          <w:sz w:val="24"/>
        </w:rPr>
        <w:t>including</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certifications</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item</w:t>
      </w:r>
      <w:r>
        <w:rPr>
          <w:color w:val="000000"/>
        </w:rPr>
        <w:t xml:space="preserve"> </w:t>
      </w:r>
      <w:r>
        <w:rPr>
          <w:rFonts w:ascii="Times New Roman;serif" w:hAnsi="Times New Roman;serif"/>
          <w:b w:val="false"/>
          <w:color w:val="000000"/>
          <w:sz w:val="24"/>
        </w:rPr>
        <w:t>(1)(c)</w:t>
      </w:r>
      <w:r>
        <w:rPr>
          <w:color w:val="000000"/>
        </w:rPr>
        <w:t xml:space="preserve"> </w:t>
      </w:r>
      <w:r>
        <w:rPr>
          <w:rFonts w:ascii="Times New Roman;serif" w:hAnsi="Times New Roman;serif"/>
          <w:b w:val="false"/>
          <w:color w:val="000000"/>
          <w:sz w:val="24"/>
        </w:rPr>
        <w:t>thereof; or</w:t>
      </w:r>
    </w:p>
    <w:p>
      <w:pPr>
        <w:pStyle w:val="TextBody"/>
        <w:bidi w:val="0"/>
        <w:spacing w:lineRule="auto" w:line="240" w:before="0" w:after="240"/>
        <w:ind w:left="0" w:right="0" w:firstLine="1440"/>
        <w:jc w:val="both"/>
        <w:rPr/>
      </w:pPr>
      <w:r>
        <w:rPr>
          <w:rFonts w:ascii="Times New Roman;serif" w:hAnsi="Times New Roman;serif"/>
          <w:b w:val="false"/>
          <w:color w:val="000000"/>
          <w:sz w:val="24"/>
        </w:rPr>
        <w:t>(ii)if the Holder of such Restricted Definitive Notes proposes to transfer such Notes to a Person who shall take delivery thereof</w:t>
      </w:r>
      <w:r>
        <w:rPr>
          <w:color w:val="000000"/>
        </w:rPr>
        <w:t xml:space="preserve"> </w:t>
      </w:r>
      <w:r>
        <w:rPr>
          <w:rFonts w:ascii="Times New Roman;serif" w:hAnsi="Times New Roman;serif"/>
          <w:b w:val="false"/>
          <w:color w:val="000000"/>
          <w:sz w:val="24"/>
        </w:rPr>
        <w:t xml:space="preserve">in the form of a beneficial interest in the Unrestricted Global Note, a certificate from such Holder in the form of </w:t>
      </w:r>
      <w:r>
        <w:rPr>
          <w:rFonts w:ascii="Times New Roman;serif" w:hAnsi="Times New Roman;serif"/>
          <w:b w:val="false"/>
          <w:color w:val="000000"/>
          <w:sz w:val="24"/>
          <w:u w:val="single"/>
        </w:rPr>
        <w:t>Exhibit C</w:t>
      </w:r>
      <w:r>
        <w:rPr>
          <w:color w:val="000000"/>
        </w:rPr>
        <w:t xml:space="preserve"> </w:t>
      </w:r>
      <w:r>
        <w:rPr>
          <w:rFonts w:ascii="Times New Roman;serif" w:hAnsi="Times New Roman;serif"/>
          <w:b w:val="false"/>
          <w:color w:val="000000"/>
          <w:sz w:val="24"/>
        </w:rPr>
        <w:t>hereto,</w:t>
      </w:r>
      <w:r>
        <w:rPr>
          <w:color w:val="000000"/>
        </w:rPr>
        <w:t xml:space="preserve"> </w:t>
      </w:r>
      <w:r>
        <w:rPr>
          <w:rFonts w:ascii="Times New Roman;serif" w:hAnsi="Times New Roman;serif"/>
          <w:b w:val="false"/>
          <w:color w:val="000000"/>
          <w:sz w:val="24"/>
        </w:rPr>
        <w:t>including the certifications in item (4) thereof;</w:t>
      </w:r>
    </w:p>
    <w:p>
      <w:pPr>
        <w:pStyle w:val="TextBody"/>
        <w:bidi w:val="0"/>
        <w:spacing w:lineRule="auto" w:line="288" w:before="0" w:after="240"/>
        <w:jc w:val="both"/>
        <w:rPr/>
      </w:pPr>
      <w:r>
        <w:rPr>
          <w:rFonts w:ascii="Times New Roman;serif" w:hAnsi="Times New Roman;serif"/>
          <w:b w:val="false"/>
          <w:color w:val="000000"/>
          <w:sz w:val="24"/>
        </w:rPr>
        <w:t>and, in each such case set forth in this subparagraph (A), if the Registrar so requests or if the Applicable Procedures so require, an Opinion</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Counsel in form</w:t>
      </w:r>
      <w:r>
        <w:rPr>
          <w:color w:val="000000"/>
        </w:rPr>
        <w:t xml:space="preserve"> </w:t>
      </w:r>
      <w:r>
        <w:rPr>
          <w:rFonts w:ascii="Times New Roman;serif" w:hAnsi="Times New Roman;serif"/>
          <w:b w:val="false"/>
          <w:color w:val="000000"/>
          <w:sz w:val="24"/>
        </w:rPr>
        <w:t>reasonably</w:t>
      </w:r>
      <w:r>
        <w:rPr>
          <w:color w:val="000000"/>
        </w:rPr>
        <w:t xml:space="preserve"> </w:t>
      </w:r>
      <w:r>
        <w:rPr>
          <w:rFonts w:ascii="Times New Roman;serif" w:hAnsi="Times New Roman;serif"/>
          <w:b w:val="false"/>
          <w:color w:val="000000"/>
          <w:sz w:val="24"/>
        </w:rPr>
        <w:t>acceptable to the Registrar to the effect that such</w:t>
      </w:r>
      <w:r>
        <w:rPr>
          <w:color w:val="000000"/>
        </w:rPr>
        <w:t xml:space="preserve"> </w:t>
      </w:r>
      <w:r>
        <w:rPr>
          <w:rFonts w:ascii="Times New Roman;serif" w:hAnsi="Times New Roman;serif"/>
          <w:b w:val="false"/>
          <w:color w:val="000000"/>
          <w:sz w:val="24"/>
        </w:rPr>
        <w:t>exchange or</w:t>
      </w:r>
      <w:r>
        <w:rPr>
          <w:color w:val="000000"/>
        </w:rPr>
        <w:t xml:space="preserve"> </w:t>
      </w:r>
      <w:r>
        <w:rPr>
          <w:rFonts w:ascii="Times New Roman;serif" w:hAnsi="Times New Roman;serif"/>
          <w:b w:val="false"/>
          <w:color w:val="000000"/>
          <w:sz w:val="24"/>
        </w:rPr>
        <w:t>transfer is in compliance with</w:t>
      </w:r>
      <w:r>
        <w:rPr>
          <w:color w:val="000000"/>
        </w:rPr>
        <w:t xml:space="preserve"> </w:t>
      </w:r>
      <w:r>
        <w:rPr>
          <w:rFonts w:ascii="Times New Roman;serif" w:hAnsi="Times New Roman;serif"/>
          <w:b w:val="false"/>
          <w:color w:val="000000"/>
          <w:sz w:val="24"/>
        </w:rPr>
        <w:t>the Securities</w:t>
      </w:r>
      <w:r>
        <w:rPr>
          <w:color w:val="000000"/>
        </w:rPr>
        <w:t xml:space="preserve"> </w:t>
      </w:r>
      <w:r>
        <w:rPr>
          <w:rFonts w:ascii="Times New Roman;serif" w:hAnsi="Times New Roman;serif"/>
          <w:b w:val="false"/>
          <w:color w:val="000000"/>
          <w:sz w:val="24"/>
        </w:rPr>
        <w:t>Act and that the restrictions on transfer contained herein and in the Private Placement Legend are no longer required in order to maintain</w:t>
      </w:r>
      <w:r>
        <w:rPr>
          <w:color w:val="000000"/>
        </w:rPr>
        <w:t xml:space="preserve"> </w:t>
      </w:r>
      <w:r>
        <w:rPr>
          <w:rFonts w:ascii="Times New Roman;serif" w:hAnsi="Times New Roman;serif"/>
          <w:b w:val="false"/>
          <w:color w:val="000000"/>
          <w:sz w:val="24"/>
        </w:rPr>
        <w:t>compliance with the Securities Act.</w:t>
      </w:r>
    </w:p>
    <w:p>
      <w:pPr>
        <w:pStyle w:val="TextBody"/>
        <w:bidi w:val="0"/>
        <w:spacing w:lineRule="auto" w:line="288" w:before="0" w:after="240"/>
        <w:jc w:val="both"/>
        <w:rPr/>
      </w:pPr>
      <w:r>
        <w:rPr>
          <w:rFonts w:ascii="Times New Roman;serif" w:hAnsi="Times New Roman;serif"/>
          <w:b w:val="false"/>
          <w:color w:val="000000"/>
          <w:sz w:val="24"/>
        </w:rPr>
        <w:t xml:space="preserve">Upon satisfaction of the conditions of any of the subparagraphs in this </w:t>
      </w:r>
      <w:r>
        <w:rPr>
          <w:rFonts w:ascii="Times New Roman;serif" w:hAnsi="Times New Roman;serif"/>
          <w:b w:val="false"/>
          <w:color w:val="000000"/>
          <w:sz w:val="24"/>
          <w:u w:val="single"/>
        </w:rPr>
        <w:t>Section 2.06(d)(2)</w:t>
      </w:r>
      <w:r>
        <w:rPr>
          <w:rFonts w:ascii="Times New Roman;serif" w:hAnsi="Times New Roman;serif"/>
          <w:b w:val="false"/>
          <w:color w:val="000000"/>
          <w:sz w:val="24"/>
        </w:rPr>
        <w:t>, the Trustee, upon receipt of an Issuer Order,</w:t>
      </w:r>
      <w:r>
        <w:rPr>
          <w:color w:val="000000"/>
        </w:rPr>
        <w:t xml:space="preserve"> </w:t>
      </w:r>
      <w:r>
        <w:rPr>
          <w:rFonts w:ascii="Times New Roman;serif" w:hAnsi="Times New Roman;serif"/>
          <w:b w:val="false"/>
          <w:color w:val="000000"/>
          <w:sz w:val="24"/>
        </w:rPr>
        <w:t>will cancel the Restricted Definitive Notes and increase or cause to be increased the aggregate principal amount of the Unrestricted Global Note.</w:t>
      </w:r>
    </w:p>
    <w:p>
      <w:pPr>
        <w:pStyle w:val="TextBody"/>
        <w:bidi w:val="0"/>
        <w:spacing w:lineRule="auto" w:line="240" w:before="0" w:after="240"/>
        <w:ind w:left="0" w:right="0" w:firstLine="720"/>
        <w:jc w:val="both"/>
        <w:rPr/>
      </w:pPr>
      <w:r>
        <w:rPr>
          <w:rFonts w:ascii="Times New Roman;serif" w:hAnsi="Times New Roman;serif"/>
          <w:b w:val="false"/>
          <w:color w:val="000000"/>
          <w:sz w:val="24"/>
        </w:rPr>
        <w:t>(3)</w:t>
      </w:r>
      <w:r>
        <w:rPr>
          <w:rFonts w:ascii="Times New Roman;serif" w:hAnsi="Times New Roman;serif"/>
          <w:b w:val="false"/>
          <w:i/>
          <w:color w:val="000000"/>
          <w:sz w:val="24"/>
        </w:rPr>
        <w:t>Unrestricted Definitive Notes to Beneficial Interests in Unrestricted Global Notes</w:t>
      </w:r>
      <w:r>
        <w:rPr>
          <w:rFonts w:ascii="Times New Roman;serif" w:hAnsi="Times New Roman;serif"/>
          <w:b w:val="false"/>
          <w:color w:val="000000"/>
          <w:sz w:val="24"/>
        </w:rPr>
        <w:t>. A Holder of an Unrestricted Definitive Note may</w:t>
      </w:r>
      <w:r>
        <w:rPr>
          <w:color w:val="000000"/>
        </w:rPr>
        <w:t xml:space="preserve"> </w:t>
      </w:r>
      <w:r>
        <w:rPr>
          <w:rFonts w:ascii="Times New Roman;serif" w:hAnsi="Times New Roman;serif"/>
          <w:b w:val="false"/>
          <w:color w:val="000000"/>
          <w:sz w:val="24"/>
        </w:rPr>
        <w:t>exchange such Note for a beneficial interest in an Unrestricted Global Note or transfer such Definitive Notes to a Person who</w:t>
      </w:r>
      <w:r>
        <w:rPr>
          <w:color w:val="000000"/>
        </w:rPr>
        <w:t xml:space="preserve"> </w:t>
      </w:r>
      <w:r>
        <w:rPr>
          <w:rFonts w:ascii="Times New Roman;serif" w:hAnsi="Times New Roman;serif"/>
          <w:b w:val="false"/>
          <w:color w:val="000000"/>
          <w:sz w:val="24"/>
        </w:rPr>
        <w:t>takes</w:t>
      </w:r>
      <w:r>
        <w:rPr>
          <w:color w:val="000000"/>
        </w:rPr>
        <w:t xml:space="preserve"> </w:t>
      </w:r>
      <w:r>
        <w:rPr>
          <w:rFonts w:ascii="Times New Roman;serif" w:hAnsi="Times New Roman;serif"/>
          <w:b w:val="false"/>
          <w:color w:val="000000"/>
          <w:sz w:val="24"/>
        </w:rPr>
        <w:t>delivery</w:t>
      </w:r>
      <w:r>
        <w:rPr>
          <w:color w:val="000000"/>
        </w:rPr>
        <w:t xml:space="preserve"> </w:t>
      </w:r>
      <w:r>
        <w:rPr>
          <w:rFonts w:ascii="Times New Roman;serif" w:hAnsi="Times New Roman;serif"/>
          <w:b w:val="false"/>
          <w:color w:val="000000"/>
          <w:sz w:val="24"/>
        </w:rPr>
        <w:t>thereof</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form</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beneficial</w:t>
      </w:r>
      <w:r>
        <w:rPr>
          <w:color w:val="000000"/>
        </w:rPr>
        <w:t xml:space="preserve"> </w:t>
      </w:r>
      <w:r>
        <w:rPr>
          <w:rFonts w:ascii="Times New Roman;serif" w:hAnsi="Times New Roman;serif"/>
          <w:b w:val="false"/>
          <w:color w:val="000000"/>
          <w:sz w:val="24"/>
        </w:rPr>
        <w:t>interest</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an</w:t>
      </w:r>
      <w:r>
        <w:rPr>
          <w:color w:val="000000"/>
        </w:rPr>
        <w:t xml:space="preserve"> </w:t>
      </w:r>
      <w:r>
        <w:rPr>
          <w:rFonts w:ascii="Times New Roman;serif" w:hAnsi="Times New Roman;serif"/>
          <w:b w:val="false"/>
          <w:color w:val="000000"/>
          <w:sz w:val="24"/>
        </w:rPr>
        <w:t>Unrestricted</w:t>
      </w:r>
      <w:r>
        <w:rPr>
          <w:color w:val="000000"/>
        </w:rPr>
        <w:t xml:space="preserve"> </w:t>
      </w:r>
      <w:r>
        <w:rPr>
          <w:rFonts w:ascii="Times New Roman;serif" w:hAnsi="Times New Roman;serif"/>
          <w:b w:val="false"/>
          <w:color w:val="000000"/>
          <w:sz w:val="24"/>
        </w:rPr>
        <w:t>Global</w:t>
      </w:r>
      <w:r>
        <w:rPr>
          <w:color w:val="000000"/>
        </w:rPr>
        <w:t xml:space="preserve"> </w:t>
      </w:r>
      <w:r>
        <w:rPr>
          <w:rFonts w:ascii="Times New Roman;serif" w:hAnsi="Times New Roman;serif"/>
          <w:b w:val="false"/>
          <w:color w:val="000000"/>
          <w:sz w:val="24"/>
        </w:rPr>
        <w:t>Note</w:t>
      </w:r>
      <w:r>
        <w:rPr>
          <w:color w:val="000000"/>
        </w:rPr>
        <w:t xml:space="preserve"> </w:t>
      </w:r>
      <w:r>
        <w:rPr>
          <w:rFonts w:ascii="Times New Roman;serif" w:hAnsi="Times New Roman;serif"/>
          <w:b w:val="false"/>
          <w:color w:val="000000"/>
          <w:sz w:val="24"/>
        </w:rPr>
        <w:t>at</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time.</w:t>
      </w:r>
      <w:r>
        <w:rPr>
          <w:color w:val="000000"/>
        </w:rPr>
        <w:t xml:space="preserve"> </w:t>
      </w:r>
      <w:r>
        <w:rPr>
          <w:rFonts w:ascii="Times New Roman;serif" w:hAnsi="Times New Roman;serif"/>
          <w:b w:val="false"/>
          <w:color w:val="000000"/>
          <w:sz w:val="24"/>
        </w:rPr>
        <w:t>Upon</w:t>
      </w:r>
      <w:r>
        <w:rPr>
          <w:color w:val="000000"/>
        </w:rPr>
        <w:t xml:space="preserve"> </w:t>
      </w:r>
      <w:r>
        <w:rPr>
          <w:rFonts w:ascii="Times New Roman;serif" w:hAnsi="Times New Roman;serif"/>
          <w:b w:val="false"/>
          <w:color w:val="000000"/>
          <w:sz w:val="24"/>
        </w:rPr>
        <w:t>receipt</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request</w:t>
      </w:r>
      <w:r>
        <w:rPr>
          <w:color w:val="000000"/>
        </w:rPr>
        <w:t xml:space="preserve"> </w:t>
      </w:r>
      <w:r>
        <w:rPr>
          <w:rFonts w:ascii="Times New Roman;serif" w:hAnsi="Times New Roman;serif"/>
          <w:b w:val="false"/>
          <w:color w:val="000000"/>
          <w:sz w:val="24"/>
        </w:rPr>
        <w:t>for</w:t>
      </w:r>
      <w:r>
        <w:rPr>
          <w:color w:val="000000"/>
        </w:rPr>
        <w:t xml:space="preserve"> </w:t>
      </w:r>
      <w:r>
        <w:rPr>
          <w:rFonts w:ascii="Times New Roman;serif" w:hAnsi="Times New Roman;serif"/>
          <w:b w:val="false"/>
          <w:color w:val="000000"/>
          <w:sz w:val="24"/>
        </w:rPr>
        <w:t>such</w:t>
      </w:r>
      <w:r>
        <w:rPr>
          <w:color w:val="000000"/>
        </w:rPr>
        <w:t xml:space="preserve"> </w:t>
      </w:r>
      <w:r>
        <w:rPr>
          <w:rFonts w:ascii="Times New Roman;serif" w:hAnsi="Times New Roman;serif"/>
          <w:b w:val="false"/>
          <w:color w:val="000000"/>
          <w:sz w:val="24"/>
        </w:rPr>
        <w:t>an</w:t>
      </w:r>
      <w:r>
        <w:rPr>
          <w:color w:val="000000"/>
        </w:rPr>
        <w:t xml:space="preserve"> </w:t>
      </w:r>
      <w:r>
        <w:rPr>
          <w:rFonts w:ascii="Times New Roman;serif" w:hAnsi="Times New Roman;serif"/>
          <w:b w:val="false"/>
          <w:color w:val="000000"/>
          <w:sz w:val="24"/>
        </w:rPr>
        <w:t>exchange</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transfer,</w:t>
      </w:r>
      <w:r>
        <w:rPr>
          <w:color w:val="000000"/>
        </w:rPr>
        <w:t xml:space="preserve"> </w:t>
      </w:r>
      <w:r>
        <w:rPr>
          <w:rFonts w:ascii="Times New Roman;serif" w:hAnsi="Times New Roman;serif"/>
          <w:b w:val="false"/>
          <w:color w:val="000000"/>
          <w:sz w:val="24"/>
        </w:rPr>
        <w:t>the</w:t>
      </w:r>
      <w:r>
        <w:rPr>
          <w:color w:val="000000"/>
        </w:rPr>
        <w:t xml:space="preserve"> </w:t>
      </w:r>
    </w:p>
    <w:p>
      <w:pPr>
        <w:pStyle w:val="TextBody"/>
        <w:bidi w:val="0"/>
        <w:spacing w:before="0" w:after="0"/>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735965"/>
                <wp:effectExtent l="0" t="0" r="0" b="0"/>
                <wp:wrapNone/>
                <wp:docPr id="88" name="Frame88"/>
                <a:graphic xmlns:a="http://schemas.openxmlformats.org/drawingml/2006/main">
                  <a:graphicData uri="http://schemas.microsoft.com/office/word/2010/wordprocessingShape">
                    <wps:wsp>
                      <wps:cNvSpPr txBox="1"/>
                      <wps:spPr>
                        <a:xfrm>
                          <a:off x="0" y="0"/>
                          <a:ext cx="6480175" cy="7359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40</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40</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rPr>
        <w:t>Trustee</w:t>
      </w:r>
      <w:r>
        <w:rPr>
          <w:color w:val="000000"/>
        </w:rPr>
        <w:t xml:space="preserve"> </w:t>
      </w:r>
      <w:r>
        <w:rPr>
          <w:rFonts w:ascii="Times New Roman;serif" w:hAnsi="Times New Roman;serif"/>
          <w:b w:val="false"/>
          <w:color w:val="000000"/>
          <w:sz w:val="24"/>
        </w:rPr>
        <w:t>will</w:t>
      </w:r>
      <w:r>
        <w:rPr>
          <w:color w:val="000000"/>
        </w:rPr>
        <w:t xml:space="preserve"> </w:t>
      </w:r>
      <w:r>
        <w:rPr>
          <w:rFonts w:ascii="Times New Roman;serif" w:hAnsi="Times New Roman;serif"/>
          <w:b w:val="false"/>
          <w:color w:val="000000"/>
          <w:sz w:val="24"/>
        </w:rPr>
        <w:t>cancel</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applicable</w:t>
      </w:r>
      <w:r>
        <w:rPr>
          <w:color w:val="000000"/>
        </w:rPr>
        <w:t xml:space="preserve"> </w:t>
      </w:r>
      <w:r>
        <w:rPr>
          <w:rFonts w:ascii="Times New Roman;serif" w:hAnsi="Times New Roman;serif"/>
          <w:b w:val="false"/>
          <w:color w:val="000000"/>
          <w:sz w:val="24"/>
        </w:rPr>
        <w:t>Unrestricted</w:t>
      </w:r>
      <w:r>
        <w:rPr>
          <w:color w:val="000000"/>
        </w:rPr>
        <w:t xml:space="preserve"> </w:t>
      </w:r>
      <w:r>
        <w:rPr>
          <w:rFonts w:ascii="Times New Roman;serif" w:hAnsi="Times New Roman;serif"/>
          <w:b w:val="false"/>
          <w:color w:val="000000"/>
          <w:sz w:val="24"/>
        </w:rPr>
        <w:t>Definitive</w:t>
      </w:r>
      <w:r>
        <w:rPr>
          <w:color w:val="000000"/>
        </w:rPr>
        <w:t xml:space="preserve"> </w:t>
      </w:r>
      <w:r>
        <w:rPr>
          <w:rFonts w:ascii="Times New Roman;serif" w:hAnsi="Times New Roman;serif"/>
          <w:b w:val="false"/>
          <w:color w:val="000000"/>
          <w:sz w:val="24"/>
        </w:rPr>
        <w:t>Note</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increase</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cause</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be</w:t>
      </w:r>
      <w:r>
        <w:rPr>
          <w:color w:val="000000"/>
        </w:rPr>
        <w:t xml:space="preserve"> </w:t>
      </w:r>
      <w:r>
        <w:rPr>
          <w:rFonts w:ascii="Times New Roman;serif" w:hAnsi="Times New Roman;serif"/>
          <w:b w:val="false"/>
          <w:color w:val="000000"/>
          <w:sz w:val="24"/>
        </w:rPr>
        <w:t>increased</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aggregate principal amount of one of the Unrestricted Global Notes.</w:t>
      </w:r>
    </w:p>
    <w:p>
      <w:pPr>
        <w:pStyle w:val="TextBody"/>
        <w:bidi w:val="0"/>
        <w:spacing w:lineRule="auto" w:line="240" w:before="0" w:after="240"/>
        <w:ind w:left="0" w:right="0" w:firstLine="720"/>
        <w:jc w:val="both"/>
        <w:rPr/>
      </w:pPr>
      <w:r>
        <w:rPr>
          <w:rFonts w:ascii="Times New Roman;serif" w:hAnsi="Times New Roman;serif"/>
          <w:b w:val="false"/>
          <w:color w:val="000000"/>
          <w:sz w:val="24"/>
        </w:rPr>
        <w:t>(4)</w:t>
      </w:r>
      <w:r>
        <w:rPr>
          <w:rFonts w:ascii="Times New Roman;serif" w:hAnsi="Times New Roman;serif"/>
          <w:b w:val="false"/>
          <w:i/>
          <w:color w:val="000000"/>
          <w:sz w:val="24"/>
        </w:rPr>
        <w:t>Unrestricted Definitive Notes to Beneficial Interests in Restricted Global Notes Prohibited</w:t>
      </w:r>
      <w:r>
        <w:rPr>
          <w:rFonts w:ascii="Times New Roman;serif" w:hAnsi="Times New Roman;serif"/>
          <w:b w:val="false"/>
          <w:color w:val="000000"/>
          <w:sz w:val="24"/>
        </w:rPr>
        <w:t>. An Unrestricted Definitive Note may not be</w:t>
      </w:r>
      <w:r>
        <w:rPr>
          <w:color w:val="000000"/>
        </w:rPr>
        <w:t xml:space="preserve"> </w:t>
      </w:r>
      <w:r>
        <w:rPr>
          <w:rFonts w:ascii="Times New Roman;serif" w:hAnsi="Times New Roman;serif"/>
          <w:b w:val="false"/>
          <w:color w:val="000000"/>
          <w:sz w:val="24"/>
        </w:rPr>
        <w:t>exchanged for, or transferred to Persons who take delivery thereof in the form of, beneficial interests in a Restricted Global Note.</w:t>
      </w:r>
    </w:p>
    <w:p>
      <w:pPr>
        <w:pStyle w:val="TextBody"/>
        <w:bidi w:val="0"/>
        <w:spacing w:lineRule="auto" w:line="288" w:before="0" w:after="240"/>
        <w:jc w:val="both"/>
        <w:rPr/>
      </w:pPr>
      <w:r>
        <w:rPr>
          <w:rFonts w:ascii="Times New Roman;serif" w:hAnsi="Times New Roman;serif"/>
          <w:b w:val="false"/>
          <w:color w:val="000000"/>
          <w:sz w:val="24"/>
        </w:rPr>
        <w:t>If any such exchange or transfer from a Definitive Note to a beneficial interest is effected pursuant to subparagraphs 2.06(d)(2)(A) or (3) above at a</w:t>
      </w:r>
      <w:r>
        <w:rPr>
          <w:color w:val="000000"/>
        </w:rPr>
        <w:t xml:space="preserve"> </w:t>
      </w:r>
      <w:r>
        <w:rPr>
          <w:rFonts w:ascii="Times New Roman;serif" w:hAnsi="Times New Roman;serif"/>
          <w:b w:val="false"/>
          <w:color w:val="000000"/>
          <w:sz w:val="24"/>
        </w:rPr>
        <w:t>time</w:t>
      </w:r>
      <w:r>
        <w:rPr>
          <w:color w:val="000000"/>
        </w:rPr>
        <w:t xml:space="preserve"> </w:t>
      </w:r>
      <w:r>
        <w:rPr>
          <w:rFonts w:ascii="Times New Roman;serif" w:hAnsi="Times New Roman;serif"/>
          <w:b w:val="false"/>
          <w:color w:val="000000"/>
          <w:sz w:val="24"/>
        </w:rPr>
        <w:t>when</w:t>
      </w:r>
      <w:r>
        <w:rPr>
          <w:color w:val="000000"/>
        </w:rPr>
        <w:t xml:space="preserve"> </w:t>
      </w:r>
      <w:r>
        <w:rPr>
          <w:rFonts w:ascii="Times New Roman;serif" w:hAnsi="Times New Roman;serif"/>
          <w:b w:val="false"/>
          <w:color w:val="000000"/>
          <w:sz w:val="24"/>
        </w:rPr>
        <w:t>an</w:t>
      </w:r>
      <w:r>
        <w:rPr>
          <w:color w:val="000000"/>
        </w:rPr>
        <w:t xml:space="preserve"> </w:t>
      </w:r>
      <w:r>
        <w:rPr>
          <w:rFonts w:ascii="Times New Roman;serif" w:hAnsi="Times New Roman;serif"/>
          <w:b w:val="false"/>
          <w:color w:val="000000"/>
          <w:sz w:val="24"/>
        </w:rPr>
        <w:t>Unrestricted</w:t>
      </w:r>
      <w:r>
        <w:rPr>
          <w:color w:val="000000"/>
        </w:rPr>
        <w:t xml:space="preserve"> </w:t>
      </w:r>
      <w:r>
        <w:rPr>
          <w:rFonts w:ascii="Times New Roman;serif" w:hAnsi="Times New Roman;serif"/>
          <w:b w:val="false"/>
          <w:color w:val="000000"/>
          <w:sz w:val="24"/>
        </w:rPr>
        <w:t>Global</w:t>
      </w:r>
      <w:r>
        <w:rPr>
          <w:color w:val="000000"/>
        </w:rPr>
        <w:t xml:space="preserve"> </w:t>
      </w:r>
      <w:r>
        <w:rPr>
          <w:rFonts w:ascii="Times New Roman;serif" w:hAnsi="Times New Roman;serif"/>
          <w:b w:val="false"/>
          <w:color w:val="000000"/>
          <w:sz w:val="24"/>
        </w:rPr>
        <w:t>Note</w:t>
      </w:r>
      <w:r>
        <w:rPr>
          <w:color w:val="000000"/>
        </w:rPr>
        <w:t xml:space="preserve"> </w:t>
      </w:r>
      <w:r>
        <w:rPr>
          <w:rFonts w:ascii="Times New Roman;serif" w:hAnsi="Times New Roman;serif"/>
          <w:b w:val="false"/>
          <w:color w:val="000000"/>
          <w:sz w:val="24"/>
        </w:rPr>
        <w:t>has</w:t>
      </w:r>
      <w:r>
        <w:rPr>
          <w:color w:val="000000"/>
        </w:rPr>
        <w:t xml:space="preserve"> </w:t>
      </w:r>
      <w:r>
        <w:rPr>
          <w:rFonts w:ascii="Times New Roman;serif" w:hAnsi="Times New Roman;serif"/>
          <w:b w:val="false"/>
          <w:color w:val="000000"/>
          <w:sz w:val="24"/>
        </w:rPr>
        <w:t>not</w:t>
      </w:r>
      <w:r>
        <w:rPr>
          <w:color w:val="000000"/>
        </w:rPr>
        <w:t xml:space="preserve"> </w:t>
      </w:r>
      <w:r>
        <w:rPr>
          <w:rFonts w:ascii="Times New Roman;serif" w:hAnsi="Times New Roman;serif"/>
          <w:b w:val="false"/>
          <w:color w:val="000000"/>
          <w:sz w:val="24"/>
        </w:rPr>
        <w:t>yet</w:t>
      </w:r>
      <w:r>
        <w:rPr>
          <w:color w:val="000000"/>
        </w:rPr>
        <w:t xml:space="preserve"> </w:t>
      </w:r>
      <w:r>
        <w:rPr>
          <w:rFonts w:ascii="Times New Roman;serif" w:hAnsi="Times New Roman;serif"/>
          <w:b w:val="false"/>
          <w:color w:val="000000"/>
          <w:sz w:val="24"/>
        </w:rPr>
        <w:t>been</w:t>
      </w:r>
      <w:r>
        <w:rPr>
          <w:color w:val="000000"/>
        </w:rPr>
        <w:t xml:space="preserve"> </w:t>
      </w:r>
      <w:r>
        <w:rPr>
          <w:rFonts w:ascii="Times New Roman;serif" w:hAnsi="Times New Roman;serif"/>
          <w:b w:val="false"/>
          <w:color w:val="000000"/>
          <w:sz w:val="24"/>
        </w:rPr>
        <w:t>issued,</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Issuer</w:t>
      </w:r>
      <w:r>
        <w:rPr>
          <w:color w:val="000000"/>
        </w:rPr>
        <w:t xml:space="preserve"> </w:t>
      </w:r>
      <w:r>
        <w:rPr>
          <w:rFonts w:ascii="Times New Roman;serif" w:hAnsi="Times New Roman;serif"/>
          <w:b w:val="false"/>
          <w:color w:val="000000"/>
          <w:sz w:val="24"/>
        </w:rPr>
        <w:t>will</w:t>
      </w:r>
      <w:r>
        <w:rPr>
          <w:color w:val="000000"/>
        </w:rPr>
        <w:t xml:space="preserve"> </w:t>
      </w:r>
      <w:r>
        <w:rPr>
          <w:rFonts w:ascii="Times New Roman;serif" w:hAnsi="Times New Roman;serif"/>
          <w:b w:val="false"/>
          <w:color w:val="000000"/>
          <w:sz w:val="24"/>
        </w:rPr>
        <w:t>issue</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upon</w:t>
      </w:r>
      <w:r>
        <w:rPr>
          <w:color w:val="000000"/>
        </w:rPr>
        <w:t xml:space="preserve"> </w:t>
      </w:r>
      <w:r>
        <w:rPr>
          <w:rFonts w:ascii="Times New Roman;serif" w:hAnsi="Times New Roman;serif"/>
          <w:b w:val="false"/>
          <w:color w:val="000000"/>
          <w:sz w:val="24"/>
        </w:rPr>
        <w:t>receipt</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an Issuer Order</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accordance</w:t>
      </w:r>
      <w:r>
        <w:rPr>
          <w:color w:val="000000"/>
        </w:rPr>
        <w:t xml:space="preserve"> </w:t>
      </w:r>
      <w:r>
        <w:rPr>
          <w:rFonts w:ascii="Times New Roman;serif" w:hAnsi="Times New Roman;serif"/>
          <w:b w:val="false"/>
          <w:color w:val="000000"/>
          <w:sz w:val="24"/>
        </w:rPr>
        <w:t>with</w:t>
      </w:r>
      <w:r>
        <w:rPr>
          <w:color w:val="000000"/>
        </w:rPr>
        <w:t xml:space="preserve"> </w:t>
      </w:r>
      <w:r>
        <w:rPr>
          <w:rFonts w:ascii="Times New Roman;serif" w:hAnsi="Times New Roman;serif"/>
          <w:b w:val="false"/>
          <w:color w:val="000000"/>
          <w:sz w:val="24"/>
          <w:u w:val="single"/>
        </w:rPr>
        <w:t>Section 2.02</w:t>
      </w:r>
      <w:r>
        <w:rPr>
          <w:color w:val="000000"/>
        </w:rPr>
        <w:t xml:space="preserve"> </w:t>
      </w:r>
      <w:r>
        <w:rPr>
          <w:rFonts w:ascii="Times New Roman;serif" w:hAnsi="Times New Roman;serif"/>
          <w:b w:val="false"/>
          <w:color w:val="000000"/>
          <w:sz w:val="24"/>
        </w:rPr>
        <w:t>hereof, the Trustee shall authenticate one or more Unrestricted Global Notes in an aggregate principal amount equal to the principal amount of</w:t>
      </w:r>
      <w:r>
        <w:rPr>
          <w:color w:val="000000"/>
        </w:rPr>
        <w:t xml:space="preserve"> </w:t>
      </w:r>
      <w:r>
        <w:rPr>
          <w:rFonts w:ascii="Times New Roman;serif" w:hAnsi="Times New Roman;serif"/>
          <w:b w:val="false"/>
          <w:color w:val="000000"/>
          <w:sz w:val="24"/>
        </w:rPr>
        <w:t>Definitive Notes so transferred.</w:t>
      </w:r>
    </w:p>
    <w:p>
      <w:pPr>
        <w:pStyle w:val="TextBody"/>
        <w:bidi w:val="0"/>
        <w:spacing w:lineRule="auto" w:line="240" w:before="0" w:after="240"/>
        <w:ind w:left="0" w:right="0" w:firstLine="720"/>
        <w:jc w:val="both"/>
        <w:rPr/>
      </w:pPr>
      <w:r>
        <w:rPr>
          <w:rFonts w:ascii="Times New Roman;serif" w:hAnsi="Times New Roman;serif"/>
          <w:b w:val="false"/>
          <w:color w:val="000000"/>
          <w:sz w:val="24"/>
        </w:rPr>
        <w:t>(e)</w:t>
      </w:r>
      <w:r>
        <w:rPr>
          <w:rFonts w:ascii="Times New Roman;serif" w:hAnsi="Times New Roman;serif"/>
          <w:b w:val="false"/>
          <w:i/>
          <w:color w:val="000000"/>
          <w:sz w:val="24"/>
        </w:rPr>
        <w:t>Transfer and Exchange of Definitive Notes for Definitive Notes</w:t>
      </w:r>
      <w:r>
        <w:rPr>
          <w:rFonts w:ascii="Times New Roman;serif" w:hAnsi="Times New Roman;serif"/>
          <w:b w:val="false"/>
          <w:color w:val="000000"/>
          <w:sz w:val="24"/>
        </w:rPr>
        <w:t>. Upon request by a Holder of Definitive Notes and such Holder’s compliance</w:t>
      </w:r>
      <w:r>
        <w:rPr>
          <w:color w:val="000000"/>
        </w:rPr>
        <w:t xml:space="preserve"> </w:t>
      </w:r>
      <w:r>
        <w:rPr>
          <w:rFonts w:ascii="Times New Roman;serif" w:hAnsi="Times New Roman;serif"/>
          <w:b w:val="false"/>
          <w:color w:val="000000"/>
          <w:sz w:val="24"/>
        </w:rPr>
        <w:t xml:space="preserve">with the provisions of this </w:t>
      </w:r>
      <w:r>
        <w:rPr>
          <w:rFonts w:ascii="Times New Roman;serif" w:hAnsi="Times New Roman;serif"/>
          <w:b w:val="false"/>
          <w:color w:val="000000"/>
          <w:sz w:val="24"/>
          <w:u w:val="single"/>
        </w:rPr>
        <w:t>Section 2.06(e)</w:t>
      </w:r>
      <w:r>
        <w:rPr>
          <w:rFonts w:ascii="Times New Roman;serif" w:hAnsi="Times New Roman;serif"/>
          <w:b w:val="false"/>
          <w:color w:val="000000"/>
          <w:sz w:val="24"/>
        </w:rPr>
        <w:t>, the Registrar shall register the transfer or exchange of Definitive Notes. Prior to such registration of transfer or</w:t>
      </w:r>
      <w:r>
        <w:rPr>
          <w:color w:val="000000"/>
        </w:rPr>
        <w:t xml:space="preserve"> </w:t>
      </w:r>
      <w:r>
        <w:rPr>
          <w:rFonts w:ascii="Times New Roman;serif" w:hAnsi="Times New Roman;serif"/>
          <w:b w:val="false"/>
          <w:color w:val="000000"/>
          <w:sz w:val="24"/>
        </w:rPr>
        <w:t>exchange, the requesting Holder must present or surrender to the Registrar the Definitive Notes duly endorsed or accompanied by a written instruction of</w:t>
      </w:r>
      <w:r>
        <w:rPr>
          <w:color w:val="000000"/>
        </w:rPr>
        <w:t xml:space="preserve"> </w:t>
      </w:r>
      <w:r>
        <w:rPr>
          <w:rFonts w:ascii="Times New Roman;serif" w:hAnsi="Times New Roman;serif"/>
          <w:b w:val="false"/>
          <w:color w:val="000000"/>
          <w:sz w:val="24"/>
        </w:rPr>
        <w:t>transfer in form satisfactory to the Registrar duly executed by such Holder or by its attorney, duly authorized in writing. In addition, the requesting Holder</w:t>
      </w:r>
      <w:r>
        <w:rPr>
          <w:color w:val="000000"/>
        </w:rPr>
        <w:t xml:space="preserve"> </w:t>
      </w:r>
      <w:r>
        <w:rPr>
          <w:rFonts w:ascii="Times New Roman;serif" w:hAnsi="Times New Roman;serif"/>
          <w:b w:val="false"/>
          <w:color w:val="000000"/>
          <w:sz w:val="24"/>
        </w:rPr>
        <w:t>must</w:t>
      </w:r>
      <w:r>
        <w:rPr>
          <w:color w:val="000000"/>
        </w:rPr>
        <w:t xml:space="preserve"> </w:t>
      </w:r>
      <w:r>
        <w:rPr>
          <w:rFonts w:ascii="Times New Roman;serif" w:hAnsi="Times New Roman;serif"/>
          <w:b w:val="false"/>
          <w:color w:val="000000"/>
          <w:sz w:val="24"/>
        </w:rPr>
        <w:t>provide</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additional</w:t>
      </w:r>
      <w:r>
        <w:rPr>
          <w:color w:val="000000"/>
        </w:rPr>
        <w:t xml:space="preserve"> </w:t>
      </w:r>
      <w:r>
        <w:rPr>
          <w:rFonts w:ascii="Times New Roman;serif" w:hAnsi="Times New Roman;serif"/>
          <w:b w:val="false"/>
          <w:color w:val="000000"/>
          <w:sz w:val="24"/>
        </w:rPr>
        <w:t>certifications,</w:t>
      </w:r>
      <w:r>
        <w:rPr>
          <w:color w:val="000000"/>
        </w:rPr>
        <w:t xml:space="preserve"> </w:t>
      </w:r>
      <w:r>
        <w:rPr>
          <w:rFonts w:ascii="Times New Roman;serif" w:hAnsi="Times New Roman;serif"/>
          <w:b w:val="false"/>
          <w:color w:val="000000"/>
          <w:sz w:val="24"/>
        </w:rPr>
        <w:t>documents</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information,</w:t>
      </w:r>
      <w:r>
        <w:rPr>
          <w:color w:val="000000"/>
        </w:rPr>
        <w:t xml:space="preserve"> </w:t>
      </w:r>
      <w:r>
        <w:rPr>
          <w:rFonts w:ascii="Times New Roman;serif" w:hAnsi="Times New Roman;serif"/>
          <w:b w:val="false"/>
          <w:color w:val="000000"/>
          <w:sz w:val="24"/>
        </w:rPr>
        <w:t>as</w:t>
      </w:r>
      <w:r>
        <w:rPr>
          <w:color w:val="000000"/>
        </w:rPr>
        <w:t xml:space="preserve"> </w:t>
      </w:r>
      <w:r>
        <w:rPr>
          <w:rFonts w:ascii="Times New Roman;serif" w:hAnsi="Times New Roman;serif"/>
          <w:b w:val="false"/>
          <w:color w:val="000000"/>
          <w:sz w:val="24"/>
        </w:rPr>
        <w:t>applicable,</w:t>
      </w:r>
      <w:r>
        <w:rPr>
          <w:color w:val="000000"/>
        </w:rPr>
        <w:t xml:space="preserve"> </w:t>
      </w:r>
      <w:r>
        <w:rPr>
          <w:rFonts w:ascii="Times New Roman;serif" w:hAnsi="Times New Roman;serif"/>
          <w:b w:val="false"/>
          <w:color w:val="000000"/>
          <w:sz w:val="24"/>
        </w:rPr>
        <w:t>required</w:t>
      </w:r>
      <w:r>
        <w:rPr>
          <w:color w:val="000000"/>
        </w:rPr>
        <w:t xml:space="preserve"> </w:t>
      </w:r>
      <w:r>
        <w:rPr>
          <w:rFonts w:ascii="Times New Roman;serif" w:hAnsi="Times New Roman;serif"/>
          <w:b w:val="false"/>
          <w:color w:val="000000"/>
          <w:sz w:val="24"/>
        </w:rPr>
        <w:t>pursuant</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following</w:t>
      </w:r>
      <w:r>
        <w:rPr>
          <w:color w:val="000000"/>
        </w:rPr>
        <w:t xml:space="preserve"> </w:t>
      </w:r>
      <w:r>
        <w:rPr>
          <w:rFonts w:ascii="Times New Roman;serif" w:hAnsi="Times New Roman;serif"/>
          <w:b w:val="false"/>
          <w:color w:val="000000"/>
          <w:sz w:val="24"/>
        </w:rPr>
        <w:t>provisions</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this</w:t>
      </w:r>
      <w:r>
        <w:rPr>
          <w:color w:val="000000"/>
        </w:rPr>
        <w:t xml:space="preserve"> </w:t>
      </w:r>
      <w:r>
        <w:rPr>
          <w:rFonts w:ascii="Times New Roman;serif" w:hAnsi="Times New Roman;serif"/>
          <w:b w:val="false"/>
          <w:color w:val="000000"/>
          <w:sz w:val="24"/>
          <w:u w:val="single"/>
        </w:rPr>
        <w:t>Section 2.06(e)</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(1)</w:t>
      </w:r>
      <w:r>
        <w:rPr>
          <w:rFonts w:ascii="Times New Roman;serif" w:hAnsi="Times New Roman;serif"/>
          <w:b w:val="false"/>
          <w:i/>
          <w:color w:val="000000"/>
          <w:sz w:val="24"/>
        </w:rPr>
        <w:t>Restricted Definitive Notes to Restricted Definitive Notes</w:t>
      </w:r>
      <w:r>
        <w:rPr>
          <w:rFonts w:ascii="Times New Roman;serif" w:hAnsi="Times New Roman;serif"/>
          <w:b w:val="false"/>
          <w:color w:val="000000"/>
          <w:sz w:val="24"/>
        </w:rPr>
        <w:t>. Any Restricted Definitive Note may be transferred to and registered in the</w:t>
      </w:r>
      <w:r>
        <w:rPr>
          <w:color w:val="000000"/>
        </w:rPr>
        <w:t xml:space="preserve"> </w:t>
      </w:r>
      <w:r>
        <w:rPr>
          <w:rFonts w:ascii="Times New Roman;serif" w:hAnsi="Times New Roman;serif"/>
          <w:b w:val="false"/>
          <w:color w:val="000000"/>
          <w:sz w:val="24"/>
        </w:rPr>
        <w:t>name of Persons who take delivery thereof in the form of a Restricted Definitive Note if the Registrar receives the following:</w:t>
      </w:r>
    </w:p>
    <w:p>
      <w:pPr>
        <w:pStyle w:val="TextBody"/>
        <w:bidi w:val="0"/>
        <w:spacing w:lineRule="auto" w:line="240" w:before="0" w:after="240"/>
        <w:ind w:left="0" w:right="0" w:firstLine="720"/>
        <w:jc w:val="both"/>
        <w:rPr/>
      </w:pPr>
      <w:r>
        <w:rPr>
          <w:rFonts w:ascii="Times New Roman;serif" w:hAnsi="Times New Roman;serif"/>
          <w:b w:val="false"/>
          <w:color w:val="000000"/>
          <w:sz w:val="24"/>
        </w:rPr>
        <w:t>(A)if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transfer</w:t>
      </w:r>
      <w:r>
        <w:rPr>
          <w:color w:val="000000"/>
        </w:rPr>
        <w:t xml:space="preserve"> </w:t>
      </w:r>
      <w:r>
        <w:rPr>
          <w:rFonts w:ascii="Times New Roman;serif" w:hAnsi="Times New Roman;serif"/>
          <w:b w:val="false"/>
          <w:color w:val="000000"/>
          <w:sz w:val="24"/>
        </w:rPr>
        <w:t>will</w:t>
      </w:r>
      <w:r>
        <w:rPr>
          <w:color w:val="000000"/>
        </w:rPr>
        <w:t xml:space="preserve"> </w:t>
      </w:r>
      <w:r>
        <w:rPr>
          <w:rFonts w:ascii="Times New Roman;serif" w:hAnsi="Times New Roman;serif"/>
          <w:b w:val="false"/>
          <w:color w:val="000000"/>
          <w:sz w:val="24"/>
        </w:rPr>
        <w:t>be</w:t>
      </w:r>
      <w:r>
        <w:rPr>
          <w:color w:val="000000"/>
        </w:rPr>
        <w:t xml:space="preserve"> </w:t>
      </w:r>
      <w:r>
        <w:rPr>
          <w:rFonts w:ascii="Times New Roman;serif" w:hAnsi="Times New Roman;serif"/>
          <w:b w:val="false"/>
          <w:color w:val="000000"/>
          <w:sz w:val="24"/>
        </w:rPr>
        <w:t>made</w:t>
      </w:r>
      <w:r>
        <w:rPr>
          <w:color w:val="000000"/>
        </w:rPr>
        <w:t xml:space="preserve"> </w:t>
      </w:r>
      <w:r>
        <w:rPr>
          <w:rFonts w:ascii="Times New Roman;serif" w:hAnsi="Times New Roman;serif"/>
          <w:b w:val="false"/>
          <w:color w:val="000000"/>
          <w:sz w:val="24"/>
        </w:rPr>
        <w:t>pursuant</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Rule</w:t>
      </w:r>
      <w:r>
        <w:rPr>
          <w:color w:val="000000"/>
        </w:rPr>
        <w:t xml:space="preserve"> </w:t>
      </w:r>
      <w:r>
        <w:rPr>
          <w:rFonts w:ascii="Times New Roman;serif" w:hAnsi="Times New Roman;serif"/>
          <w:b w:val="false"/>
          <w:color w:val="000000"/>
          <w:sz w:val="24"/>
        </w:rPr>
        <w:t>144A,</w:t>
      </w:r>
      <w:r>
        <w:rPr>
          <w:color w:val="000000"/>
        </w:rPr>
        <w:t xml:space="preserve"> </w:t>
      </w:r>
      <w:r>
        <w:rPr>
          <w:rFonts w:ascii="Times New Roman;serif" w:hAnsi="Times New Roman;serif"/>
          <w:b w:val="false"/>
          <w:color w:val="000000"/>
          <w:sz w:val="24"/>
        </w:rPr>
        <w:t>then</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transferor</w:t>
      </w:r>
      <w:r>
        <w:rPr>
          <w:color w:val="000000"/>
        </w:rPr>
        <w:t xml:space="preserve"> </w:t>
      </w:r>
      <w:r>
        <w:rPr>
          <w:rFonts w:ascii="Times New Roman;serif" w:hAnsi="Times New Roman;serif"/>
          <w:b w:val="false"/>
          <w:color w:val="000000"/>
          <w:sz w:val="24"/>
        </w:rPr>
        <w:t>must</w:t>
      </w:r>
      <w:r>
        <w:rPr>
          <w:color w:val="000000"/>
        </w:rPr>
        <w:t xml:space="preserve"> </w:t>
      </w:r>
      <w:r>
        <w:rPr>
          <w:rFonts w:ascii="Times New Roman;serif" w:hAnsi="Times New Roman;serif"/>
          <w:b w:val="false"/>
          <w:color w:val="000000"/>
          <w:sz w:val="24"/>
        </w:rPr>
        <w:t>deliver</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certificate</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form</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u w:val="single"/>
        </w:rPr>
        <w:t>Exhibit C</w:t>
      </w:r>
      <w:r>
        <w:rPr>
          <w:color w:val="000000"/>
        </w:rPr>
        <w:t xml:space="preserve"> </w:t>
      </w:r>
      <w:r>
        <w:rPr>
          <w:rFonts w:ascii="Times New Roman;serif" w:hAnsi="Times New Roman;serif"/>
          <w:b w:val="false"/>
          <w:color w:val="000000"/>
          <w:sz w:val="24"/>
        </w:rPr>
        <w:t>hereto,</w:t>
      </w:r>
      <w:r>
        <w:rPr>
          <w:color w:val="000000"/>
        </w:rPr>
        <w:t xml:space="preserve"> </w:t>
      </w:r>
      <w:r>
        <w:rPr>
          <w:rFonts w:ascii="Times New Roman;serif" w:hAnsi="Times New Roman;serif"/>
          <w:b w:val="false"/>
          <w:color w:val="000000"/>
          <w:sz w:val="24"/>
        </w:rPr>
        <w:t>including the certifications in item (1) thereof;</w:t>
      </w:r>
    </w:p>
    <w:p>
      <w:pPr>
        <w:pStyle w:val="TextBody"/>
        <w:bidi w:val="0"/>
        <w:spacing w:lineRule="auto" w:line="240" w:before="0" w:after="240"/>
        <w:ind w:left="0" w:right="0" w:firstLine="720"/>
        <w:jc w:val="both"/>
        <w:rPr/>
      </w:pPr>
      <w:r>
        <w:rPr>
          <w:rFonts w:ascii="Times New Roman;serif" w:hAnsi="Times New Roman;serif"/>
          <w:b w:val="false"/>
          <w:color w:val="000000"/>
          <w:sz w:val="24"/>
        </w:rPr>
        <w:t>(B)if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transfer</w:t>
      </w:r>
      <w:r>
        <w:rPr>
          <w:color w:val="000000"/>
        </w:rPr>
        <w:t xml:space="preserve"> </w:t>
      </w:r>
      <w:r>
        <w:rPr>
          <w:rFonts w:ascii="Times New Roman;serif" w:hAnsi="Times New Roman;serif"/>
          <w:b w:val="false"/>
          <w:color w:val="000000"/>
          <w:sz w:val="24"/>
        </w:rPr>
        <w:t>will</w:t>
      </w:r>
      <w:r>
        <w:rPr>
          <w:color w:val="000000"/>
        </w:rPr>
        <w:t xml:space="preserve"> </w:t>
      </w:r>
      <w:r>
        <w:rPr>
          <w:rFonts w:ascii="Times New Roman;serif" w:hAnsi="Times New Roman;serif"/>
          <w:b w:val="false"/>
          <w:color w:val="000000"/>
          <w:sz w:val="24"/>
        </w:rPr>
        <w:t>be</w:t>
      </w:r>
      <w:r>
        <w:rPr>
          <w:color w:val="000000"/>
        </w:rPr>
        <w:t xml:space="preserve"> </w:t>
      </w:r>
      <w:r>
        <w:rPr>
          <w:rFonts w:ascii="Times New Roman;serif" w:hAnsi="Times New Roman;serif"/>
          <w:b w:val="false"/>
          <w:color w:val="000000"/>
          <w:sz w:val="24"/>
        </w:rPr>
        <w:t>made</w:t>
      </w:r>
      <w:r>
        <w:rPr>
          <w:color w:val="000000"/>
        </w:rPr>
        <w:t xml:space="preserve"> </w:t>
      </w:r>
      <w:r>
        <w:rPr>
          <w:rFonts w:ascii="Times New Roman;serif" w:hAnsi="Times New Roman;serif"/>
          <w:b w:val="false"/>
          <w:color w:val="000000"/>
          <w:sz w:val="24"/>
        </w:rPr>
        <w:t>pursuant</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Rule</w:t>
      </w:r>
      <w:r>
        <w:rPr>
          <w:color w:val="000000"/>
        </w:rPr>
        <w:t xml:space="preserve"> </w:t>
      </w:r>
      <w:r>
        <w:rPr>
          <w:rFonts w:ascii="Times New Roman;serif" w:hAnsi="Times New Roman;serif"/>
          <w:b w:val="false"/>
          <w:color w:val="000000"/>
          <w:sz w:val="24"/>
        </w:rPr>
        <w:t>903</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Rule</w:t>
      </w:r>
      <w:r>
        <w:rPr>
          <w:color w:val="000000"/>
        </w:rPr>
        <w:t xml:space="preserve"> </w:t>
      </w:r>
      <w:r>
        <w:rPr>
          <w:rFonts w:ascii="Times New Roman;serif" w:hAnsi="Times New Roman;serif"/>
          <w:b w:val="false"/>
          <w:color w:val="000000"/>
          <w:sz w:val="24"/>
        </w:rPr>
        <w:t>904</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Regulation</w:t>
      </w:r>
      <w:r>
        <w:rPr>
          <w:color w:val="000000"/>
        </w:rPr>
        <w:t xml:space="preserve"> </w:t>
      </w:r>
      <w:r>
        <w:rPr>
          <w:rFonts w:ascii="Times New Roman;serif" w:hAnsi="Times New Roman;serif"/>
          <w:b w:val="false"/>
          <w:color w:val="000000"/>
          <w:sz w:val="24"/>
        </w:rPr>
        <w:t>S,</w:t>
      </w:r>
      <w:r>
        <w:rPr>
          <w:color w:val="000000"/>
        </w:rPr>
        <w:t xml:space="preserve"> </w:t>
      </w:r>
      <w:r>
        <w:rPr>
          <w:rFonts w:ascii="Times New Roman;serif" w:hAnsi="Times New Roman;serif"/>
          <w:b w:val="false"/>
          <w:color w:val="000000"/>
          <w:sz w:val="24"/>
        </w:rPr>
        <w:t>then</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transferor</w:t>
      </w:r>
      <w:r>
        <w:rPr>
          <w:color w:val="000000"/>
        </w:rPr>
        <w:t xml:space="preserve"> </w:t>
      </w:r>
      <w:r>
        <w:rPr>
          <w:rFonts w:ascii="Times New Roman;serif" w:hAnsi="Times New Roman;serif"/>
          <w:b w:val="false"/>
          <w:color w:val="000000"/>
          <w:sz w:val="24"/>
        </w:rPr>
        <w:t>must</w:t>
      </w:r>
      <w:r>
        <w:rPr>
          <w:color w:val="000000"/>
        </w:rPr>
        <w:t xml:space="preserve"> </w:t>
      </w:r>
      <w:r>
        <w:rPr>
          <w:rFonts w:ascii="Times New Roman;serif" w:hAnsi="Times New Roman;serif"/>
          <w:b w:val="false"/>
          <w:color w:val="000000"/>
          <w:sz w:val="24"/>
        </w:rPr>
        <w:t>deliver</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certificate</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 xml:space="preserve">form of </w:t>
      </w:r>
      <w:r>
        <w:rPr>
          <w:rFonts w:ascii="Times New Roman;serif" w:hAnsi="Times New Roman;serif"/>
          <w:b w:val="false"/>
          <w:color w:val="000000"/>
          <w:sz w:val="24"/>
          <w:u w:val="single"/>
        </w:rPr>
        <w:t>Exhibit C</w:t>
      </w:r>
      <w:r>
        <w:rPr>
          <w:color w:val="000000"/>
        </w:rPr>
        <w:t xml:space="preserve"> </w:t>
      </w:r>
      <w:r>
        <w:rPr>
          <w:rFonts w:ascii="Times New Roman;serif" w:hAnsi="Times New Roman;serif"/>
          <w:b w:val="false"/>
          <w:color w:val="000000"/>
          <w:sz w:val="24"/>
        </w:rPr>
        <w:t>hereto, including the certifications in item (2) thereof; and</w:t>
      </w:r>
    </w:p>
    <w:p>
      <w:pPr>
        <w:pStyle w:val="TextBody"/>
        <w:bidi w:val="0"/>
        <w:spacing w:lineRule="auto" w:line="240" w:before="0" w:after="240"/>
        <w:ind w:left="0" w:right="0" w:firstLine="720"/>
        <w:jc w:val="both"/>
        <w:rPr/>
      </w:pPr>
      <w:r>
        <w:rPr>
          <w:rFonts w:ascii="Times New Roman;serif" w:hAnsi="Times New Roman;serif"/>
          <w:b w:val="false"/>
          <w:color w:val="000000"/>
          <w:sz w:val="24"/>
        </w:rPr>
        <w:t>(C)if the transfer will be made pursuant to any other exemption from the registration requirements of the Securities Act, then the</w:t>
      </w:r>
      <w:r>
        <w:rPr>
          <w:color w:val="000000"/>
        </w:rPr>
        <w:t xml:space="preserve"> </w:t>
      </w:r>
      <w:r>
        <w:rPr>
          <w:rFonts w:ascii="Times New Roman;serif" w:hAnsi="Times New Roman;serif"/>
          <w:b w:val="false"/>
          <w:color w:val="000000"/>
          <w:sz w:val="24"/>
        </w:rPr>
        <w:t>transferor</w:t>
      </w:r>
      <w:r>
        <w:rPr>
          <w:color w:val="000000"/>
        </w:rPr>
        <w:t xml:space="preserve"> </w:t>
      </w:r>
      <w:r>
        <w:rPr>
          <w:rFonts w:ascii="Times New Roman;serif" w:hAnsi="Times New Roman;serif"/>
          <w:b w:val="false"/>
          <w:color w:val="000000"/>
          <w:sz w:val="24"/>
        </w:rPr>
        <w:t>must</w:t>
      </w:r>
      <w:r>
        <w:rPr>
          <w:color w:val="000000"/>
        </w:rPr>
        <w:t xml:space="preserve"> </w:t>
      </w:r>
      <w:r>
        <w:rPr>
          <w:rFonts w:ascii="Times New Roman;serif" w:hAnsi="Times New Roman;serif"/>
          <w:b w:val="false"/>
          <w:color w:val="000000"/>
          <w:sz w:val="24"/>
        </w:rPr>
        <w:t>deliver</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certificate</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form</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u w:val="single"/>
        </w:rPr>
        <w:t>Exhibit C</w:t>
      </w:r>
      <w:r>
        <w:rPr>
          <w:color w:val="000000"/>
        </w:rPr>
        <w:t xml:space="preserve"> </w:t>
      </w:r>
      <w:r>
        <w:rPr>
          <w:rFonts w:ascii="Times New Roman;serif" w:hAnsi="Times New Roman;serif"/>
          <w:b w:val="false"/>
          <w:color w:val="000000"/>
          <w:sz w:val="24"/>
        </w:rPr>
        <w:t>hereto,</w:t>
      </w:r>
      <w:r>
        <w:rPr>
          <w:color w:val="000000"/>
        </w:rPr>
        <w:t xml:space="preserve"> </w:t>
      </w:r>
      <w:r>
        <w:rPr>
          <w:rFonts w:ascii="Times New Roman;serif" w:hAnsi="Times New Roman;serif"/>
          <w:b w:val="false"/>
          <w:color w:val="000000"/>
          <w:sz w:val="24"/>
        </w:rPr>
        <w:t>including</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certifications,</w:t>
      </w:r>
      <w:r>
        <w:rPr>
          <w:color w:val="000000"/>
        </w:rPr>
        <w:t xml:space="preserve"> </w:t>
      </w:r>
      <w:r>
        <w:rPr>
          <w:rFonts w:ascii="Times New Roman;serif" w:hAnsi="Times New Roman;serif"/>
          <w:b w:val="false"/>
          <w:color w:val="000000"/>
          <w:sz w:val="24"/>
        </w:rPr>
        <w:t>certificates</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Opinion</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Counsel</w:t>
      </w:r>
      <w:r>
        <w:rPr>
          <w:color w:val="000000"/>
        </w:rPr>
        <w:t xml:space="preserve"> </w:t>
      </w:r>
      <w:r>
        <w:rPr>
          <w:rFonts w:ascii="Times New Roman;serif" w:hAnsi="Times New Roman;serif"/>
          <w:b w:val="false"/>
          <w:color w:val="000000"/>
          <w:sz w:val="24"/>
        </w:rPr>
        <w:t>required</w:t>
      </w:r>
      <w:r>
        <w:rPr>
          <w:color w:val="000000"/>
        </w:rPr>
        <w:t xml:space="preserve"> </w:t>
      </w:r>
      <w:r>
        <w:rPr>
          <w:rFonts w:ascii="Times New Roman;serif" w:hAnsi="Times New Roman;serif"/>
          <w:b w:val="false"/>
          <w:color w:val="000000"/>
          <w:sz w:val="24"/>
        </w:rPr>
        <w:t>by item (3) thereof, if applicable.</w:t>
      </w:r>
    </w:p>
    <w:p>
      <w:pPr>
        <w:pStyle w:val="TextBody"/>
        <w:bidi w:val="0"/>
        <w:spacing w:lineRule="auto" w:line="240" w:before="0" w:after="240"/>
        <w:ind w:left="0" w:right="0" w:firstLine="720"/>
        <w:jc w:val="both"/>
        <w:rPr/>
      </w:pPr>
      <w:r>
        <w:rPr>
          <w:rFonts w:ascii="Times New Roman;serif" w:hAnsi="Times New Roman;serif"/>
          <w:b w:val="false"/>
          <w:color w:val="000000"/>
          <w:sz w:val="24"/>
        </w:rPr>
        <w:t>(2)</w:t>
      </w:r>
      <w:r>
        <w:rPr>
          <w:rFonts w:ascii="Times New Roman;serif" w:hAnsi="Times New Roman;serif"/>
          <w:b w:val="false"/>
          <w:i/>
          <w:color w:val="000000"/>
          <w:sz w:val="24"/>
        </w:rPr>
        <w:t>Restricted Definitive Notes to Unrestricted Definitive Notes</w:t>
      </w:r>
      <w:r>
        <w:rPr>
          <w:rFonts w:ascii="Times New Roman;serif" w:hAnsi="Times New Roman;serif"/>
          <w:b w:val="false"/>
          <w:color w:val="000000"/>
          <w:sz w:val="24"/>
        </w:rPr>
        <w:t>. Any Restricted Definitive Note may be exchanged by the Holder thereof for</w:t>
      </w:r>
      <w:r>
        <w:rPr>
          <w:color w:val="000000"/>
        </w:rPr>
        <w:t xml:space="preserve"> </w:t>
      </w:r>
      <w:r>
        <w:rPr>
          <w:rFonts w:ascii="Times New Roman;serif" w:hAnsi="Times New Roman;serif"/>
          <w:b w:val="false"/>
          <w:color w:val="000000"/>
          <w:sz w:val="24"/>
        </w:rPr>
        <w:t>an Unrestricted Definitive Note or transferred to a Person or Persons who take delivery thereof in the form of an Unrestricted</w:t>
      </w:r>
      <w:r>
        <w:rPr>
          <w:color w:val="000000"/>
        </w:rPr>
        <w:t xml:space="preserve"> </w:t>
      </w:r>
      <w:r>
        <w:rPr>
          <w:rFonts w:ascii="Times New Roman;serif" w:hAnsi="Times New Roman;serif"/>
          <w:b w:val="false"/>
          <w:color w:val="000000"/>
          <w:sz w:val="24"/>
        </w:rPr>
        <w:t>Definitive Note if:</w:t>
      </w:r>
    </w:p>
    <w:p>
      <w:pPr>
        <w:pStyle w:val="TextBody"/>
        <w:bidi w:val="0"/>
        <w:spacing w:lineRule="auto" w:line="240" w:before="0" w:after="240"/>
        <w:ind w:left="0" w:right="0" w:firstLine="720"/>
        <w:jc w:val="both"/>
        <w:rPr/>
      </w:pPr>
      <w:r>
        <w:rPr>
          <w:rFonts w:ascii="Times New Roman;serif" w:hAnsi="Times New Roman;serif"/>
          <w:b w:val="false"/>
          <w:color w:val="000000"/>
          <w:sz w:val="24"/>
        </w:rPr>
        <w:t>(A)the</w:t>
      </w:r>
      <w:r>
        <w:rPr>
          <w:color w:val="000000"/>
        </w:rPr>
        <w:t xml:space="preserve"> </w:t>
      </w:r>
      <w:r>
        <w:rPr>
          <w:rFonts w:ascii="Times New Roman;serif" w:hAnsi="Times New Roman;serif"/>
          <w:b w:val="false"/>
          <w:color w:val="000000"/>
          <w:sz w:val="24"/>
        </w:rPr>
        <w:t>Registrar</w:t>
      </w:r>
      <w:r>
        <w:rPr>
          <w:color w:val="000000"/>
        </w:rPr>
        <w:t xml:space="preserve"> </w:t>
      </w:r>
      <w:r>
        <w:rPr>
          <w:rFonts w:ascii="Times New Roman;serif" w:hAnsi="Times New Roman;serif"/>
          <w:b w:val="false"/>
          <w:color w:val="000000"/>
          <w:sz w:val="24"/>
        </w:rPr>
        <w:t>receives</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following:</w:t>
      </w:r>
    </w:p>
    <w:p>
      <w:pPr>
        <w:pStyle w:val="TextBody"/>
        <w:bidi w:val="0"/>
        <w:spacing w:before="0" w:after="0"/>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735965"/>
                <wp:effectExtent l="0" t="0" r="0" b="0"/>
                <wp:wrapNone/>
                <wp:docPr id="89" name="Frame89"/>
                <a:graphic xmlns:a="http://schemas.openxmlformats.org/drawingml/2006/main">
                  <a:graphicData uri="http://schemas.microsoft.com/office/word/2010/wordprocessingShape">
                    <wps:wsp>
                      <wps:cNvSpPr txBox="1"/>
                      <wps:spPr>
                        <a:xfrm>
                          <a:off x="0" y="0"/>
                          <a:ext cx="6480175" cy="7359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41</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41</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erif" w:hAnsi="Times New Roman;serif"/>
          <w:b w:val="false"/>
          <w:color w:val="000000"/>
          <w:sz w:val="24"/>
        </w:rPr>
        <w:t>(i)if the Holder of such Restricted Definitive Notes proposes to exchange such Notes for an Unrestricted Definitive Note, a</w:t>
      </w:r>
      <w:r>
        <w:rPr>
          <w:color w:val="000000"/>
        </w:rPr>
        <w:t xml:space="preserve"> </w:t>
      </w:r>
      <w:r>
        <w:rPr>
          <w:rFonts w:ascii="Times New Roman;serif" w:hAnsi="Times New Roman;serif"/>
          <w:b w:val="false"/>
          <w:color w:val="000000"/>
          <w:sz w:val="24"/>
        </w:rPr>
        <w:t xml:space="preserve">certificate from such Holder in the form of </w:t>
      </w:r>
      <w:r>
        <w:rPr>
          <w:rFonts w:ascii="Times New Roman;serif" w:hAnsi="Times New Roman;serif"/>
          <w:b w:val="false"/>
          <w:color w:val="000000"/>
          <w:sz w:val="24"/>
          <w:u w:val="single"/>
        </w:rPr>
        <w:t>Exhibit C</w:t>
      </w:r>
      <w:r>
        <w:rPr>
          <w:color w:val="000000"/>
        </w:rPr>
        <w:t xml:space="preserve"> </w:t>
      </w:r>
      <w:r>
        <w:rPr>
          <w:rFonts w:ascii="Times New Roman;serif" w:hAnsi="Times New Roman;serif"/>
          <w:b w:val="false"/>
          <w:color w:val="000000"/>
          <w:sz w:val="24"/>
        </w:rPr>
        <w:t>hereto, including the certifications in item (1)(d) thereof; or</w:t>
      </w:r>
    </w:p>
    <w:p>
      <w:pPr>
        <w:pStyle w:val="TextBody"/>
        <w:bidi w:val="0"/>
        <w:spacing w:lineRule="auto" w:line="240" w:before="0" w:after="240"/>
        <w:ind w:left="0" w:right="0" w:firstLine="1440"/>
        <w:jc w:val="both"/>
        <w:rPr/>
      </w:pPr>
      <w:r>
        <w:rPr>
          <w:rFonts w:ascii="Times New Roman;serif" w:hAnsi="Times New Roman;serif"/>
          <w:b w:val="false"/>
          <w:color w:val="000000"/>
          <w:sz w:val="24"/>
        </w:rPr>
        <w:t>(ii)if the Holder of such Restricted Definitive Notes proposes to transfer such Notes to a Person who shall take delivery thereof</w:t>
      </w:r>
      <w:r>
        <w:rPr>
          <w:color w:val="000000"/>
        </w:rPr>
        <w:t xml:space="preserve"> </w:t>
      </w:r>
      <w:r>
        <w:rPr>
          <w:rFonts w:ascii="Times New Roman;serif" w:hAnsi="Times New Roman;serif"/>
          <w:b w:val="false"/>
          <w:color w:val="000000"/>
          <w:sz w:val="24"/>
        </w:rPr>
        <w:t xml:space="preserve">in the form of an Unrestricted Definitive Note, a certificate from such Holder in the form of </w:t>
      </w:r>
      <w:r>
        <w:rPr>
          <w:rFonts w:ascii="Times New Roman;serif" w:hAnsi="Times New Roman;serif"/>
          <w:b w:val="false"/>
          <w:color w:val="000000"/>
          <w:sz w:val="24"/>
          <w:u w:val="single"/>
        </w:rPr>
        <w:t>Exhibit B</w:t>
      </w:r>
      <w:r>
        <w:rPr>
          <w:color w:val="000000"/>
        </w:rPr>
        <w:t xml:space="preserve"> </w:t>
      </w:r>
      <w:r>
        <w:rPr>
          <w:rFonts w:ascii="Times New Roman;serif" w:hAnsi="Times New Roman;serif"/>
          <w:b w:val="false"/>
          <w:color w:val="000000"/>
          <w:sz w:val="24"/>
        </w:rPr>
        <w:t>hereto, including the certifications</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item</w:t>
      </w:r>
      <w:r>
        <w:rPr>
          <w:color w:val="000000"/>
        </w:rPr>
        <w:t xml:space="preserve"> </w:t>
      </w:r>
      <w:r>
        <w:rPr>
          <w:rFonts w:ascii="Times New Roman;serif" w:hAnsi="Times New Roman;serif"/>
          <w:b w:val="false"/>
          <w:color w:val="000000"/>
          <w:sz w:val="24"/>
        </w:rPr>
        <w:t>(4)</w:t>
      </w:r>
      <w:r>
        <w:rPr>
          <w:color w:val="000000"/>
        </w:rPr>
        <w:t xml:space="preserve"> </w:t>
      </w:r>
      <w:r>
        <w:rPr>
          <w:rFonts w:ascii="Times New Roman;serif" w:hAnsi="Times New Roman;serif"/>
          <w:b w:val="false"/>
          <w:color w:val="000000"/>
          <w:sz w:val="24"/>
        </w:rPr>
        <w:t>thereof;</w:t>
      </w:r>
    </w:p>
    <w:p>
      <w:pPr>
        <w:pStyle w:val="TextBody"/>
        <w:bidi w:val="0"/>
        <w:spacing w:lineRule="auto" w:line="288" w:before="0" w:after="240"/>
        <w:jc w:val="both"/>
        <w:rPr/>
      </w:pPr>
      <w:r>
        <w:rPr>
          <w:rFonts w:ascii="Times New Roman;serif" w:hAnsi="Times New Roman;serif"/>
          <w:b w:val="false"/>
          <w:color w:val="000000"/>
          <w:sz w:val="24"/>
        </w:rPr>
        <w:t>and, in each such case set forth in this subparagraph (A), if the Registrar so requests, an Opinion of Counsel in form reasonably acceptable</w:t>
      </w:r>
      <w:r>
        <w:rPr>
          <w:color w:val="000000"/>
        </w:rPr>
        <w:t xml:space="preserve"> </w:t>
      </w:r>
      <w:r>
        <w:rPr>
          <w:rFonts w:ascii="Times New Roman;serif" w:hAnsi="Times New Roman;serif"/>
          <w:b w:val="false"/>
          <w:color w:val="000000"/>
          <w:sz w:val="24"/>
        </w:rPr>
        <w:t>to the Registrar to the effect that such exchange or transfer is in compliance with the Securities Act and that the restrictions on transfer</w:t>
      </w:r>
      <w:r>
        <w:rPr>
          <w:color w:val="000000"/>
        </w:rPr>
        <w:t xml:space="preserve"> </w:t>
      </w:r>
      <w:r>
        <w:rPr>
          <w:rFonts w:ascii="Times New Roman;serif" w:hAnsi="Times New Roman;serif"/>
          <w:b w:val="false"/>
          <w:color w:val="000000"/>
          <w:sz w:val="24"/>
        </w:rPr>
        <w:t>contained herein and in the Private Placement Legend are no longer required in order to maintain compliance with the Securities Act.</w:t>
      </w:r>
    </w:p>
    <w:p>
      <w:pPr>
        <w:pStyle w:val="TextBody"/>
        <w:bidi w:val="0"/>
        <w:spacing w:lineRule="auto" w:line="288" w:before="0" w:after="240"/>
        <w:jc w:val="both"/>
        <w:rPr/>
      </w:pPr>
      <w:r>
        <w:rPr>
          <w:rFonts w:ascii="Times New Roman;serif" w:hAnsi="Times New Roman;serif"/>
          <w:b w:val="false"/>
          <w:color w:val="000000"/>
          <w:sz w:val="24"/>
        </w:rPr>
        <w:t xml:space="preserve">Upon satisfaction of the conditions of any of the clauses of this </w:t>
      </w:r>
      <w:r>
        <w:rPr>
          <w:rFonts w:ascii="Times New Roman;serif" w:hAnsi="Times New Roman;serif"/>
          <w:b w:val="false"/>
          <w:color w:val="000000"/>
          <w:sz w:val="24"/>
          <w:u w:val="single"/>
        </w:rPr>
        <w:t>Section 2.06(e)</w:t>
      </w:r>
      <w:r>
        <w:rPr>
          <w:rFonts w:ascii="Times New Roman;serif" w:hAnsi="Times New Roman;serif"/>
          <w:b w:val="false"/>
          <w:color w:val="000000"/>
          <w:sz w:val="24"/>
        </w:rPr>
        <w:t>, the Trustee shall, upon receipt of an Issuer Order, cancel</w:t>
      </w:r>
      <w:r>
        <w:rPr>
          <w:color w:val="000000"/>
        </w:rPr>
        <w:t xml:space="preserve"> </w:t>
      </w:r>
      <w:r>
        <w:rPr>
          <w:rFonts w:ascii="Times New Roman;serif" w:hAnsi="Times New Roman;serif"/>
          <w:b w:val="false"/>
          <w:color w:val="000000"/>
          <w:sz w:val="24"/>
        </w:rPr>
        <w:t xml:space="preserve">the prior Restricted Definitive Note and the Issuer will execute, and upon receipt of an Issuer Order in accordance with </w:t>
      </w:r>
      <w:r>
        <w:rPr>
          <w:rFonts w:ascii="Times New Roman;serif" w:hAnsi="Times New Roman;serif"/>
          <w:b w:val="false"/>
          <w:color w:val="000000"/>
          <w:sz w:val="24"/>
          <w:u w:val="single"/>
        </w:rPr>
        <w:t>Section 2.02</w:t>
      </w:r>
      <w:r>
        <w:rPr>
          <w:rFonts w:ascii="Times New Roman;serif" w:hAnsi="Times New Roman;serif"/>
          <w:b w:val="false"/>
          <w:color w:val="000000"/>
          <w:sz w:val="24"/>
        </w:rPr>
        <w:t>, the</w:t>
      </w:r>
      <w:r>
        <w:rPr>
          <w:color w:val="000000"/>
        </w:rPr>
        <w:t xml:space="preserve"> </w:t>
      </w:r>
      <w:r>
        <w:rPr>
          <w:rFonts w:ascii="Times New Roman;serif" w:hAnsi="Times New Roman;serif"/>
          <w:b w:val="false"/>
          <w:color w:val="000000"/>
          <w:sz w:val="24"/>
        </w:rPr>
        <w:t>Trustee shall authenticate and deliver an Unrestricted Definitive Note in the appropriate aggregate principal amount to the Person designated by</w:t>
      </w:r>
      <w:r>
        <w:rPr>
          <w:color w:val="000000"/>
        </w:rPr>
        <w:t xml:space="preserve"> </w:t>
      </w:r>
      <w:r>
        <w:rPr>
          <w:rFonts w:ascii="Times New Roman;serif" w:hAnsi="Times New Roman;serif"/>
          <w:b w:val="false"/>
          <w:color w:val="000000"/>
          <w:sz w:val="24"/>
        </w:rPr>
        <w:t>the Holder of such prior Restricted Definitive Note in written instructions delivered to the Registrar by such Holder.</w:t>
      </w:r>
    </w:p>
    <w:p>
      <w:pPr>
        <w:pStyle w:val="TextBody"/>
        <w:bidi w:val="0"/>
        <w:spacing w:lineRule="auto" w:line="240" w:before="0" w:after="240"/>
        <w:ind w:left="0" w:right="0" w:firstLine="720"/>
        <w:jc w:val="both"/>
        <w:rPr/>
      </w:pPr>
      <w:r>
        <w:rPr>
          <w:rFonts w:ascii="Times New Roman;serif" w:hAnsi="Times New Roman;serif"/>
          <w:b w:val="false"/>
          <w:color w:val="000000"/>
          <w:sz w:val="24"/>
        </w:rPr>
        <w:t>(3)</w:t>
      </w:r>
      <w:r>
        <w:rPr>
          <w:rFonts w:ascii="Times New Roman;serif" w:hAnsi="Times New Roman;serif"/>
          <w:b w:val="false"/>
          <w:i/>
          <w:color w:val="000000"/>
          <w:sz w:val="24"/>
        </w:rPr>
        <w:t>Unrestricted Definitive Notes to Unrestricted Definitive Notes</w:t>
      </w:r>
      <w:r>
        <w:rPr>
          <w:rFonts w:ascii="Times New Roman;serif" w:hAnsi="Times New Roman;serif"/>
          <w:b w:val="false"/>
          <w:color w:val="000000"/>
          <w:sz w:val="24"/>
        </w:rPr>
        <w:t>. A Holder of Unrestricted Definitive Notes may transfer such Notes to a</w:t>
      </w:r>
      <w:r>
        <w:rPr>
          <w:color w:val="000000"/>
        </w:rPr>
        <w:t xml:space="preserve"> </w:t>
      </w:r>
      <w:r>
        <w:rPr>
          <w:rFonts w:ascii="Times New Roman;serif" w:hAnsi="Times New Roman;serif"/>
          <w:b w:val="false"/>
          <w:color w:val="000000"/>
          <w:sz w:val="24"/>
        </w:rPr>
        <w:t>Person who takes delivery thereof in the form of an Unrestricted Definitive Note. Upon receipt of a request to register such a</w:t>
      </w:r>
      <w:r>
        <w:rPr>
          <w:color w:val="000000"/>
        </w:rPr>
        <w:t xml:space="preserve"> </w:t>
      </w:r>
      <w:r>
        <w:rPr>
          <w:rFonts w:ascii="Times New Roman;serif" w:hAnsi="Times New Roman;serif"/>
          <w:b w:val="false"/>
          <w:color w:val="000000"/>
          <w:sz w:val="24"/>
        </w:rPr>
        <w:t>transfer, the Registrar shall register the Unrestricted Definitive Notes pursuant to the instructions from the Holder thereof.</w:t>
      </w:r>
    </w:p>
    <w:p>
      <w:pPr>
        <w:pStyle w:val="TextBody"/>
        <w:bidi w:val="0"/>
        <w:spacing w:lineRule="auto" w:line="240" w:before="0" w:after="240"/>
        <w:ind w:left="0" w:right="0" w:firstLine="720"/>
        <w:jc w:val="both"/>
        <w:rPr/>
      </w:pPr>
      <w:r>
        <w:rPr>
          <w:rFonts w:ascii="Times New Roman;serif" w:hAnsi="Times New Roman;serif"/>
          <w:b w:val="false"/>
          <w:color w:val="000000"/>
          <w:sz w:val="24"/>
        </w:rPr>
        <w:t>(f)</w:t>
      </w:r>
      <w:r>
        <w:rPr>
          <w:rFonts w:ascii="Times New Roman;serif" w:hAnsi="Times New Roman;serif"/>
          <w:b w:val="false"/>
          <w:i/>
          <w:color w:val="000000"/>
          <w:sz w:val="24"/>
        </w:rPr>
        <w:t>Legends</w:t>
      </w:r>
      <w:r>
        <w:rPr>
          <w:rFonts w:ascii="Times New Roman;serif" w:hAnsi="Times New Roman;serif"/>
          <w:b w:val="false"/>
          <w:color w:val="000000"/>
          <w:sz w:val="24"/>
        </w:rPr>
        <w:t>. The following legends will appear on the face of all Global Notes and Definitive Notes issued under this Indenture unless specifically</w:t>
      </w:r>
      <w:r>
        <w:rPr>
          <w:color w:val="000000"/>
        </w:rPr>
        <w:t xml:space="preserve"> </w:t>
      </w:r>
      <w:r>
        <w:rPr>
          <w:rFonts w:ascii="Times New Roman;serif" w:hAnsi="Times New Roman;serif"/>
          <w:b w:val="false"/>
          <w:color w:val="000000"/>
          <w:sz w:val="24"/>
        </w:rPr>
        <w:t>stated otherwise in the applicable provisions of this Indenture.</w:t>
      </w:r>
    </w:p>
    <w:p>
      <w:pPr>
        <w:pStyle w:val="TextBody"/>
        <w:bidi w:val="0"/>
        <w:spacing w:lineRule="auto" w:line="240" w:before="0" w:after="240"/>
        <w:ind w:left="0" w:right="0" w:firstLine="720"/>
        <w:jc w:val="both"/>
        <w:rPr/>
      </w:pPr>
      <w:r>
        <w:rPr>
          <w:rFonts w:ascii="Times New Roman;serif" w:hAnsi="Times New Roman;serif"/>
          <w:b w:val="false"/>
          <w:color w:val="000000"/>
          <w:sz w:val="24"/>
        </w:rPr>
        <w:t>(1)Private</w:t>
      </w:r>
      <w:r>
        <w:rPr>
          <w:color w:val="000000"/>
        </w:rPr>
        <w:t xml:space="preserve"> </w:t>
      </w:r>
      <w:r>
        <w:rPr>
          <w:rFonts w:ascii="Times New Roman;serif" w:hAnsi="Times New Roman;serif"/>
          <w:b w:val="false"/>
          <w:color w:val="000000"/>
          <w:sz w:val="24"/>
        </w:rPr>
        <w:t>Placement</w:t>
      </w:r>
      <w:r>
        <w:rPr>
          <w:color w:val="000000"/>
        </w:rPr>
        <w:t xml:space="preserve"> </w:t>
      </w:r>
      <w:r>
        <w:rPr>
          <w:rFonts w:ascii="Times New Roman;serif" w:hAnsi="Times New Roman;serif"/>
          <w:b w:val="false"/>
          <w:color w:val="000000"/>
          <w:sz w:val="24"/>
        </w:rPr>
        <w:t>Legend.</w:t>
      </w:r>
    </w:p>
    <w:p>
      <w:pPr>
        <w:pStyle w:val="TextBody"/>
        <w:bidi w:val="0"/>
        <w:spacing w:lineRule="auto" w:line="240" w:before="0" w:after="240"/>
        <w:ind w:left="0" w:right="0" w:firstLine="720"/>
        <w:jc w:val="both"/>
        <w:rPr/>
      </w:pPr>
      <w:r>
        <w:rPr>
          <w:rFonts w:ascii="Times New Roman;serif" w:hAnsi="Times New Roman;serif"/>
          <w:b w:val="false"/>
          <w:color w:val="000000"/>
          <w:sz w:val="24"/>
        </w:rPr>
        <w:t>(A)Except</w:t>
      </w:r>
      <w:r>
        <w:rPr>
          <w:color w:val="000000"/>
        </w:rPr>
        <w:t xml:space="preserve"> </w:t>
      </w:r>
      <w:r>
        <w:rPr>
          <w:rFonts w:ascii="Times New Roman;serif" w:hAnsi="Times New Roman;serif"/>
          <w:b w:val="false"/>
          <w:color w:val="000000"/>
          <w:sz w:val="24"/>
        </w:rPr>
        <w:t>as</w:t>
      </w:r>
      <w:r>
        <w:rPr>
          <w:color w:val="000000"/>
        </w:rPr>
        <w:t xml:space="preserve"> </w:t>
      </w:r>
      <w:r>
        <w:rPr>
          <w:rFonts w:ascii="Times New Roman;serif" w:hAnsi="Times New Roman;serif"/>
          <w:b w:val="false"/>
          <w:color w:val="000000"/>
          <w:sz w:val="24"/>
        </w:rPr>
        <w:t>permitted by subparagraph (B) below, each</w:t>
      </w:r>
      <w:r>
        <w:rPr>
          <w:color w:val="000000"/>
        </w:rPr>
        <w:t xml:space="preserve"> </w:t>
      </w:r>
      <w:r>
        <w:rPr>
          <w:rFonts w:ascii="Times New Roman;serif" w:hAnsi="Times New Roman;serif"/>
          <w:b w:val="false"/>
          <w:color w:val="000000"/>
          <w:sz w:val="24"/>
        </w:rPr>
        <w:t>Global Note and</w:t>
      </w:r>
      <w:r>
        <w:rPr>
          <w:color w:val="000000"/>
        </w:rPr>
        <w:t xml:space="preserve"> </w:t>
      </w:r>
      <w:r>
        <w:rPr>
          <w:rFonts w:ascii="Times New Roman;serif" w:hAnsi="Times New Roman;serif"/>
          <w:b w:val="false"/>
          <w:color w:val="000000"/>
          <w:sz w:val="24"/>
        </w:rPr>
        <w:t>each</w:t>
      </w:r>
      <w:r>
        <w:rPr>
          <w:color w:val="000000"/>
        </w:rPr>
        <w:t xml:space="preserve"> </w:t>
      </w:r>
      <w:r>
        <w:rPr>
          <w:rFonts w:ascii="Times New Roman;serif" w:hAnsi="Times New Roman;serif"/>
          <w:b w:val="false"/>
          <w:color w:val="000000"/>
          <w:sz w:val="24"/>
        </w:rPr>
        <w:t>Definitive Note (and all</w:t>
      </w:r>
      <w:r>
        <w:rPr>
          <w:color w:val="000000"/>
        </w:rPr>
        <w:t xml:space="preserve"> </w:t>
      </w:r>
      <w:r>
        <w:rPr>
          <w:rFonts w:ascii="Times New Roman;serif" w:hAnsi="Times New Roman;serif"/>
          <w:b w:val="false"/>
          <w:color w:val="000000"/>
          <w:sz w:val="24"/>
        </w:rPr>
        <w:t>Notes issued</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exchange</w:t>
      </w:r>
      <w:r>
        <w:rPr>
          <w:color w:val="000000"/>
        </w:rPr>
        <w:t xml:space="preserve"> </w:t>
      </w:r>
      <w:r>
        <w:rPr>
          <w:rFonts w:ascii="Times New Roman;serif" w:hAnsi="Times New Roman;serif"/>
          <w:b w:val="false"/>
          <w:color w:val="000000"/>
          <w:sz w:val="24"/>
        </w:rPr>
        <w:t>therefor or substitution thereof) shall bear the legend in substantially the following form:</w:t>
      </w:r>
    </w:p>
    <w:p>
      <w:pPr>
        <w:pStyle w:val="TextBody"/>
        <w:bidi w:val="0"/>
        <w:spacing w:lineRule="auto" w:line="300"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THIS NOTE HAS NOT BEEN REGISTERED UNDER THE SECURITIES ACT OF 1933, AS AMENDED (THE “SECURITIES ACT”), AND MAY NOT BE OFFERED, SOLD, PLEDGED OR OTHERWISE TRANSFERRED EXCEPT IN ACCORDANCE WITH THE FOLLOWING SENTENCE. BY ITS ACQUISITION HEREOF OR OF A BENEFICIAL INTEREST HEREIN, THE ACQUIRER (1) REPRESENTS THAT (A) IT AND ANY ACCOUNT FOR WHICH IT IS </w:t>
      </w:r>
    </w:p>
    <w:p>
      <w:pPr>
        <w:pStyle w:val="TextBody"/>
        <w:bidi w:val="0"/>
        <w:spacing w:before="0" w:after="0"/>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735965"/>
                <wp:effectExtent l="0" t="0" r="0" b="0"/>
                <wp:wrapNone/>
                <wp:docPr id="90" name="Frame90"/>
                <a:graphic xmlns:a="http://schemas.openxmlformats.org/drawingml/2006/main">
                  <a:graphicData uri="http://schemas.microsoft.com/office/word/2010/wordprocessingShape">
                    <wps:wsp>
                      <wps:cNvSpPr txBox="1"/>
                      <wps:spPr>
                        <a:xfrm>
                          <a:off x="0" y="0"/>
                          <a:ext cx="6480175" cy="7359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42</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42</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300" w:before="0" w:after="240"/>
        <w:jc w:val="both"/>
        <w:rPr>
          <w:rFonts w:ascii="Times New Roman;serif" w:hAnsi="Times New Roman;serif"/>
          <w:b w:val="false"/>
          <w:color w:val="000000"/>
          <w:sz w:val="24"/>
        </w:rPr>
      </w:pPr>
      <w:r>
        <w:rPr>
          <w:rFonts w:ascii="Times New Roman;serif" w:hAnsi="Times New Roman;serif"/>
          <w:b w:val="false"/>
          <w:color w:val="000000"/>
          <w:sz w:val="24"/>
        </w:rPr>
        <w:t>ACTING IS A “QUALIFIED INSTITUTIONAL BUYER” (WITHIN THE MEANING OF RULE 144A UNDER THE SECURITIES ACT) AND THAT IT EXERCISES SOLE INVESTMENT DISCRETION WITH RESPECT TO EACH SUCH ACCOUNT, OR (B) IT IS NOT A U.S. PERSON (WITHIN THE MEANING OF REGULATION S UNDER THE SECURITIES ACT) AND (2) AGREES FOR THE BENEFIT OF TALEN ENERGY SUPPLY, LLC THAT IT WILL NOT OFFER, SELL, PLEDGE OR OTHERWISE TRANSFER THIS NOTE OR ANY BENEFICIAL INTEREST HEREIN, EXCEPT IN ACCORDANCE WITH THE SECURITIES ACT AND ANY APPLICABLE SECURITIES LAWS OF ANY STATE OF THE UNITED STATES AND ONLY (A) TO TALEN ENERGY SUPPLY, LLC, (B) PURSUANT TO A REGISTRATION STATEMENT WHICH HAS BECOME EFFECTIVE UNDER THE SECURITIES ACT, (C) TO A QUALIFIED INSTITUTIONAL BUYER IN COMPLIANCE WITH RULE 144A UNDER THE SECURITIES ACT, (D) IN AN OFFSHORE TRANSACTION IN COMPLIANCE WITH RULE 904 OF REGULATION S UNDER THE SECURITIES ACT, (E) TO AN INSTITUTIONAL “ACCREDITED INVESTOR” WITHIN THE MEANING OF RULE 501(a)(1), (2), (3) OR (7) UNDER THE SECURITIES ACT THAT IS NOT A QUALIFIED INSTITUTIONAL BUYER AND THAT IS PURCHASING FOR ITS OWN ACCOUNT OR FOR THE ACCOUNT OF ANOTHER INSTITUTIONAL ACCREDITED INVESTOR, IN EACH CASE IN A MINIMUM PRINCIPAL AMOUNT OF SECURITIES OF $250,000, OR (F) PURSUANT TO AN EXEMPTION FROM REGISTRATION PROVIDED BY RULE 144 UNDER THE SECURITIES ACT OR ANY OTHER AVAILABLE EXEMPTION FROM THE REGISTRATION REQUIREMENTS OF THE SECURITIES ACT.</w:t>
      </w:r>
    </w:p>
    <w:p>
      <w:pPr>
        <w:pStyle w:val="TextBody"/>
        <w:bidi w:val="0"/>
        <w:spacing w:lineRule="auto" w:line="300"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PRIOR TO THE REGISTRATION OF ANY TRANSFER IN ACCORDANCE WITH (2)(C) ABOVE OR (2)(D) ABOVE, A DULY COMPLETED AND SIGNED CERTIFICATE (THE FORM OF WHICH MAY BE OBTAINED FROM THE TRUSTEE) MUST BE DELIVERED TO THE TRUSTEE. PRIOR TO THE REGISTRATION OF ANY TRANSFER IN ACCORDANCE WITH (F) ABOVE, TALEN ENERGY SUPPLY, LLC RESERVES THE RIGHT TO REQUIRE THE DELIVERY OF SUCH LEGAL OPINIONS, CERTIFICATIONS OR OTHER EVIDENCE AS MAY REASONABLY BE REQUIRED IN ORDER TO DETERMINE THAT THE PROPOSED TRANSFER IS BEING MADE IN COMPLIANCE WITH THE SECURITIES ACT AND APPLICABLE STATE SECURITIES LAWS. NO REPRESENTATION </w:t>
      </w:r>
    </w:p>
    <w:p>
      <w:pPr>
        <w:pStyle w:val="TextBody"/>
        <w:bidi w:val="0"/>
        <w:spacing w:before="0" w:after="0"/>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735965"/>
                <wp:effectExtent l="0" t="0" r="0" b="0"/>
                <wp:wrapNone/>
                <wp:docPr id="91" name="Frame91"/>
                <a:graphic xmlns:a="http://schemas.openxmlformats.org/drawingml/2006/main">
                  <a:graphicData uri="http://schemas.microsoft.com/office/word/2010/wordprocessingShape">
                    <wps:wsp>
                      <wps:cNvSpPr txBox="1"/>
                      <wps:spPr>
                        <a:xfrm>
                          <a:off x="0" y="0"/>
                          <a:ext cx="6480175" cy="7359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43</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43</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300" w:before="0" w:after="240"/>
        <w:jc w:val="both"/>
        <w:rPr>
          <w:rFonts w:ascii="Times New Roman;serif" w:hAnsi="Times New Roman;serif"/>
          <w:b w:val="false"/>
          <w:color w:val="000000"/>
          <w:sz w:val="24"/>
        </w:rPr>
      </w:pPr>
      <w:r>
        <w:rPr>
          <w:rFonts w:ascii="Times New Roman;serif" w:hAnsi="Times New Roman;serif"/>
          <w:b w:val="false"/>
          <w:color w:val="000000"/>
          <w:sz w:val="24"/>
        </w:rPr>
        <w:t>IS MADE AS TO THE AVAILABILITY OF ANY RULE 144 EXEMPTION FROM THE REGISTRATION REQUIREMENTS OF THE SECURITIES ACT.</w:t>
      </w:r>
    </w:p>
    <w:p>
      <w:pPr>
        <w:pStyle w:val="TextBody"/>
        <w:bidi w:val="0"/>
        <w:spacing w:lineRule="auto" w:line="300" w:before="0" w:after="240"/>
        <w:ind w:left="0" w:right="0" w:firstLine="720"/>
        <w:jc w:val="both"/>
        <w:rPr/>
      </w:pPr>
      <w:r>
        <w:rPr>
          <w:rFonts w:ascii="Times New Roman;serif" w:hAnsi="Times New Roman;serif"/>
          <w:b w:val="false"/>
          <w:color w:val="000000"/>
          <w:sz w:val="24"/>
        </w:rPr>
        <w:t xml:space="preserve">(B)Notwithstanding the foregoing, any Global Note or Definitive Note issued pursuant to subparagraphs </w:t>
      </w:r>
      <w:r>
        <w:rPr>
          <w:rFonts w:ascii="Times New Roman;serif" w:hAnsi="Times New Roman;serif"/>
          <w:b w:val="false"/>
          <w:color w:val="000000"/>
          <w:sz w:val="24"/>
          <w:u w:val="single"/>
        </w:rPr>
        <w:t>2.06(b)(4)</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u w:val="single"/>
        </w:rPr>
        <w:t>2.06(c)(3)</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u w:val="single"/>
        </w:rPr>
        <w:t>2.06(c)(4)</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u w:val="single"/>
        </w:rPr>
        <w:t>2.06(d)(2)</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2.06(d)(3),</w:t>
      </w:r>
      <w:r>
        <w:rPr>
          <w:color w:val="000000"/>
        </w:rPr>
        <w:t xml:space="preserve"> </w:t>
      </w:r>
      <w:r>
        <w:rPr>
          <w:rFonts w:ascii="Times New Roman;serif" w:hAnsi="Times New Roman;serif"/>
          <w:b w:val="false"/>
          <w:color w:val="000000"/>
          <w:sz w:val="24"/>
          <w:u w:val="single"/>
        </w:rPr>
        <w:t>2.06(e)(2)</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2.06(e)(3)</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this</w:t>
      </w:r>
      <w:r>
        <w:rPr>
          <w:color w:val="000000"/>
        </w:rPr>
        <w:t xml:space="preserve"> </w:t>
      </w:r>
      <w:r>
        <w:rPr>
          <w:rFonts w:ascii="Times New Roman;serif" w:hAnsi="Times New Roman;serif"/>
          <w:b w:val="false"/>
          <w:color w:val="000000"/>
          <w:sz w:val="24"/>
          <w:u w:val="single"/>
        </w:rPr>
        <w:t>Section 2.06</w:t>
      </w:r>
      <w:r>
        <w:rPr>
          <w:color w:val="000000"/>
        </w:rPr>
        <w:t xml:space="preserve"> </w:t>
      </w:r>
      <w:r>
        <w:rPr>
          <w:rFonts w:ascii="Times New Roman;serif" w:hAnsi="Times New Roman;serif"/>
          <w:b w:val="false"/>
          <w:color w:val="000000"/>
          <w:sz w:val="24"/>
        </w:rPr>
        <w:t>(and all Notes issued in exchange therefor or substitution thereof) will not bear the</w:t>
      </w:r>
      <w:r>
        <w:rPr>
          <w:color w:val="000000"/>
        </w:rPr>
        <w:t xml:space="preserve"> </w:t>
      </w:r>
      <w:r>
        <w:rPr>
          <w:rFonts w:ascii="Times New Roman;serif" w:hAnsi="Times New Roman;serif"/>
          <w:b w:val="false"/>
          <w:color w:val="000000"/>
          <w:sz w:val="24"/>
        </w:rPr>
        <w:t>Private Placement Legend.</w:t>
      </w:r>
    </w:p>
    <w:p>
      <w:pPr>
        <w:pStyle w:val="TextBody"/>
        <w:bidi w:val="0"/>
        <w:spacing w:lineRule="auto" w:line="300" w:before="0" w:after="240"/>
        <w:ind w:left="0" w:right="0" w:firstLine="720"/>
        <w:jc w:val="both"/>
        <w:rPr/>
      </w:pPr>
      <w:r>
        <w:rPr>
          <w:rFonts w:ascii="Times New Roman;serif" w:hAnsi="Times New Roman;serif"/>
          <w:b w:val="false"/>
          <w:color w:val="000000"/>
          <w:sz w:val="24"/>
        </w:rPr>
        <w:t>(2)</w:t>
      </w:r>
      <w:r>
        <w:rPr>
          <w:rFonts w:ascii="Times New Roman;serif" w:hAnsi="Times New Roman;serif"/>
          <w:b w:val="false"/>
          <w:i/>
          <w:color w:val="000000"/>
          <w:sz w:val="24"/>
        </w:rPr>
        <w:t>Global</w:t>
      </w:r>
      <w:r>
        <w:rPr>
          <w:color w:val="000000"/>
        </w:rPr>
        <w:t xml:space="preserve"> </w:t>
      </w:r>
      <w:r>
        <w:rPr>
          <w:rFonts w:ascii="Times New Roman;serif" w:hAnsi="Times New Roman;serif"/>
          <w:b w:val="false"/>
          <w:i/>
          <w:color w:val="000000"/>
          <w:sz w:val="24"/>
        </w:rPr>
        <w:t>Note</w:t>
      </w:r>
      <w:r>
        <w:rPr>
          <w:color w:val="000000"/>
        </w:rPr>
        <w:t xml:space="preserve"> </w:t>
      </w:r>
      <w:r>
        <w:rPr>
          <w:rFonts w:ascii="Times New Roman;serif" w:hAnsi="Times New Roman;serif"/>
          <w:b w:val="false"/>
          <w:i/>
          <w:color w:val="000000"/>
          <w:sz w:val="24"/>
        </w:rPr>
        <w:t>Legend</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Each</w:t>
      </w:r>
      <w:r>
        <w:rPr>
          <w:color w:val="000000"/>
        </w:rPr>
        <w:t xml:space="preserve"> </w:t>
      </w:r>
      <w:r>
        <w:rPr>
          <w:rFonts w:ascii="Times New Roman;serif" w:hAnsi="Times New Roman;serif"/>
          <w:b w:val="false"/>
          <w:color w:val="000000"/>
          <w:sz w:val="24"/>
        </w:rPr>
        <w:t>Global</w:t>
      </w:r>
      <w:r>
        <w:rPr>
          <w:color w:val="000000"/>
        </w:rPr>
        <w:t xml:space="preserve"> </w:t>
      </w:r>
      <w:r>
        <w:rPr>
          <w:rFonts w:ascii="Times New Roman;serif" w:hAnsi="Times New Roman;serif"/>
          <w:b w:val="false"/>
          <w:color w:val="000000"/>
          <w:sz w:val="24"/>
        </w:rPr>
        <w:t>Note</w:t>
      </w:r>
      <w:r>
        <w:rPr>
          <w:color w:val="000000"/>
        </w:rPr>
        <w:t xml:space="preserve"> </w:t>
      </w:r>
      <w:r>
        <w:rPr>
          <w:rFonts w:ascii="Times New Roman;serif" w:hAnsi="Times New Roman;serif"/>
          <w:b w:val="false"/>
          <w:color w:val="000000"/>
          <w:sz w:val="24"/>
        </w:rPr>
        <w:t>will</w:t>
      </w:r>
      <w:r>
        <w:rPr>
          <w:color w:val="000000"/>
        </w:rPr>
        <w:t xml:space="preserve"> </w:t>
      </w:r>
      <w:r>
        <w:rPr>
          <w:rFonts w:ascii="Times New Roman;serif" w:hAnsi="Times New Roman;serif"/>
          <w:b w:val="false"/>
          <w:color w:val="000000"/>
          <w:sz w:val="24"/>
        </w:rPr>
        <w:t>bear</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legend</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substantially</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following</w:t>
      </w:r>
      <w:r>
        <w:rPr>
          <w:color w:val="000000"/>
        </w:rPr>
        <w:t xml:space="preserve"> </w:t>
      </w:r>
      <w:r>
        <w:rPr>
          <w:rFonts w:ascii="Times New Roman;serif" w:hAnsi="Times New Roman;serif"/>
          <w:b w:val="false"/>
          <w:color w:val="000000"/>
          <w:sz w:val="24"/>
        </w:rPr>
        <w:t>form:</w:t>
      </w:r>
    </w:p>
    <w:p>
      <w:pPr>
        <w:pStyle w:val="TextBody"/>
        <w:bidi w:val="0"/>
        <w:spacing w:lineRule="auto" w:line="300" w:before="0" w:after="240"/>
        <w:jc w:val="both"/>
        <w:rPr/>
      </w:pPr>
      <w:r>
        <w:rPr>
          <w:color w:val="000000"/>
        </w:rPr>
        <w:t>“</w:t>
      </w:r>
      <w:r>
        <w:rPr>
          <w:rFonts w:ascii="Times New Roman;serif" w:hAnsi="Times New Roman;serif"/>
          <w:b w:val="false"/>
          <w:color w:val="000000"/>
          <w:sz w:val="24"/>
        </w:rPr>
        <w:t>THIS GLOBAL NOTE IS HELD BY THE DEPOSITORY (AS DEFINED IN THE INDENTURE GOVERNING THIS NOTE) OR ITS NOMINEE</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CUSTODY</w:t>
      </w:r>
      <w:r>
        <w:rPr>
          <w:color w:val="000000"/>
        </w:rPr>
        <w:t xml:space="preserve"> </w:t>
      </w:r>
      <w:r>
        <w:rPr>
          <w:rFonts w:ascii="Times New Roman;serif" w:hAnsi="Times New Roman;serif"/>
          <w:b w:val="false"/>
          <w:color w:val="000000"/>
          <w:sz w:val="24"/>
        </w:rPr>
        <w:t>FOR</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BENEFIT</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BENEFICIAL</w:t>
      </w:r>
      <w:r>
        <w:rPr>
          <w:color w:val="000000"/>
        </w:rPr>
        <w:t xml:space="preserve"> </w:t>
      </w:r>
      <w:r>
        <w:rPr>
          <w:rFonts w:ascii="Times New Roman;serif" w:hAnsi="Times New Roman;serif"/>
          <w:b w:val="false"/>
          <w:color w:val="000000"/>
          <w:sz w:val="24"/>
        </w:rPr>
        <w:t>OWNERS</w:t>
      </w:r>
      <w:r>
        <w:rPr>
          <w:color w:val="000000"/>
        </w:rPr>
        <w:t xml:space="preserve"> </w:t>
      </w:r>
      <w:r>
        <w:rPr>
          <w:rFonts w:ascii="Times New Roman;serif" w:hAnsi="Times New Roman;serif"/>
          <w:b w:val="false"/>
          <w:color w:val="000000"/>
          <w:sz w:val="24"/>
        </w:rPr>
        <w:t>HEREOF,</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IS</w:t>
      </w:r>
      <w:r>
        <w:rPr>
          <w:color w:val="000000"/>
        </w:rPr>
        <w:t xml:space="preserve"> </w:t>
      </w:r>
      <w:r>
        <w:rPr>
          <w:rFonts w:ascii="Times New Roman;serif" w:hAnsi="Times New Roman;serif"/>
          <w:b w:val="false"/>
          <w:color w:val="000000"/>
          <w:sz w:val="24"/>
        </w:rPr>
        <w:t>NOT</w:t>
      </w:r>
      <w:r>
        <w:rPr>
          <w:color w:val="000000"/>
        </w:rPr>
        <w:t xml:space="preserve"> </w:t>
      </w:r>
      <w:r>
        <w:rPr>
          <w:rFonts w:ascii="Times New Roman;serif" w:hAnsi="Times New Roman;serif"/>
          <w:b w:val="false"/>
          <w:color w:val="000000"/>
          <w:sz w:val="24"/>
        </w:rPr>
        <w:t>TRANSFERABLE</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PERSON</w:t>
      </w:r>
      <w:r>
        <w:rPr>
          <w:color w:val="000000"/>
        </w:rPr>
        <w:t xml:space="preserve"> </w:t>
      </w:r>
      <w:r>
        <w:rPr>
          <w:rFonts w:ascii="Times New Roman;serif" w:hAnsi="Times New Roman;serif"/>
          <w:b w:val="false"/>
          <w:color w:val="000000"/>
          <w:sz w:val="24"/>
        </w:rPr>
        <w:t>UNDER</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CIRCUMSTANCES</w:t>
      </w:r>
      <w:r>
        <w:rPr>
          <w:color w:val="000000"/>
        </w:rPr>
        <w:t xml:space="preserve"> </w:t>
      </w:r>
      <w:r>
        <w:rPr>
          <w:rFonts w:ascii="Times New Roman;serif" w:hAnsi="Times New Roman;serif"/>
          <w:b w:val="false"/>
          <w:color w:val="000000"/>
          <w:sz w:val="24"/>
        </w:rPr>
        <w:t>EXCEPT</w:t>
      </w:r>
      <w:r>
        <w:rPr>
          <w:color w:val="000000"/>
        </w:rPr>
        <w:t xml:space="preserve"> </w:t>
      </w:r>
      <w:r>
        <w:rPr>
          <w:rFonts w:ascii="Times New Roman;serif" w:hAnsi="Times New Roman;serif"/>
          <w:b w:val="false"/>
          <w:color w:val="000000"/>
          <w:sz w:val="24"/>
        </w:rPr>
        <w:t>THAT</w:t>
      </w:r>
      <w:r>
        <w:rPr>
          <w:color w:val="000000"/>
        </w:rPr>
        <w:t xml:space="preserve"> </w:t>
      </w:r>
      <w:r>
        <w:rPr>
          <w:rFonts w:ascii="Times New Roman;serif" w:hAnsi="Times New Roman;serif"/>
          <w:b w:val="false"/>
          <w:color w:val="000000"/>
          <w:sz w:val="24"/>
        </w:rPr>
        <w:t>(1)</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TRUSTEE</w:t>
      </w:r>
      <w:r>
        <w:rPr>
          <w:color w:val="000000"/>
        </w:rPr>
        <w:t xml:space="preserve"> </w:t>
      </w:r>
      <w:r>
        <w:rPr>
          <w:rFonts w:ascii="Times New Roman;serif" w:hAnsi="Times New Roman;serif"/>
          <w:b w:val="false"/>
          <w:color w:val="000000"/>
          <w:sz w:val="24"/>
        </w:rPr>
        <w:t>MAY</w:t>
      </w:r>
      <w:r>
        <w:rPr>
          <w:color w:val="000000"/>
        </w:rPr>
        <w:t xml:space="preserve"> </w:t>
      </w:r>
      <w:r>
        <w:rPr>
          <w:rFonts w:ascii="Times New Roman;serif" w:hAnsi="Times New Roman;serif"/>
          <w:b w:val="false"/>
          <w:color w:val="000000"/>
          <w:sz w:val="24"/>
        </w:rPr>
        <w:t>MAKE</w:t>
      </w:r>
      <w:r>
        <w:rPr>
          <w:color w:val="000000"/>
        </w:rPr>
        <w:t xml:space="preserve"> </w:t>
      </w:r>
      <w:r>
        <w:rPr>
          <w:rFonts w:ascii="Times New Roman;serif" w:hAnsi="Times New Roman;serif"/>
          <w:b w:val="false"/>
          <w:color w:val="000000"/>
          <w:sz w:val="24"/>
        </w:rPr>
        <w:t>SUCH</w:t>
      </w:r>
      <w:r>
        <w:rPr>
          <w:color w:val="000000"/>
        </w:rPr>
        <w:t xml:space="preserve"> </w:t>
      </w:r>
      <w:r>
        <w:rPr>
          <w:rFonts w:ascii="Times New Roman;serif" w:hAnsi="Times New Roman;serif"/>
          <w:b w:val="false"/>
          <w:color w:val="000000"/>
          <w:sz w:val="24"/>
        </w:rPr>
        <w:t>NOTATIONS</w:t>
      </w:r>
      <w:r>
        <w:rPr>
          <w:color w:val="000000"/>
        </w:rPr>
        <w:t xml:space="preserve"> </w:t>
      </w:r>
      <w:r>
        <w:rPr>
          <w:rFonts w:ascii="Times New Roman;serif" w:hAnsi="Times New Roman;serif"/>
          <w:b w:val="false"/>
          <w:color w:val="000000"/>
          <w:sz w:val="24"/>
        </w:rPr>
        <w:t>HEREON</w:t>
      </w:r>
      <w:r>
        <w:rPr>
          <w:color w:val="000000"/>
        </w:rPr>
        <w:t xml:space="preserve"> </w:t>
      </w:r>
      <w:r>
        <w:rPr>
          <w:rFonts w:ascii="Times New Roman;serif" w:hAnsi="Times New Roman;serif"/>
          <w:b w:val="false"/>
          <w:color w:val="000000"/>
          <w:sz w:val="24"/>
        </w:rPr>
        <w:t>AS</w:t>
      </w:r>
      <w:r>
        <w:rPr>
          <w:color w:val="000000"/>
        </w:rPr>
        <w:t xml:space="preserve"> </w:t>
      </w:r>
      <w:r>
        <w:rPr>
          <w:rFonts w:ascii="Times New Roman;serif" w:hAnsi="Times New Roman;serif"/>
          <w:b w:val="false"/>
          <w:color w:val="000000"/>
          <w:sz w:val="24"/>
        </w:rPr>
        <w:t>MAY</w:t>
      </w:r>
      <w:r>
        <w:rPr>
          <w:color w:val="000000"/>
        </w:rPr>
        <w:t xml:space="preserve"> </w:t>
      </w:r>
      <w:r>
        <w:rPr>
          <w:rFonts w:ascii="Times New Roman;serif" w:hAnsi="Times New Roman;serif"/>
          <w:b w:val="false"/>
          <w:color w:val="000000"/>
          <w:sz w:val="24"/>
        </w:rPr>
        <w:t>BE</w:t>
      </w:r>
      <w:r>
        <w:rPr>
          <w:color w:val="000000"/>
        </w:rPr>
        <w:t xml:space="preserve"> </w:t>
      </w:r>
      <w:r>
        <w:rPr>
          <w:rFonts w:ascii="Times New Roman;serif" w:hAnsi="Times New Roman;serif"/>
          <w:b w:val="false"/>
          <w:color w:val="000000"/>
          <w:sz w:val="24"/>
        </w:rPr>
        <w:t>REQUIRED</w:t>
      </w:r>
      <w:r>
        <w:rPr>
          <w:color w:val="000000"/>
        </w:rPr>
        <w:t xml:space="preserve"> </w:t>
      </w:r>
      <w:r>
        <w:rPr>
          <w:rFonts w:ascii="Times New Roman;serif" w:hAnsi="Times New Roman;serif"/>
          <w:b w:val="false"/>
          <w:color w:val="000000"/>
          <w:sz w:val="24"/>
        </w:rPr>
        <w:t xml:space="preserve">PURSUANT TO </w:t>
      </w:r>
      <w:r>
        <w:rPr>
          <w:rFonts w:ascii="Times New Roman;serif" w:hAnsi="Times New Roman;serif"/>
          <w:b w:val="false"/>
          <w:color w:val="000000"/>
          <w:sz w:val="24"/>
          <w:u w:val="single"/>
        </w:rPr>
        <w:t>SECTION 2.01</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SECTION 2.06</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INDENTURE,</w:t>
      </w:r>
      <w:r>
        <w:rPr>
          <w:color w:val="000000"/>
        </w:rPr>
        <w:t xml:space="preserve"> </w:t>
      </w:r>
      <w:r>
        <w:rPr>
          <w:rFonts w:ascii="Times New Roman;serif" w:hAnsi="Times New Roman;serif"/>
          <w:b w:val="false"/>
          <w:color w:val="000000"/>
          <w:sz w:val="24"/>
        </w:rPr>
        <w:t>(2)</w:t>
      </w:r>
      <w:r>
        <w:rPr>
          <w:color w:val="000000"/>
        </w:rPr>
        <w:t xml:space="preserve"> </w:t>
      </w:r>
      <w:r>
        <w:rPr>
          <w:rFonts w:ascii="Times New Roman;serif" w:hAnsi="Times New Roman;serif"/>
          <w:b w:val="false"/>
          <w:color w:val="000000"/>
          <w:sz w:val="24"/>
        </w:rPr>
        <w:t>THIS</w:t>
      </w:r>
      <w:r>
        <w:rPr>
          <w:color w:val="000000"/>
        </w:rPr>
        <w:t xml:space="preserve"> </w:t>
      </w:r>
      <w:r>
        <w:rPr>
          <w:rFonts w:ascii="Times New Roman;serif" w:hAnsi="Times New Roman;serif"/>
          <w:b w:val="false"/>
          <w:color w:val="000000"/>
          <w:sz w:val="24"/>
        </w:rPr>
        <w:t>GLOBAL</w:t>
      </w:r>
      <w:r>
        <w:rPr>
          <w:color w:val="000000"/>
        </w:rPr>
        <w:t xml:space="preserve"> </w:t>
      </w:r>
      <w:r>
        <w:rPr>
          <w:rFonts w:ascii="Times New Roman;serif" w:hAnsi="Times New Roman;serif"/>
          <w:b w:val="false"/>
          <w:color w:val="000000"/>
          <w:sz w:val="24"/>
        </w:rPr>
        <w:t>NOTE</w:t>
      </w:r>
      <w:r>
        <w:rPr>
          <w:color w:val="000000"/>
        </w:rPr>
        <w:t xml:space="preserve"> </w:t>
      </w:r>
      <w:r>
        <w:rPr>
          <w:rFonts w:ascii="Times New Roman;serif" w:hAnsi="Times New Roman;serif"/>
          <w:b w:val="false"/>
          <w:color w:val="000000"/>
          <w:sz w:val="24"/>
        </w:rPr>
        <w:t>MAY</w:t>
      </w:r>
      <w:r>
        <w:rPr>
          <w:color w:val="000000"/>
        </w:rPr>
        <w:t xml:space="preserve"> </w:t>
      </w:r>
      <w:r>
        <w:rPr>
          <w:rFonts w:ascii="Times New Roman;serif" w:hAnsi="Times New Roman;serif"/>
          <w:b w:val="false"/>
          <w:color w:val="000000"/>
          <w:sz w:val="24"/>
        </w:rPr>
        <w:t>BE</w:t>
      </w:r>
      <w:r>
        <w:rPr>
          <w:color w:val="000000"/>
        </w:rPr>
        <w:t xml:space="preserve"> </w:t>
      </w:r>
      <w:r>
        <w:rPr>
          <w:rFonts w:ascii="Times New Roman;serif" w:hAnsi="Times New Roman;serif"/>
          <w:b w:val="false"/>
          <w:color w:val="000000"/>
          <w:sz w:val="24"/>
        </w:rPr>
        <w:t>EXCHANGED</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WHOLE</w:t>
      </w:r>
      <w:r>
        <w:rPr>
          <w:color w:val="000000"/>
        </w:rPr>
        <w:t xml:space="preserve"> </w:t>
      </w:r>
      <w:r>
        <w:rPr>
          <w:rFonts w:ascii="Times New Roman;serif" w:hAnsi="Times New Roman;serif"/>
          <w:b w:val="false"/>
          <w:color w:val="000000"/>
          <w:sz w:val="24"/>
        </w:rPr>
        <w:t xml:space="preserve">BUT NOT IN PART PURSUANT TO </w:t>
      </w:r>
      <w:r>
        <w:rPr>
          <w:rFonts w:ascii="Times New Roman;serif" w:hAnsi="Times New Roman;serif"/>
          <w:b w:val="false"/>
          <w:color w:val="000000"/>
          <w:sz w:val="24"/>
          <w:u w:val="single"/>
        </w:rPr>
        <w:t>SECTION</w:t>
      </w:r>
      <w:r>
        <w:rPr>
          <w:color w:val="000000"/>
          <w:u w:val="single"/>
        </w:rPr>
        <w:t xml:space="preserve"> </w:t>
      </w:r>
      <w:r>
        <w:rPr>
          <w:rFonts w:ascii="Times New Roman;serif" w:hAnsi="Times New Roman;serif"/>
          <w:b w:val="false"/>
          <w:color w:val="000000"/>
          <w:sz w:val="24"/>
          <w:u w:val="single"/>
        </w:rPr>
        <w:t>2.06(A)</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INDENTURE,</w:t>
      </w:r>
      <w:r>
        <w:rPr>
          <w:color w:val="000000"/>
        </w:rPr>
        <w:t xml:space="preserve"> </w:t>
      </w:r>
      <w:r>
        <w:rPr>
          <w:rFonts w:ascii="Times New Roman;serif" w:hAnsi="Times New Roman;serif"/>
          <w:b w:val="false"/>
          <w:color w:val="000000"/>
          <w:sz w:val="24"/>
        </w:rPr>
        <w:t>(3)</w:t>
      </w:r>
      <w:r>
        <w:rPr>
          <w:color w:val="000000"/>
        </w:rPr>
        <w:t xml:space="preserve"> </w:t>
      </w:r>
      <w:r>
        <w:rPr>
          <w:rFonts w:ascii="Times New Roman;serif" w:hAnsi="Times New Roman;serif"/>
          <w:b w:val="false"/>
          <w:color w:val="000000"/>
          <w:sz w:val="24"/>
        </w:rPr>
        <w:t>THIS</w:t>
      </w:r>
      <w:r>
        <w:rPr>
          <w:color w:val="000000"/>
        </w:rPr>
        <w:t xml:space="preserve"> </w:t>
      </w:r>
      <w:r>
        <w:rPr>
          <w:rFonts w:ascii="Times New Roman;serif" w:hAnsi="Times New Roman;serif"/>
          <w:b w:val="false"/>
          <w:color w:val="000000"/>
          <w:sz w:val="24"/>
        </w:rPr>
        <w:t>GLOBAL</w:t>
      </w:r>
      <w:r>
        <w:rPr>
          <w:color w:val="000000"/>
        </w:rPr>
        <w:t xml:space="preserve"> </w:t>
      </w:r>
      <w:r>
        <w:rPr>
          <w:rFonts w:ascii="Times New Roman;serif" w:hAnsi="Times New Roman;serif"/>
          <w:b w:val="false"/>
          <w:color w:val="000000"/>
          <w:sz w:val="24"/>
        </w:rPr>
        <w:t>NOTE</w:t>
      </w:r>
      <w:r>
        <w:rPr>
          <w:color w:val="000000"/>
        </w:rPr>
        <w:t xml:space="preserve"> </w:t>
      </w:r>
      <w:r>
        <w:rPr>
          <w:rFonts w:ascii="Times New Roman;serif" w:hAnsi="Times New Roman;serif"/>
          <w:b w:val="false"/>
          <w:color w:val="000000"/>
          <w:sz w:val="24"/>
        </w:rPr>
        <w:t>MAY</w:t>
      </w:r>
      <w:r>
        <w:rPr>
          <w:color w:val="000000"/>
        </w:rPr>
        <w:t xml:space="preserve"> </w:t>
      </w:r>
      <w:r>
        <w:rPr>
          <w:rFonts w:ascii="Times New Roman;serif" w:hAnsi="Times New Roman;serif"/>
          <w:b w:val="false"/>
          <w:color w:val="000000"/>
          <w:sz w:val="24"/>
        </w:rPr>
        <w:t>BE</w:t>
      </w:r>
      <w:r>
        <w:rPr>
          <w:color w:val="000000"/>
        </w:rPr>
        <w:t xml:space="preserve"> </w:t>
      </w:r>
      <w:r>
        <w:rPr>
          <w:rFonts w:ascii="Times New Roman;serif" w:hAnsi="Times New Roman;serif"/>
          <w:b w:val="false"/>
          <w:color w:val="000000"/>
          <w:sz w:val="24"/>
        </w:rPr>
        <w:t>DELIVERED</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TRUSTEE</w:t>
      </w:r>
      <w:r>
        <w:rPr>
          <w:color w:val="000000"/>
        </w:rPr>
        <w:t xml:space="preserve"> </w:t>
      </w:r>
      <w:r>
        <w:rPr>
          <w:rFonts w:ascii="Times New Roman;serif" w:hAnsi="Times New Roman;serif"/>
          <w:b w:val="false"/>
          <w:color w:val="000000"/>
          <w:sz w:val="24"/>
        </w:rPr>
        <w:t>FOR</w:t>
      </w:r>
      <w:r>
        <w:rPr>
          <w:color w:val="000000"/>
        </w:rPr>
        <w:t xml:space="preserve"> </w:t>
      </w:r>
      <w:r>
        <w:rPr>
          <w:rFonts w:ascii="Times New Roman;serif" w:hAnsi="Times New Roman;serif"/>
          <w:b w:val="false"/>
          <w:color w:val="000000"/>
          <w:sz w:val="24"/>
        </w:rPr>
        <w:t>CANCELLATION</w:t>
      </w:r>
      <w:r>
        <w:rPr>
          <w:color w:val="000000"/>
        </w:rPr>
        <w:t xml:space="preserve"> </w:t>
      </w:r>
      <w:r>
        <w:rPr>
          <w:rFonts w:ascii="Times New Roman;serif" w:hAnsi="Times New Roman;serif"/>
          <w:b w:val="false"/>
          <w:color w:val="000000"/>
          <w:sz w:val="24"/>
        </w:rPr>
        <w:t>PURSUANT</w:t>
      </w:r>
      <w:r>
        <w:rPr>
          <w:color w:val="000000"/>
        </w:rPr>
        <w:t xml:space="preserve"> </w:t>
      </w:r>
      <w:r>
        <w:rPr>
          <w:rFonts w:ascii="Times New Roman;serif" w:hAnsi="Times New Roman;serif"/>
          <w:b w:val="false"/>
          <w:color w:val="000000"/>
          <w:sz w:val="24"/>
        </w:rPr>
        <w:t xml:space="preserve">TO </w:t>
      </w:r>
      <w:r>
        <w:rPr>
          <w:rFonts w:ascii="Times New Roman;serif" w:hAnsi="Times New Roman;serif"/>
          <w:b w:val="false"/>
          <w:color w:val="000000"/>
          <w:sz w:val="24"/>
          <w:u w:val="single"/>
        </w:rPr>
        <w:t>SECTION 2.12</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BASE</w:t>
      </w:r>
      <w:r>
        <w:rPr>
          <w:color w:val="000000"/>
        </w:rPr>
        <w:t xml:space="preserve"> </w:t>
      </w:r>
      <w:r>
        <w:rPr>
          <w:rFonts w:ascii="Times New Roman;serif" w:hAnsi="Times New Roman;serif"/>
          <w:b w:val="false"/>
          <w:color w:val="000000"/>
          <w:sz w:val="24"/>
        </w:rPr>
        <w:t>INDENTURE</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(4)</w:t>
      </w:r>
      <w:r>
        <w:rPr>
          <w:color w:val="000000"/>
        </w:rPr>
        <w:t xml:space="preserve"> </w:t>
      </w:r>
      <w:r>
        <w:rPr>
          <w:rFonts w:ascii="Times New Roman;serif" w:hAnsi="Times New Roman;serif"/>
          <w:b w:val="false"/>
          <w:color w:val="000000"/>
          <w:sz w:val="24"/>
        </w:rPr>
        <w:t>THIS</w:t>
      </w:r>
      <w:r>
        <w:rPr>
          <w:color w:val="000000"/>
        </w:rPr>
        <w:t xml:space="preserve"> </w:t>
      </w:r>
      <w:r>
        <w:rPr>
          <w:rFonts w:ascii="Times New Roman;serif" w:hAnsi="Times New Roman;serif"/>
          <w:b w:val="false"/>
          <w:color w:val="000000"/>
          <w:sz w:val="24"/>
        </w:rPr>
        <w:t>GLOBAL</w:t>
      </w:r>
      <w:r>
        <w:rPr>
          <w:color w:val="000000"/>
        </w:rPr>
        <w:t xml:space="preserve"> </w:t>
      </w:r>
      <w:r>
        <w:rPr>
          <w:rFonts w:ascii="Times New Roman;serif" w:hAnsi="Times New Roman;serif"/>
          <w:b w:val="false"/>
          <w:color w:val="000000"/>
          <w:sz w:val="24"/>
        </w:rPr>
        <w:t>NOTE</w:t>
      </w:r>
      <w:r>
        <w:rPr>
          <w:color w:val="000000"/>
        </w:rPr>
        <w:t xml:space="preserve"> </w:t>
      </w:r>
      <w:r>
        <w:rPr>
          <w:rFonts w:ascii="Times New Roman;serif" w:hAnsi="Times New Roman;serif"/>
          <w:b w:val="false"/>
          <w:color w:val="000000"/>
          <w:sz w:val="24"/>
        </w:rPr>
        <w:t>MAY</w:t>
      </w:r>
      <w:r>
        <w:rPr>
          <w:color w:val="000000"/>
        </w:rPr>
        <w:t xml:space="preserve"> </w:t>
      </w:r>
      <w:r>
        <w:rPr>
          <w:rFonts w:ascii="Times New Roman;serif" w:hAnsi="Times New Roman;serif"/>
          <w:b w:val="false"/>
          <w:color w:val="000000"/>
          <w:sz w:val="24"/>
        </w:rPr>
        <w:t>BE</w:t>
      </w:r>
      <w:r>
        <w:rPr>
          <w:color w:val="000000"/>
        </w:rPr>
        <w:t xml:space="preserve"> </w:t>
      </w:r>
      <w:r>
        <w:rPr>
          <w:rFonts w:ascii="Times New Roman;serif" w:hAnsi="Times New Roman;serif"/>
          <w:b w:val="false"/>
          <w:color w:val="000000"/>
          <w:sz w:val="24"/>
        </w:rPr>
        <w:t>TRANSFERRED</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SUCCESSOR</w:t>
      </w:r>
      <w:r>
        <w:rPr>
          <w:color w:val="000000"/>
        </w:rPr>
        <w:t xml:space="preserve"> </w:t>
      </w:r>
      <w:r>
        <w:rPr>
          <w:rFonts w:ascii="Times New Roman;serif" w:hAnsi="Times New Roman;serif"/>
          <w:b w:val="false"/>
          <w:color w:val="000000"/>
          <w:sz w:val="24"/>
        </w:rPr>
        <w:t>DEPOSITORY</w:t>
      </w:r>
      <w:r>
        <w:rPr>
          <w:color w:val="000000"/>
        </w:rPr>
        <w:t xml:space="preserve"> </w:t>
      </w:r>
      <w:r>
        <w:rPr>
          <w:rFonts w:ascii="Times New Roman;serif" w:hAnsi="Times New Roman;serif"/>
          <w:b w:val="false"/>
          <w:color w:val="000000"/>
          <w:sz w:val="24"/>
        </w:rPr>
        <w:t>WITH</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PRIOR</w:t>
      </w:r>
      <w:r>
        <w:rPr>
          <w:color w:val="000000"/>
        </w:rPr>
        <w:t xml:space="preserve"> </w:t>
      </w:r>
      <w:r>
        <w:rPr>
          <w:rFonts w:ascii="Times New Roman;serif" w:hAnsi="Times New Roman;serif"/>
          <w:b w:val="false"/>
          <w:color w:val="000000"/>
          <w:sz w:val="24"/>
        </w:rPr>
        <w:t>WRITTEN</w:t>
      </w:r>
      <w:r>
        <w:rPr>
          <w:color w:val="000000"/>
        </w:rPr>
        <w:t xml:space="preserve"> </w:t>
      </w:r>
      <w:r>
        <w:rPr>
          <w:rFonts w:ascii="Times New Roman;serif" w:hAnsi="Times New Roman;serif"/>
          <w:b w:val="false"/>
          <w:color w:val="000000"/>
          <w:sz w:val="24"/>
        </w:rPr>
        <w:t>CONSENT</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TALEN ENERGY SUPPLY,</w:t>
      </w:r>
      <w:r>
        <w:rPr>
          <w:color w:val="000000"/>
        </w:rPr>
        <w:t xml:space="preserve"> </w:t>
      </w:r>
      <w:r>
        <w:rPr>
          <w:rFonts w:ascii="Times New Roman;serif" w:hAnsi="Times New Roman;serif"/>
          <w:b w:val="false"/>
          <w:color w:val="000000"/>
          <w:sz w:val="24"/>
        </w:rPr>
        <w:t>LLC.</w:t>
      </w:r>
      <w:r>
        <w:rPr>
          <w:color w:val="000000"/>
        </w:rPr>
        <w:t xml:space="preserve"> </w:t>
      </w:r>
      <w:r>
        <w:rPr>
          <w:rFonts w:ascii="Times New Roman;serif" w:hAnsi="Times New Roman;serif"/>
          <w:b w:val="false"/>
          <w:color w:val="000000"/>
          <w:sz w:val="24"/>
        </w:rPr>
        <w:t>UNLESS</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UNTIL</w:t>
      </w:r>
      <w:r>
        <w:rPr>
          <w:color w:val="000000"/>
        </w:rPr>
        <w:t xml:space="preserve"> </w:t>
      </w:r>
      <w:r>
        <w:rPr>
          <w:rFonts w:ascii="Times New Roman;serif" w:hAnsi="Times New Roman;serif"/>
          <w:b w:val="false"/>
          <w:color w:val="000000"/>
          <w:sz w:val="24"/>
        </w:rPr>
        <w:t>IT</w:t>
      </w:r>
      <w:r>
        <w:rPr>
          <w:color w:val="000000"/>
        </w:rPr>
        <w:t xml:space="preserve"> </w:t>
      </w:r>
      <w:r>
        <w:rPr>
          <w:rFonts w:ascii="Times New Roman;serif" w:hAnsi="Times New Roman;serif"/>
          <w:b w:val="false"/>
          <w:color w:val="000000"/>
          <w:sz w:val="24"/>
        </w:rPr>
        <w:t>IS</w:t>
      </w:r>
      <w:r>
        <w:rPr>
          <w:color w:val="000000"/>
        </w:rPr>
        <w:t xml:space="preserve"> </w:t>
      </w:r>
      <w:r>
        <w:rPr>
          <w:rFonts w:ascii="Times New Roman;serif" w:hAnsi="Times New Roman;serif"/>
          <w:b w:val="false"/>
          <w:color w:val="000000"/>
          <w:sz w:val="24"/>
        </w:rPr>
        <w:t>EXCHANGED</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WHOLE</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PART</w:t>
      </w:r>
      <w:r>
        <w:rPr>
          <w:color w:val="000000"/>
        </w:rPr>
        <w:t xml:space="preserve"> </w:t>
      </w:r>
      <w:r>
        <w:rPr>
          <w:rFonts w:ascii="Times New Roman;serif" w:hAnsi="Times New Roman;serif"/>
          <w:b w:val="false"/>
          <w:color w:val="000000"/>
          <w:sz w:val="24"/>
        </w:rPr>
        <w:t>FOR</w:t>
      </w:r>
      <w:r>
        <w:rPr>
          <w:color w:val="000000"/>
        </w:rPr>
        <w:t xml:space="preserve"> </w:t>
      </w:r>
      <w:r>
        <w:rPr>
          <w:rFonts w:ascii="Times New Roman;serif" w:hAnsi="Times New Roman;serif"/>
          <w:b w:val="false"/>
          <w:color w:val="000000"/>
          <w:sz w:val="24"/>
        </w:rPr>
        <w:t>NOTES</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DEFINITIVE</w:t>
      </w:r>
      <w:r>
        <w:rPr>
          <w:color w:val="000000"/>
        </w:rPr>
        <w:t xml:space="preserve"> </w:t>
      </w:r>
      <w:r>
        <w:rPr>
          <w:rFonts w:ascii="Times New Roman;serif" w:hAnsi="Times New Roman;serif"/>
          <w:b w:val="false"/>
          <w:color w:val="000000"/>
          <w:sz w:val="24"/>
        </w:rPr>
        <w:t>FORM,</w:t>
      </w:r>
      <w:r>
        <w:rPr>
          <w:color w:val="000000"/>
        </w:rPr>
        <w:t xml:space="preserve"> </w:t>
      </w:r>
      <w:r>
        <w:rPr>
          <w:rFonts w:ascii="Times New Roman;serif" w:hAnsi="Times New Roman;serif"/>
          <w:b w:val="false"/>
          <w:color w:val="000000"/>
          <w:sz w:val="24"/>
        </w:rPr>
        <w:t>THIS</w:t>
      </w:r>
      <w:r>
        <w:rPr>
          <w:color w:val="000000"/>
        </w:rPr>
        <w:t xml:space="preserve"> </w:t>
      </w:r>
      <w:r>
        <w:rPr>
          <w:rFonts w:ascii="Times New Roman;serif" w:hAnsi="Times New Roman;serif"/>
          <w:b w:val="false"/>
          <w:color w:val="000000"/>
          <w:sz w:val="24"/>
        </w:rPr>
        <w:t>NOTE</w:t>
      </w:r>
      <w:r>
        <w:rPr>
          <w:color w:val="000000"/>
        </w:rPr>
        <w:t xml:space="preserve"> </w:t>
      </w:r>
      <w:r>
        <w:rPr>
          <w:rFonts w:ascii="Times New Roman;serif" w:hAnsi="Times New Roman;serif"/>
          <w:b w:val="false"/>
          <w:color w:val="000000"/>
          <w:sz w:val="24"/>
        </w:rPr>
        <w:t>MAY</w:t>
      </w:r>
      <w:r>
        <w:rPr>
          <w:color w:val="000000"/>
        </w:rPr>
        <w:t xml:space="preserve"> </w:t>
      </w:r>
      <w:r>
        <w:rPr>
          <w:rFonts w:ascii="Times New Roman;serif" w:hAnsi="Times New Roman;serif"/>
          <w:b w:val="false"/>
          <w:color w:val="000000"/>
          <w:sz w:val="24"/>
        </w:rPr>
        <w:t>NOT</w:t>
      </w:r>
      <w:r>
        <w:rPr>
          <w:color w:val="000000"/>
        </w:rPr>
        <w:t xml:space="preserve"> </w:t>
      </w:r>
      <w:r>
        <w:rPr>
          <w:rFonts w:ascii="Times New Roman;serif" w:hAnsi="Times New Roman;serif"/>
          <w:b w:val="false"/>
          <w:color w:val="000000"/>
          <w:sz w:val="24"/>
        </w:rPr>
        <w:t>BE</w:t>
      </w:r>
      <w:r>
        <w:rPr>
          <w:color w:val="000000"/>
        </w:rPr>
        <w:t xml:space="preserve"> </w:t>
      </w:r>
      <w:r>
        <w:rPr>
          <w:rFonts w:ascii="Times New Roman;serif" w:hAnsi="Times New Roman;serif"/>
          <w:b w:val="false"/>
          <w:color w:val="000000"/>
          <w:sz w:val="24"/>
        </w:rPr>
        <w:t>TRANSFERRED</w:t>
      </w:r>
      <w:r>
        <w:rPr>
          <w:color w:val="000000"/>
        </w:rPr>
        <w:t xml:space="preserve"> </w:t>
      </w:r>
      <w:r>
        <w:rPr>
          <w:rFonts w:ascii="Times New Roman;serif" w:hAnsi="Times New Roman;serif"/>
          <w:b w:val="false"/>
          <w:color w:val="000000"/>
          <w:sz w:val="24"/>
        </w:rPr>
        <w:t>EXCEPT</w:t>
      </w:r>
      <w:r>
        <w:rPr>
          <w:color w:val="000000"/>
        </w:rPr>
        <w:t xml:space="preserve"> </w:t>
      </w:r>
      <w:r>
        <w:rPr>
          <w:rFonts w:ascii="Times New Roman;serif" w:hAnsi="Times New Roman;serif"/>
          <w:b w:val="false"/>
          <w:color w:val="000000"/>
          <w:sz w:val="24"/>
        </w:rPr>
        <w:t>AS</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WHOLE</w:t>
      </w:r>
      <w:r>
        <w:rPr>
          <w:color w:val="000000"/>
        </w:rPr>
        <w:t xml:space="preserve"> </w:t>
      </w:r>
      <w:r>
        <w:rPr>
          <w:rFonts w:ascii="Times New Roman;serif" w:hAnsi="Times New Roman;serif"/>
          <w:b w:val="false"/>
          <w:color w:val="000000"/>
          <w:sz w:val="24"/>
        </w:rPr>
        <w:t>BY</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DEPOSITORY</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NOMINEE</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DEPOSITORY</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BY</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NOMINEE</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DEPOSITORY</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DEPOSITORY</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ANOTHER</w:t>
      </w:r>
      <w:r>
        <w:rPr>
          <w:color w:val="000000"/>
        </w:rPr>
        <w:t xml:space="preserve"> </w:t>
      </w:r>
      <w:r>
        <w:rPr>
          <w:rFonts w:ascii="Times New Roman;serif" w:hAnsi="Times New Roman;serif"/>
          <w:b w:val="false"/>
          <w:color w:val="000000"/>
          <w:sz w:val="24"/>
        </w:rPr>
        <w:t>NOMINEE</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DEPOSITORY</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BY</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DEPOSITORY</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SUCH</w:t>
      </w:r>
      <w:r>
        <w:rPr>
          <w:color w:val="000000"/>
        </w:rPr>
        <w:t xml:space="preserve"> </w:t>
      </w:r>
      <w:r>
        <w:rPr>
          <w:rFonts w:ascii="Times New Roman;serif" w:hAnsi="Times New Roman;serif"/>
          <w:b w:val="false"/>
          <w:color w:val="000000"/>
          <w:sz w:val="24"/>
        </w:rPr>
        <w:t>NOMINEE</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SUCCESSOR</w:t>
      </w:r>
      <w:r>
        <w:rPr>
          <w:color w:val="000000"/>
        </w:rPr>
        <w:t xml:space="preserve"> </w:t>
      </w:r>
      <w:r>
        <w:rPr>
          <w:rFonts w:ascii="Times New Roman;serif" w:hAnsi="Times New Roman;serif"/>
          <w:b w:val="false"/>
          <w:color w:val="000000"/>
          <w:sz w:val="24"/>
        </w:rPr>
        <w:t>DEPOSITORY</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NOMINEE</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SUCH</w:t>
      </w:r>
      <w:r>
        <w:rPr>
          <w:color w:val="000000"/>
        </w:rPr>
        <w:t xml:space="preserve"> </w:t>
      </w:r>
      <w:r>
        <w:rPr>
          <w:rFonts w:ascii="Times New Roman;serif" w:hAnsi="Times New Roman;serif"/>
          <w:b w:val="false"/>
          <w:color w:val="000000"/>
          <w:sz w:val="24"/>
        </w:rPr>
        <w:t>SUCCESSOR</w:t>
      </w:r>
      <w:r>
        <w:rPr>
          <w:color w:val="000000"/>
        </w:rPr>
        <w:t xml:space="preserve"> </w:t>
      </w:r>
      <w:r>
        <w:rPr>
          <w:rFonts w:ascii="Times New Roman;serif" w:hAnsi="Times New Roman;serif"/>
          <w:b w:val="false"/>
          <w:color w:val="000000"/>
          <w:sz w:val="24"/>
        </w:rPr>
        <w:t>DEPOSITORY.</w:t>
      </w:r>
      <w:r>
        <w:rPr>
          <w:color w:val="000000"/>
        </w:rPr>
        <w:t xml:space="preserve"> </w:t>
      </w:r>
      <w:r>
        <w:rPr>
          <w:rFonts w:ascii="Times New Roman;serif" w:hAnsi="Times New Roman;serif"/>
          <w:b w:val="false"/>
          <w:color w:val="000000"/>
          <w:sz w:val="24"/>
        </w:rPr>
        <w:t>UNLESS</w:t>
      </w:r>
      <w:r>
        <w:rPr>
          <w:color w:val="000000"/>
        </w:rPr>
        <w:t xml:space="preserve"> </w:t>
      </w:r>
      <w:r>
        <w:rPr>
          <w:rFonts w:ascii="Times New Roman;serif" w:hAnsi="Times New Roman;serif"/>
          <w:b w:val="false"/>
          <w:color w:val="000000"/>
          <w:sz w:val="24"/>
        </w:rPr>
        <w:t>THIS</w:t>
      </w:r>
      <w:r>
        <w:rPr>
          <w:color w:val="000000"/>
        </w:rPr>
        <w:t xml:space="preserve"> </w:t>
      </w:r>
      <w:r>
        <w:rPr>
          <w:rFonts w:ascii="Times New Roman;serif" w:hAnsi="Times New Roman;serif"/>
          <w:b w:val="false"/>
          <w:color w:val="000000"/>
          <w:sz w:val="24"/>
        </w:rPr>
        <w:t>CERTIFICATE</w:t>
      </w:r>
      <w:r>
        <w:rPr>
          <w:color w:val="000000"/>
        </w:rPr>
        <w:t xml:space="preserve"> </w:t>
      </w:r>
      <w:r>
        <w:rPr>
          <w:rFonts w:ascii="Times New Roman;serif" w:hAnsi="Times New Roman;serif"/>
          <w:b w:val="false"/>
          <w:color w:val="000000"/>
          <w:sz w:val="24"/>
        </w:rPr>
        <w:t>IS</w:t>
      </w:r>
      <w:r>
        <w:rPr>
          <w:color w:val="000000"/>
        </w:rPr>
        <w:t xml:space="preserve"> </w:t>
      </w:r>
      <w:r>
        <w:rPr>
          <w:rFonts w:ascii="Times New Roman;serif" w:hAnsi="Times New Roman;serif"/>
          <w:b w:val="false"/>
          <w:color w:val="000000"/>
          <w:sz w:val="24"/>
        </w:rPr>
        <w:t>PRESENTED BY AN AUTHORIZED REPRESENTATIVE OF THE DEPOSITORY TRUST COMPANY (55 WATER STREET, NEW YORK,</w:t>
      </w:r>
      <w:r>
        <w:rPr>
          <w:color w:val="000000"/>
        </w:rPr>
        <w:t xml:space="preserve"> </w:t>
      </w:r>
      <w:r>
        <w:rPr>
          <w:rFonts w:ascii="Times New Roman;serif" w:hAnsi="Times New Roman;serif"/>
          <w:b w:val="false"/>
          <w:color w:val="000000"/>
          <w:sz w:val="24"/>
        </w:rPr>
        <w:t>NEW YORK) (“DTC”), TO THE COMPANY OR ITS AGENT FOR REGISTRATION OF TRANSFER, EXCHANGE OR PAYMENT, AND ANY</w:t>
      </w:r>
      <w:r>
        <w:rPr>
          <w:color w:val="000000"/>
        </w:rPr>
        <w:t xml:space="preserve"> </w:t>
      </w:r>
      <w:r>
        <w:rPr>
          <w:rFonts w:ascii="Times New Roman;serif" w:hAnsi="Times New Roman;serif"/>
          <w:b w:val="false"/>
          <w:color w:val="000000"/>
          <w:sz w:val="24"/>
        </w:rPr>
        <w:t>CERTIFICATE</w:t>
      </w:r>
      <w:r>
        <w:rPr>
          <w:color w:val="000000"/>
        </w:rPr>
        <w:t xml:space="preserve"> </w:t>
      </w:r>
      <w:r>
        <w:rPr>
          <w:rFonts w:ascii="Times New Roman;serif" w:hAnsi="Times New Roman;serif"/>
          <w:b w:val="false"/>
          <w:color w:val="000000"/>
          <w:sz w:val="24"/>
        </w:rPr>
        <w:t>ISSUED</w:t>
      </w:r>
      <w:r>
        <w:rPr>
          <w:color w:val="000000"/>
        </w:rPr>
        <w:t xml:space="preserve"> </w:t>
      </w:r>
      <w:r>
        <w:rPr>
          <w:rFonts w:ascii="Times New Roman;serif" w:hAnsi="Times New Roman;serif"/>
          <w:b w:val="false"/>
          <w:color w:val="000000"/>
          <w:sz w:val="24"/>
        </w:rPr>
        <w:t>IS</w:t>
      </w:r>
      <w:r>
        <w:rPr>
          <w:color w:val="000000"/>
        </w:rPr>
        <w:t xml:space="preserve"> </w:t>
      </w:r>
      <w:r>
        <w:rPr>
          <w:rFonts w:ascii="Times New Roman;serif" w:hAnsi="Times New Roman;serif"/>
          <w:b w:val="false"/>
          <w:color w:val="000000"/>
          <w:sz w:val="24"/>
        </w:rPr>
        <w:t>REGISTERED</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NAME</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CEDE</w:t>
      </w:r>
      <w:r>
        <w:rPr>
          <w:color w:val="000000"/>
        </w:rPr>
        <w:t xml:space="preserve"> </w:t>
      </w:r>
      <w:r>
        <w:rPr>
          <w:rFonts w:ascii="Times New Roman;serif" w:hAnsi="Times New Roman;serif"/>
          <w:b w:val="false"/>
          <w:color w:val="000000"/>
          <w:sz w:val="24"/>
        </w:rPr>
        <w:t>&amp;</w:t>
      </w:r>
      <w:r>
        <w:rPr>
          <w:color w:val="000000"/>
        </w:rPr>
        <w:t xml:space="preserve"> </w:t>
      </w:r>
      <w:r>
        <w:rPr>
          <w:rFonts w:ascii="Times New Roman;serif" w:hAnsi="Times New Roman;serif"/>
          <w:b w:val="false"/>
          <w:color w:val="000000"/>
          <w:sz w:val="24"/>
        </w:rPr>
        <w:t>CO.</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SUCH</w:t>
      </w:r>
      <w:r>
        <w:rPr>
          <w:color w:val="000000"/>
        </w:rPr>
        <w:t xml:space="preserve"> </w:t>
      </w:r>
      <w:r>
        <w:rPr>
          <w:rFonts w:ascii="Times New Roman;serif" w:hAnsi="Times New Roman;serif"/>
          <w:b w:val="false"/>
          <w:color w:val="000000"/>
          <w:sz w:val="24"/>
        </w:rPr>
        <w:t>OTHER</w:t>
      </w:r>
      <w:r>
        <w:rPr>
          <w:color w:val="000000"/>
        </w:rPr>
        <w:t xml:space="preserve"> </w:t>
      </w:r>
      <w:r>
        <w:rPr>
          <w:rFonts w:ascii="Times New Roman;serif" w:hAnsi="Times New Roman;serif"/>
          <w:b w:val="false"/>
          <w:color w:val="000000"/>
          <w:sz w:val="24"/>
        </w:rPr>
        <w:t>NAME</w:t>
      </w:r>
      <w:r>
        <w:rPr>
          <w:color w:val="000000"/>
        </w:rPr>
        <w:t xml:space="preserve"> </w:t>
      </w:r>
      <w:r>
        <w:rPr>
          <w:rFonts w:ascii="Times New Roman;serif" w:hAnsi="Times New Roman;serif"/>
          <w:b w:val="false"/>
          <w:color w:val="000000"/>
          <w:sz w:val="24"/>
        </w:rPr>
        <w:t>AS</w:t>
      </w:r>
      <w:r>
        <w:rPr>
          <w:color w:val="000000"/>
        </w:rPr>
        <w:t xml:space="preserve"> </w:t>
      </w:r>
      <w:r>
        <w:rPr>
          <w:rFonts w:ascii="Times New Roman;serif" w:hAnsi="Times New Roman;serif"/>
          <w:b w:val="false"/>
          <w:color w:val="000000"/>
          <w:sz w:val="24"/>
        </w:rPr>
        <w:t>MAY</w:t>
      </w:r>
      <w:r>
        <w:rPr>
          <w:color w:val="000000"/>
        </w:rPr>
        <w:t xml:space="preserve"> </w:t>
      </w:r>
      <w:r>
        <w:rPr>
          <w:rFonts w:ascii="Times New Roman;serif" w:hAnsi="Times New Roman;serif"/>
          <w:b w:val="false"/>
          <w:color w:val="000000"/>
          <w:sz w:val="24"/>
        </w:rPr>
        <w:t>BE</w:t>
      </w:r>
      <w:r>
        <w:rPr>
          <w:color w:val="000000"/>
        </w:rPr>
        <w:t xml:space="preserve"> </w:t>
      </w:r>
      <w:r>
        <w:rPr>
          <w:rFonts w:ascii="Times New Roman;serif" w:hAnsi="Times New Roman;serif"/>
          <w:b w:val="false"/>
          <w:color w:val="000000"/>
          <w:sz w:val="24"/>
        </w:rPr>
        <w:t>REQUESTED</w:t>
      </w:r>
      <w:r>
        <w:rPr>
          <w:color w:val="000000"/>
        </w:rPr>
        <w:t xml:space="preserve"> </w:t>
      </w:r>
      <w:r>
        <w:rPr>
          <w:rFonts w:ascii="Times New Roman;serif" w:hAnsi="Times New Roman;serif"/>
          <w:b w:val="false"/>
          <w:color w:val="000000"/>
          <w:sz w:val="24"/>
        </w:rPr>
        <w:t>BY</w:t>
      </w:r>
      <w:r>
        <w:rPr>
          <w:color w:val="000000"/>
        </w:rPr>
        <w:t xml:space="preserve"> </w:t>
      </w:r>
      <w:r>
        <w:rPr>
          <w:rFonts w:ascii="Times New Roman;serif" w:hAnsi="Times New Roman;serif"/>
          <w:b w:val="false"/>
          <w:color w:val="000000"/>
          <w:sz w:val="24"/>
        </w:rPr>
        <w:t>AN</w:t>
      </w:r>
      <w:r>
        <w:rPr>
          <w:color w:val="000000"/>
        </w:rPr>
        <w:t xml:space="preserve"> </w:t>
      </w:r>
      <w:r>
        <w:rPr>
          <w:rFonts w:ascii="Times New Roman;serif" w:hAnsi="Times New Roman;serif"/>
          <w:b w:val="false"/>
          <w:color w:val="000000"/>
          <w:sz w:val="24"/>
        </w:rPr>
        <w:t>AUTHORIZED</w:t>
      </w:r>
      <w:r>
        <w:rPr>
          <w:color w:val="000000"/>
        </w:rPr>
        <w:t xml:space="preserve"> </w:t>
      </w:r>
      <w:r>
        <w:rPr>
          <w:rFonts w:ascii="Times New Roman;serif" w:hAnsi="Times New Roman;serif"/>
          <w:b w:val="false"/>
          <w:color w:val="000000"/>
          <w:sz w:val="24"/>
        </w:rPr>
        <w:t>REPRESENTATIVE</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DTC</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PAYMENT</w:t>
      </w:r>
      <w:r>
        <w:rPr>
          <w:color w:val="000000"/>
        </w:rPr>
        <w:t xml:space="preserve"> </w:t>
      </w:r>
      <w:r>
        <w:rPr>
          <w:rFonts w:ascii="Times New Roman;serif" w:hAnsi="Times New Roman;serif"/>
          <w:b w:val="false"/>
          <w:color w:val="000000"/>
          <w:sz w:val="24"/>
        </w:rPr>
        <w:t>IS</w:t>
      </w:r>
      <w:r>
        <w:rPr>
          <w:color w:val="000000"/>
        </w:rPr>
        <w:t xml:space="preserve"> </w:t>
      </w:r>
      <w:r>
        <w:rPr>
          <w:rFonts w:ascii="Times New Roman;serif" w:hAnsi="Times New Roman;serif"/>
          <w:b w:val="false"/>
          <w:color w:val="000000"/>
          <w:sz w:val="24"/>
        </w:rPr>
        <w:t>MADE</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CEDE</w:t>
      </w:r>
      <w:r>
        <w:rPr>
          <w:color w:val="000000"/>
        </w:rPr>
        <w:t xml:space="preserve"> </w:t>
      </w:r>
      <w:r>
        <w:rPr>
          <w:rFonts w:ascii="Times New Roman;serif" w:hAnsi="Times New Roman;serif"/>
          <w:b w:val="false"/>
          <w:color w:val="000000"/>
          <w:sz w:val="24"/>
        </w:rPr>
        <w:t>&amp;</w:t>
      </w:r>
      <w:r>
        <w:rPr>
          <w:color w:val="000000"/>
        </w:rPr>
        <w:t xml:space="preserve"> </w:t>
      </w:r>
      <w:r>
        <w:rPr>
          <w:rFonts w:ascii="Times New Roman;serif" w:hAnsi="Times New Roman;serif"/>
          <w:b w:val="false"/>
          <w:color w:val="000000"/>
          <w:sz w:val="24"/>
        </w:rPr>
        <w:t>CO.</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SUCH</w:t>
      </w:r>
      <w:r>
        <w:rPr>
          <w:color w:val="000000"/>
        </w:rPr>
        <w:t xml:space="preserve"> </w:t>
      </w:r>
      <w:r>
        <w:rPr>
          <w:rFonts w:ascii="Times New Roman;serif" w:hAnsi="Times New Roman;serif"/>
          <w:b w:val="false"/>
          <w:color w:val="000000"/>
          <w:sz w:val="24"/>
        </w:rPr>
        <w:t>OTHER</w:t>
      </w:r>
      <w:r>
        <w:rPr>
          <w:color w:val="000000"/>
        </w:rPr>
        <w:t xml:space="preserve"> </w:t>
      </w:r>
      <w:r>
        <w:rPr>
          <w:rFonts w:ascii="Times New Roman;serif" w:hAnsi="Times New Roman;serif"/>
          <w:b w:val="false"/>
          <w:color w:val="000000"/>
          <w:sz w:val="24"/>
        </w:rPr>
        <w:t>ENTITY</w:t>
      </w:r>
      <w:r>
        <w:rPr>
          <w:color w:val="000000"/>
        </w:rPr>
        <w:t xml:space="preserve"> </w:t>
      </w:r>
      <w:r>
        <w:rPr>
          <w:rFonts w:ascii="Times New Roman;serif" w:hAnsi="Times New Roman;serif"/>
          <w:b w:val="false"/>
          <w:color w:val="000000"/>
          <w:sz w:val="24"/>
        </w:rPr>
        <w:t>AS</w:t>
      </w:r>
      <w:r>
        <w:rPr>
          <w:color w:val="000000"/>
        </w:rPr>
        <w:t xml:space="preserve"> </w:t>
      </w:r>
    </w:p>
    <w:p>
      <w:pPr>
        <w:pStyle w:val="TextBody"/>
        <w:bidi w:val="0"/>
        <w:spacing w:before="0" w:after="0"/>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735965"/>
                <wp:effectExtent l="0" t="0" r="0" b="0"/>
                <wp:wrapNone/>
                <wp:docPr id="92" name="Frame92"/>
                <a:graphic xmlns:a="http://schemas.openxmlformats.org/drawingml/2006/main">
                  <a:graphicData uri="http://schemas.microsoft.com/office/word/2010/wordprocessingShape">
                    <wps:wsp>
                      <wps:cNvSpPr txBox="1"/>
                      <wps:spPr>
                        <a:xfrm>
                          <a:off x="0" y="0"/>
                          <a:ext cx="6480175" cy="7359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44</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44</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300" w:before="0" w:after="240"/>
        <w:jc w:val="both"/>
        <w:rPr/>
      </w:pPr>
      <w:r>
        <w:rPr>
          <w:rFonts w:ascii="Times New Roman;serif" w:hAnsi="Times New Roman;serif"/>
          <w:b w:val="false"/>
          <w:color w:val="000000"/>
          <w:sz w:val="24"/>
        </w:rPr>
        <w:t>MAY</w:t>
      </w:r>
      <w:r>
        <w:rPr>
          <w:color w:val="000000"/>
        </w:rPr>
        <w:t xml:space="preserve"> </w:t>
      </w:r>
      <w:r>
        <w:rPr>
          <w:rFonts w:ascii="Times New Roman;serif" w:hAnsi="Times New Roman;serif"/>
          <w:b w:val="false"/>
          <w:color w:val="000000"/>
          <w:sz w:val="24"/>
        </w:rPr>
        <w:t>BE</w:t>
      </w:r>
      <w:r>
        <w:rPr>
          <w:color w:val="000000"/>
        </w:rPr>
        <w:t xml:space="preserve"> </w:t>
      </w:r>
      <w:r>
        <w:rPr>
          <w:rFonts w:ascii="Times New Roman;serif" w:hAnsi="Times New Roman;serif"/>
          <w:b w:val="false"/>
          <w:color w:val="000000"/>
          <w:sz w:val="24"/>
        </w:rPr>
        <w:t>REQUESTED BY AN AUTHORIZED REPRESENTATIVE OF DTC), ANY TRANSFER, PLEDGE OR OTHER USE HEREOF FOR VALUE OR</w:t>
      </w:r>
      <w:r>
        <w:rPr>
          <w:color w:val="000000"/>
        </w:rPr>
        <w:t xml:space="preserve"> </w:t>
      </w:r>
      <w:r>
        <w:rPr>
          <w:rFonts w:ascii="Times New Roman;serif" w:hAnsi="Times New Roman;serif"/>
          <w:b w:val="false"/>
          <w:color w:val="000000"/>
          <w:sz w:val="24"/>
        </w:rPr>
        <w:t>OTHERWISE</w:t>
      </w:r>
      <w:r>
        <w:rPr>
          <w:color w:val="000000"/>
        </w:rPr>
        <w:t xml:space="preserve"> </w:t>
      </w:r>
      <w:r>
        <w:rPr>
          <w:rFonts w:ascii="Times New Roman;serif" w:hAnsi="Times New Roman;serif"/>
          <w:b w:val="false"/>
          <w:color w:val="000000"/>
          <w:sz w:val="24"/>
        </w:rPr>
        <w:t>BY</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PERSON</w:t>
      </w:r>
      <w:r>
        <w:rPr>
          <w:color w:val="000000"/>
        </w:rPr>
        <w:t xml:space="preserve"> </w:t>
      </w:r>
      <w:r>
        <w:rPr>
          <w:rFonts w:ascii="Times New Roman;serif" w:hAnsi="Times New Roman;serif"/>
          <w:b w:val="false"/>
          <w:color w:val="000000"/>
          <w:sz w:val="24"/>
        </w:rPr>
        <w:t>IS</w:t>
      </w:r>
      <w:r>
        <w:rPr>
          <w:color w:val="000000"/>
        </w:rPr>
        <w:t xml:space="preserve"> </w:t>
      </w:r>
      <w:r>
        <w:rPr>
          <w:rFonts w:ascii="Times New Roman;serif" w:hAnsi="Times New Roman;serif"/>
          <w:b w:val="false"/>
          <w:color w:val="000000"/>
          <w:sz w:val="24"/>
        </w:rPr>
        <w:t>WRONGFUL</w:t>
      </w:r>
      <w:r>
        <w:rPr>
          <w:color w:val="000000"/>
        </w:rPr>
        <w:t xml:space="preserve"> </w:t>
      </w:r>
      <w:r>
        <w:rPr>
          <w:rFonts w:ascii="Times New Roman;serif" w:hAnsi="Times New Roman;serif"/>
          <w:b w:val="false"/>
          <w:color w:val="000000"/>
          <w:sz w:val="24"/>
        </w:rPr>
        <w:t>INASMUCH</w:t>
      </w:r>
      <w:r>
        <w:rPr>
          <w:color w:val="000000"/>
        </w:rPr>
        <w:t xml:space="preserve"> </w:t>
      </w:r>
      <w:r>
        <w:rPr>
          <w:rFonts w:ascii="Times New Roman;serif" w:hAnsi="Times New Roman;serif"/>
          <w:b w:val="false"/>
          <w:color w:val="000000"/>
          <w:sz w:val="24"/>
        </w:rPr>
        <w:t>AS</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REGISTERED</w:t>
      </w:r>
      <w:r>
        <w:rPr>
          <w:color w:val="000000"/>
        </w:rPr>
        <w:t xml:space="preserve"> </w:t>
      </w:r>
      <w:r>
        <w:rPr>
          <w:rFonts w:ascii="Times New Roman;serif" w:hAnsi="Times New Roman;serif"/>
          <w:b w:val="false"/>
          <w:color w:val="000000"/>
          <w:sz w:val="24"/>
        </w:rPr>
        <w:t>OWNER</w:t>
      </w:r>
      <w:r>
        <w:rPr>
          <w:color w:val="000000"/>
        </w:rPr>
        <w:t xml:space="preserve"> </w:t>
      </w:r>
      <w:r>
        <w:rPr>
          <w:rFonts w:ascii="Times New Roman;serif" w:hAnsi="Times New Roman;serif"/>
          <w:b w:val="false"/>
          <w:color w:val="000000"/>
          <w:sz w:val="24"/>
        </w:rPr>
        <w:t>HEREOF,</w:t>
      </w:r>
      <w:r>
        <w:rPr>
          <w:color w:val="000000"/>
        </w:rPr>
        <w:t xml:space="preserve"> </w:t>
      </w:r>
      <w:r>
        <w:rPr>
          <w:rFonts w:ascii="Times New Roman;serif" w:hAnsi="Times New Roman;serif"/>
          <w:b w:val="false"/>
          <w:color w:val="000000"/>
          <w:sz w:val="24"/>
        </w:rPr>
        <w:t>CEDE</w:t>
      </w:r>
      <w:r>
        <w:rPr>
          <w:color w:val="000000"/>
        </w:rPr>
        <w:t xml:space="preserve"> </w:t>
      </w:r>
      <w:r>
        <w:rPr>
          <w:rFonts w:ascii="Times New Roman;serif" w:hAnsi="Times New Roman;serif"/>
          <w:b w:val="false"/>
          <w:color w:val="000000"/>
          <w:sz w:val="24"/>
        </w:rPr>
        <w:t>&amp;</w:t>
      </w:r>
      <w:r>
        <w:rPr>
          <w:color w:val="000000"/>
        </w:rPr>
        <w:t xml:space="preserve"> </w:t>
      </w:r>
      <w:r>
        <w:rPr>
          <w:rFonts w:ascii="Times New Roman;serif" w:hAnsi="Times New Roman;serif"/>
          <w:b w:val="false"/>
          <w:color w:val="000000"/>
          <w:sz w:val="24"/>
        </w:rPr>
        <w:t>CO.,</w:t>
      </w:r>
      <w:r>
        <w:rPr>
          <w:color w:val="000000"/>
        </w:rPr>
        <w:t xml:space="preserve"> </w:t>
      </w:r>
      <w:r>
        <w:rPr>
          <w:rFonts w:ascii="Times New Roman;serif" w:hAnsi="Times New Roman;serif"/>
          <w:b w:val="false"/>
          <w:color w:val="000000"/>
          <w:sz w:val="24"/>
        </w:rPr>
        <w:t>HAS</w:t>
      </w:r>
      <w:r>
        <w:rPr>
          <w:color w:val="000000"/>
        </w:rPr>
        <w:t xml:space="preserve"> </w:t>
      </w:r>
      <w:r>
        <w:rPr>
          <w:rFonts w:ascii="Times New Roman;serif" w:hAnsi="Times New Roman;serif"/>
          <w:b w:val="false"/>
          <w:color w:val="000000"/>
          <w:sz w:val="24"/>
        </w:rPr>
        <w:t>AN</w:t>
      </w:r>
      <w:r>
        <w:rPr>
          <w:color w:val="000000"/>
        </w:rPr>
        <w:t xml:space="preserve"> </w:t>
      </w:r>
      <w:r>
        <w:rPr>
          <w:rFonts w:ascii="Times New Roman;serif" w:hAnsi="Times New Roman;serif"/>
          <w:b w:val="false"/>
          <w:color w:val="000000"/>
          <w:sz w:val="24"/>
        </w:rPr>
        <w:t>INTEREST</w:t>
      </w:r>
      <w:r>
        <w:rPr>
          <w:color w:val="000000"/>
        </w:rPr>
        <w:t xml:space="preserve"> </w:t>
      </w:r>
      <w:r>
        <w:rPr>
          <w:rFonts w:ascii="Times New Roman;serif" w:hAnsi="Times New Roman;serif"/>
          <w:b w:val="false"/>
          <w:color w:val="000000"/>
          <w:sz w:val="24"/>
        </w:rPr>
        <w:t>HEREIN.”</w:t>
      </w:r>
    </w:p>
    <w:p>
      <w:pPr>
        <w:pStyle w:val="TextBody"/>
        <w:bidi w:val="0"/>
        <w:spacing w:lineRule="auto" w:line="300" w:before="0" w:after="240"/>
        <w:ind w:left="0" w:right="0" w:firstLine="720"/>
        <w:jc w:val="both"/>
        <w:rPr/>
      </w:pPr>
      <w:r>
        <w:rPr>
          <w:rFonts w:ascii="Times New Roman;serif" w:hAnsi="Times New Roman;serif"/>
          <w:b w:val="false"/>
          <w:color w:val="000000"/>
          <w:sz w:val="24"/>
        </w:rPr>
        <w:t>(3)</w:t>
      </w:r>
      <w:r>
        <w:rPr>
          <w:rFonts w:ascii="Times New Roman;serif" w:hAnsi="Times New Roman;serif"/>
          <w:b w:val="false"/>
          <w:i/>
          <w:color w:val="000000"/>
          <w:sz w:val="24"/>
        </w:rPr>
        <w:t>Regulation S Temporary</w:t>
      </w:r>
      <w:r>
        <w:rPr>
          <w:color w:val="000000"/>
        </w:rPr>
        <w:t xml:space="preserve"> </w:t>
      </w:r>
      <w:r>
        <w:rPr>
          <w:rFonts w:ascii="Times New Roman;serif" w:hAnsi="Times New Roman;serif"/>
          <w:b w:val="false"/>
          <w:i/>
          <w:color w:val="000000"/>
          <w:sz w:val="24"/>
        </w:rPr>
        <w:t>Global Note Legend.</w:t>
      </w:r>
      <w:r>
        <w:rPr>
          <w:color w:val="000000"/>
        </w:rPr>
        <w:t xml:space="preserve"> </w:t>
      </w:r>
      <w:r>
        <w:rPr>
          <w:rFonts w:ascii="Times New Roman;serif" w:hAnsi="Times New Roman;serif"/>
          <w:b w:val="false"/>
          <w:color w:val="000000"/>
          <w:sz w:val="24"/>
        </w:rPr>
        <w:t>Each</w:t>
      </w:r>
      <w:r>
        <w:rPr>
          <w:color w:val="000000"/>
        </w:rPr>
        <w:t xml:space="preserve"> </w:t>
      </w:r>
      <w:r>
        <w:rPr>
          <w:rFonts w:ascii="Times New Roman;serif" w:hAnsi="Times New Roman;serif"/>
          <w:b w:val="false"/>
          <w:color w:val="000000"/>
          <w:sz w:val="24"/>
        </w:rPr>
        <w:t>Regulation</w:t>
      </w:r>
      <w:r>
        <w:rPr>
          <w:color w:val="000000"/>
        </w:rPr>
        <w:t xml:space="preserve"> </w:t>
      </w:r>
      <w:r>
        <w:rPr>
          <w:rFonts w:ascii="Times New Roman;serif" w:hAnsi="Times New Roman;serif"/>
          <w:b w:val="false"/>
          <w:color w:val="000000"/>
          <w:sz w:val="24"/>
        </w:rPr>
        <w:t>S</w:t>
      </w:r>
      <w:r>
        <w:rPr>
          <w:color w:val="000000"/>
        </w:rPr>
        <w:t xml:space="preserve"> </w:t>
      </w:r>
      <w:r>
        <w:rPr>
          <w:rFonts w:ascii="Times New Roman;serif" w:hAnsi="Times New Roman;serif"/>
          <w:b w:val="false"/>
          <w:color w:val="000000"/>
          <w:sz w:val="24"/>
        </w:rPr>
        <w:t>Temporary</w:t>
      </w:r>
      <w:r>
        <w:rPr>
          <w:color w:val="000000"/>
        </w:rPr>
        <w:t xml:space="preserve"> </w:t>
      </w:r>
      <w:r>
        <w:rPr>
          <w:rFonts w:ascii="Times New Roman;serif" w:hAnsi="Times New Roman;serif"/>
          <w:b w:val="false"/>
          <w:color w:val="000000"/>
          <w:sz w:val="24"/>
        </w:rPr>
        <w:t>Global</w:t>
      </w:r>
      <w:r>
        <w:rPr>
          <w:color w:val="000000"/>
        </w:rPr>
        <w:t xml:space="preserve"> </w:t>
      </w:r>
      <w:r>
        <w:rPr>
          <w:rFonts w:ascii="Times New Roman;serif" w:hAnsi="Times New Roman;serif"/>
          <w:b w:val="false"/>
          <w:color w:val="000000"/>
          <w:sz w:val="24"/>
        </w:rPr>
        <w:t>Note</w:t>
      </w:r>
      <w:r>
        <w:rPr>
          <w:color w:val="000000"/>
        </w:rPr>
        <w:t xml:space="preserve"> </w:t>
      </w:r>
      <w:r>
        <w:rPr>
          <w:rFonts w:ascii="Times New Roman;serif" w:hAnsi="Times New Roman;serif"/>
          <w:b w:val="false"/>
          <w:color w:val="000000"/>
          <w:sz w:val="24"/>
        </w:rPr>
        <w:t>will</w:t>
      </w:r>
      <w:r>
        <w:rPr>
          <w:color w:val="000000"/>
        </w:rPr>
        <w:t xml:space="preserve"> </w:t>
      </w:r>
      <w:r>
        <w:rPr>
          <w:rFonts w:ascii="Times New Roman;serif" w:hAnsi="Times New Roman;serif"/>
          <w:b w:val="false"/>
          <w:color w:val="000000"/>
          <w:sz w:val="24"/>
        </w:rPr>
        <w:t>bear</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legend</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substantially</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following form:</w:t>
      </w:r>
    </w:p>
    <w:p>
      <w:pPr>
        <w:pStyle w:val="TextBody"/>
        <w:bidi w:val="0"/>
        <w:spacing w:lineRule="auto" w:line="300" w:before="0" w:after="240"/>
        <w:jc w:val="both"/>
        <w:rPr/>
      </w:pPr>
      <w:r>
        <w:rPr>
          <w:color w:val="000000"/>
        </w:rPr>
        <w:t>“</w:t>
      </w:r>
      <w:r>
        <w:rPr>
          <w:rFonts w:ascii="Times New Roman;serif" w:hAnsi="Times New Roman;serif"/>
          <w:b w:val="false"/>
          <w:color w:val="000000"/>
          <w:sz w:val="24"/>
        </w:rPr>
        <w:t>THIS</w:t>
      </w:r>
      <w:r>
        <w:rPr>
          <w:color w:val="000000"/>
        </w:rPr>
        <w:t xml:space="preserve"> </w:t>
      </w:r>
      <w:r>
        <w:rPr>
          <w:rFonts w:ascii="Times New Roman;serif" w:hAnsi="Times New Roman;serif"/>
          <w:b w:val="false"/>
          <w:color w:val="000000"/>
          <w:sz w:val="24"/>
        </w:rPr>
        <w:t>GLOBAL</w:t>
      </w:r>
      <w:r>
        <w:rPr>
          <w:color w:val="000000"/>
        </w:rPr>
        <w:t xml:space="preserve"> </w:t>
      </w:r>
      <w:r>
        <w:rPr>
          <w:rFonts w:ascii="Times New Roman;serif" w:hAnsi="Times New Roman;serif"/>
          <w:b w:val="false"/>
          <w:color w:val="000000"/>
          <w:sz w:val="24"/>
        </w:rPr>
        <w:t>NOTE</w:t>
      </w:r>
      <w:r>
        <w:rPr>
          <w:color w:val="000000"/>
        </w:rPr>
        <w:t xml:space="preserve"> </w:t>
      </w:r>
      <w:r>
        <w:rPr>
          <w:rFonts w:ascii="Times New Roman;serif" w:hAnsi="Times New Roman;serif"/>
          <w:b w:val="false"/>
          <w:color w:val="000000"/>
          <w:sz w:val="24"/>
        </w:rPr>
        <w:t>IS</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TEMPORARY</w:t>
      </w:r>
      <w:r>
        <w:rPr>
          <w:color w:val="000000"/>
        </w:rPr>
        <w:t xml:space="preserve"> </w:t>
      </w:r>
      <w:r>
        <w:rPr>
          <w:rFonts w:ascii="Times New Roman;serif" w:hAnsi="Times New Roman;serif"/>
          <w:b w:val="false"/>
          <w:color w:val="000000"/>
          <w:sz w:val="24"/>
        </w:rPr>
        <w:t>GLOBAL</w:t>
      </w:r>
      <w:r>
        <w:rPr>
          <w:color w:val="000000"/>
        </w:rPr>
        <w:t xml:space="preserve"> </w:t>
      </w:r>
      <w:r>
        <w:rPr>
          <w:rFonts w:ascii="Times New Roman;serif" w:hAnsi="Times New Roman;serif"/>
          <w:b w:val="false"/>
          <w:color w:val="000000"/>
          <w:sz w:val="24"/>
        </w:rPr>
        <w:t>NOTE</w:t>
      </w:r>
      <w:r>
        <w:rPr>
          <w:color w:val="000000"/>
        </w:rPr>
        <w:t xml:space="preserve"> </w:t>
      </w:r>
      <w:r>
        <w:rPr>
          <w:rFonts w:ascii="Times New Roman;serif" w:hAnsi="Times New Roman;serif"/>
          <w:b w:val="false"/>
          <w:color w:val="000000"/>
          <w:sz w:val="24"/>
        </w:rPr>
        <w:t>FOR</w:t>
      </w:r>
      <w:r>
        <w:rPr>
          <w:color w:val="000000"/>
        </w:rPr>
        <w:t xml:space="preserve"> </w:t>
      </w:r>
      <w:r>
        <w:rPr>
          <w:rFonts w:ascii="Times New Roman;serif" w:hAnsi="Times New Roman;serif"/>
          <w:b w:val="false"/>
          <w:color w:val="000000"/>
          <w:sz w:val="24"/>
        </w:rPr>
        <w:t>PURPOSES</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REGULATION</w:t>
      </w:r>
      <w:r>
        <w:rPr>
          <w:color w:val="000000"/>
        </w:rPr>
        <w:t xml:space="preserve"> </w:t>
      </w:r>
      <w:r>
        <w:rPr>
          <w:rFonts w:ascii="Times New Roman;serif" w:hAnsi="Times New Roman;serif"/>
          <w:b w:val="false"/>
          <w:color w:val="000000"/>
          <w:sz w:val="24"/>
        </w:rPr>
        <w:t>S</w:t>
      </w:r>
      <w:r>
        <w:rPr>
          <w:color w:val="000000"/>
        </w:rPr>
        <w:t xml:space="preserve"> </w:t>
      </w:r>
      <w:r>
        <w:rPr>
          <w:rFonts w:ascii="Times New Roman;serif" w:hAnsi="Times New Roman;serif"/>
          <w:b w:val="false"/>
          <w:color w:val="000000"/>
          <w:sz w:val="24"/>
        </w:rPr>
        <w:t>UNDER</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SECURITIES</w:t>
      </w:r>
      <w:r>
        <w:rPr>
          <w:color w:val="000000"/>
        </w:rPr>
        <w:t xml:space="preserve"> </w:t>
      </w:r>
      <w:r>
        <w:rPr>
          <w:rFonts w:ascii="Times New Roman;serif" w:hAnsi="Times New Roman;serif"/>
          <w:b w:val="false"/>
          <w:color w:val="000000"/>
          <w:sz w:val="24"/>
        </w:rPr>
        <w:t>ACT.</w:t>
      </w:r>
      <w:r>
        <w:rPr>
          <w:color w:val="000000"/>
        </w:rPr>
        <w:t xml:space="preserve"> </w:t>
      </w:r>
      <w:r>
        <w:rPr>
          <w:rFonts w:ascii="Times New Roman;serif" w:hAnsi="Times New Roman;serif"/>
          <w:b w:val="false"/>
          <w:color w:val="000000"/>
          <w:sz w:val="24"/>
        </w:rPr>
        <w:t>NEITHER</w:t>
      </w:r>
      <w:r>
        <w:rPr>
          <w:color w:val="000000"/>
        </w:rPr>
        <w:t xml:space="preserve"> </w:t>
      </w:r>
      <w:r>
        <w:rPr>
          <w:rFonts w:ascii="Times New Roman;serif" w:hAnsi="Times New Roman;serif"/>
          <w:b w:val="false"/>
          <w:color w:val="000000"/>
          <w:sz w:val="24"/>
        </w:rPr>
        <w:t>THIS</w:t>
      </w:r>
      <w:r>
        <w:rPr>
          <w:color w:val="000000"/>
        </w:rPr>
        <w:t xml:space="preserve"> </w:t>
      </w:r>
      <w:r>
        <w:rPr>
          <w:rFonts w:ascii="Times New Roman;serif" w:hAnsi="Times New Roman;serif"/>
          <w:b w:val="false"/>
          <w:color w:val="000000"/>
          <w:sz w:val="24"/>
        </w:rPr>
        <w:t>TEMPORARY</w:t>
      </w:r>
      <w:r>
        <w:rPr>
          <w:color w:val="000000"/>
        </w:rPr>
        <w:t xml:space="preserve"> </w:t>
      </w:r>
      <w:r>
        <w:rPr>
          <w:rFonts w:ascii="Times New Roman;serif" w:hAnsi="Times New Roman;serif"/>
          <w:b w:val="false"/>
          <w:color w:val="000000"/>
          <w:sz w:val="24"/>
        </w:rPr>
        <w:t>GLOBAL</w:t>
      </w:r>
      <w:r>
        <w:rPr>
          <w:color w:val="000000"/>
        </w:rPr>
        <w:t xml:space="preserve"> </w:t>
      </w:r>
      <w:r>
        <w:rPr>
          <w:rFonts w:ascii="Times New Roman;serif" w:hAnsi="Times New Roman;serif"/>
          <w:b w:val="false"/>
          <w:color w:val="000000"/>
          <w:sz w:val="24"/>
        </w:rPr>
        <w:t>NOTE</w:t>
      </w:r>
      <w:r>
        <w:rPr>
          <w:color w:val="000000"/>
        </w:rPr>
        <w:t xml:space="preserve"> </w:t>
      </w:r>
      <w:r>
        <w:rPr>
          <w:rFonts w:ascii="Times New Roman;serif" w:hAnsi="Times New Roman;serif"/>
          <w:b w:val="false"/>
          <w:color w:val="000000"/>
          <w:sz w:val="24"/>
        </w:rPr>
        <w:t>NOR</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INTEREST</w:t>
      </w:r>
      <w:r>
        <w:rPr>
          <w:color w:val="000000"/>
        </w:rPr>
        <w:t xml:space="preserve"> </w:t>
      </w:r>
      <w:r>
        <w:rPr>
          <w:rFonts w:ascii="Times New Roman;serif" w:hAnsi="Times New Roman;serif"/>
          <w:b w:val="false"/>
          <w:color w:val="000000"/>
          <w:sz w:val="24"/>
        </w:rPr>
        <w:t>HEREIN</w:t>
      </w:r>
      <w:r>
        <w:rPr>
          <w:color w:val="000000"/>
        </w:rPr>
        <w:t xml:space="preserve"> </w:t>
      </w:r>
      <w:r>
        <w:rPr>
          <w:rFonts w:ascii="Times New Roman;serif" w:hAnsi="Times New Roman;serif"/>
          <w:b w:val="false"/>
          <w:color w:val="000000"/>
          <w:sz w:val="24"/>
        </w:rPr>
        <w:t>MAY</w:t>
      </w:r>
      <w:r>
        <w:rPr>
          <w:color w:val="000000"/>
        </w:rPr>
        <w:t xml:space="preserve"> </w:t>
      </w:r>
      <w:r>
        <w:rPr>
          <w:rFonts w:ascii="Times New Roman;serif" w:hAnsi="Times New Roman;serif"/>
          <w:b w:val="false"/>
          <w:color w:val="000000"/>
          <w:sz w:val="24"/>
        </w:rPr>
        <w:t>BE</w:t>
      </w:r>
      <w:r>
        <w:rPr>
          <w:color w:val="000000"/>
        </w:rPr>
        <w:t xml:space="preserve"> </w:t>
      </w:r>
      <w:r>
        <w:rPr>
          <w:rFonts w:ascii="Times New Roman;serif" w:hAnsi="Times New Roman;serif"/>
          <w:b w:val="false"/>
          <w:color w:val="000000"/>
          <w:sz w:val="24"/>
        </w:rPr>
        <w:t>OFFERED,</w:t>
      </w:r>
      <w:r>
        <w:rPr>
          <w:color w:val="000000"/>
        </w:rPr>
        <w:t xml:space="preserve"> </w:t>
      </w:r>
      <w:r>
        <w:rPr>
          <w:rFonts w:ascii="Times New Roman;serif" w:hAnsi="Times New Roman;serif"/>
          <w:b w:val="false"/>
          <w:color w:val="000000"/>
          <w:sz w:val="24"/>
        </w:rPr>
        <w:t>SOLD,</w:t>
      </w:r>
      <w:r>
        <w:rPr>
          <w:color w:val="000000"/>
        </w:rPr>
        <w:t xml:space="preserve"> </w:t>
      </w:r>
      <w:r>
        <w:rPr>
          <w:rFonts w:ascii="Times New Roman;serif" w:hAnsi="Times New Roman;serif"/>
          <w:b w:val="false"/>
          <w:color w:val="000000"/>
          <w:sz w:val="24"/>
        </w:rPr>
        <w:t>DELIVERED</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EXCHANGED</w:t>
      </w:r>
      <w:r>
        <w:rPr>
          <w:color w:val="000000"/>
        </w:rPr>
        <w:t xml:space="preserve"> </w:t>
      </w:r>
      <w:r>
        <w:rPr>
          <w:rFonts w:ascii="Times New Roman;serif" w:hAnsi="Times New Roman;serif"/>
          <w:b w:val="false"/>
          <w:color w:val="000000"/>
          <w:sz w:val="24"/>
        </w:rPr>
        <w:t>FOR</w:t>
      </w:r>
      <w:r>
        <w:rPr>
          <w:color w:val="000000"/>
        </w:rPr>
        <w:t xml:space="preserve"> </w:t>
      </w:r>
      <w:r>
        <w:rPr>
          <w:rFonts w:ascii="Times New Roman;serif" w:hAnsi="Times New Roman;serif"/>
          <w:b w:val="false"/>
          <w:color w:val="000000"/>
          <w:sz w:val="24"/>
        </w:rPr>
        <w:t>AN</w:t>
      </w:r>
      <w:r>
        <w:rPr>
          <w:color w:val="000000"/>
        </w:rPr>
        <w:t xml:space="preserve"> </w:t>
      </w:r>
      <w:r>
        <w:rPr>
          <w:rFonts w:ascii="Times New Roman;serif" w:hAnsi="Times New Roman;serif"/>
          <w:b w:val="false"/>
          <w:color w:val="000000"/>
          <w:sz w:val="24"/>
        </w:rPr>
        <w:t>INTEREST</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PERMANENT</w:t>
      </w:r>
      <w:r>
        <w:rPr>
          <w:color w:val="000000"/>
        </w:rPr>
        <w:t xml:space="preserve"> </w:t>
      </w:r>
      <w:r>
        <w:rPr>
          <w:rFonts w:ascii="Times New Roman;serif" w:hAnsi="Times New Roman;serif"/>
          <w:b w:val="false"/>
          <w:color w:val="000000"/>
          <w:sz w:val="24"/>
        </w:rPr>
        <w:t>GLOBAL</w:t>
      </w:r>
      <w:r>
        <w:rPr>
          <w:color w:val="000000"/>
        </w:rPr>
        <w:t xml:space="preserve"> </w:t>
      </w:r>
      <w:r>
        <w:rPr>
          <w:rFonts w:ascii="Times New Roman;serif" w:hAnsi="Times New Roman;serif"/>
          <w:b w:val="false"/>
          <w:color w:val="000000"/>
          <w:sz w:val="24"/>
        </w:rPr>
        <w:t>NOTE</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OTHER</w:t>
      </w:r>
      <w:r>
        <w:rPr>
          <w:color w:val="000000"/>
        </w:rPr>
        <w:t xml:space="preserve"> </w:t>
      </w:r>
      <w:r>
        <w:rPr>
          <w:rFonts w:ascii="Times New Roman;serif" w:hAnsi="Times New Roman;serif"/>
          <w:b w:val="false"/>
          <w:color w:val="000000"/>
          <w:sz w:val="24"/>
        </w:rPr>
        <w:t>NOTE</w:t>
      </w:r>
      <w:r>
        <w:rPr>
          <w:color w:val="000000"/>
        </w:rPr>
        <w:t xml:space="preserve"> </w:t>
      </w:r>
      <w:r>
        <w:rPr>
          <w:rFonts w:ascii="Times New Roman;serif" w:hAnsi="Times New Roman;serif"/>
          <w:b w:val="false"/>
          <w:color w:val="000000"/>
          <w:sz w:val="24"/>
        </w:rPr>
        <w:t>EXCEPT</w:t>
      </w:r>
      <w:r>
        <w:rPr>
          <w:color w:val="000000"/>
        </w:rPr>
        <w:t xml:space="preserve"> </w:t>
      </w:r>
      <w:r>
        <w:rPr>
          <w:rFonts w:ascii="Times New Roman;serif" w:hAnsi="Times New Roman;serif"/>
          <w:b w:val="false"/>
          <w:color w:val="000000"/>
          <w:sz w:val="24"/>
        </w:rPr>
        <w:t>UPON</w:t>
      </w:r>
      <w:r>
        <w:rPr>
          <w:color w:val="000000"/>
        </w:rPr>
        <w:t xml:space="preserve"> </w:t>
      </w:r>
      <w:r>
        <w:rPr>
          <w:rFonts w:ascii="Times New Roman;serif" w:hAnsi="Times New Roman;serif"/>
          <w:b w:val="false"/>
          <w:color w:val="000000"/>
          <w:sz w:val="24"/>
        </w:rPr>
        <w:t>DELIVERY</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CERTIFICATIONS</w:t>
      </w:r>
      <w:r>
        <w:rPr>
          <w:color w:val="000000"/>
        </w:rPr>
        <w:t xml:space="preserve"> </w:t>
      </w:r>
      <w:r>
        <w:rPr>
          <w:rFonts w:ascii="Times New Roman;serif" w:hAnsi="Times New Roman;serif"/>
          <w:b w:val="false"/>
          <w:color w:val="000000"/>
          <w:sz w:val="24"/>
        </w:rPr>
        <w:t>SPECIFIED</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INDENTURE. THE FOREGOING LEGEND MAY BE REMOVED FROM THIS NOTE ONLY AT THE OPTION OF THE ISSUER AND ONLY AFTER THE EXPIRATION OF THE 40-DAY PERIOD (AS DEFINED IN REGULATIONS UNDER THE SECURITIES ACT).”</w:t>
      </w:r>
    </w:p>
    <w:p>
      <w:pPr>
        <w:pStyle w:val="TextBody"/>
        <w:bidi w:val="0"/>
        <w:spacing w:lineRule="auto" w:line="300" w:before="0" w:after="240"/>
        <w:ind w:left="0" w:right="0" w:firstLine="720"/>
        <w:jc w:val="both"/>
        <w:rPr/>
      </w:pPr>
      <w:r>
        <w:rPr>
          <w:rFonts w:ascii="Times New Roman;serif" w:hAnsi="Times New Roman;serif"/>
          <w:b w:val="false"/>
          <w:color w:val="000000"/>
          <w:sz w:val="24"/>
        </w:rPr>
        <w:t>(g)</w:t>
      </w:r>
      <w:r>
        <w:rPr>
          <w:rFonts w:ascii="Times New Roman;serif" w:hAnsi="Times New Roman;serif"/>
          <w:b w:val="false"/>
          <w:i/>
          <w:color w:val="000000"/>
          <w:sz w:val="24"/>
        </w:rPr>
        <w:t>Cancellation and/or Adjustment of Global Notes</w:t>
      </w:r>
      <w:r>
        <w:rPr>
          <w:rFonts w:ascii="Times New Roman;serif" w:hAnsi="Times New Roman;serif"/>
          <w:b w:val="false"/>
          <w:color w:val="000000"/>
          <w:sz w:val="24"/>
        </w:rPr>
        <w:t>. At such time as all beneficial interests in a particular Global Note have been exchanged for</w:t>
      </w:r>
      <w:r>
        <w:rPr>
          <w:color w:val="000000"/>
        </w:rPr>
        <w:t xml:space="preserve"> </w:t>
      </w:r>
      <w:r>
        <w:rPr>
          <w:rFonts w:ascii="Times New Roman;serif" w:hAnsi="Times New Roman;serif"/>
          <w:b w:val="false"/>
          <w:color w:val="000000"/>
          <w:sz w:val="24"/>
        </w:rPr>
        <w:t>Definitive Notes or a particular Global Note has been redeemed, repurchased or canceled in whole and not in part, each such Global Note shall be</w:t>
      </w:r>
      <w:r>
        <w:rPr>
          <w:color w:val="000000"/>
        </w:rPr>
        <w:t xml:space="preserve"> </w:t>
      </w:r>
      <w:r>
        <w:rPr>
          <w:rFonts w:ascii="Times New Roman;serif" w:hAnsi="Times New Roman;serif"/>
          <w:b w:val="false"/>
          <w:color w:val="000000"/>
          <w:sz w:val="24"/>
        </w:rPr>
        <w:t xml:space="preserve">returned to or retained and canceled by the Trustee in accordance with </w:t>
      </w:r>
      <w:r>
        <w:rPr>
          <w:rFonts w:ascii="Times New Roman;serif" w:hAnsi="Times New Roman;serif"/>
          <w:b w:val="false"/>
          <w:color w:val="000000"/>
          <w:sz w:val="24"/>
          <w:u w:val="single"/>
        </w:rPr>
        <w:t>Section 2.12</w:t>
      </w:r>
      <w:r>
        <w:rPr>
          <w:color w:val="000000"/>
        </w:rPr>
        <w:t xml:space="preserve"> </w:t>
      </w:r>
      <w:r>
        <w:rPr>
          <w:rFonts w:ascii="Times New Roman;serif" w:hAnsi="Times New Roman;serif"/>
          <w:b w:val="false"/>
          <w:color w:val="000000"/>
          <w:sz w:val="24"/>
        </w:rPr>
        <w:t>of this Indenture. At any time prior to such cancellation, if any</w:t>
      </w:r>
      <w:r>
        <w:rPr>
          <w:color w:val="000000"/>
        </w:rPr>
        <w:t xml:space="preserve"> </w:t>
      </w:r>
      <w:r>
        <w:rPr>
          <w:rFonts w:ascii="Times New Roman;serif" w:hAnsi="Times New Roman;serif"/>
          <w:b w:val="false"/>
          <w:color w:val="000000"/>
          <w:sz w:val="24"/>
        </w:rPr>
        <w:t>beneficial interest in a Global Note is exchanged for or transferred to a Person who will take delivery thereof in the form of a beneficial interest in another</w:t>
      </w:r>
      <w:r>
        <w:rPr>
          <w:color w:val="000000"/>
        </w:rPr>
        <w:t xml:space="preserve"> </w:t>
      </w:r>
      <w:r>
        <w:rPr>
          <w:rFonts w:ascii="Times New Roman;serif" w:hAnsi="Times New Roman;serif"/>
          <w:b w:val="false"/>
          <w:color w:val="000000"/>
          <w:sz w:val="24"/>
        </w:rPr>
        <w:t>Global Note or for Definitive Notes, the principal amount of Notes represented by such Global Note will be reduced accordingly and a notation will be</w:t>
      </w:r>
      <w:r>
        <w:rPr>
          <w:color w:val="000000"/>
        </w:rPr>
        <w:t xml:space="preserve"> </w:t>
      </w:r>
      <w:r>
        <w:rPr>
          <w:rFonts w:ascii="Times New Roman;serif" w:hAnsi="Times New Roman;serif"/>
          <w:b w:val="false"/>
          <w:color w:val="000000"/>
          <w:sz w:val="24"/>
        </w:rPr>
        <w:t>made on the records maintained by the Trustee or by the Depository at the direction of the Trustee to reflect such reduction; and if the beneficial interest</w:t>
      </w:r>
      <w:r>
        <w:rPr>
          <w:color w:val="000000"/>
        </w:rPr>
        <w:t xml:space="preserve"> </w:t>
      </w:r>
      <w:r>
        <w:rPr>
          <w:rFonts w:ascii="Times New Roman;serif" w:hAnsi="Times New Roman;serif"/>
          <w:b w:val="false"/>
          <w:color w:val="000000"/>
          <w:sz w:val="24"/>
        </w:rPr>
        <w:t>is being exchanged for or transferred to a Person who will take delivery thereof in the form of a beneficial interest in another Global Note, such other</w:t>
      </w:r>
      <w:r>
        <w:rPr>
          <w:color w:val="000000"/>
        </w:rPr>
        <w:t xml:space="preserve"> </w:t>
      </w:r>
      <w:r>
        <w:rPr>
          <w:rFonts w:ascii="Times New Roman;serif" w:hAnsi="Times New Roman;serif"/>
          <w:b w:val="false"/>
          <w:color w:val="000000"/>
          <w:sz w:val="24"/>
        </w:rPr>
        <w:t>Global Note will be increased accordingly and a notation will be made on the records maintained by the Trustee or by the Depository at the direction of</w:t>
      </w:r>
      <w:r>
        <w:rPr>
          <w:color w:val="000000"/>
        </w:rPr>
        <w:t xml:space="preserve"> </w:t>
      </w:r>
      <w:r>
        <w:rPr>
          <w:rFonts w:ascii="Times New Roman;serif" w:hAnsi="Times New Roman;serif"/>
          <w:b w:val="false"/>
          <w:color w:val="000000"/>
          <w:sz w:val="24"/>
        </w:rPr>
        <w:t>the Trustee to reflect such increase.</w:t>
      </w:r>
    </w:p>
    <w:p>
      <w:pPr>
        <w:pStyle w:val="TextBody"/>
        <w:bidi w:val="0"/>
        <w:spacing w:lineRule="auto" w:line="300" w:before="0" w:after="240"/>
        <w:ind w:left="0" w:right="0" w:firstLine="720"/>
        <w:jc w:val="both"/>
        <w:rPr/>
      </w:pPr>
      <w:r>
        <w:rPr>
          <w:rFonts w:ascii="Times New Roman;serif" w:hAnsi="Times New Roman;serif"/>
          <w:b w:val="false"/>
          <w:color w:val="000000"/>
          <w:sz w:val="24"/>
        </w:rPr>
        <w:t>(h)</w:t>
      </w:r>
      <w:r>
        <w:rPr>
          <w:rFonts w:ascii="Times New Roman;serif" w:hAnsi="Times New Roman;serif"/>
          <w:b w:val="false"/>
          <w:i/>
          <w:color w:val="000000"/>
          <w:sz w:val="24"/>
        </w:rPr>
        <w:t>General</w:t>
      </w:r>
      <w:r>
        <w:rPr>
          <w:color w:val="000000"/>
        </w:rPr>
        <w:t xml:space="preserve"> </w:t>
      </w:r>
      <w:r>
        <w:rPr>
          <w:rFonts w:ascii="Times New Roman;serif" w:hAnsi="Times New Roman;serif"/>
          <w:b w:val="false"/>
          <w:i/>
          <w:color w:val="000000"/>
          <w:sz w:val="24"/>
        </w:rPr>
        <w:t>Provisions</w:t>
      </w:r>
      <w:r>
        <w:rPr>
          <w:color w:val="000000"/>
        </w:rPr>
        <w:t xml:space="preserve"> </w:t>
      </w:r>
      <w:r>
        <w:rPr>
          <w:rFonts w:ascii="Times New Roman;serif" w:hAnsi="Times New Roman;serif"/>
          <w:b w:val="false"/>
          <w:i/>
          <w:color w:val="000000"/>
          <w:sz w:val="24"/>
        </w:rPr>
        <w:t>Relating</w:t>
      </w:r>
      <w:r>
        <w:rPr>
          <w:color w:val="000000"/>
        </w:rPr>
        <w:t xml:space="preserve"> </w:t>
      </w:r>
      <w:r>
        <w:rPr>
          <w:rFonts w:ascii="Times New Roman;serif" w:hAnsi="Times New Roman;serif"/>
          <w:b w:val="false"/>
          <w:i/>
          <w:color w:val="000000"/>
          <w:sz w:val="24"/>
        </w:rPr>
        <w:t>to</w:t>
      </w:r>
      <w:r>
        <w:rPr>
          <w:color w:val="000000"/>
        </w:rPr>
        <w:t xml:space="preserve"> </w:t>
      </w:r>
      <w:r>
        <w:rPr>
          <w:rFonts w:ascii="Times New Roman;serif" w:hAnsi="Times New Roman;serif"/>
          <w:b w:val="false"/>
          <w:i/>
          <w:color w:val="000000"/>
          <w:sz w:val="24"/>
        </w:rPr>
        <w:t>Transfers</w:t>
      </w:r>
      <w:r>
        <w:rPr>
          <w:color w:val="000000"/>
        </w:rPr>
        <w:t xml:space="preserve"> </w:t>
      </w:r>
      <w:r>
        <w:rPr>
          <w:rFonts w:ascii="Times New Roman;serif" w:hAnsi="Times New Roman;serif"/>
          <w:b w:val="false"/>
          <w:i/>
          <w:color w:val="000000"/>
          <w:sz w:val="24"/>
        </w:rPr>
        <w:t>and</w:t>
      </w:r>
      <w:r>
        <w:rPr>
          <w:color w:val="000000"/>
        </w:rPr>
        <w:t xml:space="preserve"> </w:t>
      </w:r>
      <w:r>
        <w:rPr>
          <w:rFonts w:ascii="Times New Roman;serif" w:hAnsi="Times New Roman;serif"/>
          <w:b w:val="false"/>
          <w:i/>
          <w:color w:val="000000"/>
          <w:sz w:val="24"/>
        </w:rPr>
        <w:t>Exchanges</w:t>
      </w:r>
      <w:r>
        <w:rPr>
          <w:rFonts w:ascii="Times New Roman;serif" w:hAnsi="Times New Roman;serif"/>
          <w:b w:val="false"/>
          <w:color w:val="000000"/>
          <w:sz w:val="24"/>
        </w:rPr>
        <w:t>.</w:t>
      </w:r>
    </w:p>
    <w:p>
      <w:pPr>
        <w:pStyle w:val="TextBody"/>
        <w:bidi w:val="0"/>
        <w:spacing w:lineRule="auto" w:line="300" w:before="0" w:after="240"/>
        <w:ind w:left="0" w:right="0" w:firstLine="720"/>
        <w:jc w:val="both"/>
        <w:rPr/>
      </w:pPr>
      <w:r>
        <w:rPr>
          <w:rFonts w:ascii="Times New Roman;serif" w:hAnsi="Times New Roman;serif"/>
          <w:b w:val="false"/>
          <w:color w:val="000000"/>
          <w:sz w:val="24"/>
        </w:rPr>
        <w:t>(1)To permit registrations of transfers and exchanges, the Issuer shall execute and the Trustee shall authenticate Global Notes and</w:t>
      </w:r>
      <w:r>
        <w:rPr>
          <w:color w:val="000000"/>
        </w:rPr>
        <w:t xml:space="preserve"> </w:t>
      </w:r>
      <w:r>
        <w:rPr>
          <w:rFonts w:ascii="Times New Roman;serif" w:hAnsi="Times New Roman;serif"/>
          <w:b w:val="false"/>
          <w:color w:val="000000"/>
          <w:sz w:val="24"/>
        </w:rPr>
        <w:t xml:space="preserve">Definitive Notes upon receipt of an Issuer Order in accordance with </w:t>
      </w:r>
      <w:r>
        <w:rPr>
          <w:rFonts w:ascii="Times New Roman;serif" w:hAnsi="Times New Roman;serif"/>
          <w:b w:val="false"/>
          <w:color w:val="000000"/>
          <w:sz w:val="24"/>
          <w:u w:val="single"/>
        </w:rPr>
        <w:t>Section 2.02</w:t>
      </w:r>
      <w:r>
        <w:rPr>
          <w:color w:val="000000"/>
        </w:rPr>
        <w:t xml:space="preserve"> </w:t>
      </w:r>
      <w:r>
        <w:rPr>
          <w:rFonts w:ascii="Times New Roman;serif" w:hAnsi="Times New Roman;serif"/>
          <w:b w:val="false"/>
          <w:color w:val="000000"/>
          <w:sz w:val="24"/>
        </w:rPr>
        <w:t>hereof or at the Registrar’s request.</w:t>
      </w:r>
    </w:p>
    <w:p>
      <w:pPr>
        <w:pStyle w:val="TextBody"/>
        <w:bidi w:val="0"/>
        <w:spacing w:before="0" w:after="0"/>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735965"/>
                <wp:effectExtent l="0" t="0" r="0" b="0"/>
                <wp:wrapNone/>
                <wp:docPr id="93" name="Frame93"/>
                <a:graphic xmlns:a="http://schemas.openxmlformats.org/drawingml/2006/main">
                  <a:graphicData uri="http://schemas.microsoft.com/office/word/2010/wordprocessingShape">
                    <wps:wsp>
                      <wps:cNvSpPr txBox="1"/>
                      <wps:spPr>
                        <a:xfrm>
                          <a:off x="0" y="0"/>
                          <a:ext cx="6480175" cy="7359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45</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45</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300" w:before="0" w:after="240"/>
        <w:ind w:left="0" w:right="0" w:firstLine="720"/>
        <w:jc w:val="both"/>
        <w:rPr/>
      </w:pPr>
      <w:r>
        <w:rPr>
          <w:rFonts w:ascii="Times New Roman;serif" w:hAnsi="Times New Roman;serif"/>
          <w:b w:val="false"/>
          <w:color w:val="000000"/>
          <w:sz w:val="24"/>
        </w:rPr>
        <w:t>(2)No</w:t>
      </w:r>
      <w:r>
        <w:rPr>
          <w:color w:val="000000"/>
        </w:rPr>
        <w:t xml:space="preserve"> </w:t>
      </w:r>
      <w:r>
        <w:rPr>
          <w:rFonts w:ascii="Times New Roman;serif" w:hAnsi="Times New Roman;serif"/>
          <w:b w:val="false"/>
          <w:color w:val="000000"/>
          <w:sz w:val="24"/>
        </w:rPr>
        <w:t>service</w:t>
      </w:r>
      <w:r>
        <w:rPr>
          <w:color w:val="000000"/>
        </w:rPr>
        <w:t xml:space="preserve"> </w:t>
      </w:r>
      <w:r>
        <w:rPr>
          <w:rFonts w:ascii="Times New Roman;serif" w:hAnsi="Times New Roman;serif"/>
          <w:b w:val="false"/>
          <w:color w:val="000000"/>
          <w:sz w:val="24"/>
        </w:rPr>
        <w:t>charge</w:t>
      </w:r>
      <w:r>
        <w:rPr>
          <w:color w:val="000000"/>
        </w:rPr>
        <w:t xml:space="preserve"> </w:t>
      </w:r>
      <w:r>
        <w:rPr>
          <w:rFonts w:ascii="Times New Roman;serif" w:hAnsi="Times New Roman;serif"/>
          <w:b w:val="false"/>
          <w:color w:val="000000"/>
          <w:sz w:val="24"/>
        </w:rPr>
        <w:t>shall</w:t>
      </w:r>
      <w:r>
        <w:rPr>
          <w:color w:val="000000"/>
        </w:rPr>
        <w:t xml:space="preserve"> </w:t>
      </w:r>
      <w:r>
        <w:rPr>
          <w:rFonts w:ascii="Times New Roman;serif" w:hAnsi="Times New Roman;serif"/>
          <w:b w:val="false"/>
          <w:color w:val="000000"/>
          <w:sz w:val="24"/>
        </w:rPr>
        <w:t>be</w:t>
      </w:r>
      <w:r>
        <w:rPr>
          <w:color w:val="000000"/>
        </w:rPr>
        <w:t xml:space="preserve"> </w:t>
      </w:r>
      <w:r>
        <w:rPr>
          <w:rFonts w:ascii="Times New Roman;serif" w:hAnsi="Times New Roman;serif"/>
          <w:b w:val="false"/>
          <w:color w:val="000000"/>
          <w:sz w:val="24"/>
        </w:rPr>
        <w:t>made</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Holder</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Global</w:t>
      </w:r>
      <w:r>
        <w:rPr>
          <w:color w:val="000000"/>
        </w:rPr>
        <w:t xml:space="preserve"> </w:t>
      </w:r>
      <w:r>
        <w:rPr>
          <w:rFonts w:ascii="Times New Roman;serif" w:hAnsi="Times New Roman;serif"/>
          <w:b w:val="false"/>
          <w:color w:val="000000"/>
          <w:sz w:val="24"/>
        </w:rPr>
        <w:t>Note</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Holder</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Definitive</w:t>
      </w:r>
      <w:r>
        <w:rPr>
          <w:color w:val="000000"/>
        </w:rPr>
        <w:t xml:space="preserve"> </w:t>
      </w:r>
      <w:r>
        <w:rPr>
          <w:rFonts w:ascii="Times New Roman;serif" w:hAnsi="Times New Roman;serif"/>
          <w:b w:val="false"/>
          <w:color w:val="000000"/>
          <w:sz w:val="24"/>
        </w:rPr>
        <w:t>Note</w:t>
      </w:r>
      <w:r>
        <w:rPr>
          <w:color w:val="000000"/>
        </w:rPr>
        <w:t xml:space="preserve"> </w:t>
      </w:r>
      <w:r>
        <w:rPr>
          <w:rFonts w:ascii="Times New Roman;serif" w:hAnsi="Times New Roman;serif"/>
          <w:b w:val="false"/>
          <w:color w:val="000000"/>
          <w:sz w:val="24"/>
        </w:rPr>
        <w:t>for</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registration</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transfer</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exchange, but the Issuer may require payment of a sum sufficient to cover any transfer tax or similar governmental charge payable in</w:t>
      </w:r>
      <w:r>
        <w:rPr>
          <w:color w:val="000000"/>
        </w:rPr>
        <w:t xml:space="preserve"> </w:t>
      </w:r>
      <w:r>
        <w:rPr>
          <w:rFonts w:ascii="Times New Roman;serif" w:hAnsi="Times New Roman;serif"/>
          <w:b w:val="false"/>
          <w:color w:val="000000"/>
          <w:sz w:val="24"/>
        </w:rPr>
        <w:t>connection therewith (other than any such transfer taxes or similar governmental charge payable upon exchange or transfer pursuant to</w:t>
      </w:r>
      <w:r>
        <w:rPr>
          <w:color w:val="000000"/>
        </w:rPr>
        <w:t xml:space="preserve"> </w:t>
      </w:r>
      <w:r>
        <w:rPr>
          <w:rFonts w:ascii="Times New Roman;serif" w:hAnsi="Times New Roman;serif"/>
          <w:b w:val="false"/>
          <w:color w:val="000000"/>
          <w:sz w:val="24"/>
          <w:u w:val="single"/>
        </w:rPr>
        <w:t>Sections 3.06</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u w:val="single"/>
        </w:rPr>
        <w:t>4.08</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9.04</w:t>
      </w:r>
      <w:r>
        <w:rPr>
          <w:color w:val="000000"/>
        </w:rPr>
        <w:t xml:space="preserve"> </w:t>
      </w:r>
      <w:r>
        <w:rPr>
          <w:rFonts w:ascii="Times New Roman;serif" w:hAnsi="Times New Roman;serif"/>
          <w:b w:val="false"/>
          <w:color w:val="000000"/>
          <w:sz w:val="24"/>
        </w:rPr>
        <w:t xml:space="preserve">hereof and </w:t>
      </w:r>
      <w:r>
        <w:rPr>
          <w:rFonts w:ascii="Times New Roman;serif" w:hAnsi="Times New Roman;serif"/>
          <w:b w:val="false"/>
          <w:color w:val="000000"/>
          <w:sz w:val="24"/>
          <w:u w:val="single"/>
        </w:rPr>
        <w:t>Section 2.11</w:t>
      </w:r>
      <w:r>
        <w:rPr>
          <w:color w:val="000000"/>
        </w:rPr>
        <w:t xml:space="preserve"> </w:t>
      </w:r>
      <w:r>
        <w:rPr>
          <w:rFonts w:ascii="Times New Roman;serif" w:hAnsi="Times New Roman;serif"/>
          <w:b w:val="false"/>
          <w:color w:val="000000"/>
          <w:sz w:val="24"/>
        </w:rPr>
        <w:t>of this Indenture).</w:t>
      </w:r>
    </w:p>
    <w:p>
      <w:pPr>
        <w:pStyle w:val="TextBody"/>
        <w:bidi w:val="0"/>
        <w:spacing w:lineRule="auto" w:line="300" w:before="0" w:after="240"/>
        <w:ind w:left="0" w:right="0" w:firstLine="720"/>
        <w:jc w:val="both"/>
        <w:rPr/>
      </w:pPr>
      <w:r>
        <w:rPr>
          <w:rFonts w:ascii="Times New Roman;serif" w:hAnsi="Times New Roman;serif"/>
          <w:b w:val="false"/>
          <w:color w:val="000000"/>
          <w:sz w:val="24"/>
        </w:rPr>
        <w:t>(3)The Registrar shall not be required to register the transfer of or exchange any Note selected for redemption in whole or in part,</w:t>
      </w:r>
      <w:r>
        <w:rPr>
          <w:color w:val="000000"/>
        </w:rPr>
        <w:t xml:space="preserve"> </w:t>
      </w:r>
      <w:r>
        <w:rPr>
          <w:rFonts w:ascii="Times New Roman;serif" w:hAnsi="Times New Roman;serif"/>
          <w:b w:val="false"/>
          <w:color w:val="000000"/>
          <w:sz w:val="24"/>
        </w:rPr>
        <w:t>except the unredeemed portion of any Note being redeemed in part.</w:t>
      </w:r>
    </w:p>
    <w:p>
      <w:pPr>
        <w:pStyle w:val="TextBody"/>
        <w:bidi w:val="0"/>
        <w:spacing w:lineRule="auto" w:line="300" w:before="0" w:after="240"/>
        <w:ind w:left="0" w:right="0" w:firstLine="720"/>
        <w:jc w:val="both"/>
        <w:rPr/>
      </w:pPr>
      <w:r>
        <w:rPr>
          <w:rFonts w:ascii="Times New Roman;serif" w:hAnsi="Times New Roman;serif"/>
          <w:b w:val="false"/>
          <w:color w:val="000000"/>
          <w:sz w:val="24"/>
        </w:rPr>
        <w:t>(4)All Global Notes and Definitive Notes issued upon any registration of transfer or exchange of Global Notes or Definitive Notes</w:t>
      </w:r>
      <w:r>
        <w:rPr>
          <w:color w:val="000000"/>
        </w:rPr>
        <w:t xml:space="preserve"> </w:t>
      </w:r>
      <w:r>
        <w:rPr>
          <w:rFonts w:ascii="Times New Roman;serif" w:hAnsi="Times New Roman;serif"/>
          <w:b w:val="false"/>
          <w:color w:val="000000"/>
          <w:sz w:val="24"/>
        </w:rPr>
        <w:t>shall be the valid obligations of the Issuer, evidencing the same debt, and entitled to the same benefits under this Indenture, as the</w:t>
      </w:r>
      <w:r>
        <w:rPr>
          <w:color w:val="000000"/>
        </w:rPr>
        <w:t xml:space="preserve"> </w:t>
      </w:r>
      <w:r>
        <w:rPr>
          <w:rFonts w:ascii="Times New Roman;serif" w:hAnsi="Times New Roman;serif"/>
          <w:b w:val="false"/>
          <w:color w:val="000000"/>
          <w:sz w:val="24"/>
        </w:rPr>
        <w:t>Global Notes or Definitive Notes surrendered upon such registration of transfer or exchange.</w:t>
      </w:r>
    </w:p>
    <w:p>
      <w:pPr>
        <w:pStyle w:val="TextBody"/>
        <w:bidi w:val="0"/>
        <w:spacing w:lineRule="auto" w:line="300" w:before="0" w:after="240"/>
        <w:ind w:left="0" w:right="0" w:firstLine="720"/>
        <w:jc w:val="both"/>
        <w:rPr/>
      </w:pPr>
      <w:r>
        <w:rPr>
          <w:rFonts w:ascii="Times New Roman;serif" w:hAnsi="Times New Roman;serif"/>
          <w:b w:val="false"/>
          <w:color w:val="000000"/>
          <w:sz w:val="24"/>
        </w:rPr>
        <w:t>(5)Neither</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Registrar</w:t>
      </w:r>
      <w:r>
        <w:rPr>
          <w:color w:val="000000"/>
        </w:rPr>
        <w:t xml:space="preserve"> </w:t>
      </w:r>
      <w:r>
        <w:rPr>
          <w:rFonts w:ascii="Times New Roman;serif" w:hAnsi="Times New Roman;serif"/>
          <w:b w:val="false"/>
          <w:color w:val="000000"/>
          <w:sz w:val="24"/>
        </w:rPr>
        <w:t>nor</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Issuer</w:t>
      </w:r>
      <w:r>
        <w:rPr>
          <w:color w:val="000000"/>
        </w:rPr>
        <w:t xml:space="preserve"> </w:t>
      </w:r>
      <w:r>
        <w:rPr>
          <w:rFonts w:ascii="Times New Roman;serif" w:hAnsi="Times New Roman;serif"/>
          <w:b w:val="false"/>
          <w:color w:val="000000"/>
          <w:sz w:val="24"/>
        </w:rPr>
        <w:t>shall</w:t>
      </w:r>
      <w:r>
        <w:rPr>
          <w:color w:val="000000"/>
        </w:rPr>
        <w:t xml:space="preserve"> </w:t>
      </w:r>
      <w:r>
        <w:rPr>
          <w:rFonts w:ascii="Times New Roman;serif" w:hAnsi="Times New Roman;serif"/>
          <w:b w:val="false"/>
          <w:color w:val="000000"/>
          <w:sz w:val="24"/>
        </w:rPr>
        <w:t>be</w:t>
      </w:r>
      <w:r>
        <w:rPr>
          <w:color w:val="000000"/>
        </w:rPr>
        <w:t xml:space="preserve"> </w:t>
      </w:r>
      <w:r>
        <w:rPr>
          <w:rFonts w:ascii="Times New Roman;serif" w:hAnsi="Times New Roman;serif"/>
          <w:b w:val="false"/>
          <w:color w:val="000000"/>
          <w:sz w:val="24"/>
        </w:rPr>
        <w:t>required:</w:t>
      </w:r>
    </w:p>
    <w:p>
      <w:pPr>
        <w:pStyle w:val="TextBody"/>
        <w:bidi w:val="0"/>
        <w:spacing w:lineRule="auto" w:line="300" w:before="0" w:after="240"/>
        <w:ind w:left="0" w:right="0" w:firstLine="720"/>
        <w:jc w:val="both"/>
        <w:rPr/>
      </w:pPr>
      <w:r>
        <w:rPr>
          <w:rFonts w:ascii="Times New Roman;serif" w:hAnsi="Times New Roman;serif"/>
          <w:b w:val="false"/>
          <w:color w:val="000000"/>
          <w:sz w:val="24"/>
        </w:rPr>
        <w:t>(A)to issue, to register the transfer of or to exchange any Notes during a period beginning at the opening of business 15 days</w:t>
      </w:r>
      <w:r>
        <w:rPr>
          <w:color w:val="000000"/>
        </w:rPr>
        <w:t xml:space="preserve"> </w:t>
      </w:r>
      <w:r>
        <w:rPr>
          <w:rFonts w:ascii="Times New Roman;serif" w:hAnsi="Times New Roman;serif"/>
          <w:b w:val="false"/>
          <w:color w:val="000000"/>
          <w:sz w:val="24"/>
        </w:rPr>
        <w:t xml:space="preserve">before the day of any selection of Notes for redemption under </w:t>
      </w:r>
      <w:r>
        <w:rPr>
          <w:rFonts w:ascii="Times New Roman;serif" w:hAnsi="Times New Roman;serif"/>
          <w:b w:val="false"/>
          <w:color w:val="000000"/>
          <w:sz w:val="24"/>
          <w:u w:val="single"/>
        </w:rPr>
        <w:t>Section 3.02</w:t>
      </w:r>
      <w:r>
        <w:rPr>
          <w:color w:val="000000"/>
        </w:rPr>
        <w:t xml:space="preserve"> </w:t>
      </w:r>
      <w:r>
        <w:rPr>
          <w:rFonts w:ascii="Times New Roman;serif" w:hAnsi="Times New Roman;serif"/>
          <w:b w:val="false"/>
          <w:color w:val="000000"/>
          <w:sz w:val="24"/>
        </w:rPr>
        <w:t>hereof and ending at the close of business on the day of</w:t>
      </w:r>
      <w:r>
        <w:rPr>
          <w:color w:val="000000"/>
        </w:rPr>
        <w:t xml:space="preserve"> </w:t>
      </w:r>
      <w:r>
        <w:rPr>
          <w:rFonts w:ascii="Times New Roman;serif" w:hAnsi="Times New Roman;serif"/>
          <w:b w:val="false"/>
          <w:color w:val="000000"/>
          <w:sz w:val="24"/>
        </w:rPr>
        <w:t>selection;</w:t>
      </w:r>
    </w:p>
    <w:p>
      <w:pPr>
        <w:pStyle w:val="TextBody"/>
        <w:bidi w:val="0"/>
        <w:spacing w:lineRule="auto" w:line="300" w:before="0" w:after="240"/>
        <w:ind w:left="0" w:right="0" w:firstLine="720"/>
        <w:jc w:val="both"/>
        <w:rPr/>
      </w:pPr>
      <w:r>
        <w:rPr>
          <w:rFonts w:ascii="Times New Roman;serif" w:hAnsi="Times New Roman;serif"/>
          <w:b w:val="false"/>
          <w:color w:val="000000"/>
          <w:sz w:val="24"/>
        </w:rPr>
        <w:t>(B)to register the transfer of or to exchange any Note selected for redemption in whole or in part, except the unredeemed</w:t>
      </w:r>
      <w:r>
        <w:rPr>
          <w:color w:val="000000"/>
        </w:rPr>
        <w:t xml:space="preserve"> </w:t>
      </w:r>
      <w:r>
        <w:rPr>
          <w:rFonts w:ascii="Times New Roman;serif" w:hAnsi="Times New Roman;serif"/>
          <w:b w:val="false"/>
          <w:color w:val="000000"/>
          <w:sz w:val="24"/>
        </w:rPr>
        <w:t>portion of any Note being redeemed in part; or</w:t>
      </w:r>
    </w:p>
    <w:p>
      <w:pPr>
        <w:pStyle w:val="TextBody"/>
        <w:bidi w:val="0"/>
        <w:spacing w:lineRule="auto" w:line="300" w:before="0" w:after="240"/>
        <w:ind w:left="0" w:right="0" w:firstLine="720"/>
        <w:jc w:val="both"/>
        <w:rPr/>
      </w:pPr>
      <w:r>
        <w:rPr>
          <w:rFonts w:ascii="Times New Roman;serif" w:hAnsi="Times New Roman;serif"/>
          <w:b w:val="false"/>
          <w:color w:val="000000"/>
          <w:sz w:val="24"/>
        </w:rPr>
        <w:t>(C)to</w:t>
      </w:r>
      <w:r>
        <w:rPr>
          <w:color w:val="000000"/>
        </w:rPr>
        <w:t xml:space="preserve"> </w:t>
      </w:r>
      <w:r>
        <w:rPr>
          <w:rFonts w:ascii="Times New Roman;serif" w:hAnsi="Times New Roman;serif"/>
          <w:b w:val="false"/>
          <w:color w:val="000000"/>
          <w:sz w:val="24"/>
        </w:rPr>
        <w:t>register</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transfer</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exchange</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Note</w:t>
      </w:r>
      <w:r>
        <w:rPr>
          <w:color w:val="000000"/>
        </w:rPr>
        <w:t xml:space="preserve"> </w:t>
      </w:r>
      <w:r>
        <w:rPr>
          <w:rFonts w:ascii="Times New Roman;serif" w:hAnsi="Times New Roman;serif"/>
          <w:b w:val="false"/>
          <w:color w:val="000000"/>
          <w:sz w:val="24"/>
        </w:rPr>
        <w:t>between</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record</w:t>
      </w:r>
      <w:r>
        <w:rPr>
          <w:color w:val="000000"/>
        </w:rPr>
        <w:t xml:space="preserve"> </w:t>
      </w:r>
      <w:r>
        <w:rPr>
          <w:rFonts w:ascii="Times New Roman;serif" w:hAnsi="Times New Roman;serif"/>
          <w:b w:val="false"/>
          <w:color w:val="000000"/>
          <w:sz w:val="24"/>
        </w:rPr>
        <w:t>date</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next</w:t>
      </w:r>
      <w:r>
        <w:rPr>
          <w:color w:val="000000"/>
        </w:rPr>
        <w:t xml:space="preserve"> </w:t>
      </w:r>
      <w:r>
        <w:rPr>
          <w:rFonts w:ascii="Times New Roman;serif" w:hAnsi="Times New Roman;serif"/>
          <w:b w:val="false"/>
          <w:color w:val="000000"/>
          <w:sz w:val="24"/>
        </w:rPr>
        <w:t>succeeding</w:t>
      </w:r>
      <w:r>
        <w:rPr>
          <w:color w:val="000000"/>
        </w:rPr>
        <w:t xml:space="preserve"> </w:t>
      </w:r>
      <w:r>
        <w:rPr>
          <w:rFonts w:ascii="Times New Roman;serif" w:hAnsi="Times New Roman;serif"/>
          <w:b w:val="false"/>
          <w:color w:val="000000"/>
          <w:sz w:val="24"/>
        </w:rPr>
        <w:t>interest</w:t>
      </w:r>
      <w:r>
        <w:rPr>
          <w:color w:val="000000"/>
        </w:rPr>
        <w:t xml:space="preserve"> </w:t>
      </w:r>
      <w:r>
        <w:rPr>
          <w:rFonts w:ascii="Times New Roman;serif" w:hAnsi="Times New Roman;serif"/>
          <w:b w:val="false"/>
          <w:color w:val="000000"/>
          <w:sz w:val="24"/>
        </w:rPr>
        <w:t>payment</w:t>
      </w:r>
      <w:r>
        <w:rPr>
          <w:color w:val="000000"/>
        </w:rPr>
        <w:t xml:space="preserve"> </w:t>
      </w:r>
      <w:r>
        <w:rPr>
          <w:rFonts w:ascii="Times New Roman;serif" w:hAnsi="Times New Roman;serif"/>
          <w:b w:val="false"/>
          <w:color w:val="000000"/>
          <w:sz w:val="24"/>
        </w:rPr>
        <w:t>date.</w:t>
      </w:r>
    </w:p>
    <w:p>
      <w:pPr>
        <w:pStyle w:val="TextBody"/>
        <w:bidi w:val="0"/>
        <w:spacing w:lineRule="auto" w:line="300" w:before="0" w:after="240"/>
        <w:ind w:left="0" w:right="0" w:firstLine="720"/>
        <w:jc w:val="both"/>
        <w:rPr/>
      </w:pPr>
      <w:r>
        <w:rPr>
          <w:rFonts w:ascii="Times New Roman;serif" w:hAnsi="Times New Roman;serif"/>
          <w:b w:val="false"/>
          <w:color w:val="000000"/>
          <w:sz w:val="24"/>
        </w:rPr>
        <w:t>(6)Prior</w:t>
      </w:r>
      <w:r>
        <w:rPr>
          <w:color w:val="000000"/>
        </w:rPr>
        <w:t xml:space="preserve"> </w:t>
      </w:r>
      <w:r>
        <w:rPr>
          <w:rFonts w:ascii="Times New Roman;serif" w:hAnsi="Times New Roman;serif"/>
          <w:b w:val="false"/>
          <w:color w:val="000000"/>
          <w:sz w:val="24"/>
        </w:rPr>
        <w:t>to due</w:t>
      </w:r>
      <w:r>
        <w:rPr>
          <w:color w:val="000000"/>
        </w:rPr>
        <w:t xml:space="preserve"> </w:t>
      </w:r>
      <w:r>
        <w:rPr>
          <w:rFonts w:ascii="Times New Roman;serif" w:hAnsi="Times New Roman;serif"/>
          <w:b w:val="false"/>
          <w:color w:val="000000"/>
          <w:sz w:val="24"/>
        </w:rPr>
        <w:t>presentment</w:t>
      </w:r>
      <w:r>
        <w:rPr>
          <w:color w:val="000000"/>
        </w:rPr>
        <w:t xml:space="preserve"> </w:t>
      </w:r>
      <w:r>
        <w:rPr>
          <w:rFonts w:ascii="Times New Roman;serif" w:hAnsi="Times New Roman;serif"/>
          <w:b w:val="false"/>
          <w:color w:val="000000"/>
          <w:sz w:val="24"/>
        </w:rPr>
        <w:t>for</w:t>
      </w:r>
      <w:r>
        <w:rPr>
          <w:color w:val="000000"/>
        </w:rPr>
        <w:t xml:space="preserve"> </w:t>
      </w:r>
      <w:r>
        <w:rPr>
          <w:rFonts w:ascii="Times New Roman;serif" w:hAnsi="Times New Roman;serif"/>
          <w:b w:val="false"/>
          <w:color w:val="000000"/>
          <w:sz w:val="24"/>
        </w:rPr>
        <w:t>the registration</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a transfer of</w:t>
      </w:r>
      <w:r>
        <w:rPr>
          <w:color w:val="000000"/>
        </w:rPr>
        <w:t xml:space="preserve"> </w:t>
      </w:r>
      <w:r>
        <w:rPr>
          <w:rFonts w:ascii="Times New Roman;serif" w:hAnsi="Times New Roman;serif"/>
          <w:b w:val="false"/>
          <w:color w:val="000000"/>
          <w:sz w:val="24"/>
        </w:rPr>
        <w:t>any Note,</w:t>
      </w:r>
      <w:r>
        <w:rPr>
          <w:color w:val="000000"/>
        </w:rPr>
        <w:t xml:space="preserve"> </w:t>
      </w:r>
      <w:r>
        <w:rPr>
          <w:rFonts w:ascii="Times New Roman;serif" w:hAnsi="Times New Roman;serif"/>
          <w:b w:val="false"/>
          <w:color w:val="000000"/>
          <w:sz w:val="24"/>
        </w:rPr>
        <w:t>the Trustee, any Agent</w:t>
      </w:r>
      <w:r>
        <w:rPr>
          <w:color w:val="000000"/>
        </w:rPr>
        <w:t xml:space="preserve"> </w:t>
      </w:r>
      <w:r>
        <w:rPr>
          <w:rFonts w:ascii="Times New Roman;serif" w:hAnsi="Times New Roman;serif"/>
          <w:b w:val="false"/>
          <w:color w:val="000000"/>
          <w:sz w:val="24"/>
        </w:rPr>
        <w:t>and the Issuer may deem</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treat the Person in whose name any Note is registered as the absolute owner of such Note for the purpose of receiving payment of principal</w:t>
      </w:r>
      <w:r>
        <w:rPr>
          <w:color w:val="000000"/>
        </w:rPr>
        <w:t xml:space="preserve"> </w:t>
      </w:r>
      <w:r>
        <w:rPr>
          <w:rFonts w:ascii="Times New Roman;serif" w:hAnsi="Times New Roman;serif"/>
          <w:b w:val="false"/>
          <w:color w:val="000000"/>
          <w:sz w:val="24"/>
        </w:rPr>
        <w:t>of and interest on such Notes and for all other purposes, and none of the Trustee, any Agent or the Issuer shall be affected by notice to</w:t>
      </w:r>
      <w:r>
        <w:rPr>
          <w:color w:val="000000"/>
        </w:rPr>
        <w:t xml:space="preserve"> </w:t>
      </w:r>
      <w:r>
        <w:rPr>
          <w:rFonts w:ascii="Times New Roman;serif" w:hAnsi="Times New Roman;serif"/>
          <w:b w:val="false"/>
          <w:color w:val="000000"/>
          <w:sz w:val="24"/>
        </w:rPr>
        <w:t>the contrary.</w:t>
      </w:r>
    </w:p>
    <w:p>
      <w:pPr>
        <w:pStyle w:val="TextBody"/>
        <w:bidi w:val="0"/>
        <w:spacing w:lineRule="auto" w:line="300" w:before="0" w:after="240"/>
        <w:ind w:left="0" w:right="0" w:firstLine="720"/>
        <w:jc w:val="both"/>
        <w:rPr/>
      </w:pPr>
      <w:r>
        <w:rPr>
          <w:rFonts w:ascii="Times New Roman;serif" w:hAnsi="Times New Roman;serif"/>
          <w:b w:val="false"/>
          <w:color w:val="000000"/>
          <w:sz w:val="24"/>
        </w:rPr>
        <w:t>(7)The</w:t>
      </w:r>
      <w:r>
        <w:rPr>
          <w:color w:val="000000"/>
        </w:rPr>
        <w:t xml:space="preserve"> </w:t>
      </w:r>
      <w:r>
        <w:rPr>
          <w:rFonts w:ascii="Times New Roman;serif" w:hAnsi="Times New Roman;serif"/>
          <w:b w:val="false"/>
          <w:color w:val="000000"/>
          <w:sz w:val="24"/>
        </w:rPr>
        <w:t>Trustee</w:t>
      </w:r>
      <w:r>
        <w:rPr>
          <w:color w:val="000000"/>
        </w:rPr>
        <w:t xml:space="preserve"> </w:t>
      </w:r>
      <w:r>
        <w:rPr>
          <w:rFonts w:ascii="Times New Roman;serif" w:hAnsi="Times New Roman;serif"/>
          <w:b w:val="false"/>
          <w:color w:val="000000"/>
          <w:sz w:val="24"/>
        </w:rPr>
        <w:t>shall authenticate</w:t>
      </w:r>
      <w:r>
        <w:rPr>
          <w:color w:val="000000"/>
        </w:rPr>
        <w:t xml:space="preserve"> </w:t>
      </w:r>
      <w:r>
        <w:rPr>
          <w:rFonts w:ascii="Times New Roman;serif" w:hAnsi="Times New Roman;serif"/>
          <w:b w:val="false"/>
          <w:color w:val="000000"/>
          <w:sz w:val="24"/>
        </w:rPr>
        <w:t>Global Notes</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Definitive Notes in</w:t>
      </w:r>
      <w:r>
        <w:rPr>
          <w:color w:val="000000"/>
        </w:rPr>
        <w:t xml:space="preserve"> </w:t>
      </w:r>
      <w:r>
        <w:rPr>
          <w:rFonts w:ascii="Times New Roman;serif" w:hAnsi="Times New Roman;serif"/>
          <w:b w:val="false"/>
          <w:color w:val="000000"/>
          <w:sz w:val="24"/>
        </w:rPr>
        <w:t>accordance</w:t>
      </w:r>
      <w:r>
        <w:rPr>
          <w:color w:val="000000"/>
        </w:rPr>
        <w:t xml:space="preserve"> </w:t>
      </w:r>
      <w:r>
        <w:rPr>
          <w:rFonts w:ascii="Times New Roman;serif" w:hAnsi="Times New Roman;serif"/>
          <w:b w:val="false"/>
          <w:color w:val="000000"/>
          <w:sz w:val="24"/>
        </w:rPr>
        <w:t>with the</w:t>
      </w:r>
      <w:r>
        <w:rPr>
          <w:color w:val="000000"/>
        </w:rPr>
        <w:t xml:space="preserve"> </w:t>
      </w:r>
      <w:r>
        <w:rPr>
          <w:rFonts w:ascii="Times New Roman;serif" w:hAnsi="Times New Roman;serif"/>
          <w:b w:val="false"/>
          <w:color w:val="000000"/>
          <w:sz w:val="24"/>
        </w:rPr>
        <w:t>provisions of</w:t>
      </w:r>
      <w:r>
        <w:rPr>
          <w:color w:val="000000"/>
        </w:rPr>
        <w:t xml:space="preserve"> </w:t>
      </w:r>
      <w:r>
        <w:rPr>
          <w:rFonts w:ascii="Times New Roman;serif" w:hAnsi="Times New Roman;serif"/>
          <w:b w:val="false"/>
          <w:color w:val="000000"/>
          <w:sz w:val="24"/>
          <w:u w:val="single"/>
        </w:rPr>
        <w:t>Section 2.02</w:t>
      </w:r>
      <w:r>
        <w:rPr>
          <w:color w:val="000000"/>
        </w:rPr>
        <w:t xml:space="preserve"> </w:t>
      </w:r>
      <w:r>
        <w:rPr>
          <w:rFonts w:ascii="Times New Roman;serif" w:hAnsi="Times New Roman;serif"/>
          <w:b w:val="false"/>
          <w:color w:val="000000"/>
          <w:sz w:val="24"/>
        </w:rPr>
        <w:t>hereof.</w:t>
      </w:r>
    </w:p>
    <w:p>
      <w:pPr>
        <w:pStyle w:val="TextBody"/>
        <w:bidi w:val="0"/>
        <w:spacing w:lineRule="auto" w:line="300" w:before="0" w:after="240"/>
        <w:ind w:left="0" w:right="0" w:firstLine="720"/>
        <w:jc w:val="both"/>
        <w:rPr/>
      </w:pPr>
      <w:r>
        <w:rPr>
          <w:rFonts w:ascii="Times New Roman;serif" w:hAnsi="Times New Roman;serif"/>
          <w:b w:val="false"/>
          <w:color w:val="000000"/>
          <w:sz w:val="24"/>
        </w:rPr>
        <w:t>(8)All orders,</w:t>
      </w:r>
      <w:r>
        <w:rPr>
          <w:color w:val="000000"/>
        </w:rPr>
        <w:t xml:space="preserve"> </w:t>
      </w:r>
      <w:r>
        <w:rPr>
          <w:rFonts w:ascii="Times New Roman;serif" w:hAnsi="Times New Roman;serif"/>
          <w:b w:val="false"/>
          <w:color w:val="000000"/>
          <w:sz w:val="24"/>
        </w:rPr>
        <w:t>certifications,</w:t>
      </w:r>
      <w:r>
        <w:rPr>
          <w:color w:val="000000"/>
        </w:rPr>
        <w:t xml:space="preserve"> </w:t>
      </w:r>
      <w:r>
        <w:rPr>
          <w:rFonts w:ascii="Times New Roman;serif" w:hAnsi="Times New Roman;serif"/>
          <w:b w:val="false"/>
          <w:color w:val="000000"/>
          <w:sz w:val="24"/>
        </w:rPr>
        <w:t>certificates</w:t>
      </w:r>
      <w:r>
        <w:rPr>
          <w:color w:val="000000"/>
        </w:rPr>
        <w:t xml:space="preserve"> </w:t>
      </w:r>
      <w:r>
        <w:rPr>
          <w:rFonts w:ascii="Times New Roman;serif" w:hAnsi="Times New Roman;serif"/>
          <w:b w:val="false"/>
          <w:color w:val="000000"/>
          <w:sz w:val="24"/>
        </w:rPr>
        <w:t>and Opinions</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Counsel</w:t>
      </w:r>
      <w:r>
        <w:rPr>
          <w:color w:val="000000"/>
        </w:rPr>
        <w:t xml:space="preserve"> </w:t>
      </w:r>
      <w:r>
        <w:rPr>
          <w:rFonts w:ascii="Times New Roman;serif" w:hAnsi="Times New Roman;serif"/>
          <w:b w:val="false"/>
          <w:color w:val="000000"/>
          <w:sz w:val="24"/>
        </w:rPr>
        <w:t>required to</w:t>
      </w:r>
      <w:r>
        <w:rPr>
          <w:color w:val="000000"/>
        </w:rPr>
        <w:t xml:space="preserve"> </w:t>
      </w:r>
      <w:r>
        <w:rPr>
          <w:rFonts w:ascii="Times New Roman;serif" w:hAnsi="Times New Roman;serif"/>
          <w:b w:val="false"/>
          <w:color w:val="000000"/>
          <w:sz w:val="24"/>
        </w:rPr>
        <w:t>be</w:t>
      </w:r>
      <w:r>
        <w:rPr>
          <w:color w:val="000000"/>
        </w:rPr>
        <w:t xml:space="preserve"> </w:t>
      </w:r>
      <w:r>
        <w:rPr>
          <w:rFonts w:ascii="Times New Roman;serif" w:hAnsi="Times New Roman;serif"/>
          <w:b w:val="false"/>
          <w:color w:val="000000"/>
          <w:sz w:val="24"/>
        </w:rPr>
        <w:t>submitted</w:t>
      </w:r>
      <w:r>
        <w:rPr>
          <w:color w:val="000000"/>
        </w:rPr>
        <w:t xml:space="preserve"> </w:t>
      </w:r>
      <w:r>
        <w:rPr>
          <w:rFonts w:ascii="Times New Roman;serif" w:hAnsi="Times New Roman;serif"/>
          <w:b w:val="false"/>
          <w:color w:val="000000"/>
          <w:sz w:val="24"/>
        </w:rPr>
        <w:t>to the</w:t>
      </w:r>
      <w:r>
        <w:rPr>
          <w:color w:val="000000"/>
        </w:rPr>
        <w:t xml:space="preserve"> </w:t>
      </w:r>
      <w:r>
        <w:rPr>
          <w:rFonts w:ascii="Times New Roman;serif" w:hAnsi="Times New Roman;serif"/>
          <w:b w:val="false"/>
          <w:color w:val="000000"/>
          <w:sz w:val="24"/>
        </w:rPr>
        <w:t>Registrar</w:t>
      </w:r>
      <w:r>
        <w:rPr>
          <w:color w:val="000000"/>
        </w:rPr>
        <w:t xml:space="preserve"> </w:t>
      </w:r>
      <w:r>
        <w:rPr>
          <w:rFonts w:ascii="Times New Roman;serif" w:hAnsi="Times New Roman;serif"/>
          <w:b w:val="false"/>
          <w:color w:val="000000"/>
          <w:sz w:val="24"/>
        </w:rPr>
        <w:t>pursuant</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this</w:t>
      </w:r>
      <w:r>
        <w:rPr>
          <w:color w:val="000000"/>
        </w:rPr>
        <w:t xml:space="preserve"> </w:t>
      </w:r>
      <w:r>
        <w:rPr>
          <w:rFonts w:ascii="Times New Roman;serif" w:hAnsi="Times New Roman;serif"/>
          <w:b w:val="false"/>
          <w:color w:val="000000"/>
          <w:sz w:val="24"/>
          <w:u w:val="single"/>
        </w:rPr>
        <w:t>Section 2.06</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effect</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registration</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transfer</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exchange</w:t>
      </w:r>
      <w:r>
        <w:rPr>
          <w:color w:val="000000"/>
        </w:rPr>
        <w:t xml:space="preserve"> </w:t>
      </w:r>
      <w:r>
        <w:rPr>
          <w:rFonts w:ascii="Times New Roman;serif" w:hAnsi="Times New Roman;serif"/>
          <w:b w:val="false"/>
          <w:color w:val="000000"/>
          <w:sz w:val="24"/>
        </w:rPr>
        <w:t>may</w:t>
      </w:r>
      <w:r>
        <w:rPr>
          <w:color w:val="000000"/>
        </w:rPr>
        <w:t xml:space="preserve"> </w:t>
      </w:r>
      <w:r>
        <w:rPr>
          <w:rFonts w:ascii="Times New Roman;serif" w:hAnsi="Times New Roman;serif"/>
          <w:b w:val="false"/>
          <w:color w:val="000000"/>
          <w:sz w:val="24"/>
        </w:rPr>
        <w:t>be</w:t>
      </w:r>
      <w:r>
        <w:rPr>
          <w:color w:val="000000"/>
        </w:rPr>
        <w:t xml:space="preserve"> </w:t>
      </w:r>
      <w:r>
        <w:rPr>
          <w:rFonts w:ascii="Times New Roman;serif" w:hAnsi="Times New Roman;serif"/>
          <w:b w:val="false"/>
          <w:color w:val="000000"/>
          <w:sz w:val="24"/>
        </w:rPr>
        <w:t>submitted</w:t>
      </w:r>
      <w:r>
        <w:rPr>
          <w:color w:val="000000"/>
        </w:rPr>
        <w:t xml:space="preserve"> </w:t>
      </w:r>
      <w:r>
        <w:rPr>
          <w:rFonts w:ascii="Times New Roman;serif" w:hAnsi="Times New Roman;serif"/>
          <w:b w:val="false"/>
          <w:color w:val="000000"/>
          <w:sz w:val="24"/>
        </w:rPr>
        <w:t>by</w:t>
      </w:r>
      <w:r>
        <w:rPr>
          <w:color w:val="000000"/>
        </w:rPr>
        <w:t xml:space="preserve"> </w:t>
      </w:r>
      <w:r>
        <w:rPr>
          <w:rFonts w:ascii="Times New Roman;serif" w:hAnsi="Times New Roman;serif"/>
          <w:b w:val="false"/>
          <w:color w:val="000000"/>
          <w:sz w:val="24"/>
        </w:rPr>
        <w:t>email.</w:t>
      </w:r>
    </w:p>
    <w:p>
      <w:pPr>
        <w:pStyle w:val="TextBody"/>
        <w:bidi w:val="0"/>
        <w:spacing w:before="0" w:after="0"/>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735965"/>
                <wp:effectExtent l="0" t="0" r="0" b="0"/>
                <wp:wrapNone/>
                <wp:docPr id="94" name="Frame94"/>
                <a:graphic xmlns:a="http://schemas.openxmlformats.org/drawingml/2006/main">
                  <a:graphicData uri="http://schemas.microsoft.com/office/word/2010/wordprocessingShape">
                    <wps:wsp>
                      <wps:cNvSpPr txBox="1"/>
                      <wps:spPr>
                        <a:xfrm>
                          <a:off x="0" y="0"/>
                          <a:ext cx="6480175" cy="7359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46</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46</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300" w:before="0" w:after="240"/>
        <w:ind w:left="0" w:right="0" w:firstLine="720"/>
        <w:jc w:val="both"/>
        <w:rPr/>
      </w:pPr>
      <w:r>
        <w:rPr>
          <w:rFonts w:ascii="Times New Roman;serif" w:hAnsi="Times New Roman;serif"/>
          <w:b w:val="false"/>
          <w:color w:val="000000"/>
          <w:sz w:val="24"/>
        </w:rPr>
        <w:t>(9)Notwithstanding anything herein to the contrary, neither the Trustee nor the Registrar shall be responsible for ascertaining</w:t>
      </w:r>
      <w:r>
        <w:rPr>
          <w:color w:val="000000"/>
        </w:rPr>
        <w:t xml:space="preserve"> </w:t>
      </w:r>
      <w:r>
        <w:rPr>
          <w:rFonts w:ascii="Times New Roman;serif" w:hAnsi="Times New Roman;serif"/>
          <w:b w:val="false"/>
          <w:color w:val="000000"/>
          <w:sz w:val="24"/>
        </w:rPr>
        <w:t>whether any transfer or exchange complies with the registration provisions of or exemptions from the Securities Act or applicable state</w:t>
      </w:r>
      <w:r>
        <w:rPr>
          <w:color w:val="000000"/>
        </w:rPr>
        <w:t xml:space="preserve"> </w:t>
      </w:r>
      <w:r>
        <w:rPr>
          <w:rFonts w:ascii="Times New Roman;serif" w:hAnsi="Times New Roman;serif"/>
          <w:b w:val="false"/>
          <w:color w:val="000000"/>
          <w:sz w:val="24"/>
        </w:rPr>
        <w:t>securities laws.</w:t>
      </w:r>
    </w:p>
    <w:p>
      <w:pPr>
        <w:pStyle w:val="TextBody"/>
        <w:bidi w:val="0"/>
        <w:spacing w:lineRule="auto" w:line="300" w:before="0" w:after="240"/>
        <w:jc w:val="both"/>
        <w:rPr/>
      </w:pPr>
      <w:r>
        <w:rPr>
          <w:rFonts w:ascii="Times New Roman;serif" w:hAnsi="Times New Roman;serif"/>
          <w:b w:val="false"/>
          <w:color w:val="000000"/>
          <w:sz w:val="24"/>
        </w:rPr>
        <w:t>Section 2.07</w:t>
      </w:r>
      <w:r>
        <w:rPr>
          <w:rFonts w:ascii="Times New Roman;serif" w:hAnsi="Times New Roman;serif"/>
          <w:b w:val="false"/>
          <w:color w:val="000000"/>
          <w:sz w:val="24"/>
          <w:u w:val="single"/>
        </w:rPr>
        <w:t>Additional Notes</w:t>
      </w:r>
      <w:r>
        <w:rPr>
          <w:rFonts w:ascii="Times New Roman;serif" w:hAnsi="Times New Roman;serif"/>
          <w:b w:val="false"/>
          <w:color w:val="000000"/>
          <w:sz w:val="24"/>
        </w:rPr>
        <w:t>.</w:t>
      </w:r>
    </w:p>
    <w:p>
      <w:pPr>
        <w:pStyle w:val="TextBody"/>
        <w:bidi w:val="0"/>
        <w:spacing w:lineRule="auto" w:line="30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rPr>
        <w:t>The aggregate amount of Notes that may be authenticated and delivered under this Indenture is unlimited. The Notes may be issued in one or more series (any such Notes issued subsequent to the Issue Date, the “</w:t>
      </w:r>
      <w:r>
        <w:rPr>
          <w:rFonts w:ascii="Times New Roman;serif" w:hAnsi="Times New Roman;serif"/>
          <w:b w:val="false"/>
          <w:i/>
          <w:color w:val="000000"/>
          <w:sz w:val="24"/>
        </w:rPr>
        <w:t>Additional Notes</w:t>
      </w:r>
      <w:r>
        <w:rPr>
          <w:color w:val="000000"/>
        </w:rPr>
        <w:t>”</w:t>
      </w:r>
      <w:r>
        <w:rPr>
          <w:rFonts w:ascii="Times New Roman;serif" w:hAnsi="Times New Roman;serif"/>
          <w:b w:val="false"/>
          <w:color w:val="000000"/>
          <w:sz w:val="24"/>
        </w:rPr>
        <w:t xml:space="preserve">), subject, in the case of Additional Notes, in compliance with </w:t>
      </w:r>
      <w:r>
        <w:rPr>
          <w:rFonts w:ascii="Times New Roman;serif" w:hAnsi="Times New Roman;serif"/>
          <w:b w:val="false"/>
          <w:color w:val="000000"/>
          <w:sz w:val="24"/>
          <w:u w:val="single"/>
        </w:rPr>
        <w:t>Section 4.04</w:t>
      </w:r>
      <w:r>
        <w:rPr>
          <w:rFonts w:ascii="Times New Roman;serif" w:hAnsi="Times New Roman;serif"/>
          <w:b w:val="false"/>
          <w:color w:val="000000"/>
          <w:sz w:val="24"/>
        </w:rPr>
        <w:t>. Any Additional Notes issued will have terms that are substantially identical to the terms of the Notes issued on the Issue Date, except in respect of any of the following terms, which shall be set forth in a supplemental indenture:</w:t>
      </w:r>
    </w:p>
    <w:p>
      <w:pPr>
        <w:pStyle w:val="TextBody"/>
        <w:bidi w:val="0"/>
        <w:spacing w:lineRule="auto" w:line="30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(1)the aggregate principal amount of such Additional Notes;</w:t>
      </w:r>
    </w:p>
    <w:p>
      <w:pPr>
        <w:pStyle w:val="TextBody"/>
        <w:bidi w:val="0"/>
        <w:spacing w:lineRule="auto" w:line="30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(2)the date or dates on which such Additional Notes will be issued;</w:t>
      </w:r>
    </w:p>
    <w:p>
      <w:pPr>
        <w:pStyle w:val="TextBody"/>
        <w:bidi w:val="0"/>
        <w:spacing w:lineRule="auto" w:line="30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(3)the price at which the Additional Notes will be issued;</w:t>
      </w:r>
    </w:p>
    <w:p>
      <w:pPr>
        <w:pStyle w:val="TextBody"/>
        <w:bidi w:val="0"/>
        <w:spacing w:lineRule="auto" w:line="30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(4)the first interest payment date and the first date from which interest will accrue on the Additional Notes;</w:t>
      </w:r>
    </w:p>
    <w:p>
      <w:pPr>
        <w:pStyle w:val="TextBody"/>
        <w:bidi w:val="0"/>
        <w:spacing w:lineRule="auto" w:line="300" w:before="0" w:after="240"/>
        <w:ind w:left="0" w:right="0" w:firstLine="720"/>
        <w:jc w:val="both"/>
        <w:rPr/>
      </w:pPr>
      <w:r>
        <w:rPr>
          <w:rFonts w:ascii="Times New Roman;serif" w:hAnsi="Times New Roman;serif"/>
          <w:b w:val="false"/>
          <w:color w:val="000000"/>
          <w:sz w:val="24"/>
        </w:rPr>
        <w:t>(5)the date or dates and price or prices at which, the period or periods within which, and the terms and conditions upon which, such Additional Notes may be redeemed, in whole or in part pursuant to any special mandatory redemption (such redemption, an “</w:t>
      </w:r>
      <w:r>
        <w:rPr>
          <w:rFonts w:ascii="Times New Roman;serif" w:hAnsi="Times New Roman;serif"/>
          <w:b w:val="false"/>
          <w:i/>
          <w:color w:val="000000"/>
          <w:sz w:val="24"/>
        </w:rPr>
        <w:t>Additional Notes Special Mandatory Redemption</w:t>
      </w:r>
      <w:r>
        <w:rPr>
          <w:color w:val="000000"/>
        </w:rPr>
        <w:t>”</w:t>
      </w:r>
      <w:r>
        <w:rPr>
          <w:rFonts w:ascii="Times New Roman;serif" w:hAnsi="Times New Roman;serif"/>
          <w:b w:val="false"/>
          <w:color w:val="000000"/>
          <w:sz w:val="24"/>
        </w:rPr>
        <w:t>);</w:t>
      </w:r>
    </w:p>
    <w:p>
      <w:pPr>
        <w:pStyle w:val="TextBody"/>
        <w:bidi w:val="0"/>
        <w:spacing w:lineRule="auto" w:line="30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(6)the provisions relating to the granting of Liens described in clause (11) of the definition of Permitted Liens in favor of the Trustee solely for the benefit of the Trustee and the Holders of such Additional Notes (and not, for the avoidance of doubt, for the benefit of the Holders of any other Notes), together with all necessary authorizations for the Trustee to enter into such arrangements; and</w:t>
      </w:r>
    </w:p>
    <w:p>
      <w:pPr>
        <w:pStyle w:val="TextBody"/>
        <w:bidi w:val="0"/>
        <w:spacing w:lineRule="auto" w:line="30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(7)the ISIN, Common Code, CUSIP or other securities identification numbers with respect to such Additional Notes, and the relevant clearing systems.</w:t>
      </w:r>
    </w:p>
    <w:p>
      <w:pPr>
        <w:pStyle w:val="TextBody"/>
        <w:bidi w:val="0"/>
        <w:spacing w:lineRule="auto" w:line="30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rPr>
        <w:t xml:space="preserve">Any Additional Notes that are substantially identical in all material respects to any other series of Notes but for being subject to an Additional Notes Special Mandatory Redemption shall be deemed to be substantially identical to such series of Notes only following the date on which any such Special Mandatory Redemption provision ceases to apply. If any Additional Notes are not fungible with such Notes for U.S. federal income tax purposes, such Additional Notes will have a separate CUSIP or other identifying number. The Notes and any Additional Notes subsequently issued under this Indenture will be treated as a single class for all </w:t>
      </w:r>
    </w:p>
    <w:p>
      <w:pPr>
        <w:pStyle w:val="TextBody"/>
        <w:bidi w:val="0"/>
        <w:spacing w:before="0" w:after="0"/>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735965"/>
                <wp:effectExtent l="0" t="0" r="0" b="0"/>
                <wp:wrapNone/>
                <wp:docPr id="95" name="Frame95"/>
                <a:graphic xmlns:a="http://schemas.openxmlformats.org/drawingml/2006/main">
                  <a:graphicData uri="http://schemas.microsoft.com/office/word/2010/wordprocessingShape">
                    <wps:wsp>
                      <wps:cNvSpPr txBox="1"/>
                      <wps:spPr>
                        <a:xfrm>
                          <a:off x="0" y="0"/>
                          <a:ext cx="6480175" cy="7359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47</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47</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300" w:before="0" w:after="240"/>
        <w:jc w:val="both"/>
        <w:rPr>
          <w:rFonts w:ascii="Times New Roman;serif" w:hAnsi="Times New Roman;serif"/>
          <w:b w:val="false"/>
          <w:color w:val="000000"/>
          <w:sz w:val="24"/>
        </w:rPr>
      </w:pPr>
      <w:r>
        <w:rPr>
          <w:rFonts w:ascii="Times New Roman;serif" w:hAnsi="Times New Roman;serif"/>
          <w:b w:val="false"/>
          <w:color w:val="000000"/>
          <w:sz w:val="24"/>
        </w:rPr>
        <w:t>purposes under this Indenture, including, without limitation, waivers, amendments, redemptions and offers to purchase.</w:t>
      </w:r>
    </w:p>
    <w:p>
      <w:pPr>
        <w:pStyle w:val="TextBody"/>
        <w:bidi w:val="0"/>
        <w:spacing w:lineRule="auto" w:line="300" w:before="0" w:after="240"/>
        <w:jc w:val="both"/>
        <w:rPr/>
      </w:pPr>
      <w:r>
        <w:rPr>
          <w:rFonts w:ascii="Times New Roman;serif" w:hAnsi="Times New Roman;serif"/>
          <w:b w:val="false"/>
          <w:color w:val="000000"/>
          <w:sz w:val="24"/>
        </w:rPr>
        <w:t>Section 2.08</w:t>
      </w:r>
      <w:r>
        <w:rPr>
          <w:rFonts w:ascii="Times New Roman;serif" w:hAnsi="Times New Roman;serif"/>
          <w:b w:val="false"/>
          <w:color w:val="000000"/>
          <w:sz w:val="24"/>
          <w:u w:val="single"/>
        </w:rPr>
        <w:t>Replacement Notes</w:t>
      </w:r>
      <w:r>
        <w:rPr>
          <w:rFonts w:ascii="Times New Roman;serif" w:hAnsi="Times New Roman;serif"/>
          <w:b w:val="false"/>
          <w:color w:val="000000"/>
          <w:sz w:val="24"/>
        </w:rPr>
        <w:t>.</w:t>
      </w:r>
    </w:p>
    <w:p>
      <w:pPr>
        <w:pStyle w:val="TextBody"/>
        <w:bidi w:val="0"/>
        <w:spacing w:lineRule="auto" w:line="30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rPr>
        <w:t>If any mutilated Note is surrendered to the Trustee or the Issuer and the Trustee receives evidence to its satisfaction of the destruction, loss or theft of any Note, the Issuer will issue and the Trustee, upon receipt of an Issuer Order, will authenticate a replacement Note if the Trustee’s requirements are met. An indemnity bond must be supplied by the Holder that is sufficient in the judgment of the Trustee and the Issuer to protect the Issuer, the Trustee, any Agent and any authenticating agent from any loss that any of them may suffer if a Note is replaced. The Issuer may charge for its expenses in replacing a Note.</w:t>
      </w:r>
    </w:p>
    <w:p>
      <w:pPr>
        <w:pStyle w:val="TextBody"/>
        <w:bidi w:val="0"/>
        <w:spacing w:lineRule="auto" w:line="30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rPr>
        <w:t>Every replacement Note is an additional obligation of the Issuer and will be entitled to all of the benefits of this Indenture equally and proportionately with all other Notes duly issued hereunder.</w:t>
      </w:r>
    </w:p>
    <w:p>
      <w:pPr>
        <w:pStyle w:val="TextBody"/>
        <w:bidi w:val="0"/>
        <w:spacing w:lineRule="auto" w:line="300" w:before="0" w:after="240"/>
        <w:jc w:val="left"/>
        <w:rPr/>
      </w:pPr>
      <w:r>
        <w:rPr>
          <w:rFonts w:ascii="Times New Roman;serif" w:hAnsi="Times New Roman;serif"/>
          <w:b w:val="false"/>
          <w:color w:val="000000"/>
          <w:sz w:val="24"/>
        </w:rPr>
        <w:t>Section 2.09</w:t>
      </w:r>
      <w:r>
        <w:rPr>
          <w:rFonts w:ascii="Times New Roman;serif" w:hAnsi="Times New Roman;serif"/>
          <w:b w:val="false"/>
          <w:color w:val="000000"/>
          <w:sz w:val="24"/>
          <w:u w:val="single"/>
        </w:rPr>
        <w:t>Outstanding Notes</w:t>
      </w:r>
      <w:r>
        <w:rPr>
          <w:rFonts w:ascii="Times New Roman;serif" w:hAnsi="Times New Roman;serif"/>
          <w:b w:val="false"/>
          <w:color w:val="000000"/>
          <w:sz w:val="24"/>
        </w:rPr>
        <w:t>.</w:t>
      </w:r>
    </w:p>
    <w:p>
      <w:pPr>
        <w:pStyle w:val="TextBody"/>
        <w:bidi w:val="0"/>
        <w:spacing w:lineRule="auto" w:line="30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rPr>
        <w:t xml:space="preserve">The Notes outstanding at any time are all the Notes authenticated by the Trustee except for those canceled by it, those delivered to it for cancellation, those reductions in the interest in a Global Note effected by the Trustee in accordance with the provisions hereof or any applicable supplemental indenture, and those described in this </w:t>
      </w:r>
      <w:r>
        <w:rPr>
          <w:rFonts w:ascii="Times New Roman;serif" w:hAnsi="Times New Roman;serif"/>
          <w:b w:val="false"/>
          <w:color w:val="000000"/>
          <w:sz w:val="24"/>
          <w:u w:val="single"/>
        </w:rPr>
        <w:t>Section 2.09</w:t>
      </w:r>
      <w:r>
        <w:rPr>
          <w:color w:val="000000"/>
        </w:rPr>
        <w:t xml:space="preserve"> </w:t>
      </w:r>
      <w:r>
        <w:rPr>
          <w:rFonts w:ascii="Times New Roman;serif" w:hAnsi="Times New Roman;serif"/>
          <w:b w:val="false"/>
          <w:color w:val="000000"/>
          <w:sz w:val="24"/>
        </w:rPr>
        <w:t xml:space="preserve">as not outstanding. Except as set forth in </w:t>
      </w:r>
      <w:r>
        <w:rPr>
          <w:rFonts w:ascii="Times New Roman;serif" w:hAnsi="Times New Roman;serif"/>
          <w:b w:val="false"/>
          <w:color w:val="000000"/>
          <w:sz w:val="24"/>
          <w:u w:val="single"/>
        </w:rPr>
        <w:t>Section 2.10</w:t>
      </w:r>
      <w:r>
        <w:rPr>
          <w:color w:val="000000"/>
        </w:rPr>
        <w:t xml:space="preserve"> </w:t>
      </w:r>
      <w:r>
        <w:rPr>
          <w:rFonts w:ascii="Times New Roman;serif" w:hAnsi="Times New Roman;serif"/>
          <w:b w:val="false"/>
          <w:color w:val="000000"/>
          <w:sz w:val="24"/>
        </w:rPr>
        <w:t>hereof, a Note does not cease to be outstanding because the Issuer or an Affiliate of the Issuer holds the Note.</w:t>
      </w:r>
    </w:p>
    <w:p>
      <w:pPr>
        <w:pStyle w:val="TextBody"/>
        <w:bidi w:val="0"/>
        <w:spacing w:lineRule="auto" w:line="30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rPr>
        <w:t xml:space="preserve">If a Note is replaced pursuant to </w:t>
      </w:r>
      <w:r>
        <w:rPr>
          <w:rFonts w:ascii="Times New Roman;serif" w:hAnsi="Times New Roman;serif"/>
          <w:b w:val="false"/>
          <w:color w:val="000000"/>
          <w:sz w:val="24"/>
          <w:u w:val="single"/>
        </w:rPr>
        <w:t>Section 2.07</w:t>
      </w:r>
      <w:r>
        <w:rPr>
          <w:color w:val="000000"/>
        </w:rPr>
        <w:t xml:space="preserve"> </w:t>
      </w:r>
      <w:r>
        <w:rPr>
          <w:rFonts w:ascii="Times New Roman;serif" w:hAnsi="Times New Roman;serif"/>
          <w:b w:val="false"/>
          <w:color w:val="000000"/>
          <w:sz w:val="24"/>
        </w:rPr>
        <w:t>hereof, it ceases to be outstanding unless the Trustee receives proof satisfactory to it that the replaced Note is held by a protected purchaser.</w:t>
      </w:r>
    </w:p>
    <w:p>
      <w:pPr>
        <w:pStyle w:val="TextBody"/>
        <w:bidi w:val="0"/>
        <w:spacing w:lineRule="auto" w:line="300" w:before="0" w:after="240"/>
        <w:ind w:left="0" w:right="0" w:firstLine="720"/>
        <w:jc w:val="both"/>
        <w:rPr/>
      </w:pPr>
      <w:r>
        <w:rPr>
          <w:rFonts w:ascii="Times New Roman;serif" w:hAnsi="Times New Roman;serif"/>
          <w:b w:val="false"/>
          <w:color w:val="000000"/>
          <w:sz w:val="24"/>
        </w:rPr>
        <w:t>(c)</w:t>
      </w:r>
      <w:r>
        <w:rPr>
          <w:rFonts w:ascii="Times New Roman;serif" w:hAnsi="Times New Roman;serif"/>
          <w:b w:val="false"/>
          <w:color w:val="000000"/>
          <w:sz w:val="24"/>
        </w:rPr>
        <w:t xml:space="preserve">If the principal amount of any Note is considered paid under </w:t>
      </w:r>
      <w:r>
        <w:rPr>
          <w:rFonts w:ascii="Times New Roman;serif" w:hAnsi="Times New Roman;serif"/>
          <w:b w:val="false"/>
          <w:color w:val="000000"/>
          <w:sz w:val="24"/>
          <w:u w:val="single"/>
        </w:rPr>
        <w:t>Section 4.01</w:t>
      </w:r>
      <w:r>
        <w:rPr>
          <w:color w:val="000000"/>
        </w:rPr>
        <w:t xml:space="preserve"> </w:t>
      </w:r>
      <w:r>
        <w:rPr>
          <w:rFonts w:ascii="Times New Roman;serif" w:hAnsi="Times New Roman;serif"/>
          <w:b w:val="false"/>
          <w:color w:val="000000"/>
          <w:sz w:val="24"/>
        </w:rPr>
        <w:t>hereof, it ceases to be outstanding and interest on it ceases to accrue.</w:t>
      </w:r>
    </w:p>
    <w:p>
      <w:pPr>
        <w:pStyle w:val="TextBody"/>
        <w:bidi w:val="0"/>
        <w:spacing w:lineRule="auto" w:line="300" w:before="0" w:after="240"/>
        <w:ind w:left="0" w:right="0" w:firstLine="720"/>
        <w:jc w:val="both"/>
        <w:rPr/>
      </w:pPr>
      <w:r>
        <w:rPr>
          <w:rFonts w:ascii="Times New Roman;serif" w:hAnsi="Times New Roman;serif"/>
          <w:b w:val="false"/>
          <w:color w:val="000000"/>
          <w:sz w:val="24"/>
        </w:rPr>
        <w:t>(d)</w:t>
      </w:r>
      <w:r>
        <w:rPr>
          <w:rFonts w:ascii="Times New Roman;serif" w:hAnsi="Times New Roman;serif"/>
          <w:b w:val="false"/>
          <w:color w:val="000000"/>
          <w:sz w:val="24"/>
        </w:rPr>
        <w:t>If the Paying Agent (other than the Issuer, a Subsidiary of the Issuer or an Affiliate of any thereof) holds, on a redemption date or maturity date, money sufficient to pay Notes payable on that date, then on and after that date such Notes will be deemed to be no longer outstanding and will cease to accrue interest.</w:t>
      </w:r>
    </w:p>
    <w:p>
      <w:pPr>
        <w:pStyle w:val="TextBody"/>
        <w:bidi w:val="0"/>
        <w:spacing w:lineRule="auto" w:line="300" w:before="0" w:after="240"/>
        <w:jc w:val="left"/>
        <w:rPr/>
      </w:pPr>
      <w:r>
        <w:rPr>
          <w:rFonts w:ascii="Times New Roman;serif" w:hAnsi="Times New Roman;serif"/>
          <w:b w:val="false"/>
          <w:color w:val="000000"/>
          <w:sz w:val="24"/>
        </w:rPr>
        <w:t>Section 2.10</w:t>
      </w:r>
      <w:r>
        <w:rPr>
          <w:rFonts w:ascii="Times New Roman;serif" w:hAnsi="Times New Roman;serif"/>
          <w:b w:val="false"/>
          <w:color w:val="000000"/>
          <w:sz w:val="24"/>
          <w:u w:val="single"/>
        </w:rPr>
        <w:t>Treasury Notes</w:t>
      </w:r>
      <w:r>
        <w:rPr>
          <w:rFonts w:ascii="Times New Roman;serif" w:hAnsi="Times New Roman;serif"/>
          <w:b w:val="false"/>
          <w:color w:val="000000"/>
          <w:sz w:val="24"/>
        </w:rPr>
        <w:t>.</w:t>
      </w:r>
    </w:p>
    <w:p>
      <w:pPr>
        <w:pStyle w:val="TextBody"/>
        <w:bidi w:val="0"/>
        <w:spacing w:lineRule="auto" w:line="30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In determining whether the Holders of the required principal amount of Notes have concurred in any direction, waiver or consent pursuant to the Note Documents, Notes owned by the Issuer or any Subsidiary Guarantor, or by any Person directly or indirectly controlling or controlled by or under direct or indirect common control with the Issuer or any Subsidiary </w:t>
      </w:r>
    </w:p>
    <w:p>
      <w:pPr>
        <w:pStyle w:val="TextBody"/>
        <w:bidi w:val="0"/>
        <w:spacing w:before="0" w:after="0"/>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735965"/>
                <wp:effectExtent l="0" t="0" r="0" b="0"/>
                <wp:wrapNone/>
                <wp:docPr id="96" name="Frame96"/>
                <a:graphic xmlns:a="http://schemas.openxmlformats.org/drawingml/2006/main">
                  <a:graphicData uri="http://schemas.microsoft.com/office/word/2010/wordprocessingShape">
                    <wps:wsp>
                      <wps:cNvSpPr txBox="1"/>
                      <wps:spPr>
                        <a:xfrm>
                          <a:off x="0" y="0"/>
                          <a:ext cx="6480175" cy="7359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48</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48</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300" w:before="0" w:after="240"/>
        <w:jc w:val="both"/>
        <w:rPr>
          <w:rFonts w:ascii="Times New Roman;serif" w:hAnsi="Times New Roman;serif"/>
          <w:b w:val="false"/>
          <w:color w:val="000000"/>
          <w:sz w:val="24"/>
        </w:rPr>
      </w:pPr>
      <w:r>
        <w:rPr>
          <w:rFonts w:ascii="Times New Roman;serif" w:hAnsi="Times New Roman;serif"/>
          <w:b w:val="false"/>
          <w:color w:val="000000"/>
          <w:sz w:val="24"/>
        </w:rPr>
        <w:t>Guarantor, will be considered as though not outstanding, except that for the purposes of determining whether the Trustee will be protected in relying on any such direction, waiver or consent, only Notes that a Responsible Officer of the Trustee actually knows are so owned will be so disregarded.</w:t>
      </w:r>
    </w:p>
    <w:p>
      <w:pPr>
        <w:pStyle w:val="TextBody"/>
        <w:bidi w:val="0"/>
        <w:spacing w:lineRule="auto" w:line="300" w:before="0" w:after="240"/>
        <w:jc w:val="both"/>
        <w:rPr/>
      </w:pPr>
      <w:r>
        <w:rPr>
          <w:rFonts w:ascii="Times New Roman;serif" w:hAnsi="Times New Roman;serif"/>
          <w:b w:val="false"/>
          <w:color w:val="000000"/>
          <w:sz w:val="24"/>
        </w:rPr>
        <w:t>Section 2.11</w:t>
      </w:r>
      <w:r>
        <w:rPr>
          <w:rFonts w:ascii="Times New Roman;serif" w:hAnsi="Times New Roman;serif"/>
          <w:b w:val="false"/>
          <w:color w:val="000000"/>
          <w:sz w:val="24"/>
          <w:u w:val="single"/>
        </w:rPr>
        <w:t>Temporary Notes</w:t>
      </w:r>
      <w:r>
        <w:rPr>
          <w:rFonts w:ascii="Times New Roman;serif" w:hAnsi="Times New Roman;serif"/>
          <w:b w:val="false"/>
          <w:color w:val="000000"/>
          <w:sz w:val="24"/>
        </w:rPr>
        <w:t>.</w:t>
      </w:r>
    </w:p>
    <w:p>
      <w:pPr>
        <w:pStyle w:val="TextBody"/>
        <w:bidi w:val="0"/>
        <w:spacing w:lineRule="auto" w:line="30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rPr>
        <w:t>Until certificates representing Notes are ready for delivery, the Issuer may prepare and the Trustee, upon receipt of an Issuer Order, will authenticate temporary Notes. Temporary Notes will be substantially in the form of certificated Notes but may have variations that the Issuer considers appropriate for temporary Notes and as may be reasonably acceptable to the Trustee. Without unreasonable delay, the Issuer will prepare and the Trustee will authenticate Definitive Notes in exchange for temporary Notes.</w:t>
      </w:r>
    </w:p>
    <w:p>
      <w:pPr>
        <w:pStyle w:val="TextBody"/>
        <w:bidi w:val="0"/>
        <w:spacing w:lineRule="auto" w:line="30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rPr>
        <w:t>Holders of temporary Notes will be entitled to all of the benefits of this Indenture as the Definitive Notes.</w:t>
      </w:r>
    </w:p>
    <w:p>
      <w:pPr>
        <w:pStyle w:val="TextBody"/>
        <w:bidi w:val="0"/>
        <w:spacing w:lineRule="auto" w:line="300" w:before="0" w:after="240"/>
        <w:jc w:val="left"/>
        <w:rPr/>
      </w:pPr>
      <w:r>
        <w:rPr>
          <w:rFonts w:ascii="Times New Roman;serif" w:hAnsi="Times New Roman;serif"/>
          <w:b w:val="false"/>
          <w:color w:val="000000"/>
          <w:sz w:val="24"/>
        </w:rPr>
        <w:t>Section 2.12</w:t>
      </w:r>
      <w:r>
        <w:rPr>
          <w:rFonts w:ascii="Times New Roman;serif" w:hAnsi="Times New Roman;serif"/>
          <w:b w:val="false"/>
          <w:color w:val="000000"/>
          <w:sz w:val="24"/>
          <w:u w:val="single"/>
        </w:rPr>
        <w:t>Cancellation</w:t>
      </w:r>
      <w:r>
        <w:rPr>
          <w:rFonts w:ascii="Times New Roman;serif" w:hAnsi="Times New Roman;serif"/>
          <w:b w:val="false"/>
          <w:color w:val="000000"/>
          <w:sz w:val="24"/>
        </w:rPr>
        <w:t>.</w:t>
      </w:r>
    </w:p>
    <w:p>
      <w:pPr>
        <w:pStyle w:val="TextBody"/>
        <w:bidi w:val="0"/>
        <w:spacing w:lineRule="auto" w:line="30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Issuer at any time may deliver Notes to the Trustee for cancellation. The Registrar and Paying Agent will forward to the Trustee any Notes surrendered to them for registration of transfer, exchange or payment. Upon receipt of an Issuer Order, the Trustee and no one else will cancel all Notes surrendered for registration of transfer, exchange, payment, replacement or cancellation and will dispose of such canceled Notes in its customary manner. Certification of the disposition of all canceled Notes will be delivered to the Issuer at the Issuer’s written request. The Issuer may not issue new Notes to replace Notes that it has paid or that have been delivered to the Trustee for cancellation.</w:t>
      </w:r>
    </w:p>
    <w:p>
      <w:pPr>
        <w:pStyle w:val="TextBody"/>
        <w:bidi w:val="0"/>
        <w:spacing w:lineRule="auto" w:line="300" w:before="0" w:after="240"/>
        <w:jc w:val="left"/>
        <w:rPr/>
      </w:pPr>
      <w:r>
        <w:rPr>
          <w:rFonts w:ascii="Times New Roman;serif" w:hAnsi="Times New Roman;serif"/>
          <w:b w:val="false"/>
          <w:color w:val="000000"/>
          <w:sz w:val="24"/>
        </w:rPr>
        <w:t>Section 2.13</w:t>
      </w:r>
      <w:r>
        <w:rPr>
          <w:rFonts w:ascii="Times New Roman;serif" w:hAnsi="Times New Roman;serif"/>
          <w:b w:val="false"/>
          <w:color w:val="000000"/>
          <w:sz w:val="24"/>
          <w:u w:val="single"/>
        </w:rPr>
        <w:t>CUSIP / ISIN</w:t>
      </w:r>
      <w:r>
        <w:rPr>
          <w:color w:val="000000"/>
          <w:u w:val="single"/>
        </w:rPr>
        <w:t xml:space="preserve"> </w:t>
      </w:r>
      <w:r>
        <w:rPr>
          <w:rFonts w:ascii="Times New Roman;serif" w:hAnsi="Times New Roman;serif"/>
          <w:b w:val="false"/>
          <w:color w:val="000000"/>
          <w:sz w:val="24"/>
          <w:u w:val="single"/>
        </w:rPr>
        <w:t>Numbers</w:t>
      </w:r>
      <w:r>
        <w:rPr>
          <w:rFonts w:ascii="Times New Roman;serif" w:hAnsi="Times New Roman;serif"/>
          <w:b w:val="false"/>
          <w:color w:val="000000"/>
          <w:sz w:val="24"/>
        </w:rPr>
        <w:t>.</w:t>
      </w:r>
    </w:p>
    <w:p>
      <w:pPr>
        <w:pStyle w:val="TextBody"/>
        <w:bidi w:val="0"/>
        <w:spacing w:lineRule="auto" w:line="300" w:before="0" w:after="240"/>
        <w:ind w:left="0" w:right="0" w:firstLine="720"/>
        <w:jc w:val="both"/>
        <w:rPr/>
      </w:pPr>
      <w:r>
        <w:rPr>
          <w:rFonts w:ascii="Times New Roman;serif" w:hAnsi="Times New Roman;serif"/>
          <w:b w:val="false"/>
          <w:color w:val="000000"/>
          <w:sz w:val="24"/>
        </w:rPr>
        <w:t>The Issuer in issuing the Notes may use “CUSIP” or “ISIN” numbers (if then generally in use), and, if so, the Trustee shall use “CUSIP” or “ISIN” numbers</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notices</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redemption</w:t>
      </w:r>
      <w:r>
        <w:rPr>
          <w:color w:val="000000"/>
        </w:rPr>
        <w:t xml:space="preserve"> </w:t>
      </w:r>
      <w:r>
        <w:rPr>
          <w:rFonts w:ascii="Times New Roman;serif" w:hAnsi="Times New Roman;serif"/>
          <w:b w:val="false"/>
          <w:color w:val="000000"/>
          <w:sz w:val="24"/>
        </w:rPr>
        <w:t>as</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convenience</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Holders;</w:t>
      </w:r>
      <w:r>
        <w:rPr>
          <w:color w:val="000000"/>
        </w:rPr>
        <w:t xml:space="preserve">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i/>
          <w:color w:val="000000"/>
          <w:sz w:val="24"/>
        </w:rPr>
        <w:t>that</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such</w:t>
      </w:r>
      <w:r>
        <w:rPr>
          <w:color w:val="000000"/>
        </w:rPr>
        <w:t xml:space="preserve"> </w:t>
      </w:r>
      <w:r>
        <w:rPr>
          <w:rFonts w:ascii="Times New Roman;serif" w:hAnsi="Times New Roman;serif"/>
          <w:b w:val="false"/>
          <w:color w:val="000000"/>
          <w:sz w:val="24"/>
        </w:rPr>
        <w:t>notice</w:t>
      </w:r>
      <w:r>
        <w:rPr>
          <w:color w:val="000000"/>
        </w:rPr>
        <w:t xml:space="preserve"> </w:t>
      </w:r>
      <w:r>
        <w:rPr>
          <w:rFonts w:ascii="Times New Roman;serif" w:hAnsi="Times New Roman;serif"/>
          <w:b w:val="false"/>
          <w:color w:val="000000"/>
          <w:sz w:val="24"/>
        </w:rPr>
        <w:t>may</w:t>
      </w:r>
      <w:r>
        <w:rPr>
          <w:color w:val="000000"/>
        </w:rPr>
        <w:t xml:space="preserve"> </w:t>
      </w:r>
      <w:r>
        <w:rPr>
          <w:rFonts w:ascii="Times New Roman;serif" w:hAnsi="Times New Roman;serif"/>
          <w:b w:val="false"/>
          <w:color w:val="000000"/>
          <w:sz w:val="24"/>
        </w:rPr>
        <w:t>state</w:t>
      </w:r>
      <w:r>
        <w:rPr>
          <w:color w:val="000000"/>
        </w:rPr>
        <w:t xml:space="preserve"> </w:t>
      </w:r>
      <w:r>
        <w:rPr>
          <w:rFonts w:ascii="Times New Roman;serif" w:hAnsi="Times New Roman;serif"/>
          <w:b w:val="false"/>
          <w:color w:val="000000"/>
          <w:sz w:val="24"/>
        </w:rPr>
        <w:t>that</w:t>
      </w:r>
      <w:r>
        <w:rPr>
          <w:color w:val="000000"/>
        </w:rPr>
        <w:t xml:space="preserve"> </w:t>
      </w:r>
      <w:r>
        <w:rPr>
          <w:rFonts w:ascii="Times New Roman;serif" w:hAnsi="Times New Roman;serif"/>
          <w:b w:val="false"/>
          <w:color w:val="000000"/>
          <w:sz w:val="24"/>
        </w:rPr>
        <w:t>no</w:t>
      </w:r>
      <w:r>
        <w:rPr>
          <w:color w:val="000000"/>
        </w:rPr>
        <w:t xml:space="preserve"> </w:t>
      </w:r>
      <w:r>
        <w:rPr>
          <w:rFonts w:ascii="Times New Roman;serif" w:hAnsi="Times New Roman;serif"/>
          <w:b w:val="false"/>
          <w:color w:val="000000"/>
          <w:sz w:val="24"/>
        </w:rPr>
        <w:t>representation</w:t>
      </w:r>
      <w:r>
        <w:rPr>
          <w:color w:val="000000"/>
        </w:rPr>
        <w:t xml:space="preserve"> </w:t>
      </w:r>
      <w:r>
        <w:rPr>
          <w:rFonts w:ascii="Times New Roman;serif" w:hAnsi="Times New Roman;serif"/>
          <w:b w:val="false"/>
          <w:color w:val="000000"/>
          <w:sz w:val="24"/>
        </w:rPr>
        <w:t>is</w:t>
      </w:r>
      <w:r>
        <w:rPr>
          <w:color w:val="000000"/>
        </w:rPr>
        <w:t xml:space="preserve"> </w:t>
      </w:r>
      <w:r>
        <w:rPr>
          <w:rFonts w:ascii="Times New Roman;serif" w:hAnsi="Times New Roman;serif"/>
          <w:b w:val="false"/>
          <w:color w:val="000000"/>
          <w:sz w:val="24"/>
        </w:rPr>
        <w:t>made</w:t>
      </w:r>
      <w:r>
        <w:rPr>
          <w:color w:val="000000"/>
        </w:rPr>
        <w:t xml:space="preserve"> </w:t>
      </w:r>
      <w:r>
        <w:rPr>
          <w:rFonts w:ascii="Times New Roman;serif" w:hAnsi="Times New Roman;serif"/>
          <w:b w:val="false"/>
          <w:color w:val="000000"/>
          <w:sz w:val="24"/>
        </w:rPr>
        <w:t>as</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correctness</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such</w:t>
      </w:r>
      <w:r>
        <w:rPr>
          <w:color w:val="000000"/>
        </w:rPr>
        <w:t xml:space="preserve"> </w:t>
      </w:r>
      <w:r>
        <w:rPr>
          <w:rFonts w:ascii="Times New Roman;serif" w:hAnsi="Times New Roman;serif"/>
          <w:b w:val="false"/>
          <w:color w:val="000000"/>
          <w:sz w:val="24"/>
        </w:rPr>
        <w:t>numbers</w:t>
      </w:r>
      <w:r>
        <w:rPr>
          <w:color w:val="000000"/>
        </w:rPr>
        <w:t xml:space="preserve"> </w:t>
      </w:r>
      <w:r>
        <w:rPr>
          <w:rFonts w:ascii="Times New Roman;serif" w:hAnsi="Times New Roman;serif"/>
          <w:b w:val="false"/>
          <w:color w:val="000000"/>
          <w:sz w:val="24"/>
        </w:rPr>
        <w:t>either</w:t>
      </w:r>
      <w:r>
        <w:rPr>
          <w:color w:val="000000"/>
        </w:rPr>
        <w:t xml:space="preserve"> </w:t>
      </w:r>
      <w:r>
        <w:rPr>
          <w:rFonts w:ascii="Times New Roman;serif" w:hAnsi="Times New Roman;serif"/>
          <w:b w:val="false"/>
          <w:color w:val="000000"/>
          <w:sz w:val="24"/>
        </w:rPr>
        <w:t>as</w:t>
      </w:r>
      <w:r>
        <w:rPr>
          <w:color w:val="000000"/>
        </w:rPr>
        <w:t xml:space="preserve"> </w:t>
      </w:r>
      <w:r>
        <w:rPr>
          <w:rFonts w:ascii="Times New Roman;serif" w:hAnsi="Times New Roman;serif"/>
          <w:b w:val="false"/>
          <w:color w:val="000000"/>
          <w:sz w:val="24"/>
        </w:rPr>
        <w:t>printed</w:t>
      </w:r>
      <w:r>
        <w:rPr>
          <w:color w:val="000000"/>
        </w:rPr>
        <w:t xml:space="preserve"> </w:t>
      </w:r>
      <w:r>
        <w:rPr>
          <w:rFonts w:ascii="Times New Roman;serif" w:hAnsi="Times New Roman;serif"/>
          <w:b w:val="false"/>
          <w:color w:val="000000"/>
          <w:sz w:val="24"/>
        </w:rPr>
        <w:t>on</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Notes</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as</w:t>
      </w:r>
      <w:r>
        <w:rPr>
          <w:color w:val="000000"/>
        </w:rPr>
        <w:t xml:space="preserve"> </w:t>
      </w:r>
      <w:r>
        <w:rPr>
          <w:rFonts w:ascii="Times New Roman;serif" w:hAnsi="Times New Roman;serif"/>
          <w:b w:val="false"/>
          <w:color w:val="000000"/>
          <w:sz w:val="24"/>
        </w:rPr>
        <w:t>contained</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notice</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redemption</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that</w:t>
      </w:r>
      <w:r>
        <w:rPr>
          <w:color w:val="000000"/>
        </w:rPr>
        <w:t xml:space="preserve"> </w:t>
      </w:r>
      <w:r>
        <w:rPr>
          <w:rFonts w:ascii="Times New Roman;serif" w:hAnsi="Times New Roman;serif"/>
          <w:b w:val="false"/>
          <w:color w:val="000000"/>
          <w:sz w:val="24"/>
        </w:rPr>
        <w:t>reliance</w:t>
      </w:r>
      <w:r>
        <w:rPr>
          <w:color w:val="000000"/>
        </w:rPr>
        <w:t xml:space="preserve"> </w:t>
      </w:r>
      <w:r>
        <w:rPr>
          <w:rFonts w:ascii="Times New Roman;serif" w:hAnsi="Times New Roman;serif"/>
          <w:b w:val="false"/>
          <w:color w:val="000000"/>
          <w:sz w:val="24"/>
        </w:rPr>
        <w:t>may</w:t>
      </w:r>
      <w:r>
        <w:rPr>
          <w:color w:val="000000"/>
        </w:rPr>
        <w:t xml:space="preserve"> </w:t>
      </w:r>
      <w:r>
        <w:rPr>
          <w:rFonts w:ascii="Times New Roman;serif" w:hAnsi="Times New Roman;serif"/>
          <w:b w:val="false"/>
          <w:color w:val="000000"/>
          <w:sz w:val="24"/>
        </w:rPr>
        <w:t>be</w:t>
      </w:r>
      <w:r>
        <w:rPr>
          <w:color w:val="000000"/>
        </w:rPr>
        <w:t xml:space="preserve"> </w:t>
      </w:r>
      <w:r>
        <w:rPr>
          <w:rFonts w:ascii="Times New Roman;serif" w:hAnsi="Times New Roman;serif"/>
          <w:b w:val="false"/>
          <w:color w:val="000000"/>
          <w:sz w:val="24"/>
        </w:rPr>
        <w:t>placed</w:t>
      </w:r>
      <w:r>
        <w:rPr>
          <w:color w:val="000000"/>
        </w:rPr>
        <w:t xml:space="preserve"> </w:t>
      </w:r>
      <w:r>
        <w:rPr>
          <w:rFonts w:ascii="Times New Roman;serif" w:hAnsi="Times New Roman;serif"/>
          <w:b w:val="false"/>
          <w:color w:val="000000"/>
          <w:sz w:val="24"/>
        </w:rPr>
        <w:t>only</w:t>
      </w:r>
      <w:r>
        <w:rPr>
          <w:color w:val="000000"/>
        </w:rPr>
        <w:t xml:space="preserve"> </w:t>
      </w:r>
      <w:r>
        <w:rPr>
          <w:rFonts w:ascii="Times New Roman;serif" w:hAnsi="Times New Roman;serif"/>
          <w:b w:val="false"/>
          <w:color w:val="000000"/>
          <w:sz w:val="24"/>
        </w:rPr>
        <w:t>on</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other</w:t>
      </w:r>
      <w:r>
        <w:rPr>
          <w:color w:val="000000"/>
        </w:rPr>
        <w:t xml:space="preserve"> </w:t>
      </w:r>
      <w:r>
        <w:rPr>
          <w:rFonts w:ascii="Times New Roman;serif" w:hAnsi="Times New Roman;serif"/>
          <w:b w:val="false"/>
          <w:color w:val="000000"/>
          <w:sz w:val="24"/>
        </w:rPr>
        <w:t>identification numbers printed on the Notes, and any such redemption shall not be affected by any defect in or omission of such numbers. The Issuer</w:t>
      </w:r>
      <w:r>
        <w:rPr>
          <w:color w:val="000000"/>
        </w:rPr>
        <w:t xml:space="preserve"> </w:t>
      </w:r>
      <w:r>
        <w:rPr>
          <w:rFonts w:ascii="Times New Roman;serif" w:hAnsi="Times New Roman;serif"/>
          <w:b w:val="false"/>
          <w:color w:val="000000"/>
          <w:sz w:val="24"/>
        </w:rPr>
        <w:t>will promptly notify the Trustee in writing of any change in the “CUSIP” or “ISIN” numbers.</w:t>
      </w:r>
    </w:p>
    <w:p>
      <w:pPr>
        <w:pStyle w:val="TextBody"/>
        <w:bidi w:val="0"/>
        <w:spacing w:before="0" w:after="0"/>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735965"/>
                <wp:effectExtent l="0" t="0" r="0" b="0"/>
                <wp:wrapNone/>
                <wp:docPr id="97" name="Frame97"/>
                <a:graphic xmlns:a="http://schemas.openxmlformats.org/drawingml/2006/main">
                  <a:graphicData uri="http://schemas.microsoft.com/office/word/2010/wordprocessingShape">
                    <wps:wsp>
                      <wps:cNvSpPr txBox="1"/>
                      <wps:spPr>
                        <a:xfrm>
                          <a:off x="0" y="0"/>
                          <a:ext cx="6480175" cy="7359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49</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49</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center"/>
        <w:rPr/>
      </w:pPr>
      <w:r>
        <w:rPr>
          <w:rFonts w:ascii="Times New Roman;serif" w:hAnsi="Times New Roman;serif"/>
          <w:b w:val="false"/>
          <w:color w:val="000000"/>
          <w:sz w:val="24"/>
        </w:rPr>
        <w:t>Article 3</w:t>
      </w:r>
      <w:r>
        <w:rPr>
          <w:rFonts w:ascii="Times New Roman;serif" w:hAnsi="Times New Roman;serif"/>
          <w:b w:val="false"/>
          <w:color w:val="000000"/>
          <w:sz w:val="24"/>
        </w:rPr>
        <w:br/>
        <w:t>REDEMPTION AND PREPAYMENT</w:t>
      </w:r>
    </w:p>
    <w:p>
      <w:pPr>
        <w:pStyle w:val="TextBody"/>
        <w:bidi w:val="0"/>
        <w:spacing w:lineRule="auto" w:line="240" w:before="0" w:after="240"/>
        <w:jc w:val="left"/>
        <w:rPr/>
      </w:pPr>
      <w:r>
        <w:rPr>
          <w:rFonts w:ascii="Times New Roman;serif" w:hAnsi="Times New Roman;serif"/>
          <w:b w:val="false"/>
          <w:color w:val="000000"/>
          <w:sz w:val="24"/>
        </w:rPr>
        <w:t>Section 3.01</w:t>
      </w:r>
      <w:r>
        <w:rPr>
          <w:rFonts w:ascii="Times New Roman;serif" w:hAnsi="Times New Roman;serif"/>
          <w:b w:val="false"/>
          <w:color w:val="000000"/>
          <w:sz w:val="24"/>
          <w:u w:val="single"/>
        </w:rPr>
        <w:t>Notices to Trustee</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The Issuer may, with respect to the Notes, reserve the right to redeem and pay the Notes or may covenant to redeem and pay the Notes or any part thereof prior to the Stated Maturity thereof at such time and on such terms as provided for in such Notes. If a Note is redeemable and the Issuer elects or is obligated to redeem such Notes pursuant to the provisions of such Notes, it must furnish to the Trustee, at least two days prior to the date of the written notice of redemption pursuant to </w:t>
      </w:r>
      <w:r>
        <w:rPr>
          <w:rFonts w:ascii="Times New Roman;serif" w:hAnsi="Times New Roman;serif"/>
          <w:b w:val="false"/>
          <w:color w:val="000000"/>
          <w:sz w:val="24"/>
          <w:u w:val="single"/>
        </w:rPr>
        <w:t>Section 3.03</w:t>
      </w:r>
      <w:r>
        <w:rPr>
          <w:rFonts w:ascii="Times New Roman;serif" w:hAnsi="Times New Roman;serif"/>
          <w:b w:val="false"/>
          <w:color w:val="000000"/>
          <w:sz w:val="24"/>
        </w:rPr>
        <w:t>, unless a shorter period is acceptable to the Trustee, an Officer’s Certificate setting forth:</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(1)the clause of the Notes pursuant to which the redemption shall occur;</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(2)the redemption date;</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(3)the principal amount of the Notes to be redeemed;</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(4)the redemption price; and</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(5)the applicable CUSIP numbers, if any.</w:t>
      </w:r>
    </w:p>
    <w:p>
      <w:pPr>
        <w:pStyle w:val="TextBody"/>
        <w:bidi w:val="0"/>
        <w:spacing w:lineRule="auto" w:line="240" w:before="0" w:after="240"/>
        <w:jc w:val="left"/>
        <w:rPr/>
      </w:pPr>
      <w:r>
        <w:rPr>
          <w:rFonts w:ascii="Times New Roman;serif" w:hAnsi="Times New Roman;serif"/>
          <w:b w:val="false"/>
          <w:color w:val="000000"/>
          <w:sz w:val="24"/>
        </w:rPr>
        <w:t>Section 3.02</w:t>
      </w:r>
      <w:r>
        <w:rPr>
          <w:rFonts w:ascii="Times New Roman;serif" w:hAnsi="Times New Roman;serif"/>
          <w:b w:val="false"/>
          <w:color w:val="000000"/>
          <w:sz w:val="24"/>
          <w:u w:val="single"/>
        </w:rPr>
        <w:t>Selection of Notes to Be Redeemed</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If less than all of the Notes are to be redeemed at any time, the Notes to be redeemed will be selected on a </w:t>
      </w:r>
      <w:r>
        <w:rPr>
          <w:rFonts w:ascii="Times New Roman;serif" w:hAnsi="Times New Roman;serif"/>
          <w:b w:val="false"/>
          <w:i/>
          <w:color w:val="000000"/>
          <w:sz w:val="24"/>
        </w:rPr>
        <w:t>pro rata</w:t>
      </w:r>
      <w:r>
        <w:rPr>
          <w:color w:val="000000"/>
        </w:rPr>
        <w:t xml:space="preserve"> </w:t>
      </w:r>
      <w:r>
        <w:rPr>
          <w:rFonts w:ascii="Times New Roman;serif" w:hAnsi="Times New Roman;serif"/>
          <w:b w:val="false"/>
          <w:color w:val="000000"/>
          <w:sz w:val="24"/>
        </w:rPr>
        <w:t xml:space="preserve">pass-through distribution basis to the extent practicable or by lot or such other similar method in accordance with the Applicable Procedures, unless otherwise required by law or applicable stock exchange requirements (so long as the Trustee has actual knowledge of such listing). The Trustee shall not be liable for any selections made in accordance with this paragraph. </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In the event of partial redemption by lot, the Notes to be redeemed shall be selected, unless otherwise provided herein, not less than 10 nor more than 60 days prior to the redemption by the Trustee from the outstanding Notes not previously called for redemption.</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The Trustee shall promptly notify the Issuer in writing of the Notes selected for redemption and, in the case of any Note selected for partial redemption, the principal amount thereof to be redeemed. Notes and portions of Notes selected shall be in minimum amounts of $2,000 or whole multiples of $1,000 in excess of $2,000; </w:t>
      </w:r>
      <w:r>
        <w:rPr>
          <w:rFonts w:ascii="Times New Roman;serif" w:hAnsi="Times New Roman;serif"/>
          <w:b w:val="false"/>
          <w:i/>
          <w:color w:val="000000"/>
          <w:sz w:val="24"/>
        </w:rPr>
        <w:t>except that</w:t>
      </w:r>
      <w:r>
        <w:rPr>
          <w:color w:val="000000"/>
        </w:rPr>
        <w:t xml:space="preserve"> </w:t>
      </w:r>
      <w:r>
        <w:rPr>
          <w:rFonts w:ascii="Times New Roman;serif" w:hAnsi="Times New Roman;serif"/>
          <w:b w:val="false"/>
          <w:color w:val="000000"/>
          <w:sz w:val="24"/>
        </w:rPr>
        <w:t>if all of the Notes of a Holder are to be redeemed, the entire outstanding amount of Notes held by such Holder, even if not a multiple of $1,000, shall be redeemed. Except as provided in the preceding sentence, provisions of this Indenture that apply to the Notes called for redemption also apply to portions of Notes called for redemption.</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No Notes of $2,000 or less shall be redeemed in part. Notices of redemption shall be mailed by first-class mail or delivered electronically at least 10 but not more than 60 days before </w:t>
      </w:r>
    </w:p>
    <w:p>
      <w:pPr>
        <w:pStyle w:val="TextBody"/>
        <w:bidi w:val="0"/>
        <w:spacing w:before="0" w:after="0"/>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735965"/>
                <wp:effectExtent l="0" t="0" r="0" b="0"/>
                <wp:wrapNone/>
                <wp:docPr id="98" name="Frame98"/>
                <a:graphic xmlns:a="http://schemas.openxmlformats.org/drawingml/2006/main">
                  <a:graphicData uri="http://schemas.microsoft.com/office/word/2010/wordprocessingShape">
                    <wps:wsp>
                      <wps:cNvSpPr txBox="1"/>
                      <wps:spPr>
                        <a:xfrm>
                          <a:off x="0" y="0"/>
                          <a:ext cx="6480175" cy="7359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50</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50</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the redemption date to each Holder to be redeemed, except that redemption notices may be mailed or delivered electronically more than 60 days prior to a redemption date if the notice is issued in connection with a defeasance of the Notes or a satisfaction and discharge of this Indenture and any Special Mandatory Redemption (as defined below) shall be made in accordance with the provisions of Section 3.08.</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If any Note is to be redeemed in part only, the notice of redemption that relates to that Note shall state the portion of the principal amount of that Note that is to be redeemed. In the case of certificated Notes, a new Note in principal amount equal to the unredeemed portion of the original Note shall be issued in the name of the Holder upon cancellation of the original Note.</w:t>
      </w:r>
    </w:p>
    <w:p>
      <w:pPr>
        <w:pStyle w:val="TextBody"/>
        <w:bidi w:val="0"/>
        <w:spacing w:lineRule="auto" w:line="240" w:before="0" w:after="240"/>
        <w:jc w:val="left"/>
        <w:rPr/>
      </w:pPr>
      <w:r>
        <w:rPr>
          <w:rFonts w:ascii="Times New Roman;serif" w:hAnsi="Times New Roman;serif"/>
          <w:b w:val="false"/>
          <w:color w:val="000000"/>
          <w:sz w:val="24"/>
        </w:rPr>
        <w:t>Section 3.03</w:t>
      </w:r>
      <w:r>
        <w:rPr>
          <w:rFonts w:ascii="Times New Roman;serif" w:hAnsi="Times New Roman;serif"/>
          <w:b w:val="false"/>
          <w:color w:val="000000"/>
          <w:sz w:val="24"/>
          <w:u w:val="single"/>
        </w:rPr>
        <w:t>Notice of Redemption</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At least 10 days but not more than 60 days before a redemption date, the Issuer shall mail or cause to be mailed, by first-class mail or delivered electronically, a notice of redemption to each Holder whose Notes are to be redeemed, except that redemption notices may be mailed or delivered electronically more than 60 days prior to a redemption date if the notice is issued in connection with a defeasance of the Notes or a satisfaction and discharge of this Indenture pursuant to </w:t>
      </w:r>
      <w:r>
        <w:rPr>
          <w:rFonts w:ascii="Times New Roman;serif" w:hAnsi="Times New Roman;serif"/>
          <w:b w:val="false"/>
          <w:color w:val="000000"/>
          <w:sz w:val="24"/>
          <w:u w:val="single"/>
        </w:rPr>
        <w:t>Article 8</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Article 10</w:t>
      </w:r>
      <w:r>
        <w:rPr>
          <w:color w:val="000000"/>
        </w:rPr>
        <w:t xml:space="preserve"> </w:t>
      </w:r>
      <w:r>
        <w:rPr>
          <w:rFonts w:ascii="Times New Roman;serif" w:hAnsi="Times New Roman;serif"/>
          <w:b w:val="false"/>
          <w:color w:val="000000"/>
          <w:sz w:val="24"/>
        </w:rPr>
        <w:t>hereof and any Special Mandatory Redemption shall be made in accordance with the provisions of Section 3.08.</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notice will identify the Notes to be redeemed and will state:</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(1)the redemption date;</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(2)the redemption price;</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(3)if any Note is being redeemed in part, the portion of the principal amount of such Note to be redeemed and that, after the redemption date upon surrender of such Note, in the case of certificated Notes, a new Note or Notes in principal amount equal to the unredeemed portion will be issued in the name of the Holder upon cancellation of the original Note;</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(4)the name and address of the Paying Agent;</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(5)that Notes called for redemption must be surrendered to the Paying Agent to collect the redemption price;</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(6)that, unless the Issuer defaults in making such redemption payment, interest on Notes called for redemption ceases to accrue on and after the redemption date;</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(7)the applicable section of this Indenture and/or the Note pursuant to which the Notes called for redemption are being redeemed;</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(8)that no representation is made as to the correctness or accuracy of the CUSIP number, if any, listed in such notice or printed on the Notes; and</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(9)if such redemption is subject to the satisfaction of one of more conditions precedent, such notice shall state that, in the Issuer’s discretion, the redemption date may </w:t>
      </w:r>
    </w:p>
    <w:p>
      <w:pPr>
        <w:pStyle w:val="TextBody"/>
        <w:bidi w:val="0"/>
        <w:spacing w:before="0" w:after="0"/>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735965"/>
                <wp:effectExtent l="0" t="0" r="0" b="0"/>
                <wp:wrapNone/>
                <wp:docPr id="99" name="Frame99"/>
                <a:graphic xmlns:a="http://schemas.openxmlformats.org/drawingml/2006/main">
                  <a:graphicData uri="http://schemas.microsoft.com/office/word/2010/wordprocessingShape">
                    <wps:wsp>
                      <wps:cNvSpPr txBox="1"/>
                      <wps:spPr>
                        <a:xfrm>
                          <a:off x="0" y="0"/>
                          <a:ext cx="6480175" cy="7359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51</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51</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be delayed until such time as any or all such conditions shall be satisfied (or waived by the Issuer in its sole discretion), such redemption may not occur and such notice may be rescinded in the event that any or all of such conditions shall not have been satisfied (or waived by the Issuer in its sole discretion) by the redemption date, or by the redemption date so delayed.</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At the Issuer’s request, the Trustee shall give the notice of redemption in the Issuer’s name and at its expense; </w:t>
      </w:r>
      <w:r>
        <w:rPr>
          <w:rFonts w:ascii="Times New Roman;serif" w:hAnsi="Times New Roman;serif"/>
          <w:b w:val="false"/>
          <w:i/>
          <w:color w:val="000000"/>
          <w:sz w:val="24"/>
        </w:rPr>
        <w:t>provided, however</w:t>
      </w:r>
      <w:r>
        <w:rPr>
          <w:rFonts w:ascii="Times New Roman;serif" w:hAnsi="Times New Roman;serif"/>
          <w:b w:val="false"/>
          <w:color w:val="000000"/>
          <w:sz w:val="24"/>
        </w:rPr>
        <w:t>, that the Issuer has delivered to the Trustee, at least two days prior to the date of the notice of redemption (or such shorter period as the Trustee in its sole discretion may allow), an Officer’s Certificate requesting that the Trustee give such notice and setting forth the information to be stated in such notice as provided in the preceding paragraph.</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Notice of any redemption of the Notes (other than a Special Mandatory Redemption) may, at the Issuer’s discretion, be given prior to the consummation of a transaction or event (including an Equity Offering, an incurrence of Indebtedness, a Change of Control Triggering Event or other transaction or event), and any such redemption may, in the Issuer’s discretion, be subject to the satisfaction of one or more conditions precedent (including the consummation of an Equity Offering, an incurrence of Indebtedness, a Change of Control Triggering Event or other transaction or event). If such redemption is subject to the satisfaction of one of more conditions precedent, such notice shall state that, in the Issuer’s discretion, the redemption date may be delayed until such time (including more than 60 days after the date the notice of redemption was mailed or delivered, including by electronic transmission) as any or all such conditions shall be satisfied (or waived by the Issuer in its sole discretion), such redemption may not occur and such notice may be rescinded in the event that any or all of such conditions shall not have been satisfied (or waived by the Issuer in its sole discretion) by the redemption date, or by the redemption date so delayed. If any such condition precedent has not been satisfied, the Issuer shall provide written notice to the Trustee and each Holder prior to the close of business one Business Day prior to the redemption date. Upon receipt of such notice, unless the Issuer has elected to delay, such notice of redemption shall be rescinded and the redemption of the Notes shall not occur. If requested by the Issuer, upon receipt of the rescission notice, the Trustee shall provide such notice to each Holder in the same manner in which the notice of redemption was given if such notice was delivered by the Trustee. In addition, the Issuer may provide in such notice that payment of the redemption price and performance of the Issuer’s obligations with respect to such redemption may be performed by another Person. </w:t>
      </w:r>
    </w:p>
    <w:p>
      <w:pPr>
        <w:pStyle w:val="TextBody"/>
        <w:bidi w:val="0"/>
        <w:spacing w:lineRule="auto" w:line="240" w:before="0" w:after="240"/>
        <w:jc w:val="left"/>
        <w:rPr/>
      </w:pPr>
      <w:r>
        <w:rPr>
          <w:rFonts w:ascii="Times New Roman;serif" w:hAnsi="Times New Roman;serif"/>
          <w:b w:val="false"/>
          <w:color w:val="000000"/>
          <w:sz w:val="24"/>
        </w:rPr>
        <w:t>Section 3.04</w:t>
      </w:r>
      <w:r>
        <w:rPr>
          <w:rFonts w:ascii="Times New Roman;serif" w:hAnsi="Times New Roman;serif"/>
          <w:b w:val="false"/>
          <w:color w:val="000000"/>
          <w:sz w:val="24"/>
          <w:u w:val="single"/>
        </w:rPr>
        <w:t>Effect of Notice of Redemption</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Once notice of redemption is mailed or delivered electronically in accordance with </w:t>
      </w:r>
      <w:r>
        <w:rPr>
          <w:rFonts w:ascii="Times New Roman;serif" w:hAnsi="Times New Roman;serif"/>
          <w:b w:val="false"/>
          <w:color w:val="000000"/>
          <w:sz w:val="24"/>
          <w:u w:val="single"/>
        </w:rPr>
        <w:t>Section 3.03</w:t>
      </w:r>
      <w:r>
        <w:rPr>
          <w:color w:val="000000"/>
        </w:rPr>
        <w:t xml:space="preserve"> </w:t>
      </w:r>
      <w:r>
        <w:rPr>
          <w:rFonts w:ascii="Times New Roman;serif" w:hAnsi="Times New Roman;serif"/>
          <w:b w:val="false"/>
          <w:color w:val="000000"/>
          <w:sz w:val="24"/>
        </w:rPr>
        <w:t>hereof, Notes called for redemption become, subject to any conditions precedent set forth in the notice of redemption, irrevocably due and payable on the redemption date at the redemption price.</w:t>
      </w:r>
    </w:p>
    <w:p>
      <w:pPr>
        <w:pStyle w:val="TextBody"/>
        <w:bidi w:val="0"/>
        <w:spacing w:before="0" w:after="0"/>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735965"/>
                <wp:effectExtent l="0" t="0" r="0" b="0"/>
                <wp:wrapNone/>
                <wp:docPr id="100" name="Frame100"/>
                <a:graphic xmlns:a="http://schemas.openxmlformats.org/drawingml/2006/main">
                  <a:graphicData uri="http://schemas.microsoft.com/office/word/2010/wordprocessingShape">
                    <wps:wsp>
                      <wps:cNvSpPr txBox="1"/>
                      <wps:spPr>
                        <a:xfrm>
                          <a:off x="0" y="0"/>
                          <a:ext cx="6480175" cy="7359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52</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52</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left"/>
        <w:rPr/>
      </w:pPr>
      <w:r>
        <w:rPr>
          <w:rFonts w:ascii="Times New Roman;serif" w:hAnsi="Times New Roman;serif"/>
          <w:b w:val="false"/>
          <w:color w:val="000000"/>
          <w:sz w:val="24"/>
        </w:rPr>
        <w:t>Section 3.05</w:t>
      </w:r>
      <w:r>
        <w:rPr>
          <w:rFonts w:ascii="Times New Roman;serif" w:hAnsi="Times New Roman;serif"/>
          <w:b w:val="false"/>
          <w:color w:val="000000"/>
          <w:sz w:val="24"/>
          <w:u w:val="single"/>
        </w:rPr>
        <w:t>Deposit of Redemption Price</w:t>
      </w:r>
      <w:r>
        <w:rPr>
          <w:rFonts w:ascii="Times New Roman;serif" w:hAnsi="Times New Roman;serif"/>
          <w:b w:val="false"/>
          <w:color w:val="000000"/>
          <w:sz w:val="24"/>
        </w:rPr>
        <w: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One Business Day prior to the redemption date, the Issuer shall deposit with the Trustee or with the Paying Agent money sufficient to pay the redemption price of, accrued interest to but excluding the redemption date, and premium, if any, on all Notes to be redeemed on that date. Promptly after the Issuer’s written request, the Trustee or the Paying Agent shall promptly return to the Issuer any money deposited with the Trustee or the Paying Agent by the Issuer in excess of the amounts necessary to pay the redemption price of, accrued interest, and premium, if any, on, all Notes to be redeemed.</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If the Issuer complies with the provisions of the preceding paragraph, on and after the redemption date, interest will cease to accrue on the Notes or the portions of Notes called for redemption.</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If a Note is redeemed on or after an interest record date but on or prior to the related interest payment date, then any accrued and unpaid interest shall be paid to the Person in whose name such Note was registered at the close of business on such record date. If any Note called for redemption is not so paid upon surrender for redemption because of the failure of the Issuer to comply with the preceding paragraph, interest shall be paid on the unpaid principal, from the redemption date until such principal is paid, and to the extent lawful on any interest not paid on such unpaid principal, in each case at the rate provided in the Notes and in </w:t>
      </w:r>
      <w:r>
        <w:rPr>
          <w:rFonts w:ascii="Times New Roman;serif" w:hAnsi="Times New Roman;serif"/>
          <w:b w:val="false"/>
          <w:color w:val="000000"/>
          <w:sz w:val="24"/>
          <w:u w:val="single"/>
        </w:rPr>
        <w:t>Section 4.01</w:t>
      </w:r>
      <w:r>
        <w:rPr>
          <w:color w:val="000000"/>
        </w:rPr>
        <w:t xml:space="preserve"> </w:t>
      </w:r>
      <w:r>
        <w:rPr>
          <w:rFonts w:ascii="Times New Roman;serif" w:hAnsi="Times New Roman;serif"/>
          <w:b w:val="false"/>
          <w:color w:val="000000"/>
          <w:sz w:val="24"/>
        </w:rPr>
        <w:t>hereof.</w:t>
      </w:r>
    </w:p>
    <w:p>
      <w:pPr>
        <w:pStyle w:val="TextBody"/>
        <w:bidi w:val="0"/>
        <w:spacing w:lineRule="auto" w:line="240" w:before="0" w:after="240"/>
        <w:jc w:val="left"/>
        <w:rPr/>
      </w:pPr>
      <w:r>
        <w:rPr>
          <w:rFonts w:ascii="Times New Roman;serif" w:hAnsi="Times New Roman;serif"/>
          <w:b w:val="false"/>
          <w:color w:val="000000"/>
          <w:sz w:val="24"/>
        </w:rPr>
        <w:t>Section 3.06</w:t>
      </w:r>
      <w:r>
        <w:rPr>
          <w:rFonts w:ascii="Times New Roman;serif" w:hAnsi="Times New Roman;serif"/>
          <w:b w:val="false"/>
          <w:color w:val="000000"/>
          <w:sz w:val="24"/>
          <w:u w:val="single"/>
        </w:rPr>
        <w:t>Notes Redeemed in Part</w:t>
      </w:r>
      <w:r>
        <w:rPr>
          <w:rFonts w:ascii="Times New Roman;serif" w:hAnsi="Times New Roman;serif"/>
          <w:b w:val="false"/>
          <w:color w:val="000000"/>
          <w:sz w:val="24"/>
        </w:rPr>
        <w: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Upon surrender of a Note that is redeemed in part, the Issuer shall issue and, upon receipt of an Issuer Order, the Trustee shall cause to be transferred by book entry, at the expense of the Issuer, a new Note equal in principal amount to the unredeemed portion of the Note surrendered.</w:t>
      </w:r>
    </w:p>
    <w:p>
      <w:pPr>
        <w:pStyle w:val="TextBody"/>
        <w:bidi w:val="0"/>
        <w:spacing w:lineRule="auto" w:line="240" w:before="0" w:after="240"/>
        <w:jc w:val="left"/>
        <w:rPr/>
      </w:pPr>
      <w:r>
        <w:rPr>
          <w:rFonts w:ascii="Times New Roman;serif" w:hAnsi="Times New Roman;serif"/>
          <w:b w:val="false"/>
          <w:color w:val="000000"/>
          <w:sz w:val="24"/>
        </w:rPr>
        <w:t>Section 3.07</w:t>
      </w:r>
      <w:r>
        <w:rPr>
          <w:rFonts w:ascii="Times New Roman;serif" w:hAnsi="Times New Roman;serif"/>
          <w:b w:val="false"/>
          <w:color w:val="000000"/>
          <w:sz w:val="24"/>
          <w:u w:val="single"/>
        </w:rPr>
        <w:t>Optional Redemption</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rPr>
        <w:t>At any time prior to May 1, 2028, the Issuer may, on any one or more occasions, redeem all or a part of the Notes at a redemption price equal to 100% of the principal amount of the Notes to be redeemed, plus the Applicable Premium as of, and accrued and unpaid interest, if any, to, but excluding, the redemption date, subject to the rights of Holders of such Notes on the relevant record date to receive interest due on the relevant interest payment date.</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rPr>
        <w:t xml:space="preserve">At any time prior to May 1, 2028, the Issuer may, on any one or more occasions, redeem the Notes with the proceeds from any Equity Offering at a redemption price equal to 106.125% of the principal amount of the Notes, plus accrued and unpaid interest, if any, to, but excluding, the redemption date (subject to the rights of Holders of such Notes on the relevant record date to receive interest due on the relevant interest payment date), in an aggregate principal amount for all such redemptions not to exceed 40% of the aggregate principal amount of the Notes issued under this Indenture; </w:t>
      </w:r>
      <w:r>
        <w:rPr>
          <w:rFonts w:ascii="Times New Roman;serif" w:hAnsi="Times New Roman;serif"/>
          <w:b w:val="false"/>
          <w:i/>
          <w:color w:val="000000"/>
          <w:sz w:val="24"/>
        </w:rPr>
        <w:t>provided that</w:t>
      </w:r>
      <w:r>
        <w:rPr>
          <w:rFonts w:ascii="Times New Roman;serif" w:hAnsi="Times New Roman;serif"/>
          <w:b w:val="false"/>
          <w:color w:val="000000"/>
          <w:sz w:val="24"/>
        </w:rPr>
        <w:t>:</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(1)in each case the redemption takes place not later than 180 days after the closing of the related Equity Offering, and</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(2)not less than 50% of the aggregate principal amount of the then-outstanding Notes issued under this Indenture remain outstanding immediately thereafter </w:t>
      </w:r>
    </w:p>
    <w:p>
      <w:pPr>
        <w:pStyle w:val="TextBody"/>
        <w:bidi w:val="0"/>
        <w:spacing w:before="0" w:after="0"/>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735965"/>
                <wp:effectExtent l="0" t="0" r="0" b="0"/>
                <wp:wrapNone/>
                <wp:docPr id="101" name="Frame101"/>
                <a:graphic xmlns:a="http://schemas.openxmlformats.org/drawingml/2006/main">
                  <a:graphicData uri="http://schemas.microsoft.com/office/word/2010/wordprocessingShape">
                    <wps:wsp>
                      <wps:cNvSpPr txBox="1"/>
                      <wps:spPr>
                        <a:xfrm>
                          <a:off x="0" y="0"/>
                          <a:ext cx="6480175" cy="7359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53</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53</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(excluding Notes held by the Issuer or any of its Subsidiaries), unless all such Notes are redeemed or repurchased or to be redeemed or repurchased substantially concurrently.</w:t>
      </w:r>
    </w:p>
    <w:p>
      <w:pPr>
        <w:pStyle w:val="TextBody"/>
        <w:bidi w:val="0"/>
        <w:spacing w:lineRule="auto" w:line="240" w:before="0" w:after="240"/>
        <w:ind w:left="0" w:right="0" w:firstLine="720"/>
        <w:jc w:val="both"/>
        <w:rPr/>
      </w:pPr>
      <w:r>
        <w:rPr>
          <w:rFonts w:ascii="Times New Roman;serif" w:hAnsi="Times New Roman;serif"/>
          <w:b w:val="false"/>
          <w:color w:val="000000"/>
          <w:sz w:val="24"/>
        </w:rPr>
        <w:t>(c)</w:t>
      </w:r>
      <w:r>
        <w:rPr>
          <w:rFonts w:ascii="Times New Roman;serif" w:hAnsi="Times New Roman;serif"/>
          <w:b w:val="false"/>
          <w:color w:val="000000"/>
          <w:sz w:val="24"/>
        </w:rPr>
        <w:t>At any time on or after May 1, 2028, the Issuer may, on any one or more occasions, redeem all or a part of the Notes at the following redemption prices (expressed as a percentage of principal amount of the Notes to be redeemed) set forth below, plus accrued and unpaid interest, if any, to, but excluding, the redemption date, if redeemed during the 12-month period beginning on May 1 of each of the years indicated below, subject to the rights of Holders of such Notes on the relevant record date to receive interest due on the relevant interest payment date:</w:t>
      </w:r>
    </w:p>
    <w:tbl>
      <w:tblPr>
        <w:tblW w:w="3314" w:type="dxa"/>
        <w:jc w:val="left"/>
        <w:tblInd w:w="0" w:type="dxa"/>
        <w:tblLayout w:type="fixed"/>
        <w:tblCellMar>
          <w:top w:w="28" w:type="dxa"/>
          <w:left w:w="28" w:type="dxa"/>
          <w:bottom w:w="28" w:type="dxa"/>
          <w:right w:w="28" w:type="dxa"/>
        </w:tblCellMar>
      </w:tblPr>
      <w:tblGrid>
        <w:gridCol w:w="703"/>
        <w:gridCol w:w="620"/>
        <w:gridCol w:w="626"/>
        <w:gridCol w:w="399"/>
        <w:gridCol w:w="399"/>
        <w:gridCol w:w="567"/>
      </w:tblGrid>
      <w:tr>
        <w:trPr/>
        <w:tc>
          <w:tcPr>
            <w:tcW w:w="703"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u w:val="single"/>
              </w:rPr>
            </w:pPr>
            <w:r>
              <w:rPr>
                <w:rFonts w:ascii="Times New Roman;serif" w:hAnsi="Times New Roman;serif"/>
                <w:b/>
                <w:color w:val="000000"/>
                <w:sz w:val="24"/>
                <w:u w:val="single"/>
              </w:rPr>
              <w:t>Year</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u w:val="single"/>
              </w:rPr>
            </w:pPr>
            <w:r>
              <w:rPr>
                <w:rFonts w:ascii="Times New Roman;serif" w:hAnsi="Times New Roman;serif"/>
                <w:b/>
                <w:color w:val="000000"/>
                <w:sz w:val="24"/>
                <w:u w:val="single"/>
              </w:rPr>
              <w:t>Percentage</w:t>
            </w:r>
          </w:p>
        </w:tc>
      </w:tr>
      <w:tr>
        <w:trPr/>
        <w:tc>
          <w:tcPr>
            <w:tcW w:w="194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2028</w:t>
            </w:r>
          </w:p>
        </w:tc>
        <w:tc>
          <w:tcPr>
            <w:tcW w:w="1365" w:type="dxa"/>
            <w:gridSpan w:val="3"/>
            <w:tcBorders/>
            <w:tcMar>
              <w:top w:w="0" w:type="dxa"/>
              <w:left w:w="0" w:type="dxa"/>
              <w:bottom w:w="0" w:type="dxa"/>
              <w:right w:w="0" w:type="dxa"/>
            </w:tcMar>
            <w:vAlign w:val="center"/>
          </w:tcPr>
          <w:p>
            <w:pPr>
              <w:pStyle w:val="TableContents"/>
              <w:bidi w:val="0"/>
              <w:spacing w:lineRule="auto" w:line="288" w:before="0" w:after="0"/>
              <w:jc w:val="right"/>
              <w:rPr>
                <w:color w:val="000000"/>
              </w:rPr>
            </w:pPr>
            <w:r>
              <w:rPr>
                <w:color w:val="000000"/>
              </w:rPr>
              <w:t>    </w:t>
            </w:r>
            <w:r>
              <w:rPr>
                <w:rFonts w:ascii="Times New Roman;serif" w:hAnsi="Times New Roman;serif"/>
                <w:b w:val="false"/>
                <w:color w:val="000000"/>
                <w:sz w:val="24"/>
              </w:rPr>
              <w:t>103.062%</w:t>
            </w:r>
          </w:p>
        </w:tc>
      </w:tr>
      <w:tr>
        <w:trPr/>
        <w:tc>
          <w:tcPr>
            <w:tcW w:w="194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2029</w:t>
            </w:r>
          </w:p>
        </w:tc>
        <w:tc>
          <w:tcPr>
            <w:tcW w:w="1365" w:type="dxa"/>
            <w:gridSpan w:val="3"/>
            <w:tcBorders/>
            <w:tcMar>
              <w:top w:w="0" w:type="dxa"/>
              <w:left w:w="0" w:type="dxa"/>
              <w:bottom w:w="0" w:type="dxa"/>
              <w:right w:w="0" w:type="dxa"/>
            </w:tcMar>
            <w:vAlign w:val="center"/>
          </w:tcPr>
          <w:p>
            <w:pPr>
              <w:pStyle w:val="TableContents"/>
              <w:bidi w:val="0"/>
              <w:spacing w:lineRule="auto" w:line="288" w:before="0" w:after="0"/>
              <w:jc w:val="right"/>
              <w:rPr>
                <w:color w:val="000000"/>
              </w:rPr>
            </w:pPr>
            <w:r>
              <w:rPr>
                <w:color w:val="000000"/>
              </w:rPr>
              <w:t>    </w:t>
            </w:r>
            <w:r>
              <w:rPr>
                <w:rFonts w:ascii="Times New Roman;serif" w:hAnsi="Times New Roman;serif"/>
                <w:b w:val="false"/>
                <w:color w:val="000000"/>
                <w:sz w:val="24"/>
              </w:rPr>
              <w:t>101.531%</w:t>
            </w:r>
          </w:p>
        </w:tc>
      </w:tr>
      <w:tr>
        <w:trPr/>
        <w:tc>
          <w:tcPr>
            <w:tcW w:w="194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2030 and thereafter</w:t>
            </w:r>
          </w:p>
        </w:tc>
        <w:tc>
          <w:tcPr>
            <w:tcW w:w="1365" w:type="dxa"/>
            <w:gridSpan w:val="3"/>
            <w:tcBorders/>
            <w:tcMar>
              <w:top w:w="0" w:type="dxa"/>
              <w:left w:w="0" w:type="dxa"/>
              <w:bottom w:w="0" w:type="dxa"/>
              <w:right w:w="0" w:type="dxa"/>
            </w:tcMar>
            <w:vAlign w:val="center"/>
          </w:tcPr>
          <w:p>
            <w:pPr>
              <w:pStyle w:val="TableContents"/>
              <w:bidi w:val="0"/>
              <w:spacing w:lineRule="auto" w:line="288" w:before="0" w:after="0"/>
              <w:jc w:val="right"/>
              <w:rPr>
                <w:color w:val="000000"/>
              </w:rPr>
            </w:pPr>
            <w:r>
              <w:rPr>
                <w:color w:val="000000"/>
              </w:rPr>
              <w:t>    </w:t>
            </w:r>
            <w:r>
              <w:rPr>
                <w:rFonts w:ascii="Times New Roman;serif" w:hAnsi="Times New Roman;serif"/>
                <w:b w:val="false"/>
                <w:color w:val="000000"/>
                <w:sz w:val="24"/>
              </w:rPr>
              <w:t>100.000%</w:t>
            </w:r>
          </w:p>
        </w:tc>
      </w:tr>
    </w:tbl>
    <w:p>
      <w:pPr>
        <w:pStyle w:val="TextBody"/>
        <w:bidi w:val="0"/>
        <w:spacing w:before="0" w:after="240"/>
        <w:jc w:val="both"/>
        <w:rPr/>
      </w:pPr>
      <w:r>
        <w:rPr/>
      </w:r>
    </w:p>
    <w:p>
      <w:pPr>
        <w:pStyle w:val="TextBody"/>
        <w:bidi w:val="0"/>
        <w:spacing w:lineRule="auto" w:line="240" w:before="0" w:after="240"/>
        <w:ind w:left="0" w:right="0" w:firstLine="720"/>
        <w:jc w:val="both"/>
        <w:rPr/>
      </w:pPr>
      <w:r>
        <w:rPr>
          <w:rFonts w:ascii="Times New Roman;serif" w:hAnsi="Times New Roman;serif"/>
          <w:b w:val="false"/>
          <w:color w:val="000000"/>
          <w:sz w:val="24"/>
        </w:rPr>
        <w:t>(d)</w:t>
      </w:r>
      <w:r>
        <w:rPr>
          <w:rFonts w:ascii="Times New Roman;serif" w:hAnsi="Times New Roman;serif"/>
          <w:b w:val="false"/>
          <w:color w:val="000000"/>
          <w:sz w:val="24"/>
        </w:rPr>
        <w:t xml:space="preserve">Notwithstanding the foregoing, in connection with any tender offer for or other offer to purchase the Notes, including a Change of Control Offer, if Holders of not less than 90% in aggregate principal amount of the outstanding Notes validly tender and do not validly withdraw such Notes in such offer and the Issuer, or any third party making such an offer in lieu of the Issuer, purchase all of the Notes validly tendered and not withdrawn by such Holders, all Holders of Notes will be deemed to have consented to such offer, and the Issuer or such third party will have the right upon not less than 10 nor more than 60 days’ notice, given not more than 30 days following such offer expiration date, to redeem (with respect to the Issuer) or purchase (with respect to a third party) Notes that remain outstanding, in whole but not in part, following such purchase at a price equal to the price paid to each other Holder of Notes (excluding any early tender, incentive or similar fee) in such offer, plus, to the extent not included in the offer payment, accrued and unpaid interest, if any, thereon, to, but excluding, such redemption date (subject to the rights of Holders of such Notes on the relevant record date to receive interest due on the relevant interest payment date). In determining whether the Holders of at least 90% of the aggregate principal amount of the then outstanding Notes have validly tendered and not validly withdrawn such Notes in a tender offer or other offer to purchase, such calculation shall include all Notes owned by an Affiliate of the Issuer (notwithstanding any provision of this Indenture to the contrary). </w:t>
      </w:r>
    </w:p>
    <w:p>
      <w:pPr>
        <w:pStyle w:val="TextBody"/>
        <w:bidi w:val="0"/>
        <w:spacing w:lineRule="auto" w:line="240" w:before="0" w:after="240"/>
        <w:ind w:left="0" w:right="0" w:firstLine="720"/>
        <w:jc w:val="both"/>
        <w:rPr/>
      </w:pPr>
      <w:r>
        <w:rPr>
          <w:rFonts w:ascii="Times New Roman;serif" w:hAnsi="Times New Roman;serif"/>
          <w:b w:val="false"/>
          <w:color w:val="000000"/>
          <w:sz w:val="24"/>
        </w:rPr>
        <w:t>(e)</w:t>
      </w:r>
      <w:r>
        <w:rPr>
          <w:rFonts w:ascii="Times New Roman;serif" w:hAnsi="Times New Roman;serif"/>
          <w:b w:val="false"/>
          <w:color w:val="000000"/>
          <w:sz w:val="24"/>
        </w:rPr>
        <w:t xml:space="preserve">If a redemption date is not a Business Day, payment may be made on the next succeeding day that is a Business Day, and no interest shall accrue on any amount that would have been otherwise payable on such redemption date if it were a Business Day for the intervening period. </w:t>
      </w:r>
    </w:p>
    <w:p>
      <w:pPr>
        <w:pStyle w:val="TextBody"/>
        <w:bidi w:val="0"/>
        <w:spacing w:lineRule="auto" w:line="240" w:before="0" w:after="240"/>
        <w:jc w:val="left"/>
        <w:rPr/>
      </w:pPr>
      <w:r>
        <w:rPr>
          <w:rFonts w:ascii="Times New Roman;serif" w:hAnsi="Times New Roman;serif"/>
          <w:b w:val="false"/>
          <w:color w:val="000000"/>
          <w:sz w:val="24"/>
        </w:rPr>
        <w:t>Section 3.08</w:t>
      </w:r>
      <w:r>
        <w:rPr>
          <w:rFonts w:ascii="Times New Roman;serif" w:hAnsi="Times New Roman;serif"/>
          <w:b w:val="false"/>
          <w:color w:val="000000"/>
          <w:sz w:val="24"/>
          <w:u w:val="single"/>
        </w:rPr>
        <w:t>Special Mandatory Redemption</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rPr>
        <w:t>Except as set forth in this Section 3.08, the Issuer is not required to make mandatory redemption or sinking fund payments with respect to the Notes.</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rPr>
        <w:t>If (i) the Cornerstone Acquisition has not been completed on or prior to 11:59 p.m. (New York City time) on January 15, 2027 (or, to the extent such date is automatically extended pursuant to the terms of the Cornerstone Merger Agreement to July 15, 2027) (such date, as extended if applicable, the “</w:t>
      </w:r>
      <w:r>
        <w:rPr>
          <w:rFonts w:ascii="Times New Roman;serif" w:hAnsi="Times New Roman;serif"/>
          <w:b w:val="false"/>
          <w:i/>
          <w:color w:val="000000"/>
          <w:sz w:val="24"/>
        </w:rPr>
        <w:t>Outside Date</w:t>
      </w:r>
      <w:r>
        <w:rPr>
          <w:color w:val="000000"/>
        </w:rPr>
        <w:t>”</w:t>
      </w:r>
      <w:r>
        <w:rPr>
          <w:rFonts w:ascii="Times New Roman;serif" w:hAnsi="Times New Roman;serif"/>
          <w:b w:val="false"/>
          <w:color w:val="000000"/>
          <w:sz w:val="24"/>
        </w:rPr>
        <w:t xml:space="preserve">), or (ii) prior to 11:59 p.m. (New York City time) on the Outside Date, (a) the Issuer determines that the Cornerstone Acquisition will not be </w:t>
      </w:r>
    </w:p>
    <w:p>
      <w:pPr>
        <w:pStyle w:val="TextBody"/>
        <w:bidi w:val="0"/>
        <w:spacing w:before="0" w:after="0"/>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735965"/>
                <wp:effectExtent l="0" t="0" r="0" b="0"/>
                <wp:wrapNone/>
                <wp:docPr id="102" name="Frame102"/>
                <a:graphic xmlns:a="http://schemas.openxmlformats.org/drawingml/2006/main">
                  <a:graphicData uri="http://schemas.microsoft.com/office/word/2010/wordprocessingShape">
                    <wps:wsp>
                      <wps:cNvSpPr txBox="1"/>
                      <wps:spPr>
                        <a:xfrm>
                          <a:off x="0" y="0"/>
                          <a:ext cx="6480175" cy="7359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54</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54</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rPr>
        <w:t>consummated on or before the Outside Date or (b) the Cornerstone Merger Agreement has been terminated (the earlier to occur of the events described in clauses (i) and (ii) of this sentence, an “</w:t>
      </w:r>
      <w:r>
        <w:rPr>
          <w:rFonts w:ascii="Times New Roman;serif" w:hAnsi="Times New Roman;serif"/>
          <w:b w:val="false"/>
          <w:i/>
          <w:color w:val="000000"/>
          <w:sz w:val="24"/>
        </w:rPr>
        <w:t>Acquisition Triggering Event</w:t>
      </w:r>
      <w:r>
        <w:rPr>
          <w:color w:val="000000"/>
        </w:rPr>
        <w:t>”</w:t>
      </w:r>
      <w:r>
        <w:rPr>
          <w:rFonts w:ascii="Times New Roman;serif" w:hAnsi="Times New Roman;serif"/>
          <w:b w:val="false"/>
          <w:color w:val="000000"/>
          <w:sz w:val="24"/>
        </w:rPr>
        <w:t>), the Issuer will redeem (a “</w:t>
      </w:r>
      <w:r>
        <w:rPr>
          <w:rFonts w:ascii="Times New Roman;serif" w:hAnsi="Times New Roman;serif"/>
          <w:b w:val="false"/>
          <w:i/>
          <w:color w:val="000000"/>
          <w:sz w:val="24"/>
        </w:rPr>
        <w:t>Special Mandatory Redemption</w:t>
      </w:r>
      <w:r>
        <w:rPr>
          <w:color w:val="000000"/>
        </w:rPr>
        <w:t>”</w:t>
      </w:r>
      <w:r>
        <w:rPr>
          <w:rFonts w:ascii="Times New Roman;serif" w:hAnsi="Times New Roman;serif"/>
          <w:b w:val="false"/>
          <w:color w:val="000000"/>
          <w:sz w:val="24"/>
        </w:rPr>
        <w:t>) within 30 days after the Acquisition Triggering Event, $1,050,000,000 in aggregate principal amount of the Notes, at a redemption price equal to 100% of the issue price thereof, plus accrued and unpaid interest to, but not including, the redemption date (the “</w:t>
      </w:r>
      <w:r>
        <w:rPr>
          <w:rFonts w:ascii="Times New Roman;serif" w:hAnsi="Times New Roman;serif"/>
          <w:b w:val="false"/>
          <w:i/>
          <w:color w:val="000000"/>
          <w:sz w:val="24"/>
        </w:rPr>
        <w:t>Special Mandatory Redemption Price</w:t>
      </w:r>
      <w:r>
        <w:rPr>
          <w:color w:val="000000"/>
        </w:rPr>
        <w:t>”</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(c)</w:t>
      </w:r>
      <w:r>
        <w:rPr>
          <w:rFonts w:ascii="Times New Roman;serif" w:hAnsi="Times New Roman;serif"/>
          <w:b w:val="false"/>
          <w:color w:val="000000"/>
          <w:sz w:val="24"/>
        </w:rPr>
        <w:t>Upon the occurrence of an Acquisition Triggering Event, the Issuer will promptly (but in no event later than five Business Days following such Acquisition Triggering Event) notify (such notice, a “</w:t>
      </w:r>
      <w:r>
        <w:rPr>
          <w:rFonts w:ascii="Times New Roman;serif" w:hAnsi="Times New Roman;serif"/>
          <w:b w:val="false"/>
          <w:i/>
          <w:color w:val="000000"/>
          <w:sz w:val="24"/>
        </w:rPr>
        <w:t>Special Mandatory Redemption Notice</w:t>
      </w:r>
      <w:r>
        <w:rPr>
          <w:color w:val="000000"/>
        </w:rPr>
        <w:t>”</w:t>
      </w:r>
      <w:r>
        <w:rPr>
          <w:rFonts w:ascii="Times New Roman;serif" w:hAnsi="Times New Roman;serif"/>
          <w:b w:val="false"/>
          <w:color w:val="000000"/>
          <w:sz w:val="24"/>
        </w:rPr>
        <w:t>) the Holders of the Notes, by mail or electronic delivery (with an Officer’s Certificate certifying the occurrence of the applicable Acquisition Triggering Event to be delivered to the Trustee prior to or substantially simultaneously with such notice) (i) that Notes will be redeemed no later than 30 days after the applicable Acquisition Triggering Event (such date, a “</w:t>
      </w:r>
      <w:r>
        <w:rPr>
          <w:rFonts w:ascii="Times New Roman;serif" w:hAnsi="Times New Roman;serif"/>
          <w:b w:val="false"/>
          <w:i/>
          <w:color w:val="000000"/>
          <w:sz w:val="24"/>
        </w:rPr>
        <w:t>Special Mandatory Redemption Date</w:t>
      </w:r>
      <w:r>
        <w:rPr>
          <w:color w:val="000000"/>
        </w:rPr>
        <w:t>”</w:t>
      </w:r>
      <w:r>
        <w:rPr>
          <w:rFonts w:ascii="Times New Roman;serif" w:hAnsi="Times New Roman;serif"/>
          <w:b w:val="false"/>
          <w:color w:val="000000"/>
          <w:sz w:val="24"/>
        </w:rPr>
        <w:t>), in each case in accordance with Article 3 hereof and (ii) the amount of the Notes that shall be redeemed at the applicable Special Mandatory Redemption Price on the Special Mandatory Redemption Date, automatically and without any further action by the Holders, in each case in accordance with Article 3 hereof. The date on which the notice described above is provided to the Holders is referred to as a “</w:t>
      </w:r>
      <w:r>
        <w:rPr>
          <w:rFonts w:ascii="Times New Roman;serif" w:hAnsi="Times New Roman;serif"/>
          <w:b w:val="false"/>
          <w:i/>
          <w:color w:val="000000"/>
          <w:sz w:val="24"/>
        </w:rPr>
        <w:t>Special Mandatory Redemption Notice Date”</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(d)</w:t>
      </w:r>
      <w:r>
        <w:rPr>
          <w:rFonts w:ascii="Times New Roman;serif" w:hAnsi="Times New Roman;serif"/>
          <w:b w:val="false"/>
          <w:color w:val="000000"/>
          <w:sz w:val="24"/>
        </w:rPr>
        <w:t>At the Issuer’s written request, the Trustee shall give the notice of an Acquisition Triggering Event to the Holders in the Issuer’s name and at the Issuer’s expense, which request (together with such Officer’s Certificate) shall be delivered to the Trustee at least one Business Day before the delivery of the notice to the Holders of the Notes.</w:t>
      </w:r>
    </w:p>
    <w:p>
      <w:pPr>
        <w:pStyle w:val="TextBody"/>
        <w:bidi w:val="0"/>
        <w:spacing w:lineRule="auto" w:line="240" w:before="0" w:after="240"/>
        <w:ind w:left="0" w:right="0" w:firstLine="720"/>
        <w:jc w:val="both"/>
        <w:rPr/>
      </w:pPr>
      <w:r>
        <w:rPr>
          <w:rFonts w:ascii="Times New Roman;serif" w:hAnsi="Times New Roman;serif"/>
          <w:b w:val="false"/>
          <w:color w:val="000000"/>
          <w:sz w:val="24"/>
        </w:rPr>
        <w:t>(e)</w:t>
      </w:r>
      <w:r>
        <w:rPr>
          <w:rFonts w:ascii="Times New Roman;serif" w:hAnsi="Times New Roman;serif"/>
          <w:b w:val="false"/>
          <w:color w:val="000000"/>
          <w:sz w:val="24"/>
        </w:rPr>
        <w:t>At or prior to 11:00 a.m., New York City time, on a Special Mandatory Redemption Date, the Issuer will deposit with the Trustee funds sufficient to pay the applicable Special Mandatory Redemption Price for the Notes to be redeemed and direct, through written instruction, the Trustee to redeem the applicable Notes on the Special Mandatory Redemption Date. If such deposit is made as provided above, the applicable redeemed Notes will cease to bear interest on and after the Special Mandatory Redemption Date and the Trustee shall cause the redemption of the applicable Notes and the payment of the applicable Special Mandatory Redemption Price, in accordance with the Special Mandatory Redemption Notice to the Holders of the redeemed Notes.</w:t>
      </w:r>
    </w:p>
    <w:p>
      <w:pPr>
        <w:pStyle w:val="TextBody"/>
        <w:bidi w:val="0"/>
        <w:spacing w:lineRule="auto" w:line="240" w:before="0" w:after="240"/>
        <w:ind w:left="0" w:right="0" w:firstLine="720"/>
        <w:jc w:val="both"/>
        <w:rPr/>
      </w:pPr>
      <w:r>
        <w:rPr>
          <w:rFonts w:ascii="Times New Roman;serif" w:hAnsi="Times New Roman;serif"/>
          <w:b w:val="false"/>
          <w:color w:val="000000"/>
          <w:sz w:val="24"/>
        </w:rPr>
        <w:t>(f)</w:t>
      </w:r>
      <w:r>
        <w:rPr>
          <w:rFonts w:ascii="Times New Roman;serif" w:hAnsi="Times New Roman;serif"/>
          <w:b w:val="false"/>
          <w:color w:val="000000"/>
          <w:sz w:val="24"/>
        </w:rPr>
        <w:t>Upon the consummation of the Cornerstone Acquisition, this Section 3.08 shall cease to apply.</w:t>
      </w:r>
    </w:p>
    <w:p>
      <w:pPr>
        <w:pStyle w:val="TextBody"/>
        <w:bidi w:val="0"/>
        <w:spacing w:lineRule="auto" w:line="240" w:before="0" w:after="240"/>
        <w:jc w:val="left"/>
        <w:rPr/>
      </w:pPr>
      <w:r>
        <w:rPr>
          <w:rFonts w:ascii="Times New Roman;serif" w:hAnsi="Times New Roman;serif"/>
          <w:b w:val="false"/>
          <w:color w:val="000000"/>
          <w:sz w:val="24"/>
        </w:rPr>
        <w:t>Section 3.09</w:t>
      </w:r>
      <w:r>
        <w:rPr>
          <w:rFonts w:ascii="Times New Roman;serif" w:hAnsi="Times New Roman;serif"/>
          <w:b w:val="false"/>
          <w:color w:val="000000"/>
          <w:sz w:val="24"/>
          <w:u w:val="single"/>
        </w:rPr>
        <w:t>Calculation of Redemption Price</w:t>
      </w:r>
      <w:r>
        <w:rPr>
          <w:rFonts w:ascii="Times New Roman;serif" w:hAnsi="Times New Roman;serif"/>
          <w:b w:val="false"/>
          <w:color w:val="000000"/>
          <w:sz w:val="24"/>
        </w:rPr>
        <w: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Neither the Agent nor the Trustee shall have an obligation to calculate or verify the redemption price of any Note.</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Upon any redemption that requires the payment of the Applicable Premium (including, without limitation, in connection with the Issuer’s exercise of its Legal Defeasance option or Covenant Defeasance option as set forth in </w:t>
      </w:r>
      <w:r>
        <w:rPr>
          <w:rFonts w:ascii="Times New Roman;serif" w:hAnsi="Times New Roman;serif"/>
          <w:b w:val="false"/>
          <w:color w:val="000000"/>
          <w:sz w:val="24"/>
          <w:u w:val="single"/>
        </w:rPr>
        <w:t>Article 8</w:t>
      </w:r>
      <w:r>
        <w:rPr>
          <w:color w:val="000000"/>
        </w:rPr>
        <w:t xml:space="preserve"> </w:t>
      </w:r>
      <w:r>
        <w:rPr>
          <w:rFonts w:ascii="Times New Roman;serif" w:hAnsi="Times New Roman;serif"/>
          <w:b w:val="false"/>
          <w:color w:val="000000"/>
          <w:sz w:val="24"/>
        </w:rPr>
        <w:t xml:space="preserve">or the discharge of the Issuer’s obligations under the Note Documents in accordance with </w:t>
      </w:r>
      <w:r>
        <w:rPr>
          <w:rFonts w:ascii="Times New Roman;serif" w:hAnsi="Times New Roman;serif"/>
          <w:b w:val="false"/>
          <w:color w:val="000000"/>
          <w:sz w:val="24"/>
          <w:u w:val="single"/>
        </w:rPr>
        <w:t>Article 10</w:t>
      </w:r>
      <w:r>
        <w:rPr>
          <w:rFonts w:ascii="Times New Roman;serif" w:hAnsi="Times New Roman;serif"/>
          <w:b w:val="false"/>
          <w:color w:val="000000"/>
          <w:sz w:val="24"/>
        </w:rPr>
        <w:t>), the amount deposited with the Trustee shall be sufficient for purposes of this Indenture to the extent that an amount is deposited with the Trustee equal to the Applicable Premium calculated as of the date of the notice of redemption, with any deficit as of the date of redemption (any such amount, the “</w:t>
      </w:r>
      <w:r>
        <w:rPr>
          <w:rFonts w:ascii="Times New Roman;serif" w:hAnsi="Times New Roman;serif"/>
          <w:b w:val="false"/>
          <w:i/>
          <w:color w:val="000000"/>
          <w:sz w:val="24"/>
        </w:rPr>
        <w:t xml:space="preserve">Applicable </w:t>
      </w:r>
    </w:p>
    <w:p>
      <w:pPr>
        <w:pStyle w:val="TextBody"/>
        <w:bidi w:val="0"/>
        <w:spacing w:before="0" w:after="0"/>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735965"/>
                <wp:effectExtent l="0" t="0" r="0" b="0"/>
                <wp:wrapNone/>
                <wp:docPr id="103" name="Frame103"/>
                <a:graphic xmlns:a="http://schemas.openxmlformats.org/drawingml/2006/main">
                  <a:graphicData uri="http://schemas.microsoft.com/office/word/2010/wordprocessingShape">
                    <wps:wsp>
                      <wps:cNvSpPr txBox="1"/>
                      <wps:spPr>
                        <a:xfrm>
                          <a:off x="0" y="0"/>
                          <a:ext cx="6480175" cy="7359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55</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55</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i/>
          <w:color w:val="000000"/>
          <w:sz w:val="24"/>
        </w:rPr>
        <w:t>Premium Deficit</w:t>
      </w:r>
      <w:r>
        <w:rPr>
          <w:color w:val="000000"/>
        </w:rPr>
        <w:t>”</w:t>
      </w:r>
      <w:r>
        <w:rPr>
          <w:rFonts w:ascii="Times New Roman;serif" w:hAnsi="Times New Roman;serif"/>
          <w:b w:val="false"/>
          <w:color w:val="000000"/>
          <w:sz w:val="24"/>
        </w:rPr>
        <w:t>) only required to be deposited with the Trustee on or prior to the date of redemption. Any Applicable Premium Deficit shall be set forth in an Officer’s Certificate delivered to the Trustee simultaneously with the deposit of such Applicable Premium Deficit that confirms that such Applicable Premium Deficit shall be applied toward such redemption.</w:t>
      </w:r>
    </w:p>
    <w:p>
      <w:pPr>
        <w:pStyle w:val="TextBody"/>
        <w:bidi w:val="0"/>
        <w:spacing w:lineRule="auto" w:line="240" w:before="0" w:after="240"/>
        <w:jc w:val="center"/>
        <w:rPr/>
      </w:pPr>
      <w:r>
        <w:rPr>
          <w:rFonts w:ascii="Times New Roman;serif" w:hAnsi="Times New Roman;serif"/>
          <w:b w:val="false"/>
          <w:color w:val="000000"/>
          <w:sz w:val="24"/>
        </w:rPr>
        <w:t>Article 4</w:t>
      </w:r>
      <w:r>
        <w:rPr>
          <w:rFonts w:ascii="Times New Roman;serif" w:hAnsi="Times New Roman;serif"/>
          <w:b w:val="false"/>
          <w:color w:val="000000"/>
          <w:sz w:val="24"/>
        </w:rPr>
        <w:br/>
        <w:t>COVENANTS</w:t>
      </w:r>
    </w:p>
    <w:p>
      <w:pPr>
        <w:pStyle w:val="TextBody"/>
        <w:bidi w:val="0"/>
        <w:spacing w:lineRule="auto" w:line="240" w:before="0" w:after="240"/>
        <w:jc w:val="left"/>
        <w:rPr/>
      </w:pPr>
      <w:r>
        <w:rPr>
          <w:rFonts w:ascii="Times New Roman;serif" w:hAnsi="Times New Roman;serif"/>
          <w:b w:val="false"/>
          <w:color w:val="000000"/>
          <w:sz w:val="24"/>
        </w:rPr>
        <w:t>Section 4.01</w:t>
      </w:r>
      <w:r>
        <w:rPr>
          <w:rFonts w:ascii="Times New Roman;serif" w:hAnsi="Times New Roman;serif"/>
          <w:b w:val="false"/>
          <w:color w:val="000000"/>
          <w:sz w:val="24"/>
          <w:u w:val="single"/>
        </w:rPr>
        <w:t>Payment of Notes</w:t>
      </w:r>
      <w:r>
        <w:rPr>
          <w:rFonts w:ascii="Times New Roman;serif" w:hAnsi="Times New Roman;serif"/>
          <w:b w:val="false"/>
          <w:color w:val="000000"/>
          <w:sz w:val="24"/>
        </w:rPr>
        <w: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Issuer shall pay or cause to be paid the principal of, premium, if any, and interest on the Notes on the dates and in the manner provided in this Indenture and the Notes. Principal, premium, if any, and interest will be considered paid on the date due if the Paying Agent, if other than the Issuer or a Subsidiary thereof, holds as of 11:00 a.m. New York City time on the due date money deposited by the Issuer in immediately available funds and designated for and sufficient to pay all principal, premium, if any, and interest then due.</w:t>
      </w:r>
    </w:p>
    <w:p>
      <w:pPr>
        <w:pStyle w:val="TextBody"/>
        <w:bidi w:val="0"/>
        <w:spacing w:lineRule="auto" w:line="240" w:before="0" w:after="240"/>
        <w:jc w:val="left"/>
        <w:rPr/>
      </w:pPr>
      <w:r>
        <w:rPr>
          <w:rFonts w:ascii="Times New Roman;serif" w:hAnsi="Times New Roman;serif"/>
          <w:b w:val="false"/>
          <w:color w:val="000000"/>
          <w:sz w:val="24"/>
        </w:rPr>
        <w:t>Section 4.02</w:t>
      </w:r>
      <w:r>
        <w:rPr>
          <w:rFonts w:ascii="Times New Roman;serif" w:hAnsi="Times New Roman;serif"/>
          <w:b w:val="false"/>
          <w:color w:val="000000"/>
          <w:sz w:val="24"/>
          <w:u w:val="single"/>
        </w:rPr>
        <w:t>Maintenance of Office or Agency</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rPr>
        <w:t>The Issuer shall, for the benefit of Holders, maintain an office or agency (which may be an office of the Trustee or an Affiliate of the Trustee or Registrar) where Notes may be surrendered for registration of transfer or for exchange and where notices and demands to or upon the Issuer in respect of the Notes and this Indenture may be served. The Issuer shall give prompt written notice to the Trustee of the location, and any change in the location, of such office or agency. If at any time the Issuer fails to maintain any such required office or agency or fails to furnish the Trustee with the address thereof, such presentations, surrenders, notices and demands may be made or served at the Corporate Trust Office of the Trustee.</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rPr>
        <w:t>The Issuer may also from time to time designate one or more other offices or agencies where the Notes may be presented or surrendered for any or all such purposes and may from time to time rescind such designations. The Issuer shall give prompt written notice to the Trustee of any such designation or rescission and of any change in the location of any such other office or agency.</w:t>
      </w:r>
    </w:p>
    <w:p>
      <w:pPr>
        <w:pStyle w:val="TextBody"/>
        <w:bidi w:val="0"/>
        <w:spacing w:lineRule="auto" w:line="240" w:before="0" w:after="240"/>
        <w:ind w:left="0" w:right="0" w:firstLine="720"/>
        <w:jc w:val="both"/>
        <w:rPr/>
      </w:pPr>
      <w:r>
        <w:rPr>
          <w:rFonts w:ascii="Times New Roman;serif" w:hAnsi="Times New Roman;serif"/>
          <w:b w:val="false"/>
          <w:color w:val="000000"/>
          <w:sz w:val="24"/>
        </w:rPr>
        <w:t>(c)</w:t>
      </w:r>
      <w:r>
        <w:rPr>
          <w:rFonts w:ascii="Times New Roman;serif" w:hAnsi="Times New Roman;serif"/>
          <w:b w:val="false"/>
          <w:color w:val="000000"/>
          <w:sz w:val="24"/>
        </w:rPr>
        <w:t xml:space="preserve">The Issuer hereby designates the Corporate Trust Office of the Trustee for such Notes as one such office or agency of the Issuer in accordance with </w:t>
      </w:r>
      <w:r>
        <w:rPr>
          <w:rFonts w:ascii="Times New Roman;serif" w:hAnsi="Times New Roman;serif"/>
          <w:b w:val="false"/>
          <w:color w:val="000000"/>
          <w:sz w:val="24"/>
          <w:u w:val="single"/>
        </w:rPr>
        <w:t>Section 2.03</w:t>
      </w:r>
      <w:r>
        <w:rPr>
          <w:color w:val="000000"/>
        </w:rPr>
        <w:t xml:space="preserve"> </w:t>
      </w:r>
      <w:r>
        <w:rPr>
          <w:rFonts w:ascii="Times New Roman;serif" w:hAnsi="Times New Roman;serif"/>
          <w:b w:val="false"/>
          <w:color w:val="000000"/>
          <w:sz w:val="24"/>
        </w:rPr>
        <w:t xml:space="preserve">hereof;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w:t>
      </w:r>
      <w:r>
        <w:rPr>
          <w:rFonts w:ascii="Times New Roman;serif" w:hAnsi="Times New Roman;serif"/>
          <w:b w:val="false"/>
          <w:i/>
          <w:color w:val="000000"/>
          <w:sz w:val="24"/>
        </w:rPr>
        <w:t>however</w:t>
      </w:r>
      <w:r>
        <w:rPr>
          <w:rFonts w:ascii="Times New Roman;serif" w:hAnsi="Times New Roman;serif"/>
          <w:b w:val="false"/>
          <w:color w:val="000000"/>
          <w:sz w:val="24"/>
        </w:rPr>
        <w:t>, the Trustee shall not be deemed an agent of the Issuer for the service of legal process.</w:t>
      </w:r>
    </w:p>
    <w:p>
      <w:pPr>
        <w:pStyle w:val="TextBody"/>
        <w:bidi w:val="0"/>
        <w:spacing w:lineRule="auto" w:line="240" w:before="0" w:after="240"/>
        <w:jc w:val="left"/>
        <w:rPr/>
      </w:pPr>
      <w:r>
        <w:rPr>
          <w:rFonts w:ascii="Times New Roman;serif" w:hAnsi="Times New Roman;serif"/>
          <w:b w:val="false"/>
          <w:color w:val="000000"/>
          <w:sz w:val="24"/>
        </w:rPr>
        <w:t>Section 4.03</w:t>
      </w:r>
      <w:r>
        <w:rPr>
          <w:rFonts w:ascii="Times New Roman;serif" w:hAnsi="Times New Roman;serif"/>
          <w:b w:val="false"/>
          <w:color w:val="000000"/>
          <w:sz w:val="24"/>
          <w:u w:val="single"/>
        </w:rPr>
        <w:t>Compliance Certificate</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rPr>
        <w:t xml:space="preserve">The Issuer shall deliver to the Trustee, within 120 days after the end of each fiscal year, commencing with the fiscal year ending December 31, 2026, an Officer’s Certificate stating that a review of the activities of the Issuer and its Subsidiaries during the preceding fiscal year has been made under the supervision of the signing Officers with a view to determining whether the Issuer has kept, observed, performed and fulfilled its obligations under this Indenture, and further stating, as to such Officer signing such certificate, that to the best of his or her knowledge the Issuer has kept, observed, performed and fulfilled each and every covenant contained in this Indenture and is not in default in the performance or observance of any of the terms, provisions and conditions of this Indenture (or, if a Default or Event of Default has occurred, describing all such Defaults or Events of Default of which he or she may have </w:t>
      </w:r>
    </w:p>
    <w:p>
      <w:pPr>
        <w:pStyle w:val="TextBody"/>
        <w:bidi w:val="0"/>
        <w:spacing w:before="0" w:after="0"/>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735965"/>
                <wp:effectExtent l="0" t="0" r="0" b="0"/>
                <wp:wrapNone/>
                <wp:docPr id="104" name="Frame104"/>
                <a:graphic xmlns:a="http://schemas.openxmlformats.org/drawingml/2006/main">
                  <a:graphicData uri="http://schemas.microsoft.com/office/word/2010/wordprocessingShape">
                    <wps:wsp>
                      <wps:cNvSpPr txBox="1"/>
                      <wps:spPr>
                        <a:xfrm>
                          <a:off x="0" y="0"/>
                          <a:ext cx="6480175" cy="7359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56</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56</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knowledge and what action the Issuer is taking or proposes to take with respect thereto) and that to the best of his or her knowledge no event has occurred and remains in existence by reason of which payments on account of the principal of or interest, if any, on the Notes is prohibited or if such event has occurred, a description of the event and what action the Issuer is taking or proposes to take with respect thereto.</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rPr>
        <w:t>So long as any of the Notes are outstanding, the Issuer shall deliver to the Trustee, promptly upon the Issuer becoming aware of any Default or Event of Default, an Officer’s Certificate specifying such Default or Event of Default and what action the Issuer is taking or proposes to take with respect thereto.</w:t>
      </w:r>
    </w:p>
    <w:p>
      <w:pPr>
        <w:pStyle w:val="TextBody"/>
        <w:bidi w:val="0"/>
        <w:spacing w:lineRule="auto" w:line="240" w:before="0" w:after="240"/>
        <w:jc w:val="left"/>
        <w:rPr/>
      </w:pPr>
      <w:r>
        <w:rPr>
          <w:rFonts w:ascii="Times New Roman;serif" w:hAnsi="Times New Roman;serif"/>
          <w:b w:val="false"/>
          <w:color w:val="000000"/>
          <w:sz w:val="24"/>
        </w:rPr>
        <w:t>Section 4.04</w:t>
      </w:r>
      <w:r>
        <w:rPr>
          <w:rFonts w:ascii="Times New Roman;serif" w:hAnsi="Times New Roman;serif"/>
          <w:b w:val="false"/>
          <w:color w:val="000000"/>
          <w:sz w:val="24"/>
          <w:u w:val="single"/>
        </w:rPr>
        <w:t>Limitation on Liens</w:t>
      </w:r>
      <w:r>
        <w:rPr>
          <w:rFonts w:ascii="Times New Roman;serif" w:hAnsi="Times New Roman;serif"/>
          <w:b w:val="false"/>
          <w:color w:val="000000"/>
          <w:sz w:val="24"/>
        </w:rPr>
        <w:t xml:space="preserve">. </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rPr>
        <w:t>The Issuer will not, and will not permit any Subsidiary Guarantor to, create, incur, assume or permit to exist or become effective any mortgage, pledge or other Lien, other than Permitted Liens, upon any Principal Property to secure indebtedness for borrowed money of the Issuer and the Subsidiary Guarantors, unless all payments due under this Indenture and the Notes issued hereunder are secured equally and ratably with (or prior to) the Obligations so secured prior to or simultaneously with the creation of such Lien until such time as such Obligations are no longer secured by a Lien.</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rPr>
        <w:t xml:space="preserve">Any Lien created for the benefit of the Holders pursuant to this </w:t>
      </w:r>
      <w:r>
        <w:rPr>
          <w:rFonts w:ascii="Times New Roman;serif" w:hAnsi="Times New Roman;serif"/>
          <w:b w:val="false"/>
          <w:color w:val="000000"/>
          <w:sz w:val="24"/>
          <w:u w:val="single"/>
        </w:rPr>
        <w:t>Section 4.04</w:t>
      </w:r>
      <w:r>
        <w:rPr>
          <w:color w:val="000000"/>
        </w:rPr>
        <w:t xml:space="preserve"> </w:t>
      </w:r>
      <w:r>
        <w:rPr>
          <w:rFonts w:ascii="Times New Roman;serif" w:hAnsi="Times New Roman;serif"/>
          <w:b w:val="false"/>
          <w:color w:val="000000"/>
          <w:sz w:val="24"/>
        </w:rPr>
        <w:t>shall provide by its terms that such Lien shall be automatically and unconditionally released and discharged upon the release and discharge of the Lien that gave rise to the obligation to secure the Notes.</w:t>
      </w:r>
    </w:p>
    <w:p>
      <w:pPr>
        <w:pStyle w:val="TextBody"/>
        <w:bidi w:val="0"/>
        <w:spacing w:lineRule="auto" w:line="240" w:before="0" w:after="240"/>
        <w:ind w:left="0" w:right="0" w:firstLine="720"/>
        <w:jc w:val="both"/>
        <w:rPr/>
      </w:pPr>
      <w:r>
        <w:rPr>
          <w:rFonts w:ascii="Times New Roman;serif" w:hAnsi="Times New Roman;serif"/>
          <w:b w:val="false"/>
          <w:color w:val="000000"/>
          <w:sz w:val="24"/>
        </w:rPr>
        <w:t>(c)</w:t>
      </w:r>
      <w:r>
        <w:rPr>
          <w:rFonts w:ascii="Times New Roman;serif" w:hAnsi="Times New Roman;serif"/>
          <w:b w:val="false"/>
          <w:color w:val="000000"/>
          <w:sz w:val="24"/>
        </w:rPr>
        <w:t>With respect to any Lien securing Indebtedness that was permitted to secure such Indebtedness at the time of the incurrence of such Indebtedness, such Lien shall also be permitted to secure any Increased Amount of such Indebtedness. The “</w:t>
      </w:r>
      <w:r>
        <w:rPr>
          <w:rFonts w:ascii="Times New Roman;serif" w:hAnsi="Times New Roman;serif"/>
          <w:b w:val="false"/>
          <w:i/>
          <w:color w:val="000000"/>
          <w:sz w:val="24"/>
        </w:rPr>
        <w:t>Increased Amount</w:t>
      </w:r>
      <w:r>
        <w:rPr>
          <w:color w:val="000000"/>
        </w:rPr>
        <w:t xml:space="preserve">” </w:t>
      </w:r>
      <w:r>
        <w:rPr>
          <w:rFonts w:ascii="Times New Roman;serif" w:hAnsi="Times New Roman;serif"/>
          <w:b w:val="false"/>
          <w:color w:val="000000"/>
          <w:sz w:val="24"/>
        </w:rPr>
        <w:t>of any Indebtedness shall mean any increase in the amount of such Indebtedness in connection with any accrual of interest, the accretion of accreted value, the amortization of original issue discount, the payment of interest in the form of additional Indebtedness with the same terms, accretion of original issue discount or liquidation preference and increases in the amount of Indebtedness outstanding solely as a result of fluctuations in the exchange rate of currencies or increases in the value of property securing Indebtedness.</w:t>
      </w:r>
    </w:p>
    <w:p>
      <w:pPr>
        <w:pStyle w:val="TextBody"/>
        <w:bidi w:val="0"/>
        <w:spacing w:lineRule="auto" w:line="240" w:before="0" w:after="240"/>
        <w:jc w:val="left"/>
        <w:rPr/>
      </w:pPr>
      <w:r>
        <w:rPr>
          <w:rFonts w:ascii="Times New Roman;serif" w:hAnsi="Times New Roman;serif"/>
          <w:b w:val="false"/>
          <w:color w:val="000000"/>
          <w:sz w:val="24"/>
        </w:rPr>
        <w:t>Section 4.05</w:t>
      </w:r>
      <w:r>
        <w:rPr>
          <w:rFonts w:ascii="Times New Roman;serif" w:hAnsi="Times New Roman;serif"/>
          <w:b w:val="false"/>
          <w:color w:val="000000"/>
          <w:sz w:val="24"/>
          <w:u w:val="single"/>
        </w:rPr>
        <w:t>Limitations on Susquehanna Transactions</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rPr>
        <w:t>The Issuer will not, and will not permit any of the Subsidiary Guarantors to:</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(1)make any dividend or distribution of all or a portion of the Susquehanna Assets to any Person other than to the Issuer or a Subsidiary Guarantor; or</w:t>
      </w:r>
    </w:p>
    <w:p>
      <w:pPr>
        <w:pStyle w:val="TextBody"/>
        <w:bidi w:val="0"/>
        <w:spacing w:lineRule="auto" w:line="240" w:before="0" w:after="240"/>
        <w:ind w:left="0" w:right="0" w:firstLine="720"/>
        <w:jc w:val="both"/>
        <w:rPr/>
      </w:pPr>
      <w:r>
        <w:rPr>
          <w:rFonts w:ascii="Times New Roman;serif" w:hAnsi="Times New Roman;serif"/>
          <w:b w:val="false"/>
          <w:color w:val="000000"/>
          <w:sz w:val="24"/>
        </w:rPr>
        <w:t xml:space="preserve">(2)sell, assign, transfer, convey, lease or otherwise dispose of any Susquehanna Assets to any Person other than the Issuer or a Subsidiary Guarantor (including without limitation any such transfer or disposition in the form of an investment (other than in the Issuer or a Subsidiary Guarantor)) or enter into any transaction in which Susquehanna ceases to be a Subsidiary Guarantor, in each case, other than a transaction that complies with </w:t>
      </w:r>
      <w:r>
        <w:rPr>
          <w:rFonts w:ascii="Times New Roman;serif" w:hAnsi="Times New Roman;serif"/>
          <w:b w:val="false"/>
          <w:color w:val="000000"/>
          <w:sz w:val="24"/>
          <w:u w:val="single"/>
        </w:rPr>
        <w:t>Section 4.08</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Article 5</w:t>
      </w:r>
      <w:r>
        <w:rPr>
          <w:rFonts w:ascii="Times New Roman;serif" w:hAnsi="Times New Roman;serif"/>
          <w:b w:val="false"/>
          <w:color w:val="000000"/>
          <w:sz w:val="24"/>
        </w:rPr>
        <w:t>.</w:t>
      </w:r>
    </w:p>
    <w:p>
      <w:pPr>
        <w:pStyle w:val="TextBody"/>
        <w:bidi w:val="0"/>
        <w:spacing w:lineRule="auto" w:line="240" w:before="0" w:after="240"/>
        <w:jc w:val="left"/>
        <w:rPr/>
      </w:pPr>
      <w:r>
        <w:rPr>
          <w:rFonts w:ascii="Times New Roman;serif" w:hAnsi="Times New Roman;serif"/>
          <w:b w:val="false"/>
          <w:i/>
          <w:color w:val="000000"/>
          <w:sz w:val="24"/>
        </w:rPr>
        <w:t>provided that</w:t>
      </w:r>
      <w:r>
        <w:rPr>
          <w:color w:val="000000"/>
        </w:rPr>
        <w:t xml:space="preserve"> </w:t>
      </w:r>
      <w:r>
        <w:rPr>
          <w:rFonts w:ascii="Times New Roman;serif" w:hAnsi="Times New Roman;serif"/>
          <w:b w:val="false"/>
          <w:color w:val="000000"/>
          <w:sz w:val="24"/>
        </w:rPr>
        <w:t>the foregoing shall not prohibit:</w:t>
      </w:r>
    </w:p>
    <w:p>
      <w:pPr>
        <w:pStyle w:val="TextBody"/>
        <w:bidi w:val="0"/>
        <w:spacing w:before="0" w:after="0"/>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735965"/>
                <wp:effectExtent l="0" t="0" r="0" b="0"/>
                <wp:wrapNone/>
                <wp:docPr id="105" name="Frame105"/>
                <a:graphic xmlns:a="http://schemas.openxmlformats.org/drawingml/2006/main">
                  <a:graphicData uri="http://schemas.microsoft.com/office/word/2010/wordprocessingShape">
                    <wps:wsp>
                      <wps:cNvSpPr txBox="1"/>
                      <wps:spPr>
                        <a:xfrm>
                          <a:off x="0" y="0"/>
                          <a:ext cx="6480175" cy="7359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57</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57</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(a)the sale, assignment, transfer, conveyance, lease or other disposition of Susquehanna Assets with an aggregate fair market value per 12-month period equal to or less than $5.0 million; or</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(b)any sale, assignment, transfer, conveyance, lease or other disposition of Susquehanna Assets in ordinary course of business or that are no longer used or useful (as determined by the Issuer in good faith) in the operations of Susquehanna.</w:t>
      </w:r>
    </w:p>
    <w:p>
      <w:pPr>
        <w:pStyle w:val="TextBody"/>
        <w:bidi w:val="0"/>
        <w:spacing w:lineRule="auto" w:line="240" w:before="0" w:after="240"/>
        <w:jc w:val="left"/>
        <w:rPr/>
      </w:pPr>
      <w:r>
        <w:rPr>
          <w:rFonts w:ascii="Times New Roman;serif" w:hAnsi="Times New Roman;serif"/>
          <w:b w:val="false"/>
          <w:i/>
          <w:color w:val="000000"/>
          <w:sz w:val="24"/>
        </w:rPr>
        <w:t xml:space="preserve">provided, further </w:t>
      </w:r>
      <w:r>
        <w:rPr>
          <w:rFonts w:ascii="Times New Roman;serif" w:hAnsi="Times New Roman;serif"/>
          <w:b w:val="false"/>
          <w:color w:val="000000"/>
          <w:sz w:val="24"/>
        </w:rPr>
        <w:t>that, in the case of clauses (a) and (b) above, any such Susquehanna Assets not sold, assigned, transferred, conveyed, leased or otherwise disposed of shall be held by the Issuer or one or more Subsidiary Guarantors.</w:t>
      </w:r>
    </w:p>
    <w:p>
      <w:pPr>
        <w:pStyle w:val="TextBody"/>
        <w:bidi w:val="0"/>
        <w:spacing w:lineRule="auto" w:line="240" w:before="0" w:after="240"/>
        <w:jc w:val="left"/>
        <w:rPr/>
      </w:pPr>
      <w:r>
        <w:rPr>
          <w:rFonts w:ascii="Times New Roman;serif" w:hAnsi="Times New Roman;serif"/>
          <w:b w:val="false"/>
          <w:color w:val="000000"/>
          <w:sz w:val="24"/>
        </w:rPr>
        <w:t>Section 4.06</w:t>
      </w:r>
      <w:r>
        <w:rPr>
          <w:rFonts w:ascii="Times New Roman;serif" w:hAnsi="Times New Roman;serif"/>
          <w:b w:val="false"/>
          <w:color w:val="000000"/>
          <w:sz w:val="24"/>
          <w:u w:val="single"/>
        </w:rPr>
        <w:t>Additional Subsidiary Guarantees</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rPr>
        <w:t>If any Wholly Owned Domestic Subsidiary of the Issuer other than a Subsidiary Guarantor (i) guarantees any Indebtedness under the Credit Agreement or (ii) if the Issuer has no Indebtedness outstanding under the Credit Agreement, guarantees any Additional Indebtedness, then within 60 Business Days thereof, the Issuer shall cause such Wholly Owned Domestic Subsidiary to execute and deliver to the Trustee a supplemental indenture pursuant to which such Subsidiary will guarantee payment of the Notes on the same terms and conditions as those applicable to the Subsidiary Guarantors under this Indenture and will deliver to the Trustee an Officer’s Certificate and Opinion of Counsel that such supplemental indenture is authorized or permitted by this Indenture, and an Opinion of Counsel that such supplemental indenture has been duly authorized, executed and delivered and constitutes a legally valid and enforceable obligation (subject to customary qualifications and exceptions).</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rPr>
        <w:t>Thereafter, such Wholly Owned Domestic Subsidiary will be a Subsidiary Guarantor until such Wholly Owned Domestic Subsidiary’s Subsidiary Guarantee is released in accordance with this Indenture.</w:t>
      </w:r>
    </w:p>
    <w:p>
      <w:pPr>
        <w:pStyle w:val="TextBody"/>
        <w:bidi w:val="0"/>
        <w:spacing w:lineRule="auto" w:line="240" w:before="0" w:after="240"/>
        <w:jc w:val="left"/>
        <w:rPr/>
      </w:pPr>
      <w:r>
        <w:rPr>
          <w:rFonts w:ascii="Times New Roman;serif" w:hAnsi="Times New Roman;serif"/>
          <w:b w:val="false"/>
          <w:color w:val="000000"/>
          <w:sz w:val="24"/>
        </w:rPr>
        <w:t>Section 4.07</w:t>
      </w:r>
      <w:r>
        <w:rPr>
          <w:rFonts w:ascii="Times New Roman;serif" w:hAnsi="Times New Roman;serif"/>
          <w:b w:val="false"/>
          <w:color w:val="000000"/>
          <w:sz w:val="24"/>
          <w:u w:val="single"/>
        </w:rPr>
        <w:t>Reports</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rPr>
        <w:t>Whether or not required by the SEC’s rules and regulations, so long as any Notes are outstanding hereunder, the Issuer shall:</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(1)within 120 days after the end of each fiscal year of the Issuer commencing with the fiscal year ending December 31, 2026, provide Holders with (i) a copy of the annual audit report for such year for the Issuer, including a consolidated balance sheet of the Issuer and its Subsidiaries as of the end of such fiscal year and a consolidated statement of operations and a statement of cash flows of the Issuer and its Subsidiaries for such fiscal year, in each case accompanied by an opinion as to such audit report of an independent public accountant of recognized standing and (ii) management’s discussion and analysis of the important operational and financial developments during such fiscal year, as determined in good faith by the Issuer;</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(2)within 60 days after the end of each of the first three quarters of each fiscal year, commencing with the fiscal quarter ended March 31, 2026, provide Holders with a consolidated balance sheet of each of the Issuer and its Subsidiaries as of the end of such quarter and a consolidated statement of income and a consolidated statement of cash flows of the Issuer and its Subsidiaries (which shall not be required to be audited); and</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(3)hold a quarterly conference call for the Holders to discuss financial information (it being understood that such quarterly conference call may be the same </w:t>
      </w:r>
    </w:p>
    <w:p>
      <w:pPr>
        <w:pStyle w:val="TextBody"/>
        <w:bidi w:val="0"/>
        <w:spacing w:before="0" w:after="0"/>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735965"/>
                <wp:effectExtent l="0" t="0" r="0" b="0"/>
                <wp:wrapNone/>
                <wp:docPr id="106" name="Frame106"/>
                <a:graphic xmlns:a="http://schemas.openxmlformats.org/drawingml/2006/main">
                  <a:graphicData uri="http://schemas.microsoft.com/office/word/2010/wordprocessingShape">
                    <wps:wsp>
                      <wps:cNvSpPr txBox="1"/>
                      <wps:spPr>
                        <a:xfrm>
                          <a:off x="0" y="0"/>
                          <a:ext cx="6480175" cy="7359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58</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58</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rPr>
        <w:t xml:space="preserve">conference call as with the Issuer’s (or as applicable, any Parent Entity’s) equity investors and analysts) delivered pursuant to clauses (1) and (2) of this </w:t>
      </w:r>
      <w:r>
        <w:rPr>
          <w:rFonts w:ascii="Times New Roman;serif" w:hAnsi="Times New Roman;serif"/>
          <w:b w:val="false"/>
          <w:color w:val="000000"/>
          <w:sz w:val="24"/>
          <w:u w:val="single"/>
        </w:rPr>
        <w:t>Section 4.07(a)</w:t>
      </w:r>
      <w:r>
        <w:rPr>
          <w:color w:val="000000"/>
        </w:rPr>
        <w:t xml:space="preserve"> </w:t>
      </w:r>
      <w:r>
        <w:rPr>
          <w:rFonts w:ascii="Times New Roman;serif" w:hAnsi="Times New Roman;serif"/>
          <w:b w:val="false"/>
          <w:color w:val="000000"/>
          <w:sz w:val="24"/>
        </w:rPr>
        <w:t>not later than 20 Business Days after the delivery of such information and will provide notice to Holders through the facilities of the Depository or by issuing a press release to an internationally recognized wire service at least three Business Days prior to the date of the conference call, announcing the time and date of such conference call and either including all information necessary to access the call or directing Holders to the appropriate contact at the Issuer to obtain such information.</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rPr>
        <w:t xml:space="preserve">If the Issuer is a Subsidiary of any Parent Entity, the financial information required by the preceding paragraph may be those of such Parent Entity instead of the Issuer;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i/>
          <w:color w:val="000000"/>
          <w:sz w:val="24"/>
        </w:rPr>
        <w:t>that</w:t>
      </w:r>
      <w:r>
        <w:rPr>
          <w:rFonts w:ascii="Times New Roman;serif" w:hAnsi="Times New Roman;serif"/>
          <w:b w:val="false"/>
          <w:color w:val="000000"/>
          <w:sz w:val="24"/>
        </w:rPr>
        <w:t xml:space="preserve">, if there are material differences (as determined in good faith by the Issuer) between the consolidated results of operations and financial condition of such Parent Entity and its consolidated Subsidiaries, on the one hand, and of the Issuer and its consolidated Subsidiaries, on the other hand, the quarterly and annual information required by the preceding paragraph will include a discussion of such material differences in reasonable detail as determined in good faith by the Issuer;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i/>
          <w:color w:val="000000"/>
          <w:sz w:val="24"/>
        </w:rPr>
        <w:t xml:space="preserve">that </w:t>
      </w:r>
      <w:r>
        <w:rPr>
          <w:rFonts w:ascii="Times New Roman;serif" w:hAnsi="Times New Roman;serif"/>
          <w:b w:val="false"/>
          <w:color w:val="000000"/>
          <w:sz w:val="24"/>
        </w:rPr>
        <w:t>for purposes of this clause (b), any differences between the consolidated results of operations and financial condition of such Parent Entity and its consolidated Subsidiaries, on the one hand, and of the Issuer and its consolidated Subsidiaries, on the other hand, attributable to distributions from the Issuer to any Parent Entity used by the Parent Entity to fund repurchases of any outstanding equity interests shall be deemed to not be material.</w:t>
      </w:r>
    </w:p>
    <w:p>
      <w:pPr>
        <w:pStyle w:val="TextBody"/>
        <w:bidi w:val="0"/>
        <w:spacing w:lineRule="auto" w:line="240" w:before="0" w:after="240"/>
        <w:ind w:left="0" w:right="0" w:firstLine="720"/>
        <w:jc w:val="both"/>
        <w:rPr/>
      </w:pPr>
      <w:r>
        <w:rPr>
          <w:rFonts w:ascii="Times New Roman;serif" w:hAnsi="Times New Roman;serif"/>
          <w:b w:val="false"/>
          <w:color w:val="000000"/>
          <w:sz w:val="24"/>
        </w:rPr>
        <w:t>(c)</w:t>
      </w:r>
      <w:r>
        <w:rPr>
          <w:rFonts w:ascii="Times New Roman;serif" w:hAnsi="Times New Roman;serif"/>
          <w:b w:val="false"/>
          <w:color w:val="000000"/>
          <w:sz w:val="24"/>
        </w:rPr>
        <w:t xml:space="preserve">The Issuer shall not be required to hold quarterly conference calls pursuant to </w:t>
      </w:r>
      <w:r>
        <w:rPr>
          <w:rFonts w:ascii="Times New Roman;serif" w:hAnsi="Times New Roman;serif"/>
          <w:b w:val="false"/>
          <w:color w:val="000000"/>
          <w:sz w:val="24"/>
          <w:u w:val="single"/>
        </w:rPr>
        <w:t>Section 4.07(a)(3)</w:t>
      </w:r>
      <w:r>
        <w:rPr>
          <w:color w:val="000000"/>
        </w:rPr>
        <w:t xml:space="preserve"> </w:t>
      </w:r>
      <w:r>
        <w:rPr>
          <w:rFonts w:ascii="Times New Roman;serif" w:hAnsi="Times New Roman;serif"/>
          <w:b w:val="false"/>
          <w:color w:val="000000"/>
          <w:sz w:val="24"/>
        </w:rPr>
        <w:t xml:space="preserve">to the extent that any Parent Entity holds a quarterly conference call within the time period otherwise required by </w:t>
      </w:r>
      <w:r>
        <w:rPr>
          <w:rFonts w:ascii="Times New Roman;serif" w:hAnsi="Times New Roman;serif"/>
          <w:b w:val="false"/>
          <w:color w:val="000000"/>
          <w:sz w:val="24"/>
          <w:u w:val="single"/>
        </w:rPr>
        <w:t>Section 4.07(a)(3)</w:t>
      </w:r>
      <w:r>
        <w:rPr>
          <w:color w:val="000000"/>
        </w:rPr>
        <w:t xml:space="preserve"> </w:t>
      </w:r>
      <w:r>
        <w:rPr>
          <w:rFonts w:ascii="Times New Roman;serif" w:hAnsi="Times New Roman;serif"/>
          <w:b w:val="false"/>
          <w:color w:val="000000"/>
          <w:sz w:val="24"/>
        </w:rPr>
        <w:t xml:space="preserve">and discusses the financial information that would be discussed pursuant to </w:t>
      </w:r>
      <w:r>
        <w:rPr>
          <w:rFonts w:ascii="Times New Roman;serif" w:hAnsi="Times New Roman;serif"/>
          <w:b w:val="false"/>
          <w:color w:val="000000"/>
          <w:sz w:val="24"/>
          <w:u w:val="single"/>
        </w:rPr>
        <w:t>Section 4.07(a)(3)</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(d)</w:t>
      </w:r>
      <w:r>
        <w:rPr>
          <w:rFonts w:ascii="Times New Roman;serif" w:hAnsi="Times New Roman;serif"/>
          <w:b w:val="false"/>
          <w:color w:val="000000"/>
          <w:sz w:val="24"/>
        </w:rPr>
        <w:t xml:space="preserve">The Issuer will be deemed to have satisfied its obligation to deliver information under this </w:t>
      </w:r>
      <w:r>
        <w:rPr>
          <w:rFonts w:ascii="Times New Roman;serif" w:hAnsi="Times New Roman;serif"/>
          <w:b w:val="false"/>
          <w:color w:val="000000"/>
          <w:sz w:val="24"/>
          <w:u w:val="single"/>
        </w:rPr>
        <w:t>Section 4.07</w:t>
      </w:r>
      <w:r>
        <w:rPr>
          <w:color w:val="000000"/>
        </w:rPr>
        <w:t xml:space="preserve"> </w:t>
      </w:r>
      <w:r>
        <w:rPr>
          <w:rFonts w:ascii="Times New Roman;serif" w:hAnsi="Times New Roman;serif"/>
          <w:b w:val="false"/>
          <w:color w:val="000000"/>
          <w:sz w:val="24"/>
        </w:rPr>
        <w:t xml:space="preserve">if information is filed or furnished with the SEC for public availability or is posted on a website (which may be nonpublic and may be password-protected) hosted by the Issuer or by a third party, in each case within the applicable time periods specified above. To the extent that any information required by this </w:t>
      </w:r>
      <w:r>
        <w:rPr>
          <w:rFonts w:ascii="Times New Roman;serif" w:hAnsi="Times New Roman;serif"/>
          <w:b w:val="false"/>
          <w:color w:val="000000"/>
          <w:sz w:val="24"/>
          <w:u w:val="single"/>
        </w:rPr>
        <w:t>Section 4.07</w:t>
      </w:r>
      <w:r>
        <w:rPr>
          <w:color w:val="000000"/>
        </w:rPr>
        <w:t xml:space="preserve"> </w:t>
      </w:r>
      <w:r>
        <w:rPr>
          <w:rFonts w:ascii="Times New Roman;serif" w:hAnsi="Times New Roman;serif"/>
          <w:b w:val="false"/>
          <w:color w:val="000000"/>
          <w:sz w:val="24"/>
        </w:rPr>
        <w:t xml:space="preserve">is not delivered to Holders within the applicable time periods specified above and such information is subsequently delivered, the Issuer will be deemed to have satisfied its obligations under this </w:t>
      </w:r>
      <w:r>
        <w:rPr>
          <w:rFonts w:ascii="Times New Roman;serif" w:hAnsi="Times New Roman;serif"/>
          <w:b w:val="false"/>
          <w:color w:val="000000"/>
          <w:sz w:val="24"/>
          <w:u w:val="single"/>
        </w:rPr>
        <w:t>Section 4.07</w:t>
      </w:r>
      <w:r>
        <w:rPr>
          <w:color w:val="000000"/>
        </w:rPr>
        <w:t xml:space="preserve"> </w:t>
      </w:r>
      <w:r>
        <w:rPr>
          <w:rFonts w:ascii="Times New Roman;serif" w:hAnsi="Times New Roman;serif"/>
          <w:b w:val="false"/>
          <w:color w:val="000000"/>
          <w:sz w:val="24"/>
        </w:rPr>
        <w:t>with respect to such information and any default or Event of Default with respect thereto will be deemed to have been cured and any acceleration of the Notes resulting therefrom will be deemed to have been rescinded so long as such rescission would not conflict with any applicable judgment or decree.</w:t>
      </w:r>
    </w:p>
    <w:p>
      <w:pPr>
        <w:pStyle w:val="TextBody"/>
        <w:bidi w:val="0"/>
        <w:spacing w:lineRule="auto" w:line="240" w:before="0" w:after="240"/>
        <w:ind w:left="0" w:right="0" w:firstLine="720"/>
        <w:jc w:val="both"/>
        <w:rPr/>
      </w:pPr>
      <w:r>
        <w:rPr>
          <w:rFonts w:ascii="Times New Roman;serif" w:hAnsi="Times New Roman;serif"/>
          <w:b w:val="false"/>
          <w:color w:val="000000"/>
          <w:sz w:val="24"/>
        </w:rPr>
        <w:t>(e)</w:t>
      </w:r>
      <w:r>
        <w:rPr>
          <w:rFonts w:ascii="Times New Roman;serif" w:hAnsi="Times New Roman;serif"/>
          <w:b w:val="false"/>
          <w:color w:val="000000"/>
          <w:sz w:val="24"/>
        </w:rPr>
        <w:t>For so long as any Notes remain outstanding, if at any time the Issuer is not required to file with the SEC the reports referred to in the preceding paragraphs, the Issuer will furnish to the Holders and to securities analysts and prospective investors, upon their request, the information required to be delivered pursuant to Rule 144A(d)(4) under the Securities Act.</w:t>
      </w:r>
    </w:p>
    <w:p>
      <w:pPr>
        <w:pStyle w:val="TextBody"/>
        <w:bidi w:val="0"/>
        <w:spacing w:lineRule="auto" w:line="240" w:before="0" w:after="240"/>
        <w:ind w:left="0" w:right="0" w:firstLine="720"/>
        <w:jc w:val="both"/>
        <w:rPr/>
      </w:pPr>
      <w:r>
        <w:rPr>
          <w:rFonts w:ascii="Times New Roman;serif" w:hAnsi="Times New Roman;serif"/>
          <w:b w:val="false"/>
          <w:color w:val="000000"/>
          <w:sz w:val="24"/>
        </w:rPr>
        <w:t>(f)</w:t>
      </w:r>
      <w:r>
        <w:rPr>
          <w:rFonts w:ascii="Times New Roman;serif" w:hAnsi="Times New Roman;serif"/>
          <w:b w:val="false"/>
          <w:color w:val="000000"/>
          <w:sz w:val="24"/>
        </w:rPr>
        <w:t xml:space="preserve">To the extent any such reports, information and documents are delivered to the Trustee, such delivery is for informational purposes only and the Trustee’s receipt of such will not constitute actual or constructive notice of any information contained therein or determinable from information contained therein, including compliance by the Issuer and the Subsidiary Guarantors with any of their covenants under this Indenture (as to which the Trustee is entitled to rely exclusively on Officer’s Certificates). The Trustee shall have no duty to review or analyze reports delivered under this </w:t>
      </w:r>
      <w:r>
        <w:rPr>
          <w:rFonts w:ascii="Times New Roman;serif" w:hAnsi="Times New Roman;serif"/>
          <w:b w:val="false"/>
          <w:color w:val="000000"/>
          <w:sz w:val="24"/>
          <w:u w:val="single"/>
        </w:rPr>
        <w:t>Section 4.07</w:t>
      </w:r>
      <w:r>
        <w:rPr>
          <w:rFonts w:ascii="Times New Roman;serif" w:hAnsi="Times New Roman;serif"/>
          <w:b w:val="false"/>
          <w:color w:val="000000"/>
          <w:sz w:val="24"/>
        </w:rPr>
        <w:t xml:space="preserve">. </w:t>
      </w:r>
    </w:p>
    <w:p>
      <w:pPr>
        <w:pStyle w:val="TextBody"/>
        <w:bidi w:val="0"/>
        <w:spacing w:before="0" w:after="0"/>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735965"/>
                <wp:effectExtent l="0" t="0" r="0" b="0"/>
                <wp:wrapNone/>
                <wp:docPr id="107" name="Frame107"/>
                <a:graphic xmlns:a="http://schemas.openxmlformats.org/drawingml/2006/main">
                  <a:graphicData uri="http://schemas.microsoft.com/office/word/2010/wordprocessingShape">
                    <wps:wsp>
                      <wps:cNvSpPr txBox="1"/>
                      <wps:spPr>
                        <a:xfrm>
                          <a:off x="0" y="0"/>
                          <a:ext cx="6480175" cy="7359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59</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59</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00000"/>
          <w:sz w:val="24"/>
        </w:rPr>
        <w:t>(g)</w:t>
      </w:r>
      <w:r>
        <w:rPr>
          <w:rFonts w:ascii="Times New Roman;serif" w:hAnsi="Times New Roman;serif"/>
          <w:b w:val="false"/>
          <w:color w:val="000000"/>
          <w:sz w:val="24"/>
        </w:rPr>
        <w:t xml:space="preserve">During registration with respect to a Qualifying IPO, the Issuer or other Person that may provide the information required by this </w:t>
      </w:r>
      <w:r>
        <w:rPr>
          <w:rFonts w:ascii="Times New Roman;serif" w:hAnsi="Times New Roman;serif"/>
          <w:b w:val="false"/>
          <w:color w:val="000000"/>
          <w:sz w:val="24"/>
          <w:u w:val="single"/>
        </w:rPr>
        <w:t>Section 4.07</w:t>
      </w:r>
      <w:r>
        <w:rPr>
          <w:color w:val="000000"/>
        </w:rPr>
        <w:t xml:space="preserve"> </w:t>
      </w:r>
      <w:r>
        <w:rPr>
          <w:rFonts w:ascii="Times New Roman;serif" w:hAnsi="Times New Roman;serif"/>
          <w:b w:val="false"/>
          <w:color w:val="000000"/>
          <w:sz w:val="24"/>
        </w:rPr>
        <w:t>will not be required to disclose any information or take any actions that, in the view of the Issuer, would violate the applicable securities laws or the SEC’s “gun jumping” rules or otherwise have an adverse effect on the Qualifying IPO.</w:t>
      </w:r>
    </w:p>
    <w:p>
      <w:pPr>
        <w:pStyle w:val="TextBody"/>
        <w:bidi w:val="0"/>
        <w:spacing w:lineRule="auto" w:line="240" w:before="0" w:after="240"/>
        <w:jc w:val="left"/>
        <w:rPr/>
      </w:pPr>
      <w:r>
        <w:rPr>
          <w:rFonts w:ascii="Times New Roman;serif" w:hAnsi="Times New Roman;serif"/>
          <w:b w:val="false"/>
          <w:color w:val="000000"/>
          <w:sz w:val="24"/>
        </w:rPr>
        <w:t>Section 4.08</w:t>
      </w:r>
      <w:r>
        <w:rPr>
          <w:rFonts w:ascii="Times New Roman;serif" w:hAnsi="Times New Roman;serif"/>
          <w:b w:val="false"/>
          <w:color w:val="000000"/>
          <w:sz w:val="24"/>
          <w:u w:val="single"/>
        </w:rPr>
        <w:t>Offer</w:t>
      </w:r>
      <w:r>
        <w:rPr>
          <w:color w:val="000000"/>
          <w:u w:val="single"/>
        </w:rPr>
        <w:t xml:space="preserve"> </w:t>
      </w:r>
      <w:r>
        <w:rPr>
          <w:rFonts w:ascii="Times New Roman;serif" w:hAnsi="Times New Roman;serif"/>
          <w:b w:val="false"/>
          <w:color w:val="000000"/>
          <w:sz w:val="24"/>
          <w:u w:val="single"/>
        </w:rPr>
        <w:t>to</w:t>
      </w:r>
      <w:r>
        <w:rPr>
          <w:color w:val="000000"/>
          <w:u w:val="single"/>
        </w:rPr>
        <w:t xml:space="preserve"> </w:t>
      </w:r>
      <w:r>
        <w:rPr>
          <w:rFonts w:ascii="Times New Roman;serif" w:hAnsi="Times New Roman;serif"/>
          <w:b w:val="false"/>
          <w:color w:val="000000"/>
          <w:sz w:val="24"/>
          <w:u w:val="single"/>
        </w:rPr>
        <w:t>Repurchase</w:t>
      </w:r>
      <w:r>
        <w:rPr>
          <w:color w:val="000000"/>
          <w:u w:val="single"/>
        </w:rPr>
        <w:t xml:space="preserve"> </w:t>
      </w:r>
      <w:r>
        <w:rPr>
          <w:rFonts w:ascii="Times New Roman;serif" w:hAnsi="Times New Roman;serif"/>
          <w:b w:val="false"/>
          <w:color w:val="000000"/>
          <w:sz w:val="24"/>
          <w:u w:val="single"/>
        </w:rPr>
        <w:t>Upon</w:t>
      </w:r>
      <w:r>
        <w:rPr>
          <w:color w:val="000000"/>
          <w:u w:val="single"/>
        </w:rPr>
        <w:t xml:space="preserve"> </w:t>
      </w:r>
      <w:r>
        <w:rPr>
          <w:rFonts w:ascii="Times New Roman;serif" w:hAnsi="Times New Roman;serif"/>
          <w:b w:val="false"/>
          <w:color w:val="000000"/>
          <w:sz w:val="24"/>
          <w:u w:val="single"/>
        </w:rPr>
        <w:t>a</w:t>
      </w:r>
      <w:r>
        <w:rPr>
          <w:color w:val="000000"/>
          <w:u w:val="single"/>
        </w:rPr>
        <w:t xml:space="preserve"> </w:t>
      </w:r>
      <w:r>
        <w:rPr>
          <w:rFonts w:ascii="Times New Roman;serif" w:hAnsi="Times New Roman;serif"/>
          <w:b w:val="false"/>
          <w:color w:val="000000"/>
          <w:sz w:val="24"/>
          <w:u w:val="single"/>
        </w:rPr>
        <w:t>Change</w:t>
      </w:r>
      <w:r>
        <w:rPr>
          <w:color w:val="000000"/>
          <w:u w:val="single"/>
        </w:rPr>
        <w:t xml:space="preserve"> </w:t>
      </w:r>
      <w:r>
        <w:rPr>
          <w:rFonts w:ascii="Times New Roman;serif" w:hAnsi="Times New Roman;serif"/>
          <w:b w:val="false"/>
          <w:color w:val="000000"/>
          <w:sz w:val="24"/>
          <w:u w:val="single"/>
        </w:rPr>
        <w:t>of</w:t>
      </w:r>
      <w:r>
        <w:rPr>
          <w:color w:val="000000"/>
          <w:u w:val="single"/>
        </w:rPr>
        <w:t xml:space="preserve"> </w:t>
      </w:r>
      <w:r>
        <w:rPr>
          <w:rFonts w:ascii="Times New Roman;serif" w:hAnsi="Times New Roman;serif"/>
          <w:b w:val="false"/>
          <w:color w:val="000000"/>
          <w:sz w:val="24"/>
          <w:u w:val="single"/>
        </w:rPr>
        <w:t>Control</w:t>
      </w:r>
      <w:r>
        <w:rPr>
          <w:color w:val="000000"/>
          <w:u w:val="single"/>
        </w:rPr>
        <w:t xml:space="preserve"> </w:t>
      </w:r>
      <w:r>
        <w:rPr>
          <w:rFonts w:ascii="Times New Roman;serif" w:hAnsi="Times New Roman;serif"/>
          <w:b w:val="false"/>
          <w:color w:val="000000"/>
          <w:sz w:val="24"/>
          <w:u w:val="single"/>
        </w:rPr>
        <w:t>Triggering</w:t>
      </w:r>
      <w:r>
        <w:rPr>
          <w:color w:val="000000"/>
          <w:u w:val="single"/>
        </w:rPr>
        <w:t xml:space="preserve"> </w:t>
      </w:r>
      <w:r>
        <w:rPr>
          <w:rFonts w:ascii="Times New Roman;serif" w:hAnsi="Times New Roman;serif"/>
          <w:b w:val="false"/>
          <w:color w:val="000000"/>
          <w:sz w:val="24"/>
          <w:u w:val="single"/>
        </w:rPr>
        <w:t>Event</w:t>
      </w:r>
      <w:r>
        <w:rPr>
          <w:rFonts w:ascii="Times New Roman;serif" w:hAnsi="Times New Roman;serif"/>
          <w:b w:val="false"/>
          <w:color w:val="000000"/>
          <w:sz w:val="24"/>
        </w:rPr>
        <w:t xml:space="preserve">. </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rPr>
        <w:t xml:space="preserve">If a Change of Control Triggering Event occurs, unless a third party makes a Change of Control Offer or the Issuer has previously or substantially concurrently therewith delivered a redemption notice with respect to all the outstanding Notes as described in </w:t>
      </w:r>
      <w:r>
        <w:rPr>
          <w:rFonts w:ascii="Times New Roman;serif" w:hAnsi="Times New Roman;serif"/>
          <w:b w:val="false"/>
          <w:color w:val="000000"/>
          <w:sz w:val="24"/>
          <w:u w:val="single"/>
        </w:rPr>
        <w:t>Section 4.08(d)</w:t>
      </w:r>
      <w:r>
        <w:rPr>
          <w:rFonts w:ascii="Times New Roman;serif" w:hAnsi="Times New Roman;serif"/>
          <w:b w:val="false"/>
          <w:color w:val="000000"/>
          <w:sz w:val="24"/>
        </w:rPr>
        <w:t>, each Holder will have the right to require the Issuer to repurchase all or any part</w:t>
      </w:r>
      <w:r>
        <w:rPr>
          <w:color w:val="000000"/>
        </w:rPr>
        <w:t xml:space="preserve"> </w:t>
      </w:r>
      <w:r>
        <w:rPr>
          <w:rFonts w:ascii="Times New Roman;serif" w:hAnsi="Times New Roman;serif"/>
          <w:b w:val="false"/>
          <w:color w:val="000000"/>
          <w:sz w:val="24"/>
        </w:rPr>
        <w:t>(equal</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$2,000</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an</w:t>
      </w:r>
      <w:r>
        <w:rPr>
          <w:color w:val="000000"/>
        </w:rPr>
        <w:t xml:space="preserve"> </w:t>
      </w:r>
      <w:r>
        <w:rPr>
          <w:rFonts w:ascii="Times New Roman;serif" w:hAnsi="Times New Roman;serif"/>
          <w:b w:val="false"/>
          <w:color w:val="000000"/>
          <w:sz w:val="24"/>
        </w:rPr>
        <w:t>integral</w:t>
      </w:r>
      <w:r>
        <w:rPr>
          <w:color w:val="000000"/>
        </w:rPr>
        <w:t xml:space="preserve"> </w:t>
      </w:r>
      <w:r>
        <w:rPr>
          <w:rFonts w:ascii="Times New Roman;serif" w:hAnsi="Times New Roman;serif"/>
          <w:b w:val="false"/>
          <w:color w:val="000000"/>
          <w:sz w:val="24"/>
        </w:rPr>
        <w:t>multiple</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$1,000</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excess</w:t>
      </w:r>
      <w:r>
        <w:rPr>
          <w:color w:val="000000"/>
        </w:rPr>
        <w:t xml:space="preserve"> </w:t>
      </w:r>
      <w:r>
        <w:rPr>
          <w:rFonts w:ascii="Times New Roman;serif" w:hAnsi="Times New Roman;serif"/>
          <w:b w:val="false"/>
          <w:color w:val="000000"/>
          <w:sz w:val="24"/>
        </w:rPr>
        <w:t>thereof)</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that</w:t>
      </w:r>
      <w:r>
        <w:rPr>
          <w:color w:val="000000"/>
        </w:rPr>
        <w:t xml:space="preserve"> </w:t>
      </w:r>
      <w:r>
        <w:rPr>
          <w:rFonts w:ascii="Times New Roman;serif" w:hAnsi="Times New Roman;serif"/>
          <w:b w:val="false"/>
          <w:color w:val="000000"/>
          <w:sz w:val="24"/>
        </w:rPr>
        <w:t>Holder’s</w:t>
      </w:r>
      <w:r>
        <w:rPr>
          <w:color w:val="000000"/>
        </w:rPr>
        <w:t xml:space="preserve"> </w:t>
      </w:r>
      <w:r>
        <w:rPr>
          <w:rFonts w:ascii="Times New Roman;serif" w:hAnsi="Times New Roman;serif"/>
          <w:b w:val="false"/>
          <w:color w:val="000000"/>
          <w:sz w:val="24"/>
        </w:rPr>
        <w:t>Notes</w:t>
      </w:r>
      <w:r>
        <w:rPr>
          <w:color w:val="000000"/>
        </w:rPr>
        <w:t xml:space="preserve"> </w:t>
      </w:r>
      <w:r>
        <w:rPr>
          <w:rFonts w:ascii="Times New Roman;serif" w:hAnsi="Times New Roman;serif"/>
          <w:b w:val="false"/>
          <w:color w:val="000000"/>
          <w:sz w:val="24"/>
        </w:rPr>
        <w:t>pursuant</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change</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control</w:t>
      </w:r>
      <w:r>
        <w:rPr>
          <w:color w:val="000000"/>
        </w:rPr>
        <w:t xml:space="preserve"> </w:t>
      </w:r>
      <w:r>
        <w:rPr>
          <w:rFonts w:ascii="Times New Roman;serif" w:hAnsi="Times New Roman;serif"/>
          <w:b w:val="false"/>
          <w:color w:val="000000"/>
          <w:sz w:val="24"/>
        </w:rPr>
        <w:t>offer</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i/>
          <w:color w:val="000000"/>
          <w:sz w:val="24"/>
        </w:rPr>
        <w:t>Change of Control</w:t>
      </w:r>
      <w:r>
        <w:rPr>
          <w:color w:val="000000"/>
        </w:rPr>
        <w:t xml:space="preserve"> </w:t>
      </w:r>
      <w:r>
        <w:rPr>
          <w:rFonts w:ascii="Times New Roman;serif" w:hAnsi="Times New Roman;serif"/>
          <w:b w:val="false"/>
          <w:i/>
          <w:color w:val="000000"/>
          <w:sz w:val="24"/>
        </w:rPr>
        <w:t>Offer</w:t>
      </w:r>
      <w:r>
        <w:rPr>
          <w:color w:val="000000"/>
        </w:rPr>
        <w:t>”</w:t>
      </w:r>
      <w:r>
        <w:rPr>
          <w:rFonts w:ascii="Times New Roman;serif" w:hAnsi="Times New Roman;serif"/>
          <w:b w:val="false"/>
          <w:color w:val="000000"/>
          <w:sz w:val="24"/>
        </w:rPr>
        <w:t>). In the Change of Control Offer, the Issuer will offer a payment (the “</w:t>
      </w:r>
      <w:r>
        <w:rPr>
          <w:rFonts w:ascii="Times New Roman;serif" w:hAnsi="Times New Roman;serif"/>
          <w:b w:val="false"/>
          <w:i/>
          <w:color w:val="000000"/>
          <w:sz w:val="24"/>
        </w:rPr>
        <w:t>Change of Control Payment</w:t>
      </w:r>
      <w:r>
        <w:rPr>
          <w:color w:val="000000"/>
        </w:rPr>
        <w:t>”</w:t>
      </w:r>
      <w:r>
        <w:rPr>
          <w:rFonts w:ascii="Times New Roman;serif" w:hAnsi="Times New Roman;serif"/>
          <w:b w:val="false"/>
          <w:color w:val="000000"/>
          <w:sz w:val="24"/>
        </w:rPr>
        <w:t>) in cash equal to 101% of the aggregate</w:t>
      </w:r>
      <w:r>
        <w:rPr>
          <w:color w:val="000000"/>
        </w:rPr>
        <w:t xml:space="preserve"> </w:t>
      </w:r>
      <w:r>
        <w:rPr>
          <w:rFonts w:ascii="Times New Roman;serif" w:hAnsi="Times New Roman;serif"/>
          <w:b w:val="false"/>
          <w:color w:val="000000"/>
          <w:sz w:val="24"/>
        </w:rPr>
        <w:t>principal amount of the Notes repurchased, plus accrued and unpaid interest, if any, on the Notes to but excluding the date of purchase, subject to the</w:t>
      </w:r>
      <w:r>
        <w:rPr>
          <w:color w:val="000000"/>
        </w:rPr>
        <w:t xml:space="preserve"> </w:t>
      </w:r>
      <w:r>
        <w:rPr>
          <w:rFonts w:ascii="Times New Roman;serif" w:hAnsi="Times New Roman;serif"/>
          <w:b w:val="false"/>
          <w:color w:val="000000"/>
          <w:sz w:val="24"/>
        </w:rPr>
        <w:t>rights</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Holders</w:t>
      </w:r>
      <w:r>
        <w:rPr>
          <w:color w:val="000000"/>
        </w:rPr>
        <w:t xml:space="preserve"> </w:t>
      </w:r>
      <w:r>
        <w:rPr>
          <w:rFonts w:ascii="Times New Roman;serif" w:hAnsi="Times New Roman;serif"/>
          <w:b w:val="false"/>
          <w:color w:val="000000"/>
          <w:sz w:val="24"/>
        </w:rPr>
        <w:t>on</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relevant</w:t>
      </w:r>
      <w:r>
        <w:rPr>
          <w:color w:val="000000"/>
        </w:rPr>
        <w:t xml:space="preserve"> </w:t>
      </w:r>
      <w:r>
        <w:rPr>
          <w:rFonts w:ascii="Times New Roman;serif" w:hAnsi="Times New Roman;serif"/>
          <w:b w:val="false"/>
          <w:color w:val="000000"/>
          <w:sz w:val="24"/>
        </w:rPr>
        <w:t>record</w:t>
      </w:r>
      <w:r>
        <w:rPr>
          <w:color w:val="000000"/>
        </w:rPr>
        <w:t xml:space="preserve"> </w:t>
      </w:r>
      <w:r>
        <w:rPr>
          <w:rFonts w:ascii="Times New Roman;serif" w:hAnsi="Times New Roman;serif"/>
          <w:b w:val="false"/>
          <w:color w:val="000000"/>
          <w:sz w:val="24"/>
        </w:rPr>
        <w:t>date</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receive</w:t>
      </w:r>
      <w:r>
        <w:rPr>
          <w:color w:val="000000"/>
        </w:rPr>
        <w:t xml:space="preserve"> </w:t>
      </w:r>
      <w:r>
        <w:rPr>
          <w:rFonts w:ascii="Times New Roman;serif" w:hAnsi="Times New Roman;serif"/>
          <w:b w:val="false"/>
          <w:color w:val="000000"/>
          <w:sz w:val="24"/>
        </w:rPr>
        <w:t>interest</w:t>
      </w:r>
      <w:r>
        <w:rPr>
          <w:color w:val="000000"/>
        </w:rPr>
        <w:t xml:space="preserve"> </w:t>
      </w:r>
      <w:r>
        <w:rPr>
          <w:rFonts w:ascii="Times New Roman;serif" w:hAnsi="Times New Roman;serif"/>
          <w:b w:val="false"/>
          <w:color w:val="000000"/>
          <w:sz w:val="24"/>
        </w:rPr>
        <w:t>due</w:t>
      </w:r>
      <w:r>
        <w:rPr>
          <w:color w:val="000000"/>
        </w:rPr>
        <w:t xml:space="preserve"> </w:t>
      </w:r>
      <w:r>
        <w:rPr>
          <w:rFonts w:ascii="Times New Roman;serif" w:hAnsi="Times New Roman;serif"/>
          <w:b w:val="false"/>
          <w:color w:val="000000"/>
          <w:sz w:val="24"/>
        </w:rPr>
        <w:t>on</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relevant</w:t>
      </w:r>
      <w:r>
        <w:rPr>
          <w:color w:val="000000"/>
        </w:rPr>
        <w:t xml:space="preserve"> </w:t>
      </w:r>
      <w:r>
        <w:rPr>
          <w:rFonts w:ascii="Times New Roman;serif" w:hAnsi="Times New Roman;serif"/>
          <w:b w:val="false"/>
          <w:color w:val="000000"/>
          <w:sz w:val="24"/>
        </w:rPr>
        <w:t>interest</w:t>
      </w:r>
      <w:r>
        <w:rPr>
          <w:color w:val="000000"/>
        </w:rPr>
        <w:t xml:space="preserve"> </w:t>
      </w:r>
      <w:r>
        <w:rPr>
          <w:rFonts w:ascii="Times New Roman;serif" w:hAnsi="Times New Roman;serif"/>
          <w:b w:val="false"/>
          <w:color w:val="000000"/>
          <w:sz w:val="24"/>
        </w:rPr>
        <w:t>payment</w:t>
      </w:r>
      <w:r>
        <w:rPr>
          <w:color w:val="000000"/>
        </w:rPr>
        <w:t xml:space="preserve"> </w:t>
      </w:r>
      <w:r>
        <w:rPr>
          <w:rFonts w:ascii="Times New Roman;serif" w:hAnsi="Times New Roman;serif"/>
          <w:b w:val="false"/>
          <w:color w:val="000000"/>
          <w:sz w:val="24"/>
        </w:rPr>
        <w:t>date.</w:t>
      </w:r>
      <w:r>
        <w:rPr>
          <w:color w:val="000000"/>
        </w:rPr>
        <w:t xml:space="preserve"> </w:t>
      </w:r>
      <w:r>
        <w:rPr>
          <w:rFonts w:ascii="Times New Roman;serif" w:hAnsi="Times New Roman;serif"/>
          <w:b w:val="false"/>
          <w:color w:val="000000"/>
          <w:sz w:val="24"/>
        </w:rPr>
        <w:t>Within</w:t>
      </w:r>
      <w:r>
        <w:rPr>
          <w:color w:val="000000"/>
        </w:rPr>
        <w:t xml:space="preserve"> </w:t>
      </w:r>
      <w:r>
        <w:rPr>
          <w:rFonts w:ascii="Times New Roman;serif" w:hAnsi="Times New Roman;serif"/>
          <w:b w:val="false"/>
          <w:color w:val="000000"/>
          <w:sz w:val="24"/>
        </w:rPr>
        <w:t>30</w:t>
      </w:r>
      <w:r>
        <w:rPr>
          <w:color w:val="000000"/>
        </w:rPr>
        <w:t xml:space="preserve"> </w:t>
      </w:r>
      <w:r>
        <w:rPr>
          <w:rFonts w:ascii="Times New Roman;serif" w:hAnsi="Times New Roman;serif"/>
          <w:b w:val="false"/>
          <w:color w:val="000000"/>
          <w:sz w:val="24"/>
        </w:rPr>
        <w:t>days</w:t>
      </w:r>
      <w:r>
        <w:rPr>
          <w:color w:val="000000"/>
        </w:rPr>
        <w:t xml:space="preserve"> </w:t>
      </w:r>
      <w:r>
        <w:rPr>
          <w:rFonts w:ascii="Times New Roman;serif" w:hAnsi="Times New Roman;serif"/>
          <w:b w:val="false"/>
          <w:color w:val="000000"/>
          <w:sz w:val="24"/>
        </w:rPr>
        <w:t>following</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Change</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Control Triggering Event, the Issuer shall mail (or deliver electronically) a notice to each Holder describing the transaction or transactions that constitute</w:t>
      </w:r>
      <w:r>
        <w:rPr>
          <w:color w:val="000000"/>
        </w:rPr>
        <w:t xml:space="preserve"> </w:t>
      </w:r>
      <w:r>
        <w:rPr>
          <w:rFonts w:ascii="Times New Roman;serif" w:hAnsi="Times New Roman;serif"/>
          <w:b w:val="false"/>
          <w:color w:val="000000"/>
          <w:sz w:val="24"/>
        </w:rPr>
        <w:t>the Change of Control Triggering Event and stating:</w:t>
      </w:r>
    </w:p>
    <w:p>
      <w:pPr>
        <w:pStyle w:val="TextBody"/>
        <w:bidi w:val="0"/>
        <w:spacing w:lineRule="auto" w:line="240" w:before="0" w:after="240"/>
        <w:ind w:left="0" w:right="0" w:firstLine="720"/>
        <w:jc w:val="both"/>
        <w:rPr/>
      </w:pPr>
      <w:r>
        <w:rPr>
          <w:rFonts w:ascii="Times New Roman;serif" w:hAnsi="Times New Roman;serif"/>
          <w:b w:val="false"/>
          <w:color w:val="000000"/>
          <w:sz w:val="24"/>
        </w:rPr>
        <w:t>(1)that</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Change</w:t>
      </w:r>
      <w:r>
        <w:rPr>
          <w:color w:val="000000"/>
        </w:rPr>
        <w:t xml:space="preserve"> </w:t>
      </w:r>
      <w:r>
        <w:rPr>
          <w:rFonts w:ascii="Times New Roman;serif" w:hAnsi="Times New Roman;serif"/>
          <w:b w:val="false"/>
          <w:color w:val="000000"/>
          <w:sz w:val="24"/>
        </w:rPr>
        <w:t>of Control</w:t>
      </w:r>
      <w:r>
        <w:rPr>
          <w:color w:val="000000"/>
        </w:rPr>
        <w:t xml:space="preserve"> </w:t>
      </w:r>
      <w:r>
        <w:rPr>
          <w:rFonts w:ascii="Times New Roman;serif" w:hAnsi="Times New Roman;serif"/>
          <w:b w:val="false"/>
          <w:color w:val="000000"/>
          <w:sz w:val="24"/>
        </w:rPr>
        <w:t>Offer</w:t>
      </w:r>
      <w:r>
        <w:rPr>
          <w:color w:val="000000"/>
        </w:rPr>
        <w:t xml:space="preserve"> </w:t>
      </w:r>
      <w:r>
        <w:rPr>
          <w:rFonts w:ascii="Times New Roman;serif" w:hAnsi="Times New Roman;serif"/>
          <w:b w:val="false"/>
          <w:color w:val="000000"/>
          <w:sz w:val="24"/>
        </w:rPr>
        <w:t>is being</w:t>
      </w:r>
      <w:r>
        <w:rPr>
          <w:color w:val="000000"/>
        </w:rPr>
        <w:t xml:space="preserve"> </w:t>
      </w:r>
      <w:r>
        <w:rPr>
          <w:rFonts w:ascii="Times New Roman;serif" w:hAnsi="Times New Roman;serif"/>
          <w:b w:val="false"/>
          <w:color w:val="000000"/>
          <w:sz w:val="24"/>
        </w:rPr>
        <w:t>made</w:t>
      </w:r>
      <w:r>
        <w:rPr>
          <w:color w:val="000000"/>
        </w:rPr>
        <w:t xml:space="preserve"> </w:t>
      </w:r>
      <w:r>
        <w:rPr>
          <w:rFonts w:ascii="Times New Roman;serif" w:hAnsi="Times New Roman;serif"/>
          <w:b w:val="false"/>
          <w:color w:val="000000"/>
          <w:sz w:val="24"/>
        </w:rPr>
        <w:t>pursuant to</w:t>
      </w:r>
      <w:r>
        <w:rPr>
          <w:color w:val="000000"/>
        </w:rPr>
        <w:t xml:space="preserve"> </w:t>
      </w:r>
      <w:r>
        <w:rPr>
          <w:rFonts w:ascii="Times New Roman;serif" w:hAnsi="Times New Roman;serif"/>
          <w:b w:val="false"/>
          <w:color w:val="000000"/>
          <w:sz w:val="24"/>
        </w:rPr>
        <w:t>this</w:t>
      </w:r>
      <w:r>
        <w:rPr>
          <w:color w:val="000000"/>
        </w:rPr>
        <w:t xml:space="preserve"> </w:t>
      </w:r>
      <w:r>
        <w:rPr>
          <w:rFonts w:ascii="Times New Roman;serif" w:hAnsi="Times New Roman;serif"/>
          <w:b w:val="false"/>
          <w:color w:val="000000"/>
          <w:sz w:val="24"/>
          <w:u w:val="single"/>
        </w:rPr>
        <w:t>Section 4.08</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that all Notes</w:t>
      </w:r>
      <w:r>
        <w:rPr>
          <w:color w:val="000000"/>
        </w:rPr>
        <w:t xml:space="preserve"> </w:t>
      </w:r>
      <w:r>
        <w:rPr>
          <w:rFonts w:ascii="Times New Roman;serif" w:hAnsi="Times New Roman;serif"/>
          <w:b w:val="false"/>
          <w:color w:val="000000"/>
          <w:sz w:val="24"/>
        </w:rPr>
        <w:t>tendered will be accepted</w:t>
      </w:r>
      <w:r>
        <w:rPr>
          <w:color w:val="000000"/>
        </w:rPr>
        <w:t xml:space="preserve"> </w:t>
      </w:r>
      <w:r>
        <w:rPr>
          <w:rFonts w:ascii="Times New Roman;serif" w:hAnsi="Times New Roman;serif"/>
          <w:b w:val="false"/>
          <w:color w:val="000000"/>
          <w:sz w:val="24"/>
        </w:rPr>
        <w:t>for payment;</w:t>
      </w:r>
    </w:p>
    <w:p>
      <w:pPr>
        <w:pStyle w:val="TextBody"/>
        <w:bidi w:val="0"/>
        <w:spacing w:lineRule="auto" w:line="240" w:before="0" w:after="240"/>
        <w:ind w:left="0" w:right="0" w:firstLine="720"/>
        <w:jc w:val="both"/>
        <w:rPr/>
      </w:pPr>
      <w:r>
        <w:rPr>
          <w:rFonts w:ascii="Times New Roman;serif" w:hAnsi="Times New Roman;serif"/>
          <w:b w:val="false"/>
          <w:color w:val="000000"/>
          <w:sz w:val="24"/>
        </w:rPr>
        <w:t>(2)the purchase price and the purchase date, which date will be no earlier than 10 days and no later than 60 days from the date such notice is</w:t>
      </w:r>
      <w:r>
        <w:rPr>
          <w:color w:val="000000"/>
        </w:rPr>
        <w:t xml:space="preserve"> </w:t>
      </w:r>
      <w:r>
        <w:rPr>
          <w:rFonts w:ascii="Times New Roman;serif" w:hAnsi="Times New Roman;serif"/>
          <w:b w:val="false"/>
          <w:color w:val="000000"/>
          <w:sz w:val="24"/>
        </w:rPr>
        <w:t>mailed or delivered electronically (the “</w:t>
      </w:r>
      <w:r>
        <w:rPr>
          <w:rFonts w:ascii="Times New Roman;serif" w:hAnsi="Times New Roman;serif"/>
          <w:b w:val="false"/>
          <w:i/>
          <w:color w:val="000000"/>
          <w:sz w:val="24"/>
        </w:rPr>
        <w:t>Change of Control Payment Date</w:t>
      </w:r>
      <w:r>
        <w:rPr>
          <w:color w:val="000000"/>
        </w:rPr>
        <w:t>”</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(3)that</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Note</w:t>
      </w:r>
      <w:r>
        <w:rPr>
          <w:color w:val="000000"/>
        </w:rPr>
        <w:t xml:space="preserve"> </w:t>
      </w:r>
      <w:r>
        <w:rPr>
          <w:rFonts w:ascii="Times New Roman;serif" w:hAnsi="Times New Roman;serif"/>
          <w:b w:val="false"/>
          <w:color w:val="000000"/>
          <w:sz w:val="24"/>
        </w:rPr>
        <w:t>not</w:t>
      </w:r>
      <w:r>
        <w:rPr>
          <w:color w:val="000000"/>
        </w:rPr>
        <w:t xml:space="preserve"> </w:t>
      </w:r>
      <w:r>
        <w:rPr>
          <w:rFonts w:ascii="Times New Roman;serif" w:hAnsi="Times New Roman;serif"/>
          <w:b w:val="false"/>
          <w:color w:val="000000"/>
          <w:sz w:val="24"/>
        </w:rPr>
        <w:t>tendered</w:t>
      </w:r>
      <w:r>
        <w:rPr>
          <w:color w:val="000000"/>
        </w:rPr>
        <w:t xml:space="preserve"> </w:t>
      </w:r>
      <w:r>
        <w:rPr>
          <w:rFonts w:ascii="Times New Roman;serif" w:hAnsi="Times New Roman;serif"/>
          <w:b w:val="false"/>
          <w:color w:val="000000"/>
          <w:sz w:val="24"/>
        </w:rPr>
        <w:t>will</w:t>
      </w:r>
      <w:r>
        <w:rPr>
          <w:color w:val="000000"/>
        </w:rPr>
        <w:t xml:space="preserve"> </w:t>
      </w:r>
      <w:r>
        <w:rPr>
          <w:rFonts w:ascii="Times New Roman;serif" w:hAnsi="Times New Roman;serif"/>
          <w:b w:val="false"/>
          <w:color w:val="000000"/>
          <w:sz w:val="24"/>
        </w:rPr>
        <w:t>continue</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accrue</w:t>
      </w:r>
      <w:r>
        <w:rPr>
          <w:color w:val="000000"/>
        </w:rPr>
        <w:t xml:space="preserve"> </w:t>
      </w:r>
      <w:r>
        <w:rPr>
          <w:rFonts w:ascii="Times New Roman;serif" w:hAnsi="Times New Roman;serif"/>
          <w:b w:val="false"/>
          <w:color w:val="000000"/>
          <w:sz w:val="24"/>
        </w:rPr>
        <w:t>interest;</w:t>
      </w:r>
    </w:p>
    <w:p>
      <w:pPr>
        <w:pStyle w:val="TextBody"/>
        <w:bidi w:val="0"/>
        <w:spacing w:lineRule="auto" w:line="240" w:before="0" w:after="240"/>
        <w:ind w:left="0" w:right="0" w:firstLine="720"/>
        <w:jc w:val="both"/>
        <w:rPr/>
      </w:pPr>
      <w:r>
        <w:rPr>
          <w:rFonts w:ascii="Times New Roman;serif" w:hAnsi="Times New Roman;serif"/>
          <w:b w:val="false"/>
          <w:color w:val="000000"/>
          <w:sz w:val="24"/>
        </w:rPr>
        <w:t>(4)that, unless the Issuer defaults in the payment of the Change of Control Payment, all Notes accepted for payment pursuant to the</w:t>
      </w:r>
      <w:r>
        <w:rPr>
          <w:color w:val="000000"/>
        </w:rPr>
        <w:t xml:space="preserve"> </w:t>
      </w:r>
      <w:r>
        <w:rPr>
          <w:rFonts w:ascii="Times New Roman;serif" w:hAnsi="Times New Roman;serif"/>
          <w:b w:val="false"/>
          <w:color w:val="000000"/>
          <w:sz w:val="24"/>
        </w:rPr>
        <w:t>Change of Control Offer will cease to accrue interest after the Change of Control Payment Date;</w:t>
      </w:r>
    </w:p>
    <w:p>
      <w:pPr>
        <w:pStyle w:val="TextBody"/>
        <w:bidi w:val="0"/>
        <w:spacing w:lineRule="auto" w:line="240" w:before="0" w:after="240"/>
        <w:ind w:left="0" w:right="0" w:firstLine="720"/>
        <w:jc w:val="both"/>
        <w:rPr/>
      </w:pPr>
      <w:r>
        <w:rPr>
          <w:rFonts w:ascii="Times New Roman;serif" w:hAnsi="Times New Roman;serif"/>
          <w:b w:val="false"/>
          <w:color w:val="000000"/>
          <w:sz w:val="24"/>
        </w:rPr>
        <w:t>(5)that Holders electing to have any Notes purchased pursuant to a Change of Control Offer shall be required to surrender the Notes, with</w:t>
      </w:r>
      <w:r>
        <w:rPr>
          <w:color w:val="000000"/>
        </w:rPr>
        <w:t xml:space="preserve"> </w:t>
      </w:r>
      <w:r>
        <w:rPr>
          <w:rFonts w:ascii="Times New Roman;serif" w:hAnsi="Times New Roman;serif"/>
          <w:b w:val="false"/>
          <w:color w:val="000000"/>
          <w:sz w:val="24"/>
        </w:rPr>
        <w:t>the form entitled “Option of Holder to Elect Purchase” on the reverse of the Notes completed, to the Paying Agent at the address specified in the</w:t>
      </w:r>
      <w:r>
        <w:rPr>
          <w:color w:val="000000"/>
        </w:rPr>
        <w:t xml:space="preserve"> </w:t>
      </w:r>
      <w:r>
        <w:rPr>
          <w:rFonts w:ascii="Times New Roman;serif" w:hAnsi="Times New Roman;serif"/>
          <w:b w:val="false"/>
          <w:color w:val="000000"/>
          <w:sz w:val="24"/>
        </w:rPr>
        <w:t>notice prior to the close of business on the third Business Day preceding the Change of Control Payment Date;</w:t>
      </w:r>
    </w:p>
    <w:p>
      <w:pPr>
        <w:pStyle w:val="TextBody"/>
        <w:bidi w:val="0"/>
        <w:spacing w:lineRule="auto" w:line="240" w:before="0" w:after="240"/>
        <w:ind w:left="0" w:right="0" w:firstLine="720"/>
        <w:jc w:val="both"/>
        <w:rPr/>
      </w:pPr>
      <w:r>
        <w:rPr>
          <w:rFonts w:ascii="Times New Roman;serif" w:hAnsi="Times New Roman;serif"/>
          <w:b w:val="false"/>
          <w:color w:val="000000"/>
          <w:sz w:val="24"/>
        </w:rPr>
        <w:t>(6)that Holders will be entitled to withdraw their election if the Paying Agent receives, not later than the close of business on the second</w:t>
      </w:r>
      <w:r>
        <w:rPr>
          <w:color w:val="000000"/>
        </w:rPr>
        <w:t xml:space="preserve"> </w:t>
      </w:r>
      <w:r>
        <w:rPr>
          <w:rFonts w:ascii="Times New Roman;serif" w:hAnsi="Times New Roman;serif"/>
          <w:b w:val="false"/>
          <w:color w:val="000000"/>
          <w:sz w:val="24"/>
        </w:rPr>
        <w:t>Business</w:t>
      </w:r>
      <w:r>
        <w:rPr>
          <w:color w:val="000000"/>
        </w:rPr>
        <w:t xml:space="preserve"> </w:t>
      </w:r>
      <w:r>
        <w:rPr>
          <w:rFonts w:ascii="Times New Roman;serif" w:hAnsi="Times New Roman;serif"/>
          <w:b w:val="false"/>
          <w:color w:val="000000"/>
          <w:sz w:val="24"/>
        </w:rPr>
        <w:t>Day</w:t>
      </w:r>
      <w:r>
        <w:rPr>
          <w:color w:val="000000"/>
        </w:rPr>
        <w:t xml:space="preserve"> </w:t>
      </w:r>
      <w:r>
        <w:rPr>
          <w:rFonts w:ascii="Times New Roman;serif" w:hAnsi="Times New Roman;serif"/>
          <w:b w:val="false"/>
          <w:color w:val="000000"/>
          <w:sz w:val="24"/>
        </w:rPr>
        <w:t>preceding</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Change</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Control</w:t>
      </w:r>
      <w:r>
        <w:rPr>
          <w:color w:val="000000"/>
        </w:rPr>
        <w:t xml:space="preserve"> </w:t>
      </w:r>
      <w:r>
        <w:rPr>
          <w:rFonts w:ascii="Times New Roman;serif" w:hAnsi="Times New Roman;serif"/>
          <w:b w:val="false"/>
          <w:color w:val="000000"/>
          <w:sz w:val="24"/>
        </w:rPr>
        <w:t>Payment</w:t>
      </w:r>
      <w:r>
        <w:rPr>
          <w:color w:val="000000"/>
        </w:rPr>
        <w:t xml:space="preserve"> </w:t>
      </w:r>
      <w:r>
        <w:rPr>
          <w:rFonts w:ascii="Times New Roman;serif" w:hAnsi="Times New Roman;serif"/>
          <w:b w:val="false"/>
          <w:color w:val="000000"/>
          <w:sz w:val="24"/>
        </w:rPr>
        <w:t>Date,</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telegram,</w:t>
      </w:r>
      <w:r>
        <w:rPr>
          <w:color w:val="000000"/>
        </w:rPr>
        <w:t xml:space="preserve"> </w:t>
      </w:r>
      <w:r>
        <w:rPr>
          <w:rFonts w:ascii="Times New Roman;serif" w:hAnsi="Times New Roman;serif"/>
          <w:b w:val="false"/>
          <w:color w:val="000000"/>
          <w:sz w:val="24"/>
        </w:rPr>
        <w:t>telex,</w:t>
      </w:r>
      <w:r>
        <w:rPr>
          <w:color w:val="000000"/>
        </w:rPr>
        <w:t xml:space="preserve"> </w:t>
      </w:r>
      <w:r>
        <w:rPr>
          <w:rFonts w:ascii="Times New Roman;serif" w:hAnsi="Times New Roman;serif"/>
          <w:b w:val="false"/>
          <w:color w:val="000000"/>
          <w:sz w:val="24"/>
        </w:rPr>
        <w:t>email,</w:t>
      </w:r>
      <w:r>
        <w:rPr>
          <w:color w:val="000000"/>
        </w:rPr>
        <w:t xml:space="preserve"> </w:t>
      </w:r>
      <w:r>
        <w:rPr>
          <w:rFonts w:ascii="Times New Roman;serif" w:hAnsi="Times New Roman;serif"/>
          <w:b w:val="false"/>
          <w:color w:val="000000"/>
          <w:sz w:val="24"/>
        </w:rPr>
        <w:t>facsimile</w:t>
      </w:r>
      <w:r>
        <w:rPr>
          <w:color w:val="000000"/>
        </w:rPr>
        <w:t xml:space="preserve"> </w:t>
      </w:r>
      <w:r>
        <w:rPr>
          <w:rFonts w:ascii="Times New Roman;serif" w:hAnsi="Times New Roman;serif"/>
          <w:b w:val="false"/>
          <w:color w:val="000000"/>
          <w:sz w:val="24"/>
        </w:rPr>
        <w:t>transmission</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letter</w:t>
      </w:r>
      <w:r>
        <w:rPr>
          <w:color w:val="000000"/>
        </w:rPr>
        <w:t xml:space="preserve"> </w:t>
      </w:r>
      <w:r>
        <w:rPr>
          <w:rFonts w:ascii="Times New Roman;serif" w:hAnsi="Times New Roman;serif"/>
          <w:b w:val="false"/>
          <w:color w:val="000000"/>
          <w:sz w:val="24"/>
        </w:rPr>
        <w:t>setting</w:t>
      </w:r>
      <w:r>
        <w:rPr>
          <w:color w:val="000000"/>
        </w:rPr>
        <w:t xml:space="preserve"> </w:t>
      </w:r>
      <w:r>
        <w:rPr>
          <w:rFonts w:ascii="Times New Roman;serif" w:hAnsi="Times New Roman;serif"/>
          <w:b w:val="false"/>
          <w:color w:val="000000"/>
          <w:sz w:val="24"/>
        </w:rPr>
        <w:t>forth</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name</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Holder, the principal amount of Notes delivered for purchase, and a statement that such Holder is withdrawing his election to have the Notes</w:t>
      </w:r>
      <w:r>
        <w:rPr>
          <w:color w:val="000000"/>
        </w:rPr>
        <w:t xml:space="preserve"> </w:t>
      </w:r>
      <w:r>
        <w:rPr>
          <w:rFonts w:ascii="Times New Roman;serif" w:hAnsi="Times New Roman;serif"/>
          <w:b w:val="false"/>
          <w:color w:val="000000"/>
          <w:sz w:val="24"/>
        </w:rPr>
        <w:t>purchased; and</w:t>
      </w:r>
    </w:p>
    <w:p>
      <w:pPr>
        <w:pStyle w:val="TextBody"/>
        <w:bidi w:val="0"/>
        <w:spacing w:lineRule="auto" w:line="240" w:before="0" w:after="240"/>
        <w:ind w:left="0" w:right="0" w:firstLine="720"/>
        <w:jc w:val="both"/>
        <w:rPr/>
      </w:pPr>
      <w:r>
        <w:rPr>
          <w:rFonts w:ascii="Times New Roman;serif" w:hAnsi="Times New Roman;serif"/>
          <w:b w:val="false"/>
          <w:color w:val="000000"/>
          <w:sz w:val="24"/>
        </w:rPr>
        <w:t>(7)that</w:t>
      </w:r>
      <w:r>
        <w:rPr>
          <w:color w:val="000000"/>
        </w:rPr>
        <w:t xml:space="preserve"> </w:t>
      </w:r>
      <w:r>
        <w:rPr>
          <w:rFonts w:ascii="Times New Roman;serif" w:hAnsi="Times New Roman;serif"/>
          <w:b w:val="false"/>
          <w:color w:val="000000"/>
          <w:sz w:val="24"/>
        </w:rPr>
        <w:t>Holders</w:t>
      </w:r>
      <w:r>
        <w:rPr>
          <w:color w:val="000000"/>
        </w:rPr>
        <w:t xml:space="preserve"> </w:t>
      </w:r>
      <w:r>
        <w:rPr>
          <w:rFonts w:ascii="Times New Roman;serif" w:hAnsi="Times New Roman;serif"/>
          <w:b w:val="false"/>
          <w:color w:val="000000"/>
          <w:sz w:val="24"/>
        </w:rPr>
        <w:t>whose</w:t>
      </w:r>
      <w:r>
        <w:rPr>
          <w:color w:val="000000"/>
        </w:rPr>
        <w:t xml:space="preserve"> </w:t>
      </w:r>
      <w:r>
        <w:rPr>
          <w:rFonts w:ascii="Times New Roman;serif" w:hAnsi="Times New Roman;serif"/>
          <w:b w:val="false"/>
          <w:color w:val="000000"/>
          <w:sz w:val="24"/>
        </w:rPr>
        <w:t>Notes</w:t>
      </w:r>
      <w:r>
        <w:rPr>
          <w:color w:val="000000"/>
        </w:rPr>
        <w:t xml:space="preserve"> </w:t>
      </w:r>
      <w:r>
        <w:rPr>
          <w:rFonts w:ascii="Times New Roman;serif" w:hAnsi="Times New Roman;serif"/>
          <w:b w:val="false"/>
          <w:color w:val="000000"/>
          <w:sz w:val="24"/>
        </w:rPr>
        <w:t>are</w:t>
      </w:r>
      <w:r>
        <w:rPr>
          <w:color w:val="000000"/>
        </w:rPr>
        <w:t xml:space="preserve"> </w:t>
      </w:r>
      <w:r>
        <w:rPr>
          <w:rFonts w:ascii="Times New Roman;serif" w:hAnsi="Times New Roman;serif"/>
          <w:b w:val="false"/>
          <w:color w:val="000000"/>
          <w:sz w:val="24"/>
        </w:rPr>
        <w:t>being</w:t>
      </w:r>
      <w:r>
        <w:rPr>
          <w:color w:val="000000"/>
        </w:rPr>
        <w:t xml:space="preserve"> </w:t>
      </w:r>
      <w:r>
        <w:rPr>
          <w:rFonts w:ascii="Times New Roman;serif" w:hAnsi="Times New Roman;serif"/>
          <w:b w:val="false"/>
          <w:color w:val="000000"/>
          <w:sz w:val="24"/>
        </w:rPr>
        <w:t>purchased</w:t>
      </w:r>
      <w:r>
        <w:rPr>
          <w:color w:val="000000"/>
        </w:rPr>
        <w:t xml:space="preserve"> </w:t>
      </w:r>
      <w:r>
        <w:rPr>
          <w:rFonts w:ascii="Times New Roman;serif" w:hAnsi="Times New Roman;serif"/>
          <w:b w:val="false"/>
          <w:color w:val="000000"/>
          <w:sz w:val="24"/>
        </w:rPr>
        <w:t>only</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part</w:t>
      </w:r>
      <w:r>
        <w:rPr>
          <w:color w:val="000000"/>
        </w:rPr>
        <w:t xml:space="preserve"> </w:t>
      </w:r>
      <w:r>
        <w:rPr>
          <w:rFonts w:ascii="Times New Roman;serif" w:hAnsi="Times New Roman;serif"/>
          <w:b w:val="false"/>
          <w:color w:val="000000"/>
          <w:sz w:val="24"/>
        </w:rPr>
        <w:t>will</w:t>
      </w:r>
      <w:r>
        <w:rPr>
          <w:color w:val="000000"/>
        </w:rPr>
        <w:t xml:space="preserve"> </w:t>
      </w:r>
      <w:r>
        <w:rPr>
          <w:rFonts w:ascii="Times New Roman;serif" w:hAnsi="Times New Roman;serif"/>
          <w:b w:val="false"/>
          <w:color w:val="000000"/>
          <w:sz w:val="24"/>
        </w:rPr>
        <w:t>be</w:t>
      </w:r>
      <w:r>
        <w:rPr>
          <w:color w:val="000000"/>
        </w:rPr>
        <w:t xml:space="preserve"> </w:t>
      </w:r>
      <w:r>
        <w:rPr>
          <w:rFonts w:ascii="Times New Roman;serif" w:hAnsi="Times New Roman;serif"/>
          <w:b w:val="false"/>
          <w:color w:val="000000"/>
          <w:sz w:val="24"/>
        </w:rPr>
        <w:t>issued</w:t>
      </w:r>
      <w:r>
        <w:rPr>
          <w:color w:val="000000"/>
        </w:rPr>
        <w:t xml:space="preserve"> </w:t>
      </w:r>
      <w:r>
        <w:rPr>
          <w:rFonts w:ascii="Times New Roman;serif" w:hAnsi="Times New Roman;serif"/>
          <w:b w:val="false"/>
          <w:color w:val="000000"/>
          <w:sz w:val="24"/>
        </w:rPr>
        <w:t>new</w:t>
      </w:r>
      <w:r>
        <w:rPr>
          <w:color w:val="000000"/>
        </w:rPr>
        <w:t xml:space="preserve"> </w:t>
      </w:r>
      <w:r>
        <w:rPr>
          <w:rFonts w:ascii="Times New Roman;serif" w:hAnsi="Times New Roman;serif"/>
          <w:b w:val="false"/>
          <w:color w:val="000000"/>
          <w:sz w:val="24"/>
        </w:rPr>
        <w:t>Notes</w:t>
      </w:r>
      <w:r>
        <w:rPr>
          <w:color w:val="000000"/>
        </w:rPr>
        <w:t xml:space="preserve"> </w:t>
      </w:r>
      <w:r>
        <w:rPr>
          <w:rFonts w:ascii="Times New Roman;serif" w:hAnsi="Times New Roman;serif"/>
          <w:b w:val="false"/>
          <w:color w:val="000000"/>
          <w:sz w:val="24"/>
        </w:rPr>
        <w:t>equal</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principal</w:t>
      </w:r>
      <w:r>
        <w:rPr>
          <w:color w:val="000000"/>
        </w:rPr>
        <w:t xml:space="preserve"> </w:t>
      </w:r>
      <w:r>
        <w:rPr>
          <w:rFonts w:ascii="Times New Roman;serif" w:hAnsi="Times New Roman;serif"/>
          <w:b w:val="false"/>
          <w:color w:val="000000"/>
          <w:sz w:val="24"/>
        </w:rPr>
        <w:t>amount</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unpurchased</w:t>
      </w:r>
      <w:r>
        <w:rPr>
          <w:color w:val="000000"/>
        </w:rPr>
        <w:t xml:space="preserve"> </w:t>
      </w:r>
      <w:r>
        <w:rPr>
          <w:rFonts w:ascii="Times New Roman;serif" w:hAnsi="Times New Roman;serif"/>
          <w:b w:val="false"/>
          <w:color w:val="000000"/>
          <w:sz w:val="24"/>
        </w:rPr>
        <w:t>portion of the</w:t>
      </w:r>
      <w:r>
        <w:rPr>
          <w:color w:val="000000"/>
        </w:rPr>
        <w:t xml:space="preserve"> </w:t>
      </w:r>
      <w:r>
        <w:rPr>
          <w:rFonts w:ascii="Times New Roman;serif" w:hAnsi="Times New Roman;serif"/>
          <w:b w:val="false"/>
          <w:color w:val="000000"/>
          <w:sz w:val="24"/>
        </w:rPr>
        <w:t>Notes</w:t>
      </w:r>
      <w:r>
        <w:rPr>
          <w:color w:val="000000"/>
        </w:rPr>
        <w:t xml:space="preserve"> </w:t>
      </w:r>
      <w:r>
        <w:rPr>
          <w:rFonts w:ascii="Times New Roman;serif" w:hAnsi="Times New Roman;serif"/>
          <w:b w:val="false"/>
          <w:color w:val="000000"/>
          <w:sz w:val="24"/>
        </w:rPr>
        <w:t>surrendered,</w:t>
      </w:r>
      <w:r>
        <w:rPr>
          <w:color w:val="000000"/>
        </w:rPr>
        <w:t xml:space="preserve"> </w:t>
      </w:r>
      <w:r>
        <w:rPr>
          <w:rFonts w:ascii="Times New Roman;serif" w:hAnsi="Times New Roman;serif"/>
          <w:b w:val="false"/>
          <w:color w:val="000000"/>
          <w:sz w:val="24"/>
        </w:rPr>
        <w:t>which</w:t>
      </w:r>
      <w:r>
        <w:rPr>
          <w:color w:val="000000"/>
        </w:rPr>
        <w:t xml:space="preserve"> </w:t>
      </w:r>
      <w:r>
        <w:rPr>
          <w:rFonts w:ascii="Times New Roman;serif" w:hAnsi="Times New Roman;serif"/>
          <w:b w:val="false"/>
          <w:color w:val="000000"/>
          <w:sz w:val="24"/>
        </w:rPr>
        <w:t>unpurchased portion must</w:t>
      </w:r>
      <w:r>
        <w:rPr>
          <w:color w:val="000000"/>
        </w:rPr>
        <w:t xml:space="preserve"> </w:t>
      </w:r>
      <w:r>
        <w:rPr>
          <w:rFonts w:ascii="Times New Roman;serif" w:hAnsi="Times New Roman;serif"/>
          <w:b w:val="false"/>
          <w:color w:val="000000"/>
          <w:sz w:val="24"/>
        </w:rPr>
        <w:t>be equal</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$2,000 in</w:t>
      </w:r>
      <w:r>
        <w:rPr>
          <w:color w:val="000000"/>
        </w:rPr>
        <w:t xml:space="preserve"> </w:t>
      </w:r>
      <w:r>
        <w:rPr>
          <w:rFonts w:ascii="Times New Roman;serif" w:hAnsi="Times New Roman;serif"/>
          <w:b w:val="false"/>
          <w:color w:val="000000"/>
          <w:sz w:val="24"/>
        </w:rPr>
        <w:t>principal amount</w:t>
      </w:r>
      <w:r>
        <w:rPr>
          <w:color w:val="000000"/>
        </w:rPr>
        <w:t xml:space="preserve"> </w:t>
      </w:r>
      <w:r>
        <w:rPr>
          <w:rFonts w:ascii="Times New Roman;serif" w:hAnsi="Times New Roman;serif"/>
          <w:b w:val="false"/>
          <w:color w:val="000000"/>
          <w:sz w:val="24"/>
        </w:rPr>
        <w:t>or an</w:t>
      </w:r>
      <w:r>
        <w:rPr>
          <w:color w:val="000000"/>
        </w:rPr>
        <w:t xml:space="preserve"> </w:t>
      </w:r>
      <w:r>
        <w:rPr>
          <w:rFonts w:ascii="Times New Roman;serif" w:hAnsi="Times New Roman;serif"/>
          <w:b w:val="false"/>
          <w:color w:val="000000"/>
          <w:sz w:val="24"/>
        </w:rPr>
        <w:t>integral</w:t>
      </w:r>
      <w:r>
        <w:rPr>
          <w:color w:val="000000"/>
        </w:rPr>
        <w:t xml:space="preserve"> </w:t>
      </w:r>
      <w:r>
        <w:rPr>
          <w:rFonts w:ascii="Times New Roman;serif" w:hAnsi="Times New Roman;serif"/>
          <w:b w:val="false"/>
          <w:color w:val="000000"/>
          <w:sz w:val="24"/>
        </w:rPr>
        <w:t>multiple</w:t>
      </w:r>
      <w:r>
        <w:rPr>
          <w:color w:val="000000"/>
        </w:rPr>
        <w:t xml:space="preserve"> </w:t>
      </w:r>
      <w:r>
        <w:rPr>
          <w:rFonts w:ascii="Times New Roman;serif" w:hAnsi="Times New Roman;serif"/>
          <w:b w:val="false"/>
          <w:color w:val="000000"/>
          <w:sz w:val="24"/>
        </w:rPr>
        <w:t>of $1,000 in</w:t>
      </w:r>
      <w:r>
        <w:rPr>
          <w:color w:val="000000"/>
        </w:rPr>
        <w:t xml:space="preserve"> </w:t>
      </w:r>
      <w:r>
        <w:rPr>
          <w:rFonts w:ascii="Times New Roman;serif" w:hAnsi="Times New Roman;serif"/>
          <w:b w:val="false"/>
          <w:color w:val="000000"/>
          <w:sz w:val="24"/>
        </w:rPr>
        <w:t>excess</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$2,000.</w:t>
      </w:r>
    </w:p>
    <w:p>
      <w:pPr>
        <w:pStyle w:val="TextBody"/>
        <w:bidi w:val="0"/>
        <w:spacing w:before="0" w:after="0"/>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735965"/>
                <wp:effectExtent l="0" t="0" r="0" b="0"/>
                <wp:wrapNone/>
                <wp:docPr id="108" name="Frame108"/>
                <a:graphic xmlns:a="http://schemas.openxmlformats.org/drawingml/2006/main">
                  <a:graphicData uri="http://schemas.microsoft.com/office/word/2010/wordprocessingShape">
                    <wps:wsp>
                      <wps:cNvSpPr txBox="1"/>
                      <wps:spPr>
                        <a:xfrm>
                          <a:off x="0" y="0"/>
                          <a:ext cx="6480175" cy="7359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60</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60</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rPr>
        <w:t>The Issuer shall comply with the requirements of Rule 14e-1 under the Exchange Act and any other securities laws and regulations</w:t>
      </w:r>
      <w:r>
        <w:rPr>
          <w:color w:val="000000"/>
        </w:rPr>
        <w:t xml:space="preserve"> </w:t>
      </w:r>
      <w:r>
        <w:rPr>
          <w:rFonts w:ascii="Times New Roman;serif" w:hAnsi="Times New Roman;serif"/>
          <w:b w:val="false"/>
          <w:color w:val="000000"/>
          <w:sz w:val="24"/>
        </w:rPr>
        <w:t>thereunder to the extent those laws and regulations are applicable in connection with the repurchase of the Notes as a result of a Change of Control</w:t>
      </w:r>
      <w:r>
        <w:rPr>
          <w:color w:val="000000"/>
        </w:rPr>
        <w:t xml:space="preserve"> </w:t>
      </w:r>
      <w:r>
        <w:rPr>
          <w:rFonts w:ascii="Times New Roman;serif" w:hAnsi="Times New Roman;serif"/>
          <w:b w:val="false"/>
          <w:color w:val="000000"/>
          <w:sz w:val="24"/>
        </w:rPr>
        <w:t>Triggering Event. To the extent that the provisions of any securities laws, rules or regulations conflict with the provisions of this</w:t>
      </w:r>
      <w:r>
        <w:rPr>
          <w:color w:val="000000"/>
        </w:rPr>
        <w:t xml:space="preserve"> </w:t>
      </w:r>
      <w:r>
        <w:rPr>
          <w:rFonts w:ascii="Times New Roman;serif" w:hAnsi="Times New Roman;serif"/>
          <w:b w:val="false"/>
          <w:color w:val="000000"/>
          <w:sz w:val="24"/>
          <w:u w:val="single"/>
        </w:rPr>
        <w:t>Section 4.08</w:t>
      </w:r>
      <w:r>
        <w:rPr>
          <w:rFonts w:ascii="Times New Roman;serif" w:hAnsi="Times New Roman;serif"/>
          <w:b w:val="false"/>
          <w:color w:val="000000"/>
          <w:sz w:val="24"/>
        </w:rPr>
        <w:t>, the Issuer shall</w:t>
      </w:r>
      <w:r>
        <w:rPr>
          <w:color w:val="000000"/>
        </w:rPr>
        <w:t xml:space="preserve"> </w:t>
      </w:r>
      <w:r>
        <w:rPr>
          <w:rFonts w:ascii="Times New Roman;serif" w:hAnsi="Times New Roman;serif"/>
          <w:b w:val="false"/>
          <w:color w:val="000000"/>
          <w:sz w:val="24"/>
        </w:rPr>
        <w:t xml:space="preserve">comply with the applicable securities laws, rules and regulations, including Rule 14e-1 under the Exchange Act, and shall not be deemed to have breached its obligations under this </w:t>
      </w:r>
      <w:r>
        <w:rPr>
          <w:rFonts w:ascii="Times New Roman;serif" w:hAnsi="Times New Roman;serif"/>
          <w:b w:val="false"/>
          <w:color w:val="000000"/>
          <w:sz w:val="24"/>
          <w:u w:val="single"/>
        </w:rPr>
        <w:t>Section 4.08</w:t>
      </w:r>
      <w:r>
        <w:rPr>
          <w:color w:val="000000"/>
        </w:rPr>
        <w:t xml:space="preserve"> </w:t>
      </w:r>
      <w:r>
        <w:rPr>
          <w:rFonts w:ascii="Times New Roman;serif" w:hAnsi="Times New Roman;serif"/>
          <w:b w:val="false"/>
          <w:color w:val="000000"/>
          <w:sz w:val="24"/>
        </w:rPr>
        <w:t>by virtue of</w:t>
      </w:r>
      <w:r>
        <w:rPr>
          <w:color w:val="000000"/>
        </w:rPr>
        <w:t xml:space="preserve"> </w:t>
      </w:r>
      <w:r>
        <w:rPr>
          <w:rFonts w:ascii="Times New Roman;serif" w:hAnsi="Times New Roman;serif"/>
          <w:b w:val="false"/>
          <w:color w:val="000000"/>
          <w:sz w:val="24"/>
        </w:rPr>
        <w:t>such compliance. The Issuer may rely on any no-action letters issued by the SEC indicating that the staff of the SEC will not recommend enforcement action in the event a tender offer satisfies certain conditions.</w:t>
      </w:r>
    </w:p>
    <w:p>
      <w:pPr>
        <w:pStyle w:val="TextBody"/>
        <w:bidi w:val="0"/>
        <w:spacing w:lineRule="auto" w:line="240" w:before="0" w:after="240"/>
        <w:ind w:left="0" w:right="0" w:firstLine="720"/>
        <w:jc w:val="both"/>
        <w:rPr/>
      </w:pPr>
      <w:r>
        <w:rPr>
          <w:rFonts w:ascii="Times New Roman;serif" w:hAnsi="Times New Roman;serif"/>
          <w:b w:val="false"/>
          <w:color w:val="000000"/>
          <w:sz w:val="24"/>
        </w:rPr>
        <w:t>(c)</w:t>
      </w:r>
      <w:r>
        <w:rPr>
          <w:rFonts w:ascii="Times New Roman;serif" w:hAnsi="Times New Roman;serif"/>
          <w:b w:val="false"/>
          <w:color w:val="000000"/>
          <w:sz w:val="24"/>
        </w:rPr>
        <w:t>On</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Change</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Control</w:t>
      </w:r>
      <w:r>
        <w:rPr>
          <w:color w:val="000000"/>
        </w:rPr>
        <w:t xml:space="preserve"> </w:t>
      </w:r>
      <w:r>
        <w:rPr>
          <w:rFonts w:ascii="Times New Roman;serif" w:hAnsi="Times New Roman;serif"/>
          <w:b w:val="false"/>
          <w:color w:val="000000"/>
          <w:sz w:val="24"/>
        </w:rPr>
        <w:t>Payment</w:t>
      </w:r>
      <w:r>
        <w:rPr>
          <w:color w:val="000000"/>
        </w:rPr>
        <w:t xml:space="preserve"> </w:t>
      </w:r>
      <w:r>
        <w:rPr>
          <w:rFonts w:ascii="Times New Roman;serif" w:hAnsi="Times New Roman;serif"/>
          <w:b w:val="false"/>
          <w:color w:val="000000"/>
          <w:sz w:val="24"/>
        </w:rPr>
        <w:t>Date,</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Issuer</w:t>
      </w:r>
      <w:r>
        <w:rPr>
          <w:color w:val="000000"/>
        </w:rPr>
        <w:t xml:space="preserve"> </w:t>
      </w:r>
      <w:r>
        <w:rPr>
          <w:rFonts w:ascii="Times New Roman;serif" w:hAnsi="Times New Roman;serif"/>
          <w:b w:val="false"/>
          <w:color w:val="000000"/>
          <w:sz w:val="24"/>
        </w:rPr>
        <w:t>shall,</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extent</w:t>
      </w:r>
      <w:r>
        <w:rPr>
          <w:color w:val="000000"/>
        </w:rPr>
        <w:t xml:space="preserve"> </w:t>
      </w:r>
      <w:r>
        <w:rPr>
          <w:rFonts w:ascii="Times New Roman;serif" w:hAnsi="Times New Roman;serif"/>
          <w:b w:val="false"/>
          <w:color w:val="000000"/>
          <w:sz w:val="24"/>
        </w:rPr>
        <w:t>lawful:</w:t>
      </w:r>
    </w:p>
    <w:p>
      <w:pPr>
        <w:pStyle w:val="TextBody"/>
        <w:bidi w:val="0"/>
        <w:spacing w:lineRule="auto" w:line="240" w:before="0" w:after="240"/>
        <w:ind w:left="0" w:right="0" w:firstLine="720"/>
        <w:jc w:val="both"/>
        <w:rPr/>
      </w:pPr>
      <w:r>
        <w:rPr>
          <w:rFonts w:ascii="Times New Roman;serif" w:hAnsi="Times New Roman;serif"/>
          <w:b w:val="false"/>
          <w:color w:val="000000"/>
          <w:sz w:val="24"/>
        </w:rPr>
        <w:t>(1)accept</w:t>
      </w:r>
      <w:r>
        <w:rPr>
          <w:color w:val="000000"/>
        </w:rPr>
        <w:t xml:space="preserve"> </w:t>
      </w:r>
      <w:r>
        <w:rPr>
          <w:rFonts w:ascii="Times New Roman;serif" w:hAnsi="Times New Roman;serif"/>
          <w:b w:val="false"/>
          <w:color w:val="000000"/>
          <w:sz w:val="24"/>
        </w:rPr>
        <w:t>for</w:t>
      </w:r>
      <w:r>
        <w:rPr>
          <w:color w:val="000000"/>
        </w:rPr>
        <w:t xml:space="preserve"> </w:t>
      </w:r>
      <w:r>
        <w:rPr>
          <w:rFonts w:ascii="Times New Roman;serif" w:hAnsi="Times New Roman;serif"/>
          <w:b w:val="false"/>
          <w:color w:val="000000"/>
          <w:sz w:val="24"/>
        </w:rPr>
        <w:t>payment</w:t>
      </w:r>
      <w:r>
        <w:rPr>
          <w:color w:val="000000"/>
        </w:rPr>
        <w:t xml:space="preserve"> </w:t>
      </w:r>
      <w:r>
        <w:rPr>
          <w:rFonts w:ascii="Times New Roman;serif" w:hAnsi="Times New Roman;serif"/>
          <w:b w:val="false"/>
          <w:color w:val="000000"/>
          <w:sz w:val="24"/>
        </w:rPr>
        <w:t>all</w:t>
      </w:r>
      <w:r>
        <w:rPr>
          <w:color w:val="000000"/>
        </w:rPr>
        <w:t xml:space="preserve"> </w:t>
      </w:r>
      <w:r>
        <w:rPr>
          <w:rFonts w:ascii="Times New Roman;serif" w:hAnsi="Times New Roman;serif"/>
          <w:b w:val="false"/>
          <w:color w:val="000000"/>
          <w:sz w:val="24"/>
        </w:rPr>
        <w:t>Notes</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portions</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Notes</w:t>
      </w:r>
      <w:r>
        <w:rPr>
          <w:color w:val="000000"/>
        </w:rPr>
        <w:t xml:space="preserve"> </w:t>
      </w:r>
      <w:r>
        <w:rPr>
          <w:rFonts w:ascii="Times New Roman;serif" w:hAnsi="Times New Roman;serif"/>
          <w:b w:val="false"/>
          <w:color w:val="000000"/>
          <w:sz w:val="24"/>
        </w:rPr>
        <w:t>validly</w:t>
      </w:r>
      <w:r>
        <w:rPr>
          <w:color w:val="000000"/>
        </w:rPr>
        <w:t xml:space="preserve"> </w:t>
      </w:r>
      <w:r>
        <w:rPr>
          <w:rFonts w:ascii="Times New Roman;serif" w:hAnsi="Times New Roman;serif"/>
          <w:b w:val="false"/>
          <w:color w:val="000000"/>
          <w:sz w:val="24"/>
        </w:rPr>
        <w:t>tendered</w:t>
      </w:r>
      <w:r>
        <w:rPr>
          <w:color w:val="000000"/>
        </w:rPr>
        <w:t xml:space="preserve"> </w:t>
      </w:r>
      <w:r>
        <w:rPr>
          <w:rFonts w:ascii="Times New Roman;serif" w:hAnsi="Times New Roman;serif"/>
          <w:b w:val="false"/>
          <w:color w:val="000000"/>
          <w:sz w:val="24"/>
        </w:rPr>
        <w:t>pursuant</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Change</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Control</w:t>
      </w:r>
      <w:r>
        <w:rPr>
          <w:color w:val="000000"/>
        </w:rPr>
        <w:t xml:space="preserve"> </w:t>
      </w:r>
      <w:r>
        <w:rPr>
          <w:rFonts w:ascii="Times New Roman;serif" w:hAnsi="Times New Roman;serif"/>
          <w:b w:val="false"/>
          <w:color w:val="000000"/>
          <w:sz w:val="24"/>
        </w:rPr>
        <w:t>Offer;</w:t>
      </w:r>
    </w:p>
    <w:p>
      <w:pPr>
        <w:pStyle w:val="TextBody"/>
        <w:bidi w:val="0"/>
        <w:spacing w:lineRule="auto" w:line="240" w:before="0" w:after="240"/>
        <w:ind w:left="0" w:right="0" w:firstLine="720"/>
        <w:jc w:val="both"/>
        <w:rPr/>
      </w:pPr>
      <w:r>
        <w:rPr>
          <w:rFonts w:ascii="Times New Roman;serif" w:hAnsi="Times New Roman;serif"/>
          <w:b w:val="false"/>
          <w:color w:val="000000"/>
          <w:sz w:val="24"/>
        </w:rPr>
        <w:t>(2)deposit with the Paying Agent an amount equal to the Change of Control Payment in respect of all Notes or portions of Notes validly</w:t>
      </w:r>
      <w:r>
        <w:rPr>
          <w:color w:val="000000"/>
        </w:rPr>
        <w:t xml:space="preserve"> </w:t>
      </w:r>
      <w:r>
        <w:rPr>
          <w:rFonts w:ascii="Times New Roman;serif" w:hAnsi="Times New Roman;serif"/>
          <w:b w:val="false"/>
          <w:color w:val="000000"/>
          <w:sz w:val="24"/>
        </w:rPr>
        <w:t>tendered; and</w:t>
      </w:r>
    </w:p>
    <w:p>
      <w:pPr>
        <w:pStyle w:val="TextBody"/>
        <w:bidi w:val="0"/>
        <w:spacing w:lineRule="auto" w:line="240" w:before="0" w:after="240"/>
        <w:ind w:left="0" w:right="0" w:firstLine="720"/>
        <w:jc w:val="both"/>
        <w:rPr/>
      </w:pPr>
      <w:r>
        <w:rPr>
          <w:rFonts w:ascii="Times New Roman;serif" w:hAnsi="Times New Roman;serif"/>
          <w:b w:val="false"/>
          <w:color w:val="000000"/>
          <w:sz w:val="24"/>
        </w:rPr>
        <w:t>(3)deliver or cause to be delivered to the Trustee the Notes validly tendered together with an Officer’s Certificate stating the aggregate</w:t>
      </w:r>
      <w:r>
        <w:rPr>
          <w:color w:val="000000"/>
        </w:rPr>
        <w:t xml:space="preserve"> </w:t>
      </w:r>
      <w:r>
        <w:rPr>
          <w:rFonts w:ascii="Times New Roman;serif" w:hAnsi="Times New Roman;serif"/>
          <w:b w:val="false"/>
          <w:color w:val="000000"/>
          <w:sz w:val="24"/>
        </w:rPr>
        <w:t>principal amount of Notes or portions of Notes being purchased by the Issuer.</w:t>
      </w:r>
    </w:p>
    <w:p>
      <w:pPr>
        <w:pStyle w:val="TextBody"/>
        <w:bidi w:val="0"/>
        <w:spacing w:lineRule="auto" w:line="288" w:before="0" w:after="240"/>
        <w:jc w:val="both"/>
        <w:rPr/>
      </w:pPr>
      <w:r>
        <w:rPr>
          <w:rFonts w:ascii="Times New Roman;serif" w:hAnsi="Times New Roman;serif"/>
          <w:b w:val="false"/>
          <w:color w:val="000000"/>
          <w:sz w:val="24"/>
        </w:rPr>
        <w:t>The Paying Agent shall promptly deliver to each Holder validly tendered the Change of Control Payment for the</w:t>
      </w:r>
      <w:r>
        <w:rPr>
          <w:color w:val="000000"/>
        </w:rPr>
        <w:t xml:space="preserve"> </w:t>
      </w:r>
      <w:r>
        <w:rPr>
          <w:rFonts w:ascii="Times New Roman;serif" w:hAnsi="Times New Roman;serif"/>
          <w:b w:val="false"/>
          <w:color w:val="000000"/>
          <w:sz w:val="24"/>
        </w:rPr>
        <w:t>Notes, and the Trustee shall promptly authenticate and deliver (or cause to be transferred by book entry) to each Holder a new Note equal in principal</w:t>
      </w:r>
      <w:r>
        <w:rPr>
          <w:color w:val="000000"/>
        </w:rPr>
        <w:t xml:space="preserve"> </w:t>
      </w:r>
      <w:r>
        <w:rPr>
          <w:rFonts w:ascii="Times New Roman;serif" w:hAnsi="Times New Roman;serif"/>
          <w:b w:val="false"/>
          <w:color w:val="000000"/>
          <w:sz w:val="24"/>
        </w:rPr>
        <w:t xml:space="preserve">amount to any unpurchased portion of the Notes surrendered, if any; </w:t>
      </w:r>
      <w:r>
        <w:rPr>
          <w:rFonts w:ascii="Times New Roman;serif" w:hAnsi="Times New Roman;serif"/>
          <w:b w:val="false"/>
          <w:i/>
          <w:color w:val="000000"/>
          <w:sz w:val="24"/>
        </w:rPr>
        <w:t>provided that</w:t>
      </w:r>
      <w:r>
        <w:rPr>
          <w:color w:val="000000"/>
        </w:rPr>
        <w:t xml:space="preserve"> </w:t>
      </w:r>
      <w:r>
        <w:rPr>
          <w:rFonts w:ascii="Times New Roman;serif" w:hAnsi="Times New Roman;serif"/>
          <w:b w:val="false"/>
          <w:color w:val="000000"/>
          <w:sz w:val="24"/>
        </w:rPr>
        <w:t>each</w:t>
      </w:r>
      <w:r>
        <w:rPr>
          <w:color w:val="000000"/>
        </w:rPr>
        <w:t xml:space="preserve"> </w:t>
      </w:r>
      <w:r>
        <w:rPr>
          <w:rFonts w:ascii="Times New Roman;serif" w:hAnsi="Times New Roman;serif"/>
          <w:b w:val="false"/>
          <w:color w:val="000000"/>
          <w:sz w:val="24"/>
        </w:rPr>
        <w:t>new</w:t>
      </w:r>
      <w:r>
        <w:rPr>
          <w:color w:val="000000"/>
        </w:rPr>
        <w:t xml:space="preserve"> </w:t>
      </w:r>
      <w:r>
        <w:rPr>
          <w:rFonts w:ascii="Times New Roman;serif" w:hAnsi="Times New Roman;serif"/>
          <w:b w:val="false"/>
          <w:color w:val="000000"/>
          <w:sz w:val="24"/>
        </w:rPr>
        <w:t>Note</w:t>
      </w:r>
      <w:r>
        <w:rPr>
          <w:color w:val="000000"/>
        </w:rPr>
        <w:t xml:space="preserve"> </w:t>
      </w:r>
      <w:r>
        <w:rPr>
          <w:rFonts w:ascii="Times New Roman;serif" w:hAnsi="Times New Roman;serif"/>
          <w:b w:val="false"/>
          <w:color w:val="000000"/>
          <w:sz w:val="24"/>
        </w:rPr>
        <w:t>shall</w:t>
      </w:r>
      <w:r>
        <w:rPr>
          <w:color w:val="000000"/>
        </w:rPr>
        <w:t xml:space="preserve"> </w:t>
      </w:r>
      <w:r>
        <w:rPr>
          <w:rFonts w:ascii="Times New Roman;serif" w:hAnsi="Times New Roman;serif"/>
          <w:b w:val="false"/>
          <w:color w:val="000000"/>
          <w:sz w:val="24"/>
        </w:rPr>
        <w:t>be</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minimum</w:t>
      </w:r>
      <w:r>
        <w:rPr>
          <w:color w:val="000000"/>
        </w:rPr>
        <w:t xml:space="preserve"> </w:t>
      </w:r>
      <w:r>
        <w:rPr>
          <w:rFonts w:ascii="Times New Roman;serif" w:hAnsi="Times New Roman;serif"/>
          <w:b w:val="false"/>
          <w:color w:val="000000"/>
          <w:sz w:val="24"/>
        </w:rPr>
        <w:t>principal</w:t>
      </w:r>
      <w:r>
        <w:rPr>
          <w:color w:val="000000"/>
        </w:rPr>
        <w:t xml:space="preserve"> </w:t>
      </w:r>
      <w:r>
        <w:rPr>
          <w:rFonts w:ascii="Times New Roman;serif" w:hAnsi="Times New Roman;serif"/>
          <w:b w:val="false"/>
          <w:color w:val="000000"/>
          <w:sz w:val="24"/>
        </w:rPr>
        <w:t>amount</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$2,000</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an</w:t>
      </w:r>
      <w:r>
        <w:rPr>
          <w:color w:val="000000"/>
        </w:rPr>
        <w:t xml:space="preserve"> </w:t>
      </w:r>
      <w:r>
        <w:rPr>
          <w:rFonts w:ascii="Times New Roman;serif" w:hAnsi="Times New Roman;serif"/>
          <w:b w:val="false"/>
          <w:color w:val="000000"/>
          <w:sz w:val="24"/>
        </w:rPr>
        <w:t>integral multiple of $1,000 in excess thereof. The Issuer shall provide written notice to the Holders and the Trustee of the results of the Change of Control Offer on or as soon as</w:t>
      </w:r>
      <w:r>
        <w:rPr>
          <w:color w:val="000000"/>
        </w:rPr>
        <w:t xml:space="preserve"> </w:t>
      </w:r>
      <w:r>
        <w:rPr>
          <w:rFonts w:ascii="Times New Roman;serif" w:hAnsi="Times New Roman;serif"/>
          <w:b w:val="false"/>
          <w:color w:val="000000"/>
          <w:sz w:val="24"/>
        </w:rPr>
        <w:t>practicable after the Change of Control Payment Date.</w:t>
      </w:r>
    </w:p>
    <w:p>
      <w:pPr>
        <w:pStyle w:val="TextBody"/>
        <w:bidi w:val="0"/>
        <w:spacing w:lineRule="auto" w:line="240" w:before="0" w:after="240"/>
        <w:ind w:left="0" w:right="0" w:firstLine="720"/>
        <w:jc w:val="both"/>
        <w:rPr/>
      </w:pPr>
      <w:r>
        <w:rPr>
          <w:rFonts w:ascii="Times New Roman;serif" w:hAnsi="Times New Roman;serif"/>
          <w:b w:val="false"/>
          <w:color w:val="000000"/>
          <w:sz w:val="24"/>
        </w:rPr>
        <w:t>(d)</w:t>
      </w:r>
      <w:r>
        <w:rPr>
          <w:rFonts w:ascii="Times New Roman;serif" w:hAnsi="Times New Roman;serif"/>
          <w:b w:val="false"/>
          <w:color w:val="000000"/>
          <w:sz w:val="24"/>
        </w:rPr>
        <w:t xml:space="preserve">Notwithstanding anything to the contrary in this </w:t>
      </w:r>
      <w:r>
        <w:rPr>
          <w:rFonts w:ascii="Times New Roman;serif" w:hAnsi="Times New Roman;serif"/>
          <w:b w:val="false"/>
          <w:color w:val="000000"/>
          <w:sz w:val="24"/>
          <w:u w:val="single"/>
        </w:rPr>
        <w:t>Section 4.08</w:t>
      </w:r>
      <w:r>
        <w:rPr>
          <w:rFonts w:ascii="Times New Roman;serif" w:hAnsi="Times New Roman;serif"/>
          <w:b w:val="false"/>
          <w:color w:val="000000"/>
          <w:sz w:val="24"/>
        </w:rPr>
        <w:t>, the Issuer shall not be required to make a Change of Control Offer upon a</w:t>
      </w:r>
      <w:r>
        <w:rPr>
          <w:color w:val="000000"/>
        </w:rPr>
        <w:t xml:space="preserve"> </w:t>
      </w:r>
      <w:r>
        <w:rPr>
          <w:rFonts w:ascii="Times New Roman;serif" w:hAnsi="Times New Roman;serif"/>
          <w:b w:val="false"/>
          <w:color w:val="000000"/>
          <w:sz w:val="24"/>
        </w:rPr>
        <w:t>Change</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Control</w:t>
      </w:r>
      <w:r>
        <w:rPr>
          <w:color w:val="000000"/>
        </w:rPr>
        <w:t xml:space="preserve"> </w:t>
      </w:r>
      <w:r>
        <w:rPr>
          <w:rFonts w:ascii="Times New Roman;serif" w:hAnsi="Times New Roman;serif"/>
          <w:b w:val="false"/>
          <w:color w:val="000000"/>
          <w:sz w:val="24"/>
        </w:rPr>
        <w:t>Triggering</w:t>
      </w:r>
      <w:r>
        <w:rPr>
          <w:color w:val="000000"/>
        </w:rPr>
        <w:t xml:space="preserve"> </w:t>
      </w:r>
      <w:r>
        <w:rPr>
          <w:rFonts w:ascii="Times New Roman;serif" w:hAnsi="Times New Roman;serif"/>
          <w:b w:val="false"/>
          <w:color w:val="000000"/>
          <w:sz w:val="24"/>
        </w:rPr>
        <w:t>Event</w:t>
      </w:r>
      <w:r>
        <w:rPr>
          <w:color w:val="000000"/>
        </w:rPr>
        <w:t xml:space="preserve"> </w:t>
      </w:r>
      <w:r>
        <w:rPr>
          <w:rFonts w:ascii="Times New Roman;serif" w:hAnsi="Times New Roman;serif"/>
          <w:b w:val="false"/>
          <w:color w:val="000000"/>
          <w:sz w:val="24"/>
        </w:rPr>
        <w:t>if</w:t>
      </w:r>
      <w:r>
        <w:rPr>
          <w:color w:val="000000"/>
        </w:rPr>
        <w:t xml:space="preserve"> </w:t>
      </w:r>
      <w:r>
        <w:rPr>
          <w:rFonts w:ascii="Times New Roman;serif" w:hAnsi="Times New Roman;serif"/>
          <w:b w:val="false"/>
          <w:color w:val="000000"/>
          <w:sz w:val="24"/>
        </w:rPr>
        <w:t>(1)</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third</w:t>
      </w:r>
      <w:r>
        <w:rPr>
          <w:color w:val="000000"/>
        </w:rPr>
        <w:t xml:space="preserve"> </w:t>
      </w:r>
      <w:r>
        <w:rPr>
          <w:rFonts w:ascii="Times New Roman;serif" w:hAnsi="Times New Roman;serif"/>
          <w:b w:val="false"/>
          <w:color w:val="000000"/>
          <w:sz w:val="24"/>
        </w:rPr>
        <w:t>party</w:t>
      </w:r>
      <w:r>
        <w:rPr>
          <w:color w:val="000000"/>
        </w:rPr>
        <w:t xml:space="preserve"> </w:t>
      </w:r>
      <w:r>
        <w:rPr>
          <w:rFonts w:ascii="Times New Roman;serif" w:hAnsi="Times New Roman;serif"/>
          <w:b w:val="false"/>
          <w:color w:val="000000"/>
          <w:sz w:val="24"/>
        </w:rPr>
        <w:t>makes</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Change</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Control</w:t>
      </w:r>
      <w:r>
        <w:rPr>
          <w:color w:val="000000"/>
        </w:rPr>
        <w:t xml:space="preserve"> </w:t>
      </w:r>
      <w:r>
        <w:rPr>
          <w:rFonts w:ascii="Times New Roman;serif" w:hAnsi="Times New Roman;serif"/>
          <w:b w:val="false"/>
          <w:color w:val="000000"/>
          <w:sz w:val="24"/>
        </w:rPr>
        <w:t>Offer in</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manner,</w:t>
      </w:r>
      <w:r>
        <w:rPr>
          <w:color w:val="000000"/>
        </w:rPr>
        <w:t xml:space="preserve"> </w:t>
      </w:r>
      <w:r>
        <w:rPr>
          <w:rFonts w:ascii="Times New Roman;serif" w:hAnsi="Times New Roman;serif"/>
          <w:b w:val="false"/>
          <w:color w:val="000000"/>
          <w:sz w:val="24"/>
        </w:rPr>
        <w:t>at</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times</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 xml:space="preserve">otherwise in compliance with the requirements set forth in this </w:t>
      </w:r>
      <w:r>
        <w:rPr>
          <w:rFonts w:ascii="Times New Roman;serif" w:hAnsi="Times New Roman;serif"/>
          <w:b w:val="false"/>
          <w:color w:val="000000"/>
          <w:sz w:val="24"/>
          <w:u w:val="single"/>
        </w:rPr>
        <w:t>Section 4.08</w:t>
      </w:r>
      <w:r>
        <w:rPr>
          <w:color w:val="000000"/>
        </w:rPr>
        <w:t xml:space="preserve"> </w:t>
      </w:r>
      <w:r>
        <w:rPr>
          <w:rFonts w:ascii="Times New Roman;serif" w:hAnsi="Times New Roman;serif"/>
          <w:b w:val="false"/>
          <w:color w:val="000000"/>
          <w:sz w:val="24"/>
        </w:rPr>
        <w:t>and purchases all such Notes validly tendered and not withdrawn under the</w:t>
      </w:r>
      <w:r>
        <w:rPr>
          <w:color w:val="000000"/>
        </w:rPr>
        <w:t xml:space="preserve"> </w:t>
      </w:r>
      <w:r>
        <w:rPr>
          <w:rFonts w:ascii="Times New Roman;serif" w:hAnsi="Times New Roman;serif"/>
          <w:b w:val="false"/>
          <w:color w:val="000000"/>
          <w:sz w:val="24"/>
        </w:rPr>
        <w:t xml:space="preserve">Change of Control Offer, or (2) notice of redemption with has been previously given or is concurrently given pursuant to </w:t>
      </w:r>
      <w:r>
        <w:rPr>
          <w:rFonts w:ascii="Times New Roman;serif" w:hAnsi="Times New Roman;serif"/>
          <w:b w:val="false"/>
          <w:color w:val="000000"/>
          <w:sz w:val="24"/>
          <w:u w:val="single"/>
        </w:rPr>
        <w:t>Section 3.03</w:t>
      </w:r>
      <w:r>
        <w:rPr>
          <w:color w:val="000000"/>
        </w:rPr>
        <w:t xml:space="preserve"> </w:t>
      </w:r>
      <w:r>
        <w:rPr>
          <w:rFonts w:ascii="Times New Roman;serif" w:hAnsi="Times New Roman;serif"/>
          <w:b w:val="false"/>
          <w:color w:val="000000"/>
          <w:sz w:val="24"/>
        </w:rPr>
        <w:t>hereof, unless and until there is a</w:t>
      </w:r>
      <w:r>
        <w:rPr>
          <w:color w:val="000000"/>
        </w:rPr>
        <w:t xml:space="preserve"> </w:t>
      </w:r>
      <w:r>
        <w:rPr>
          <w:rFonts w:ascii="Times New Roman;serif" w:hAnsi="Times New Roman;serif"/>
          <w:b w:val="false"/>
          <w:color w:val="000000"/>
          <w:sz w:val="24"/>
        </w:rPr>
        <w:t>default</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payment</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applicable</w:t>
      </w:r>
      <w:r>
        <w:rPr>
          <w:color w:val="000000"/>
        </w:rPr>
        <w:t xml:space="preserve"> </w:t>
      </w:r>
      <w:r>
        <w:rPr>
          <w:rFonts w:ascii="Times New Roman;serif" w:hAnsi="Times New Roman;serif"/>
          <w:b w:val="false"/>
          <w:color w:val="000000"/>
          <w:sz w:val="24"/>
        </w:rPr>
        <w:t>redemption</w:t>
      </w:r>
      <w:r>
        <w:rPr>
          <w:color w:val="000000"/>
        </w:rPr>
        <w:t xml:space="preserve"> </w:t>
      </w:r>
      <w:r>
        <w:rPr>
          <w:rFonts w:ascii="Times New Roman;serif" w:hAnsi="Times New Roman;serif"/>
          <w:b w:val="false"/>
          <w:color w:val="000000"/>
          <w:sz w:val="24"/>
        </w:rPr>
        <w:t>price.</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Change</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Control</w:t>
      </w:r>
      <w:r>
        <w:rPr>
          <w:color w:val="000000"/>
        </w:rPr>
        <w:t xml:space="preserve"> </w:t>
      </w:r>
      <w:r>
        <w:rPr>
          <w:rFonts w:ascii="Times New Roman;serif" w:hAnsi="Times New Roman;serif"/>
          <w:b w:val="false"/>
          <w:color w:val="000000"/>
          <w:sz w:val="24"/>
        </w:rPr>
        <w:t>Offer</w:t>
      </w:r>
      <w:r>
        <w:rPr>
          <w:color w:val="000000"/>
        </w:rPr>
        <w:t xml:space="preserve"> </w:t>
      </w:r>
      <w:r>
        <w:rPr>
          <w:rFonts w:ascii="Times New Roman;serif" w:hAnsi="Times New Roman;serif"/>
          <w:b w:val="false"/>
          <w:color w:val="000000"/>
          <w:sz w:val="24"/>
        </w:rPr>
        <w:t>may</w:t>
      </w:r>
      <w:r>
        <w:rPr>
          <w:color w:val="000000"/>
        </w:rPr>
        <w:t xml:space="preserve"> </w:t>
      </w:r>
      <w:r>
        <w:rPr>
          <w:rFonts w:ascii="Times New Roman;serif" w:hAnsi="Times New Roman;serif"/>
          <w:b w:val="false"/>
          <w:color w:val="000000"/>
          <w:sz w:val="24"/>
        </w:rPr>
        <w:t>be</w:t>
      </w:r>
      <w:r>
        <w:rPr>
          <w:color w:val="000000"/>
        </w:rPr>
        <w:t xml:space="preserve"> </w:t>
      </w:r>
      <w:r>
        <w:rPr>
          <w:rFonts w:ascii="Times New Roman;serif" w:hAnsi="Times New Roman;serif"/>
          <w:b w:val="false"/>
          <w:color w:val="000000"/>
          <w:sz w:val="24"/>
        </w:rPr>
        <w:t>made</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advance</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Change</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Control</w:t>
      </w:r>
      <w:r>
        <w:rPr>
          <w:color w:val="000000"/>
        </w:rPr>
        <w:t xml:space="preserve"> </w:t>
      </w:r>
      <w:r>
        <w:rPr>
          <w:rFonts w:ascii="Times New Roman;serif" w:hAnsi="Times New Roman;serif"/>
          <w:b w:val="false"/>
          <w:color w:val="000000"/>
          <w:sz w:val="24"/>
        </w:rPr>
        <w:t>Triggering</w:t>
      </w:r>
      <w:r>
        <w:rPr>
          <w:color w:val="000000"/>
        </w:rPr>
        <w:t xml:space="preserve"> </w:t>
      </w:r>
      <w:r>
        <w:rPr>
          <w:rFonts w:ascii="Times New Roman;serif" w:hAnsi="Times New Roman;serif"/>
          <w:b w:val="false"/>
          <w:color w:val="000000"/>
          <w:sz w:val="24"/>
        </w:rPr>
        <w:t>Event,</w:t>
      </w:r>
      <w:r>
        <w:rPr>
          <w:color w:val="000000"/>
        </w:rPr>
        <w:t xml:space="preserve"> </w:t>
      </w:r>
      <w:r>
        <w:rPr>
          <w:rFonts w:ascii="Times New Roman;serif" w:hAnsi="Times New Roman;serif"/>
          <w:b w:val="false"/>
          <w:color w:val="000000"/>
          <w:sz w:val="24"/>
        </w:rPr>
        <w:t>with</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obligation to pay and the timing of payment conditioned upon the occurrence of a Change of Control Triggering Event, if a definitive agreement to effect a</w:t>
      </w:r>
      <w:r>
        <w:rPr>
          <w:color w:val="000000"/>
        </w:rPr>
        <w:t xml:space="preserve"> </w:t>
      </w:r>
      <w:r>
        <w:rPr>
          <w:rFonts w:ascii="Times New Roman;serif" w:hAnsi="Times New Roman;serif"/>
          <w:b w:val="false"/>
          <w:color w:val="000000"/>
          <w:sz w:val="24"/>
        </w:rPr>
        <w:t>Change of Control is in place at the time the Change of Control Offer is made.</w:t>
      </w:r>
    </w:p>
    <w:p>
      <w:pPr>
        <w:pStyle w:val="TextBody"/>
        <w:bidi w:val="0"/>
        <w:spacing w:lineRule="auto" w:line="240" w:before="0" w:after="240"/>
        <w:ind w:left="0" w:right="0" w:firstLine="720"/>
        <w:jc w:val="both"/>
        <w:rPr/>
      </w:pPr>
      <w:r>
        <w:rPr>
          <w:rFonts w:ascii="Times New Roman;serif" w:hAnsi="Times New Roman;serif"/>
          <w:b w:val="false"/>
          <w:color w:val="000000"/>
          <w:sz w:val="24"/>
        </w:rPr>
        <w:t>(e)</w:t>
      </w:r>
      <w:r>
        <w:rPr>
          <w:rFonts w:ascii="Times New Roman;serif" w:hAnsi="Times New Roman;serif"/>
          <w:b w:val="false"/>
          <w:color w:val="000000"/>
          <w:sz w:val="24"/>
        </w:rPr>
        <w:t>A Change of Control Offer may be made at the same time as consents are solicited with respect to an amendment, supplement or waiver of this Indenture, the Notes and/or the Subsidiary Guarantees (but the Change of Control Offer may not condition tenders on the delivery of such consents). In addition, the Issuer or any third party that is making the Change of Control Offer may, subject to Applicable Law, increase the Change of Control Payment being offered to Holders at any time in its sole discretion.</w:t>
      </w:r>
    </w:p>
    <w:p>
      <w:pPr>
        <w:pStyle w:val="TextBody"/>
        <w:bidi w:val="0"/>
        <w:spacing w:before="0" w:after="0"/>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735965"/>
                <wp:effectExtent l="0" t="0" r="0" b="0"/>
                <wp:wrapNone/>
                <wp:docPr id="109" name="Frame109"/>
                <a:graphic xmlns:a="http://schemas.openxmlformats.org/drawingml/2006/main">
                  <a:graphicData uri="http://schemas.microsoft.com/office/word/2010/wordprocessingShape">
                    <wps:wsp>
                      <wps:cNvSpPr txBox="1"/>
                      <wps:spPr>
                        <a:xfrm>
                          <a:off x="0" y="0"/>
                          <a:ext cx="6480175" cy="7359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61</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61</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center"/>
        <w:rPr/>
      </w:pPr>
      <w:r>
        <w:rPr>
          <w:rFonts w:ascii="Times New Roman;serif" w:hAnsi="Times New Roman;serif"/>
          <w:b w:val="false"/>
          <w:color w:val="000000"/>
          <w:sz w:val="24"/>
        </w:rPr>
        <w:t>Article 5</w:t>
      </w:r>
      <w:r>
        <w:rPr>
          <w:rFonts w:ascii="Times New Roman;serif" w:hAnsi="Times New Roman;serif"/>
          <w:b w:val="false"/>
          <w:color w:val="000000"/>
          <w:sz w:val="24"/>
        </w:rPr>
        <w:br/>
        <w:t>SUCCESSORS</w:t>
      </w:r>
    </w:p>
    <w:p>
      <w:pPr>
        <w:pStyle w:val="TextBody"/>
        <w:bidi w:val="0"/>
        <w:spacing w:lineRule="auto" w:line="300" w:before="0" w:after="240"/>
        <w:jc w:val="left"/>
        <w:rPr/>
      </w:pPr>
      <w:r>
        <w:rPr>
          <w:rFonts w:ascii="Times New Roman;serif" w:hAnsi="Times New Roman;serif"/>
          <w:b w:val="false"/>
          <w:color w:val="000000"/>
          <w:sz w:val="24"/>
        </w:rPr>
        <w:t>Section 5.01</w:t>
      </w:r>
      <w:r>
        <w:rPr>
          <w:rFonts w:ascii="Times New Roman;serif" w:hAnsi="Times New Roman;serif"/>
          <w:b w:val="false"/>
          <w:color w:val="000000"/>
          <w:sz w:val="24"/>
          <w:u w:val="single"/>
        </w:rPr>
        <w:t>Issuer</w:t>
      </w:r>
      <w:r>
        <w:rPr>
          <w:rFonts w:ascii="Times New Roman;serif" w:hAnsi="Times New Roman;serif"/>
          <w:b w:val="false"/>
          <w:color w:val="000000"/>
          <w:sz w:val="24"/>
        </w:rPr>
        <w:t>.</w:t>
      </w:r>
    </w:p>
    <w:p>
      <w:pPr>
        <w:pStyle w:val="TextBody"/>
        <w:bidi w:val="0"/>
        <w:spacing w:lineRule="auto" w:line="30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rPr>
        <w:t>The Issuer may not, directly or indirectly: (i) consolidate or merge with or into another Person (whether or not the Issuer is the surviving corporation); or (ii) sell, assign, transfer, convey, lease or otherwise dispose of all or substantially all of the properties or assets of the Issuer and its Subsidiaries taken as a whole, in one or more related transactions, to another Person; unless:</w:t>
      </w:r>
    </w:p>
    <w:p>
      <w:pPr>
        <w:pStyle w:val="TextBody"/>
        <w:bidi w:val="0"/>
        <w:spacing w:lineRule="auto" w:line="30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(1)either:</w:t>
      </w:r>
    </w:p>
    <w:p>
      <w:pPr>
        <w:pStyle w:val="TextBody"/>
        <w:bidi w:val="0"/>
        <w:spacing w:lineRule="auto" w:line="300"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(A)the Issuer is the surviving entity; or</w:t>
      </w:r>
    </w:p>
    <w:p>
      <w:pPr>
        <w:pStyle w:val="TextBody"/>
        <w:bidi w:val="0"/>
        <w:spacing w:lineRule="auto" w:line="300" w:before="0" w:after="240"/>
        <w:ind w:left="0" w:right="0" w:firstLine="720"/>
        <w:jc w:val="both"/>
        <w:rPr/>
      </w:pPr>
      <w:r>
        <w:rPr>
          <w:rFonts w:ascii="Times New Roman;serif" w:hAnsi="Times New Roman;serif"/>
          <w:b w:val="false"/>
          <w:color w:val="000000"/>
          <w:sz w:val="24"/>
        </w:rPr>
        <w:t>(B)the Person formed by or surviving any such consolidation or merger (if other than the Issuer) or to which such sale, assignment, transfer, conveyance, lease or other disposition has been made is an entity organized or existing under the laws of the United States, any state thereof or the District of Columbia (such Person, as the case may be, being herein called the “</w:t>
      </w:r>
      <w:r>
        <w:rPr>
          <w:rFonts w:ascii="Times New Roman;serif" w:hAnsi="Times New Roman;serif"/>
          <w:b w:val="false"/>
          <w:i/>
          <w:color w:val="000000"/>
          <w:sz w:val="24"/>
        </w:rPr>
        <w:t>Successor Issuer</w:t>
      </w:r>
      <w:r>
        <w:rPr>
          <w:color w:val="000000"/>
        </w:rPr>
        <w:t>”</w:t>
      </w:r>
      <w:r>
        <w:rPr>
          <w:rFonts w:ascii="Times New Roman;serif" w:hAnsi="Times New Roman;serif"/>
          <w:b w:val="false"/>
          <w:color w:val="000000"/>
          <w:sz w:val="24"/>
        </w:rPr>
        <w:t>);</w:t>
      </w:r>
    </w:p>
    <w:p>
      <w:pPr>
        <w:pStyle w:val="TextBody"/>
        <w:bidi w:val="0"/>
        <w:spacing w:lineRule="auto" w:line="30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(2)the Successor Issuer (if other than the Issuer) expressly assumes all the Obligations of the Issuer under this Indenture and the Notes; and</w:t>
      </w:r>
    </w:p>
    <w:p>
      <w:pPr>
        <w:pStyle w:val="TextBody"/>
        <w:bidi w:val="0"/>
        <w:spacing w:lineRule="auto" w:line="30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(3)immediately after such transaction, no Event of Default exists.</w:t>
      </w:r>
    </w:p>
    <w:p>
      <w:pPr>
        <w:pStyle w:val="TextBody"/>
        <w:bidi w:val="0"/>
        <w:spacing w:lineRule="auto" w:line="30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rPr>
        <w:t xml:space="preserve">The sale, assignment, transfer, conveyance, lease or other disposition of any or all of the Susquehanna Assets (other than a transaction that complies with </w:t>
      </w:r>
      <w:r>
        <w:rPr>
          <w:rFonts w:ascii="Times New Roman;serif" w:hAnsi="Times New Roman;serif"/>
          <w:b w:val="false"/>
          <w:color w:val="000000"/>
          <w:sz w:val="24"/>
          <w:u w:val="single"/>
        </w:rPr>
        <w:t>Section 4.05</w:t>
      </w:r>
      <w:r>
        <w:rPr>
          <w:rFonts w:ascii="Times New Roman;serif" w:hAnsi="Times New Roman;serif"/>
          <w:b w:val="false"/>
          <w:color w:val="000000"/>
          <w:sz w:val="24"/>
        </w:rPr>
        <w:t>) shall constitute the sale of “all or substantially all” of the assets of the Issuer and its Subsidiaries.</w:t>
      </w:r>
    </w:p>
    <w:p>
      <w:pPr>
        <w:pStyle w:val="TextBody"/>
        <w:bidi w:val="0"/>
        <w:spacing w:lineRule="auto" w:line="300" w:before="0" w:after="240"/>
        <w:jc w:val="left"/>
        <w:rPr/>
      </w:pPr>
      <w:r>
        <w:rPr>
          <w:rFonts w:ascii="Times New Roman;serif" w:hAnsi="Times New Roman;serif"/>
          <w:b w:val="false"/>
          <w:color w:val="000000"/>
          <w:sz w:val="24"/>
        </w:rPr>
        <w:t>Section 5.02</w:t>
      </w:r>
      <w:r>
        <w:rPr>
          <w:rFonts w:ascii="Times New Roman;serif" w:hAnsi="Times New Roman;serif"/>
          <w:b w:val="false"/>
          <w:color w:val="000000"/>
          <w:sz w:val="24"/>
          <w:u w:val="single"/>
        </w:rPr>
        <w:t>Subsidiary Guarantors</w:t>
      </w:r>
      <w:r>
        <w:rPr>
          <w:rFonts w:ascii="Times New Roman;serif" w:hAnsi="Times New Roman;serif"/>
          <w:b w:val="false"/>
          <w:color w:val="000000"/>
          <w:sz w:val="24"/>
        </w:rPr>
        <w:t>.</w:t>
      </w:r>
    </w:p>
    <w:p>
      <w:pPr>
        <w:pStyle w:val="TextBody"/>
        <w:bidi w:val="0"/>
        <w:spacing w:lineRule="auto" w:line="30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rPr>
        <w:t xml:space="preserve">Subject to </w:t>
      </w:r>
      <w:r>
        <w:rPr>
          <w:rFonts w:ascii="Times New Roman;serif" w:hAnsi="Times New Roman;serif"/>
          <w:b w:val="false"/>
          <w:color w:val="000000"/>
          <w:sz w:val="24"/>
          <w:u w:val="single"/>
        </w:rPr>
        <w:t>Section 11.03</w:t>
      </w:r>
      <w:r>
        <w:rPr>
          <w:rFonts w:ascii="Times New Roman;serif" w:hAnsi="Times New Roman;serif"/>
          <w:b w:val="false"/>
          <w:color w:val="000000"/>
          <w:sz w:val="24"/>
        </w:rPr>
        <w:t>, no Subsidiary Guarantor may, directly or indirectly: (1) consolidate or merge with or into another Person (whether or not such Subsidiary Guarantor is the surviving corporation) or (2) sell, assign, transfer, convey or otherwise dispose of all or substantially all of its properties or assets, in one or more related transactions, to another Person (in each case other than the Issuer or another Subsidiary Guarantor); unless:</w:t>
      </w:r>
    </w:p>
    <w:p>
      <w:pPr>
        <w:pStyle w:val="TextBody"/>
        <w:bidi w:val="0"/>
        <w:spacing w:lineRule="auto" w:line="30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(1)either:</w:t>
      </w:r>
    </w:p>
    <w:p>
      <w:pPr>
        <w:pStyle w:val="TextBody"/>
        <w:bidi w:val="0"/>
        <w:spacing w:lineRule="auto" w:line="300" w:before="0" w:after="240"/>
        <w:ind w:left="0" w:right="0" w:firstLine="720"/>
        <w:jc w:val="both"/>
        <w:rPr/>
      </w:pP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 xml:space="preserve">such Subsidiary Guarantor is the surviving entity or </w:t>
      </w:r>
    </w:p>
    <w:p>
      <w:pPr>
        <w:pStyle w:val="TextBody"/>
        <w:bidi w:val="0"/>
        <w:spacing w:lineRule="auto" w:line="30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(B)the Person formed by or surviving any such consolidation or merger (if other than such Subsidiary Guarantor) or to which such sale, </w:t>
      </w:r>
    </w:p>
    <w:p>
      <w:pPr>
        <w:pStyle w:val="TextBody"/>
        <w:bidi w:val="0"/>
        <w:spacing w:before="0" w:after="0"/>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735965"/>
                <wp:effectExtent l="0" t="0" r="0" b="0"/>
                <wp:wrapNone/>
                <wp:docPr id="110" name="Frame110"/>
                <a:graphic xmlns:a="http://schemas.openxmlformats.org/drawingml/2006/main">
                  <a:graphicData uri="http://schemas.microsoft.com/office/word/2010/wordprocessingShape">
                    <wps:wsp>
                      <wps:cNvSpPr txBox="1"/>
                      <wps:spPr>
                        <a:xfrm>
                          <a:off x="0" y="0"/>
                          <a:ext cx="6480175" cy="7359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62</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62</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300" w:before="0" w:after="240"/>
        <w:jc w:val="both"/>
        <w:rPr/>
      </w:pPr>
      <w:r>
        <w:rPr>
          <w:rFonts w:ascii="Times New Roman;serif" w:hAnsi="Times New Roman;serif"/>
          <w:b w:val="false"/>
          <w:color w:val="000000"/>
          <w:sz w:val="24"/>
        </w:rPr>
        <w:t>assignment, transfer, conveyance or other disposition has been made is an entity organized or existing under the laws of the United States, any state thereof, or the District of Columbia (such Person, as the case may be, being herein called the “</w:t>
      </w:r>
      <w:r>
        <w:rPr>
          <w:rFonts w:ascii="Times New Roman;serif" w:hAnsi="Times New Roman;serif"/>
          <w:b w:val="false"/>
          <w:i/>
          <w:color w:val="000000"/>
          <w:sz w:val="24"/>
        </w:rPr>
        <w:t>Successor Subsidiary Guarantor</w:t>
      </w:r>
      <w:r>
        <w:rPr>
          <w:color w:val="000000"/>
        </w:rPr>
        <w:t>”</w:t>
      </w:r>
      <w:r>
        <w:rPr>
          <w:rFonts w:ascii="Times New Roman;serif" w:hAnsi="Times New Roman;serif"/>
          <w:b w:val="false"/>
          <w:color w:val="000000"/>
          <w:sz w:val="24"/>
        </w:rPr>
        <w:t>);</w:t>
      </w:r>
    </w:p>
    <w:p>
      <w:pPr>
        <w:pStyle w:val="TextBody"/>
        <w:bidi w:val="0"/>
        <w:spacing w:lineRule="auto" w:line="30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(2)the Successor Subsidiary Guarantor assumes all the Obligations of such Subsidiary Guarantor under this Indenture and the applicable Notes; and</w:t>
      </w:r>
    </w:p>
    <w:p>
      <w:pPr>
        <w:pStyle w:val="TextBody"/>
        <w:bidi w:val="0"/>
        <w:spacing w:lineRule="auto" w:line="30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(3)immediately after such transaction, no Event of Default exists.</w:t>
      </w:r>
    </w:p>
    <w:p>
      <w:pPr>
        <w:pStyle w:val="TextBody"/>
        <w:bidi w:val="0"/>
        <w:spacing w:lineRule="auto" w:line="300" w:before="0" w:after="240"/>
        <w:jc w:val="both"/>
        <w:rPr/>
      </w:pPr>
      <w:r>
        <w:rPr>
          <w:rFonts w:ascii="Times New Roman;serif" w:hAnsi="Times New Roman;serif"/>
          <w:b w:val="false"/>
          <w:color w:val="000000"/>
          <w:sz w:val="24"/>
        </w:rPr>
        <w:t>Section 5.03</w:t>
      </w:r>
      <w:r>
        <w:rPr>
          <w:rFonts w:ascii="Times New Roman;serif" w:hAnsi="Times New Roman;serif"/>
          <w:b w:val="false"/>
          <w:color w:val="000000"/>
          <w:sz w:val="24"/>
          <w:u w:val="single"/>
        </w:rPr>
        <w:t>Application</w:t>
      </w:r>
      <w:r>
        <w:rPr>
          <w:rFonts w:ascii="Times New Roman;serif" w:hAnsi="Times New Roman;serif"/>
          <w:b w:val="false"/>
          <w:color w:val="000000"/>
          <w:sz w:val="24"/>
        </w:rPr>
        <w:t>.</w:t>
      </w:r>
    </w:p>
    <w:p>
      <w:pPr>
        <w:pStyle w:val="TextBody"/>
        <w:bidi w:val="0"/>
        <w:spacing w:lineRule="auto" w:line="30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rPr>
        <w:t xml:space="preserve">This </w:t>
      </w:r>
      <w:r>
        <w:rPr>
          <w:rFonts w:ascii="Times New Roman;serif" w:hAnsi="Times New Roman;serif"/>
          <w:b w:val="false"/>
          <w:color w:val="000000"/>
          <w:sz w:val="24"/>
          <w:u w:val="single"/>
        </w:rPr>
        <w:t>Article 5</w:t>
      </w:r>
      <w:r>
        <w:rPr>
          <w:color w:val="000000"/>
        </w:rPr>
        <w:t xml:space="preserve"> </w:t>
      </w:r>
      <w:r>
        <w:rPr>
          <w:rFonts w:ascii="Times New Roman;serif" w:hAnsi="Times New Roman;serif"/>
          <w:b w:val="false"/>
          <w:color w:val="000000"/>
          <w:sz w:val="24"/>
        </w:rPr>
        <w:t>will not apply to:</w:t>
      </w:r>
    </w:p>
    <w:p>
      <w:pPr>
        <w:pStyle w:val="TextBody"/>
        <w:bidi w:val="0"/>
        <w:spacing w:lineRule="auto" w:line="30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(1)a merger, amalgamation or consolidation solely for the purpose of reincorporating or reorganizing the Issuer or any Subsidiary Guarantor in another jurisdiction or forming a direct or indirect holding company of the Issuer; </w:t>
      </w:r>
    </w:p>
    <w:p>
      <w:pPr>
        <w:pStyle w:val="TextBody"/>
        <w:bidi w:val="0"/>
        <w:spacing w:lineRule="auto" w:line="30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(2)any sale, transfer, assignment, conveyance, lease or other disposition of assets between or among the Issuer and its Subsidiaries, including by way of merger or consolidation; </w:t>
      </w:r>
    </w:p>
    <w:p>
      <w:pPr>
        <w:pStyle w:val="TextBody"/>
        <w:bidi w:val="0"/>
        <w:spacing w:lineRule="auto" w:line="30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(3)any Permitted Reorganization Transaction, any Permitted Spin-Out Transaction, any IPO Reorganization Transaction, the IPOCo Transactions and the Transactions;</w:t>
      </w:r>
    </w:p>
    <w:p>
      <w:pPr>
        <w:pStyle w:val="TextBody"/>
        <w:bidi w:val="0"/>
        <w:spacing w:lineRule="auto" w:line="30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(4)a merger, amalgamation or consolidation of a Subsidiary Guarantor with or into the Issuer or another Subsidiary Guarantor; and</w:t>
      </w:r>
    </w:p>
    <w:p>
      <w:pPr>
        <w:pStyle w:val="TextBody"/>
        <w:bidi w:val="0"/>
        <w:spacing w:lineRule="auto" w:line="30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(5)any sale, transfer, assignment, conveyance or other disposition of the property of a Subsidiary Guarantor as an entirety or substantially as an entirety to the Issuer or another Subsidiary Guarantor.</w:t>
      </w:r>
    </w:p>
    <w:p>
      <w:pPr>
        <w:pStyle w:val="TextBody"/>
        <w:bidi w:val="0"/>
        <w:spacing w:lineRule="auto" w:line="300" w:before="0" w:after="240"/>
        <w:jc w:val="both"/>
        <w:rPr/>
      </w:pPr>
      <w:r>
        <w:rPr>
          <w:rFonts w:ascii="Times New Roman;serif" w:hAnsi="Times New Roman;serif"/>
          <w:b w:val="false"/>
          <w:color w:val="000000"/>
          <w:sz w:val="24"/>
        </w:rPr>
        <w:t>Section 5.04</w:t>
      </w:r>
      <w:r>
        <w:rPr>
          <w:rFonts w:ascii="Times New Roman;serif" w:hAnsi="Times New Roman;serif"/>
          <w:b w:val="false"/>
          <w:color w:val="000000"/>
          <w:sz w:val="24"/>
          <w:u w:val="single"/>
        </w:rPr>
        <w:t>Substitution</w:t>
      </w:r>
      <w:r>
        <w:rPr>
          <w:rFonts w:ascii="Times New Roman;serif" w:hAnsi="Times New Roman;serif"/>
          <w:b w:val="false"/>
          <w:color w:val="000000"/>
          <w:sz w:val="24"/>
        </w:rPr>
        <w:t>.</w:t>
      </w:r>
    </w:p>
    <w:p>
      <w:pPr>
        <w:pStyle w:val="TextBody"/>
        <w:bidi w:val="0"/>
        <w:spacing w:lineRule="auto" w:line="300" w:before="0" w:after="240"/>
        <w:ind w:left="0" w:right="0" w:firstLine="720"/>
        <w:jc w:val="both"/>
        <w:rPr/>
      </w:pPr>
      <w:r>
        <w:rPr>
          <w:rFonts w:ascii="Times New Roman;serif" w:hAnsi="Times New Roman;serif"/>
          <w:b w:val="false"/>
          <w:color w:val="000000"/>
          <w:sz w:val="24"/>
        </w:rPr>
        <w:t xml:space="preserve">Upon any transaction that is subject to, and that complies with the provisions of, </w:t>
      </w:r>
      <w:r>
        <w:rPr>
          <w:rFonts w:ascii="Times New Roman;serif" w:hAnsi="Times New Roman;serif"/>
          <w:b w:val="false"/>
          <w:color w:val="000000"/>
          <w:sz w:val="24"/>
          <w:u w:val="single"/>
        </w:rPr>
        <w:t>Section 5.01</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Section 5.02</w:t>
      </w:r>
      <w:r>
        <w:rPr>
          <w:color w:val="000000"/>
        </w:rPr>
        <w:t xml:space="preserve"> </w:t>
      </w:r>
      <w:r>
        <w:rPr>
          <w:rFonts w:ascii="Times New Roman;serif" w:hAnsi="Times New Roman;serif"/>
          <w:b w:val="false"/>
          <w:color w:val="000000"/>
          <w:sz w:val="24"/>
        </w:rPr>
        <w:t xml:space="preserve">hereof, the Successor Issuer or Successor Subsidiary Guarantor, as applicable, shall succeed to, and be substituted for (so that from and after the date of such consolidation, merger, sale, lease, conveyance or other disposition, the provisions of this Indenture referring to the “Issuer” or the “Subsidiary Guarantor”, as applicable, shall refer instead to the Successor Issuer (and not to the Issuer) or the Successor Subsidiary Guarantor (and not to the Subsidiary Guarantor), as applicable), and may exercise every right and power of the Issuer or Subsidiary Guarantor, as applicable, under this Indenture with the same effect as if the Successor Issuer or Successor Subsidiary Guarantor, as applicable, had been named as the Issuer </w:t>
      </w:r>
    </w:p>
    <w:p>
      <w:pPr>
        <w:pStyle w:val="TextBody"/>
        <w:bidi w:val="0"/>
        <w:spacing w:before="0" w:after="0"/>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735965"/>
                <wp:effectExtent l="0" t="0" r="0" b="0"/>
                <wp:wrapNone/>
                <wp:docPr id="111" name="Frame111"/>
                <a:graphic xmlns:a="http://schemas.openxmlformats.org/drawingml/2006/main">
                  <a:graphicData uri="http://schemas.microsoft.com/office/word/2010/wordprocessingShape">
                    <wps:wsp>
                      <wps:cNvSpPr txBox="1"/>
                      <wps:spPr>
                        <a:xfrm>
                          <a:off x="0" y="0"/>
                          <a:ext cx="6480175" cy="7359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63</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63</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300" w:before="0" w:after="240"/>
        <w:jc w:val="both"/>
        <w:rPr/>
      </w:pPr>
      <w:r>
        <w:rPr>
          <w:rFonts w:ascii="Times New Roman;serif" w:hAnsi="Times New Roman;serif"/>
          <w:b w:val="false"/>
          <w:color w:val="000000"/>
          <w:sz w:val="24"/>
        </w:rPr>
        <w:t xml:space="preserve">or Subsidiary Guarantor, as applicable, herein;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w:t>
      </w:r>
      <w:r>
        <w:rPr>
          <w:rFonts w:ascii="Times New Roman;serif" w:hAnsi="Times New Roman;serif"/>
          <w:b w:val="false"/>
          <w:i/>
          <w:color w:val="000000"/>
          <w:sz w:val="24"/>
        </w:rPr>
        <w:t>however</w:t>
      </w:r>
      <w:r>
        <w:rPr>
          <w:rFonts w:ascii="Times New Roman;serif" w:hAnsi="Times New Roman;serif"/>
          <w:b w:val="false"/>
          <w:color w:val="000000"/>
          <w:sz w:val="24"/>
        </w:rPr>
        <w:t xml:space="preserve">, that the predecessor Issuer shall not be relieved from the obligation to pay the principal of, interest, premium (if any) on the Notes except in the case of a sale of all of the Issuer’s assets in a transaction that is subject to, and that complies with the provisions of, </w:t>
      </w:r>
      <w:r>
        <w:rPr>
          <w:rFonts w:ascii="Times New Roman;serif" w:hAnsi="Times New Roman;serif"/>
          <w:b w:val="false"/>
          <w:color w:val="000000"/>
          <w:sz w:val="24"/>
          <w:u w:val="single"/>
        </w:rPr>
        <w:t>Section 5.01</w:t>
      </w:r>
      <w:r>
        <w:rPr>
          <w:color w:val="000000"/>
        </w:rPr>
        <w:t xml:space="preserve"> </w:t>
      </w:r>
      <w:r>
        <w:rPr>
          <w:rFonts w:ascii="Times New Roman;serif" w:hAnsi="Times New Roman;serif"/>
          <w:b w:val="false"/>
          <w:color w:val="000000"/>
          <w:sz w:val="24"/>
        </w:rPr>
        <w:t>hereof.</w:t>
      </w:r>
    </w:p>
    <w:p>
      <w:pPr>
        <w:pStyle w:val="TextBody"/>
        <w:bidi w:val="0"/>
        <w:spacing w:lineRule="auto" w:line="240" w:before="0" w:after="240"/>
        <w:jc w:val="center"/>
        <w:rPr/>
      </w:pPr>
      <w:r>
        <w:rPr>
          <w:rFonts w:ascii="Times New Roman;serif" w:hAnsi="Times New Roman;serif"/>
          <w:b w:val="false"/>
          <w:color w:val="000000"/>
          <w:sz w:val="24"/>
        </w:rPr>
        <w:t>Article 6</w:t>
      </w:r>
      <w:r>
        <w:rPr>
          <w:rFonts w:ascii="Times New Roman;serif" w:hAnsi="Times New Roman;serif"/>
          <w:b w:val="false"/>
          <w:color w:val="000000"/>
          <w:sz w:val="24"/>
        </w:rPr>
        <w:br/>
        <w:t>DEFAULTS AND REMEDIES</w:t>
      </w:r>
    </w:p>
    <w:p>
      <w:pPr>
        <w:pStyle w:val="TextBody"/>
        <w:bidi w:val="0"/>
        <w:spacing w:lineRule="auto" w:line="240" w:before="0" w:after="240"/>
        <w:jc w:val="left"/>
        <w:rPr/>
      </w:pPr>
      <w:r>
        <w:rPr>
          <w:rFonts w:ascii="Times New Roman;serif" w:hAnsi="Times New Roman;serif"/>
          <w:b w:val="false"/>
          <w:color w:val="000000"/>
          <w:sz w:val="24"/>
        </w:rPr>
        <w:t>Section 6.01</w:t>
      </w:r>
      <w:r>
        <w:rPr>
          <w:rFonts w:ascii="Times New Roman;serif" w:hAnsi="Times New Roman;serif"/>
          <w:b w:val="false"/>
          <w:color w:val="000000"/>
          <w:sz w:val="24"/>
          <w:u w:val="single"/>
        </w:rPr>
        <w:t>Events of Default</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rFonts w:ascii="Times New Roman;serif" w:hAnsi="Times New Roman;serif"/>
          <w:b w:val="false"/>
          <w:color w:val="000000"/>
          <w:sz w:val="24"/>
        </w:rPr>
        <w:t>Each of the following is an “</w:t>
      </w:r>
      <w:r>
        <w:rPr>
          <w:rFonts w:ascii="Times New Roman;serif" w:hAnsi="Times New Roman;serif"/>
          <w:b w:val="false"/>
          <w:i/>
          <w:color w:val="000000"/>
          <w:sz w:val="24"/>
        </w:rPr>
        <w:t>Event of Default</w:t>
      </w:r>
      <w:r>
        <w:rPr>
          <w:color w:val="000000"/>
        </w:rPr>
        <w:t xml:space="preserve">” </w:t>
      </w:r>
      <w:r>
        <w:rPr>
          <w:rFonts w:ascii="Times New Roman;serif" w:hAnsi="Times New Roman;serif"/>
          <w:b w:val="false"/>
          <w:color w:val="000000"/>
          <w:sz w:val="24"/>
        </w:rPr>
        <w:t>with respect to the Notes:</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(1)default for 30 days in the payment when due of interest on the Notes;</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(2)default in payment when due of the principal of, or premium, if any, on the Notes;</w:t>
      </w:r>
    </w:p>
    <w:p>
      <w:pPr>
        <w:pStyle w:val="TextBody"/>
        <w:bidi w:val="0"/>
        <w:spacing w:lineRule="auto" w:line="240" w:before="0" w:after="240"/>
        <w:ind w:left="0" w:right="0" w:firstLine="720"/>
        <w:jc w:val="both"/>
        <w:rPr/>
      </w:pPr>
      <w:r>
        <w:rPr>
          <w:rFonts w:ascii="Times New Roman;serif" w:hAnsi="Times New Roman;serif"/>
          <w:b w:val="false"/>
          <w:color w:val="000000"/>
          <w:sz w:val="24"/>
        </w:rPr>
        <w:t xml:space="preserve">(3)failure by the Issuer or a Subsidiary Guarantor to comply with any covenant in this Indenture (other than a default specified in clause (1) or (2) of this </w:t>
      </w:r>
      <w:r>
        <w:rPr>
          <w:rFonts w:ascii="Times New Roman;serif" w:hAnsi="Times New Roman;serif"/>
          <w:b w:val="false"/>
          <w:color w:val="000000"/>
          <w:sz w:val="24"/>
          <w:u w:val="single"/>
        </w:rPr>
        <w:t>Section 6.01</w:t>
      </w:r>
      <w:r>
        <w:rPr>
          <w:rFonts w:ascii="Times New Roman;serif" w:hAnsi="Times New Roman;serif"/>
          <w:b w:val="false"/>
          <w:color w:val="000000"/>
          <w:sz w:val="24"/>
        </w:rPr>
        <w:t xml:space="preserve">) for 60 days (or 120 days in the case of </w:t>
      </w:r>
      <w:r>
        <w:rPr>
          <w:rFonts w:ascii="Times New Roman;serif" w:hAnsi="Times New Roman;serif"/>
          <w:b w:val="false"/>
          <w:color w:val="000000"/>
          <w:sz w:val="24"/>
          <w:u w:val="single"/>
        </w:rPr>
        <w:t>Section 4.07</w:t>
      </w:r>
      <w:r>
        <w:rPr>
          <w:rFonts w:ascii="Times New Roman;serif" w:hAnsi="Times New Roman;serif"/>
          <w:b w:val="false"/>
          <w:color w:val="000000"/>
          <w:sz w:val="24"/>
        </w:rPr>
        <w:t>) after written notice by the Trustee or Holders of at least 30% in principal amount of the Notes then outstanding;</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(4)default under any document evidencing any indebtedness for borrowed money by the Issuer or any Subsidiary Guarantor, whether such indebtedness now exists or is created after the Issue Date, if that default:</w:t>
      </w:r>
    </w:p>
    <w:p>
      <w:pPr>
        <w:pStyle w:val="TextBody"/>
        <w:bidi w:val="0"/>
        <w:spacing w:lineRule="auto" w:line="240" w:before="0" w:after="240"/>
        <w:ind w:left="0" w:right="0" w:firstLine="720"/>
        <w:jc w:val="both"/>
        <w:rPr/>
      </w:pPr>
      <w:r>
        <w:rPr>
          <w:rFonts w:ascii="Times New Roman;serif" w:hAnsi="Times New Roman;serif"/>
          <w:b w:val="false"/>
          <w:color w:val="000000"/>
          <w:sz w:val="24"/>
        </w:rPr>
        <w:t>(A)is caused by a failure to pay principal when due at final (and not any interim) maturity on or prior to the expiration of any grace period provided in such indebtedness (a “</w:t>
      </w:r>
      <w:r>
        <w:rPr>
          <w:rFonts w:ascii="Times New Roman;serif" w:hAnsi="Times New Roman;serif"/>
          <w:b w:val="false"/>
          <w:i/>
          <w:color w:val="000000"/>
          <w:sz w:val="24"/>
        </w:rPr>
        <w:t>Payment Default</w:t>
      </w:r>
      <w:r>
        <w:rPr>
          <w:color w:val="000000"/>
        </w:rPr>
        <w:t>”</w:t>
      </w:r>
      <w:r>
        <w:rPr>
          <w:rFonts w:ascii="Times New Roman;serif" w:hAnsi="Times New Roman;serif"/>
          <w:b w:val="false"/>
          <w:color w:val="000000"/>
          <w:sz w:val="24"/>
        </w:rPr>
        <w:t>); or</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(B)results in the acceleration of such indebtedness prior to its express maturity (without such acceleration having been rescinded, annulled or otherwise cured),</w:t>
      </w:r>
    </w:p>
    <w:p>
      <w:pPr>
        <w:pStyle w:val="TextBody"/>
        <w:bidi w:val="0"/>
        <w:spacing w:lineRule="auto" w:line="288" w:before="0" w:after="240"/>
        <w:jc w:val="both"/>
        <w:rPr/>
      </w:pPr>
      <w:r>
        <w:rPr>
          <w:rFonts w:ascii="Times New Roman;serif" w:hAnsi="Times New Roman;serif"/>
          <w:b w:val="false"/>
          <w:color w:val="000000"/>
          <w:sz w:val="24"/>
          <w:shd w:fill="FFFFFF" w:val="clear"/>
        </w:rPr>
        <w:t>and, in each case, the principal amount of any such indebtedness, together with the principal amount of any other such indebtedness under which there has been a Payment Default or the maturity of which has been so accelerated (without such acceleration having been rescinded, annulled or otherwise cured), aggregates in excess of the greater of (a) $</w:t>
      </w:r>
      <w:r>
        <w:rPr>
          <w:rFonts w:ascii="Times New Roman;serif" w:hAnsi="Times New Roman;serif"/>
          <w:b w:val="false"/>
          <w:color w:val="000000"/>
          <w:sz w:val="24"/>
        </w:rPr>
        <w:t xml:space="preserve">315.0 million </w:t>
      </w:r>
      <w:r>
        <w:rPr>
          <w:rFonts w:ascii="Times New Roman;serif" w:hAnsi="Times New Roman;serif"/>
          <w:b w:val="false"/>
          <w:color w:val="000000"/>
          <w:sz w:val="24"/>
          <w:shd w:fill="FFFFFF" w:val="clear"/>
        </w:rPr>
        <w:t>and (b) 30% of Consolidated Adjusted EBITDA for the most recently ended Test Period</w:t>
      </w:r>
      <w:r>
        <w:rPr>
          <w:rFonts w:ascii="Times New Roman;serif" w:hAnsi="Times New Roman;serif"/>
          <w:b w:val="false"/>
          <w:color w:val="000000"/>
          <w:sz w:val="24"/>
        </w:rPr>
        <w:t xml:space="preserve">; </w:t>
      </w:r>
      <w:r>
        <w:rPr>
          <w:rFonts w:ascii="Times New Roman;serif" w:hAnsi="Times New Roman;serif"/>
          <w:b w:val="false"/>
          <w:i/>
          <w:color w:val="000000"/>
          <w:sz w:val="24"/>
        </w:rPr>
        <w:t xml:space="preserve">provided </w:t>
      </w:r>
      <w:r>
        <w:rPr>
          <w:rFonts w:ascii="Times New Roman;serif" w:hAnsi="Times New Roman;serif"/>
          <w:b w:val="false"/>
          <w:color w:val="000000"/>
          <w:sz w:val="24"/>
        </w:rPr>
        <w:t xml:space="preserve">that this </w:t>
      </w:r>
      <w:r>
        <w:rPr>
          <w:rFonts w:ascii="Times New Roman;serif" w:hAnsi="Times New Roman;serif"/>
          <w:b w:val="false"/>
          <w:color w:val="000000"/>
          <w:sz w:val="24"/>
          <w:u w:val="single"/>
        </w:rPr>
        <w:t>Section 6.01(4)</w:t>
      </w:r>
      <w:r>
        <w:rPr>
          <w:color w:val="000000"/>
        </w:rPr>
        <w:t xml:space="preserve"> </w:t>
      </w:r>
      <w:r>
        <w:rPr>
          <w:rFonts w:ascii="Times New Roman;serif" w:hAnsi="Times New Roman;serif"/>
          <w:b w:val="false"/>
          <w:color w:val="000000"/>
          <w:sz w:val="24"/>
        </w:rPr>
        <w:t xml:space="preserve">shall not apply to </w:t>
      </w:r>
      <w:r>
        <w:rPr>
          <w:rFonts w:ascii="Times New Roman;serif" w:hAnsi="Times New Roman;serif"/>
          <w:b w:val="false"/>
          <w:color w:val="000000"/>
          <w:sz w:val="24"/>
          <w:shd w:fill="FFFFFF" w:val="clear"/>
        </w:rPr>
        <w:t>(i)</w:t>
      </w:r>
      <w:r>
        <w:rPr>
          <w:color w:val="000000"/>
        </w:rPr>
        <w:t xml:space="preserve"> </w:t>
      </w:r>
      <w:r>
        <w:rPr>
          <w:rFonts w:ascii="Times New Roman;serif" w:hAnsi="Times New Roman;serif"/>
          <w:b w:val="false"/>
          <w:color w:val="000000"/>
          <w:sz w:val="24"/>
        </w:rPr>
        <w:t>secured indebtedness that becomes due as a result of the voluntary sale or transfer of the property or assets securing such indebtedness, (ii) any such Payment Default that is waived (including during any forbearance period and including in the form of amendment) by the requisite holders of the applicable item of indebtedness or contested in good faith by the Issuer or the applicable Subsidiary Guarantor and (iii) any indebtedness that is required to be converted into Qualifying Equity Interests upon the occurrence of certain designated events so long as no payments in cash or otherwise are required to be made in accordance with such conversion;</w:t>
      </w:r>
    </w:p>
    <w:p>
      <w:pPr>
        <w:pStyle w:val="TextBody"/>
        <w:bidi w:val="0"/>
        <w:spacing w:before="0" w:after="0"/>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735965"/>
                <wp:effectExtent l="0" t="0" r="0" b="0"/>
                <wp:wrapNone/>
                <wp:docPr id="112" name="Frame112"/>
                <a:graphic xmlns:a="http://schemas.openxmlformats.org/drawingml/2006/main">
                  <a:graphicData uri="http://schemas.microsoft.com/office/word/2010/wordprocessingShape">
                    <wps:wsp>
                      <wps:cNvSpPr txBox="1"/>
                      <wps:spPr>
                        <a:xfrm>
                          <a:off x="0" y="0"/>
                          <a:ext cx="6480175" cy="7359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64</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64</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(5)except as permitted by this Indenture, any Subsidiary Guarantee of any Subsidiary Guarantor (or any group of Subsidiary Guarantors) that constitutes a Significant Subsidiary shall be held in any final and non-appealable judicial proceeding to be unenforceable or invalid or shall cease for any reason (other than in accordance with its terms) to be in full force and effect or any Subsidiary Guarantor (or any group of Subsidiary Guarantors) that constitutes a Significant Subsidiary, or any Person acting on behalf of any Subsidiary Guarantor (or any group of Subsidiary Guarantors) that constitutes a Significant Subsidiary, shall deny or disaffirm in writing its or their obligations under its or their Subsidiary Guarantee(s); and</w:t>
      </w:r>
    </w:p>
    <w:p>
      <w:pPr>
        <w:pStyle w:val="TextBody"/>
        <w:bidi w:val="0"/>
        <w:spacing w:lineRule="auto" w:line="240" w:before="0" w:after="240"/>
        <w:ind w:left="0" w:right="0" w:firstLine="720"/>
        <w:jc w:val="both"/>
        <w:rPr/>
      </w:pPr>
      <w:r>
        <w:rPr>
          <w:rFonts w:ascii="Times New Roman;serif" w:hAnsi="Times New Roman;serif"/>
          <w:b w:val="false"/>
          <w:color w:val="000000"/>
          <w:sz w:val="24"/>
        </w:rPr>
        <w:t xml:space="preserve">(6)(a) a court of competent jurisdiction (i) enters an order or decree under any Bankruptcy Law that is for relief against the Issuer, any Subsidiary Guarantor that is a Significant Subsidiary or any group of Subsidiary Guarantors that, taken together, would constitute a Significant Subsidiary in an involuntary case; (ii) appoints a custodian for all or substantially all of the property of the Issuer, any Subsidiary Guarantor that is a Significant Subsidiary or any group of Subsidiary Guarantors that, taken together, would constitute a Significant Subsidiary; or (iii) orders the liquidation of the Issuer, any Subsidiary Guarantor that is a Significant Subsidiary or any group of Subsidiary Guarantors that, taken together, would constitute a Significant Subsidiary and, in each of clauses (i), (ii) or (iii) of this </w:t>
      </w:r>
      <w:r>
        <w:rPr>
          <w:rFonts w:ascii="Times New Roman;serif" w:hAnsi="Times New Roman;serif"/>
          <w:b w:val="false"/>
          <w:color w:val="000000"/>
          <w:sz w:val="24"/>
          <w:u w:val="single"/>
        </w:rPr>
        <w:t>Section 6.01(6)</w:t>
      </w:r>
      <w:r>
        <w:rPr>
          <w:rFonts w:ascii="Times New Roman;serif" w:hAnsi="Times New Roman;serif"/>
          <w:b w:val="false"/>
          <w:color w:val="000000"/>
          <w:sz w:val="24"/>
        </w:rPr>
        <w:t xml:space="preserve">, the order, appointment or decree remains unstayed and in effect for at least 60 consecutive days after the commencement of the actions described in such clauses (i), (ii) or (iii) of this </w:t>
      </w:r>
      <w:r>
        <w:rPr>
          <w:rFonts w:ascii="Times New Roman;serif" w:hAnsi="Times New Roman;serif"/>
          <w:b w:val="false"/>
          <w:color w:val="000000"/>
          <w:sz w:val="24"/>
          <w:u w:val="single"/>
        </w:rPr>
        <w:t>Section 6.01(6)</w:t>
      </w:r>
      <w:r>
        <w:rPr>
          <w:rFonts w:ascii="Times New Roman;serif" w:hAnsi="Times New Roman;serif"/>
          <w:b w:val="false"/>
          <w:color w:val="000000"/>
          <w:sz w:val="24"/>
        </w:rPr>
        <w:t>, as applicable; or (b) the Issuer, any Subsidiary Guarantor that is a Significant Subsidiary or any group of Subsidiary Guarantors that, taken together, would constitute a Significant Subsidiary, pursuant to or within the meaning of Bankruptcy Law (i) commences a voluntary case; (ii) consents to the entry of an order for relief against it in an involuntary case; (iii) consents to the appointment of a custodian of it or for all or substantially all of its property; or (iv) makes a general assignment for the benefit of its creditors.</w:t>
      </w:r>
    </w:p>
    <w:p>
      <w:pPr>
        <w:pStyle w:val="TextBody"/>
        <w:bidi w:val="0"/>
        <w:spacing w:lineRule="auto" w:line="240" w:before="0" w:after="240"/>
        <w:jc w:val="left"/>
        <w:rPr/>
      </w:pPr>
      <w:r>
        <w:rPr>
          <w:rFonts w:ascii="Times New Roman;serif" w:hAnsi="Times New Roman;serif"/>
          <w:b w:val="false"/>
          <w:color w:val="000000"/>
          <w:sz w:val="24"/>
        </w:rPr>
        <w:t>Section 6.02</w:t>
      </w:r>
      <w:r>
        <w:rPr>
          <w:rFonts w:ascii="Times New Roman;serif" w:hAnsi="Times New Roman;serif"/>
          <w:b w:val="false"/>
          <w:color w:val="000000"/>
          <w:sz w:val="24"/>
          <w:u w:val="single"/>
        </w:rPr>
        <w:t>Acceleration</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In the case of an Event of Default with respect to the Issuer pursuant to </w:t>
      </w:r>
      <w:r>
        <w:rPr>
          <w:rFonts w:ascii="Times New Roman;serif" w:hAnsi="Times New Roman;serif"/>
          <w:b w:val="false"/>
          <w:color w:val="000000"/>
          <w:sz w:val="24"/>
          <w:u w:val="single"/>
        </w:rPr>
        <w:t>Section 6.01(6)</w:t>
      </w:r>
      <w:r>
        <w:rPr>
          <w:rFonts w:ascii="Times New Roman;serif" w:hAnsi="Times New Roman;serif"/>
          <w:b w:val="false"/>
          <w:color w:val="000000"/>
          <w:sz w:val="24"/>
        </w:rPr>
        <w:t xml:space="preserve">, principal of and accrued and unpaid interest on all the Notes that are outstanding will become due and payable immediately without further action or notice. If any other Event of Default occurs and is continuing, the Holders of at least 30% in principal amount of the Notes that are outstanding or the Trustee (acting at the written instruction of Holders of such percentage of the Notes) may declare the principal of and accrued and unpaid interest on all the Notes to be due and payable immediately; </w:t>
      </w:r>
      <w:r>
        <w:rPr>
          <w:rFonts w:ascii="Times New Roman;serif" w:hAnsi="Times New Roman;serif"/>
          <w:b w:val="false"/>
          <w:i/>
          <w:color w:val="000000"/>
          <w:sz w:val="24"/>
        </w:rPr>
        <w:t xml:space="preserve">provided </w:t>
      </w:r>
      <w:r>
        <w:rPr>
          <w:rFonts w:ascii="Times New Roman;serif" w:hAnsi="Times New Roman;serif"/>
          <w:b w:val="false"/>
          <w:color w:val="000000"/>
          <w:sz w:val="24"/>
        </w:rPr>
        <w:t>that a notice of Default may not be given with respect to any action taken, and reported publicly or to Holders, more than two years prior to such notice of Default.</w:t>
      </w:r>
    </w:p>
    <w:p>
      <w:pPr>
        <w:pStyle w:val="TextBody"/>
        <w:bidi w:val="0"/>
        <w:spacing w:lineRule="auto" w:line="240" w:before="0" w:after="240"/>
        <w:jc w:val="left"/>
        <w:rPr/>
      </w:pPr>
      <w:r>
        <w:rPr>
          <w:rFonts w:ascii="Times New Roman;serif" w:hAnsi="Times New Roman;serif"/>
          <w:b w:val="false"/>
          <w:color w:val="000000"/>
          <w:sz w:val="24"/>
        </w:rPr>
        <w:t>Section 6.03</w:t>
      </w:r>
      <w:r>
        <w:rPr>
          <w:rFonts w:ascii="Times New Roman;serif" w:hAnsi="Times New Roman;serif"/>
          <w:b w:val="false"/>
          <w:color w:val="000000"/>
          <w:sz w:val="24"/>
          <w:u w:val="single"/>
        </w:rPr>
        <w:t>Waiver of Past Defaults</w:t>
      </w:r>
      <w:r>
        <w:rPr>
          <w:rFonts w:ascii="Times New Roman;serif" w:hAnsi="Times New Roman;serif"/>
          <w:b w:val="false"/>
          <w:color w:val="000000"/>
          <w:sz w:val="24"/>
        </w:rPr>
        <w:t xml:space="preserve">. </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The Holders of a majority in aggregate principal amount of the Notes that are then outstanding, through written instruction to the Trustee may, on behalf of the Holders, waive any existing Default or Event of Default and its consequences hereunder, except a continuing Default or Event of Default in the payment of interest on, or the principal of, such Notes (including in connection with an offer to purchase);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w:t>
      </w:r>
      <w:r>
        <w:rPr>
          <w:rFonts w:ascii="Times New Roman;serif" w:hAnsi="Times New Roman;serif"/>
          <w:b w:val="false"/>
          <w:i/>
          <w:color w:val="000000"/>
          <w:sz w:val="24"/>
        </w:rPr>
        <w:t>however</w:t>
      </w:r>
      <w:r>
        <w:rPr>
          <w:rFonts w:ascii="Times New Roman;serif" w:hAnsi="Times New Roman;serif"/>
          <w:b w:val="false"/>
          <w:color w:val="000000"/>
          <w:sz w:val="24"/>
        </w:rPr>
        <w:t xml:space="preserve">, that the Holders of a majority in aggregate principal amount of the then outstanding Notes may, on behalf of the Holders, rescind an acceleration and its consequences, including any related payment default that resulted from </w:t>
      </w:r>
    </w:p>
    <w:p>
      <w:pPr>
        <w:pStyle w:val="TextBody"/>
        <w:bidi w:val="0"/>
        <w:spacing w:before="0" w:after="0"/>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735965"/>
                <wp:effectExtent l="0" t="0" r="0" b="0"/>
                <wp:wrapNone/>
                <wp:docPr id="113" name="Frame113"/>
                <a:graphic xmlns:a="http://schemas.openxmlformats.org/drawingml/2006/main">
                  <a:graphicData uri="http://schemas.microsoft.com/office/word/2010/wordprocessingShape">
                    <wps:wsp>
                      <wps:cNvSpPr txBox="1"/>
                      <wps:spPr>
                        <a:xfrm>
                          <a:off x="0" y="0"/>
                          <a:ext cx="6480175" cy="7359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65</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65</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such acceleration. Upon any such waiver, such Default shall cease to exist, and any Event of Default arising therefrom shall be deemed to have been cured for every purpose of this Indenture, but no such waiver shall extend to any subsequent or other Default or impair any right consequent thereon.</w:t>
      </w:r>
    </w:p>
    <w:p>
      <w:pPr>
        <w:pStyle w:val="TextBody"/>
        <w:bidi w:val="0"/>
        <w:spacing w:lineRule="auto" w:line="240" w:before="0" w:after="240"/>
        <w:jc w:val="left"/>
        <w:rPr/>
      </w:pPr>
      <w:r>
        <w:rPr>
          <w:rFonts w:ascii="Times New Roman;serif" w:hAnsi="Times New Roman;serif"/>
          <w:b w:val="false"/>
          <w:color w:val="000000"/>
          <w:sz w:val="24"/>
        </w:rPr>
        <w:t>Section 6.04</w:t>
      </w:r>
      <w:r>
        <w:rPr>
          <w:rFonts w:ascii="Times New Roman;serif" w:hAnsi="Times New Roman;serif"/>
          <w:b w:val="false"/>
          <w:color w:val="000000"/>
          <w:sz w:val="24"/>
          <w:u w:val="single"/>
        </w:rPr>
        <w:t>Control by Majority</w:t>
      </w:r>
      <w:r>
        <w:rPr>
          <w:rFonts w:ascii="Times New Roman;serif" w:hAnsi="Times New Roman;serif"/>
          <w:b w:val="false"/>
          <w:color w:val="000000"/>
          <w:sz w:val="24"/>
        </w:rPr>
        <w:t xml:space="preserve">. </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The Holders of a majority in principal amount of the Notes that are then outstanding may direct, through written instruction, the Trustee in its exercise of any trust or power in respect of the Notes. However, the Trustee may refuse to follow any direction that conflicts with law or this Indenture or the Notes or, subject to </w:t>
      </w:r>
      <w:r>
        <w:rPr>
          <w:rFonts w:ascii="Times New Roman;serif" w:hAnsi="Times New Roman;serif"/>
          <w:b w:val="false"/>
          <w:color w:val="000000"/>
          <w:sz w:val="24"/>
          <w:u w:val="single"/>
        </w:rPr>
        <w:t>Section 7.01</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Section 7.02</w:t>
      </w:r>
      <w:r>
        <w:rPr>
          <w:rFonts w:ascii="Times New Roman;serif" w:hAnsi="Times New Roman;serif"/>
          <w:b w:val="false"/>
          <w:color w:val="000000"/>
          <w:sz w:val="24"/>
        </w:rPr>
        <w:t xml:space="preserve">, that the Trustee determines is unduly prejudicial to the rights of other Holders or would involve the Trustee in personal liability; </w:t>
      </w:r>
      <w:r>
        <w:rPr>
          <w:rFonts w:ascii="Times New Roman;serif" w:hAnsi="Times New Roman;serif"/>
          <w:b w:val="false"/>
          <w:i/>
          <w:color w:val="000000"/>
          <w:sz w:val="24"/>
        </w:rPr>
        <w:t>provided, however</w:t>
      </w:r>
      <w:r>
        <w:rPr>
          <w:rFonts w:ascii="Times New Roman;serif" w:hAnsi="Times New Roman;serif"/>
          <w:b w:val="false"/>
          <w:color w:val="000000"/>
          <w:sz w:val="24"/>
        </w:rPr>
        <w:t>, that the Trustee may take any other action deemed proper by the Trustee that is not inconsistent with such direction. The Trustee may withhold from Holders notice of any continuing Default or Event of Default if it determines that withholding notice is in their interest, except a Default or Event of Default relating to the payment of principal or interest.</w:t>
      </w:r>
    </w:p>
    <w:p>
      <w:pPr>
        <w:pStyle w:val="TextBody"/>
        <w:bidi w:val="0"/>
        <w:spacing w:lineRule="auto" w:line="240" w:before="0" w:after="240"/>
        <w:jc w:val="left"/>
        <w:rPr/>
      </w:pPr>
      <w:r>
        <w:rPr>
          <w:rFonts w:ascii="Times New Roman;serif" w:hAnsi="Times New Roman;serif"/>
          <w:b w:val="false"/>
          <w:color w:val="000000"/>
          <w:sz w:val="24"/>
        </w:rPr>
        <w:t>Section 6.05</w:t>
      </w:r>
      <w:r>
        <w:rPr>
          <w:rFonts w:ascii="Times New Roman;serif" w:hAnsi="Times New Roman;serif"/>
          <w:b w:val="false"/>
          <w:color w:val="000000"/>
          <w:sz w:val="24"/>
          <w:u w:val="single"/>
        </w:rPr>
        <w:t>Limitations on Suits</w:t>
      </w:r>
      <w:r>
        <w:rPr>
          <w:rFonts w:ascii="Times New Roman;serif" w:hAnsi="Times New Roman;serif"/>
          <w:b w:val="false"/>
          <w:color w:val="000000"/>
          <w:sz w:val="24"/>
        </w:rPr>
        <w:t xml:space="preserve">. </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In case an Event of Default occurs and is continuing, the Trustee will be under no obligation to exercise any of the rights or powers under this Indenture at the request or direction of any Holders unless such Holders have offered to the Trustee indemnity and/or security reasonably satisfactory to the Trustee against any loss, liability or expense. Except to enforce the right to receive payment of principal, premium (if any) or interest when due, no Holder of a Note may pursue any remedy with respect to this Indenture unless:</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(1)such Holder has previously given the Trustee notice that an Event of Default is continuing;</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(2)Holders of at least 30% in aggregate principal amount of the Notes that are then outstanding have requested the Trustee to pursue the remedy;</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(3)such Holders have offered the Trustee indemnity and/or security reasonably satisfactory to the Trustee against any loss, liability or expense;</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(4)the Trustee has not complied with such request within 60 days after the receipt thereof and the offer of security or indemnity; and</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(5)Holders of a majority in aggregate principal amount of the Notes that are then outstanding have not given the Trustee a direction inconsistent with such request within such 60-day period.</w:t>
      </w:r>
    </w:p>
    <w:p>
      <w:pPr>
        <w:pStyle w:val="TextBody"/>
        <w:bidi w:val="0"/>
        <w:spacing w:lineRule="auto" w:line="240" w:before="0" w:after="240"/>
        <w:jc w:val="left"/>
        <w:rPr/>
      </w:pPr>
      <w:r>
        <w:rPr>
          <w:rFonts w:ascii="Times New Roman;serif" w:hAnsi="Times New Roman;serif"/>
          <w:b w:val="false"/>
          <w:color w:val="000000"/>
          <w:sz w:val="24"/>
        </w:rPr>
        <w:t>Section 6.06</w:t>
      </w:r>
      <w:r>
        <w:rPr>
          <w:rFonts w:ascii="Times New Roman;serif" w:hAnsi="Times New Roman;serif"/>
          <w:b w:val="false"/>
          <w:color w:val="000000"/>
          <w:sz w:val="24"/>
          <w:u w:val="single"/>
        </w:rPr>
        <w:t>Collection Suit by Trustee</w:t>
      </w:r>
      <w:r>
        <w:rPr>
          <w:rFonts w:ascii="Times New Roman;serif" w:hAnsi="Times New Roman;serif"/>
          <w:b w:val="false"/>
          <w:color w:val="000000"/>
          <w:sz w:val="24"/>
        </w:rPr>
        <w:t xml:space="preserve">. </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If an Event of Default specified in </w:t>
      </w:r>
      <w:r>
        <w:rPr>
          <w:rFonts w:ascii="Times New Roman;serif" w:hAnsi="Times New Roman;serif"/>
          <w:b w:val="false"/>
          <w:color w:val="000000"/>
          <w:sz w:val="24"/>
          <w:u w:val="single"/>
        </w:rPr>
        <w:t>Section 6.01(1)</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Section 6.01(2)</w:t>
      </w:r>
      <w:r>
        <w:rPr>
          <w:color w:val="000000"/>
        </w:rPr>
        <w:t xml:space="preserve"> </w:t>
      </w:r>
      <w:r>
        <w:rPr>
          <w:rFonts w:ascii="Times New Roman;serif" w:hAnsi="Times New Roman;serif"/>
          <w:b w:val="false"/>
          <w:color w:val="000000"/>
          <w:sz w:val="24"/>
        </w:rPr>
        <w:t xml:space="preserve">occurs and is continuing, the Trustee is authorized to recover judgment in its own name and as trustee of an express trust against the Issuer for the whole amount of principal of, premium, if any, and interest remaining unpaid on the Notes and interest on overdue principal and, to the extent </w:t>
      </w:r>
    </w:p>
    <w:p>
      <w:pPr>
        <w:pStyle w:val="TextBody"/>
        <w:bidi w:val="0"/>
        <w:spacing w:before="0" w:after="0"/>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735965"/>
                <wp:effectExtent l="0" t="0" r="0" b="0"/>
                <wp:wrapNone/>
                <wp:docPr id="114" name="Frame114"/>
                <a:graphic xmlns:a="http://schemas.openxmlformats.org/drawingml/2006/main">
                  <a:graphicData uri="http://schemas.microsoft.com/office/word/2010/wordprocessingShape">
                    <wps:wsp>
                      <wps:cNvSpPr txBox="1"/>
                      <wps:spPr>
                        <a:xfrm>
                          <a:off x="0" y="0"/>
                          <a:ext cx="6480175" cy="7359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66</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66</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lawful, interest and such further amount as shall be sufficient to cover the costs and expenses of collection, including the reasonable and documented compensation, expenses, disbursements and advances of the Trustee, its agents and counsel. The Trustee may maintain a proceeding even if it does not possess any of the Notes or does not produce any of them in the proceeding.</w:t>
      </w:r>
    </w:p>
    <w:p>
      <w:pPr>
        <w:pStyle w:val="TextBody"/>
        <w:bidi w:val="0"/>
        <w:spacing w:lineRule="auto" w:line="240" w:before="0" w:after="240"/>
        <w:jc w:val="left"/>
        <w:rPr/>
      </w:pPr>
      <w:r>
        <w:rPr>
          <w:rFonts w:ascii="Times New Roman;serif" w:hAnsi="Times New Roman;serif"/>
          <w:b w:val="false"/>
          <w:color w:val="000000"/>
          <w:sz w:val="24"/>
        </w:rPr>
        <w:t>Section 6.07</w:t>
      </w:r>
      <w:r>
        <w:rPr>
          <w:rFonts w:ascii="Times New Roman;serif" w:hAnsi="Times New Roman;serif"/>
          <w:b w:val="false"/>
          <w:color w:val="000000"/>
          <w:sz w:val="24"/>
          <w:u w:val="single"/>
        </w:rPr>
        <w:t>Priorities</w:t>
      </w:r>
      <w:r>
        <w:rPr>
          <w:rFonts w:ascii="Times New Roman;serif" w:hAnsi="Times New Roman;serif"/>
          <w:b w:val="false"/>
          <w:color w:val="000000"/>
          <w:sz w:val="24"/>
        </w:rPr>
        <w:t xml:space="preserve">. </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If the Trustee collects any money pursuant to this </w:t>
      </w:r>
      <w:r>
        <w:rPr>
          <w:rFonts w:ascii="Times New Roman;serif" w:hAnsi="Times New Roman;serif"/>
          <w:b w:val="false"/>
          <w:color w:val="000000"/>
          <w:sz w:val="24"/>
          <w:u w:val="single"/>
        </w:rPr>
        <w:t>Article 6</w:t>
      </w:r>
      <w:r>
        <w:rPr>
          <w:rFonts w:ascii="Times New Roman;serif" w:hAnsi="Times New Roman;serif"/>
          <w:b w:val="false"/>
          <w:color w:val="000000"/>
          <w:sz w:val="24"/>
        </w:rPr>
        <w:t>, it shall pay out the money in the following order:</w:t>
      </w:r>
    </w:p>
    <w:p>
      <w:pPr>
        <w:pStyle w:val="TextBody"/>
        <w:bidi w:val="0"/>
        <w:spacing w:lineRule="auto" w:line="288" w:before="0" w:after="240"/>
        <w:ind w:left="0" w:right="0" w:firstLine="720"/>
        <w:jc w:val="both"/>
        <w:rPr/>
      </w:pPr>
      <w:r>
        <w:rPr>
          <w:rFonts w:ascii="Times New Roman;serif" w:hAnsi="Times New Roman;serif"/>
          <w:b w:val="false"/>
          <w:i/>
          <w:color w:val="000000"/>
          <w:sz w:val="24"/>
        </w:rPr>
        <w:t>First</w:t>
      </w:r>
      <w:r>
        <w:rPr>
          <w:rFonts w:ascii="Times New Roman;serif" w:hAnsi="Times New Roman;serif"/>
          <w:b w:val="false"/>
          <w:color w:val="000000"/>
          <w:sz w:val="24"/>
        </w:rPr>
        <w:t>: to the Trustee, its agents and attorneys for amounts due under the Note Documents, including payment of all compensation, expenses and liabilities incurred, and all advances made, by the Trustee and the costs and expenses of collection;</w:t>
      </w:r>
    </w:p>
    <w:p>
      <w:pPr>
        <w:pStyle w:val="TextBody"/>
        <w:bidi w:val="0"/>
        <w:spacing w:lineRule="auto" w:line="288" w:before="0" w:after="240"/>
        <w:ind w:left="0" w:right="0" w:firstLine="720"/>
        <w:jc w:val="both"/>
        <w:rPr/>
      </w:pPr>
      <w:r>
        <w:rPr>
          <w:rFonts w:ascii="Times New Roman;serif" w:hAnsi="Times New Roman;serif"/>
          <w:b w:val="false"/>
          <w:i/>
          <w:color w:val="000000"/>
          <w:sz w:val="24"/>
        </w:rPr>
        <w:t>Second</w:t>
      </w:r>
      <w:r>
        <w:rPr>
          <w:rFonts w:ascii="Times New Roman;serif" w:hAnsi="Times New Roman;serif"/>
          <w:b w:val="false"/>
          <w:color w:val="000000"/>
          <w:sz w:val="24"/>
        </w:rPr>
        <w:t>: to Holders of Notes for amounts due and unpaid on the Notes for principal, premium, if any, and interest, ratably, without preference or priority of any kind, according to the amounts due and payable on the Notes for principal, premium, if any, and interest, respectively; and</w:t>
      </w:r>
    </w:p>
    <w:p>
      <w:pPr>
        <w:pStyle w:val="TextBody"/>
        <w:bidi w:val="0"/>
        <w:spacing w:lineRule="auto" w:line="288" w:before="0" w:after="240"/>
        <w:ind w:left="0" w:right="0" w:firstLine="720"/>
        <w:jc w:val="both"/>
        <w:rPr/>
      </w:pPr>
      <w:r>
        <w:rPr>
          <w:rFonts w:ascii="Times New Roman;serif" w:hAnsi="Times New Roman;serif"/>
          <w:b w:val="false"/>
          <w:i/>
          <w:color w:val="000000"/>
          <w:sz w:val="24"/>
        </w:rPr>
        <w:t>Third</w:t>
      </w:r>
      <w:r>
        <w:rPr>
          <w:rFonts w:ascii="Times New Roman;serif" w:hAnsi="Times New Roman;serif"/>
          <w:b w:val="false"/>
          <w:color w:val="000000"/>
          <w:sz w:val="24"/>
        </w:rPr>
        <w:t>: to the Issuer or to such party as a court of competent jurisdiction shall direct.</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The Trustee may fix a record date and payment date for any payment to Holders of Notes pursuant to this </w:t>
      </w:r>
      <w:r>
        <w:rPr>
          <w:rFonts w:ascii="Times New Roman;serif" w:hAnsi="Times New Roman;serif"/>
          <w:b w:val="false"/>
          <w:color w:val="000000"/>
          <w:sz w:val="24"/>
          <w:u w:val="single"/>
        </w:rPr>
        <w:t>Section 6.07</w:t>
      </w:r>
      <w:r>
        <w:rPr>
          <w:rFonts w:ascii="Times New Roman;serif" w:hAnsi="Times New Roman;serif"/>
          <w:b w:val="false"/>
          <w:color w:val="000000"/>
          <w:sz w:val="24"/>
        </w:rPr>
        <w:t>.</w:t>
      </w:r>
    </w:p>
    <w:p>
      <w:pPr>
        <w:pStyle w:val="TextBody"/>
        <w:bidi w:val="0"/>
        <w:spacing w:lineRule="auto" w:line="240" w:before="0" w:after="240"/>
        <w:jc w:val="left"/>
        <w:rPr/>
      </w:pPr>
      <w:r>
        <w:rPr>
          <w:rFonts w:ascii="Times New Roman;serif" w:hAnsi="Times New Roman;serif"/>
          <w:b w:val="false"/>
          <w:color w:val="000000"/>
          <w:sz w:val="24"/>
        </w:rPr>
        <w:t>Section 6.08</w:t>
      </w:r>
      <w:r>
        <w:rPr>
          <w:rFonts w:ascii="Times New Roman;serif" w:hAnsi="Times New Roman;serif"/>
          <w:b w:val="false"/>
          <w:color w:val="000000"/>
          <w:sz w:val="24"/>
          <w:u w:val="single"/>
        </w:rPr>
        <w:t>Trustee May File Proofs of Claim</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The Trustee may file such proofs of claim and other papers or documents as may be necessary or advisable in order to have the claims of the Trustee (including any claim for the reasonable and documented compensation, expenses, disbursements and advances of the Trustee, its agents and counsel) and the Holders allowed in any judicial proceedings relative to the Issuer, its Subsidiaries or its or their respective creditors or properties and, unless prohibited by law or applicable regulations, may be entitled and empowered to participate as a member of any official committee of creditors appointed in such matter and may vote on behalf of the Holders in any election of a trustee in bankruptcy or other Person performing similar functions, and any custodian or other party making payment in any such judicial proceeding is hereby authorized by each Holder to make payments to the Trustee and, in the event that the Trustee shall consent to the making of such payments directly to the Holders, to pay to the Trustee any amount due it for the compensation, expenses, disbursements and advances of the Trustee, its agents and its counsel, and any other amounts due the Trustee under </w:t>
      </w:r>
      <w:r>
        <w:rPr>
          <w:rFonts w:ascii="Times New Roman;serif" w:hAnsi="Times New Roman;serif"/>
          <w:b w:val="false"/>
          <w:color w:val="000000"/>
          <w:sz w:val="24"/>
          <w:u w:val="single"/>
        </w:rPr>
        <w:t>Section 7.06</w:t>
      </w:r>
      <w:r>
        <w:rPr>
          <w:color w:val="000000"/>
        </w:rPr>
        <w:t xml:space="preserve"> </w:t>
      </w:r>
      <w:r>
        <w:rPr>
          <w:rFonts w:ascii="Times New Roman;serif" w:hAnsi="Times New Roman;serif"/>
          <w:b w:val="false"/>
          <w:color w:val="000000"/>
          <w:sz w:val="24"/>
        </w:rPr>
        <w:t>hereof. No provision of this Indenture shall be deemed to authorize the Trustee to authorize or consent to or accept or adopt on behalf of any Holder any plan of reorganization, arrangement, adjustment or composition affecting the Notes or the rights of any Holder thereof or to authorize the Trustee to vote in respect of the claim of any Holder in any such proceeding.</w:t>
      </w:r>
    </w:p>
    <w:p>
      <w:pPr>
        <w:pStyle w:val="TextBody"/>
        <w:bidi w:val="0"/>
        <w:spacing w:before="0" w:after="0"/>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735965"/>
                <wp:effectExtent l="0" t="0" r="0" b="0"/>
                <wp:wrapNone/>
                <wp:docPr id="115" name="Frame115"/>
                <a:graphic xmlns:a="http://schemas.openxmlformats.org/drawingml/2006/main">
                  <a:graphicData uri="http://schemas.microsoft.com/office/word/2010/wordprocessingShape">
                    <wps:wsp>
                      <wps:cNvSpPr txBox="1"/>
                      <wps:spPr>
                        <a:xfrm>
                          <a:off x="0" y="0"/>
                          <a:ext cx="6480175" cy="7359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67</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67</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left"/>
        <w:rPr/>
      </w:pPr>
      <w:r>
        <w:rPr>
          <w:rFonts w:ascii="Times New Roman;serif" w:hAnsi="Times New Roman;serif"/>
          <w:b w:val="false"/>
          <w:color w:val="000000"/>
          <w:sz w:val="24"/>
        </w:rPr>
        <w:t>Section 6.09</w:t>
      </w:r>
      <w:r>
        <w:rPr>
          <w:rFonts w:ascii="Times New Roman;serif" w:hAnsi="Times New Roman;serif"/>
          <w:b w:val="false"/>
          <w:color w:val="000000"/>
          <w:sz w:val="24"/>
          <w:u w:val="single"/>
        </w:rPr>
        <w:t>Holder Representation</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rPr>
        <w:t>Any notice of Default, notice of acceleration or instruction to the Trustee to provide a notice of Default, notice of acceleration or take any other action hereunder (a “</w:t>
      </w:r>
      <w:r>
        <w:rPr>
          <w:rFonts w:ascii="Times New Roman;serif" w:hAnsi="Times New Roman;serif"/>
          <w:b w:val="false"/>
          <w:i/>
          <w:color w:val="000000"/>
          <w:sz w:val="24"/>
        </w:rPr>
        <w:t>Noteholder Direction</w:t>
      </w:r>
      <w:r>
        <w:rPr>
          <w:color w:val="000000"/>
        </w:rPr>
        <w:t>”</w:t>
      </w:r>
      <w:r>
        <w:rPr>
          <w:rFonts w:ascii="Times New Roman;serif" w:hAnsi="Times New Roman;serif"/>
          <w:b w:val="false"/>
          <w:color w:val="000000"/>
          <w:sz w:val="24"/>
        </w:rPr>
        <w:t>) provided by any one or more Holders (each, a “</w:t>
      </w:r>
      <w:r>
        <w:rPr>
          <w:rFonts w:ascii="Times New Roman;serif" w:hAnsi="Times New Roman;serif"/>
          <w:b w:val="false"/>
          <w:i/>
          <w:color w:val="000000"/>
          <w:sz w:val="24"/>
        </w:rPr>
        <w:t>Directing Holder</w:t>
      </w:r>
      <w:r>
        <w:rPr>
          <w:color w:val="000000"/>
        </w:rPr>
        <w:t>”</w:t>
      </w:r>
      <w:r>
        <w:rPr>
          <w:rFonts w:ascii="Times New Roman;serif" w:hAnsi="Times New Roman;serif"/>
          <w:b w:val="false"/>
          <w:color w:val="000000"/>
          <w:sz w:val="24"/>
        </w:rPr>
        <w:t>) must be accompanied by a written representation from each such Holder delivered to the Issuer and the Trustee that such Holder is not (or, in the case such Holder is DTC or its nominee, that such Holder is being instructed solely by Beneficial Owners that are not) Net Short (a “</w:t>
      </w:r>
      <w:r>
        <w:rPr>
          <w:rFonts w:ascii="Times New Roman;serif" w:hAnsi="Times New Roman;serif"/>
          <w:b w:val="false"/>
          <w:i/>
          <w:color w:val="000000"/>
          <w:sz w:val="24"/>
        </w:rPr>
        <w:t>Position Representation</w:t>
      </w:r>
      <w:r>
        <w:rPr>
          <w:color w:val="000000"/>
        </w:rPr>
        <w:t>”</w:t>
      </w:r>
      <w:r>
        <w:rPr>
          <w:rFonts w:ascii="Times New Roman;serif" w:hAnsi="Times New Roman;serif"/>
          <w:b w:val="false"/>
          <w:color w:val="000000"/>
          <w:sz w:val="24"/>
        </w:rPr>
        <w:t>), which representation, in the case of a Noteholder Direction relating to a notice of Default shall be deemed repeated at all times until the resulting Event of Default is cured or otherwise ceases to exist or the Notes are accelerated. In addition, each Directing Holder must, at the time of providing a Noteholder Direction, covenant to provide the Issuer with such other information as the Issuer may reasonably request from time to time in order to verify the accuracy of such Directing Holder’s Position Representation within five Business Days of request therefor (a “</w:t>
      </w:r>
      <w:r>
        <w:rPr>
          <w:rFonts w:ascii="Times New Roman;serif" w:hAnsi="Times New Roman;serif"/>
          <w:b w:val="false"/>
          <w:i/>
          <w:color w:val="000000"/>
          <w:sz w:val="24"/>
        </w:rPr>
        <w:t>Verification Covenant</w:t>
      </w:r>
      <w:r>
        <w:rPr>
          <w:color w:val="000000"/>
        </w:rPr>
        <w:t>”</w:t>
      </w:r>
      <w:r>
        <w:rPr>
          <w:rFonts w:ascii="Times New Roman;serif" w:hAnsi="Times New Roman;serif"/>
          <w:b w:val="false"/>
          <w:color w:val="000000"/>
          <w:sz w:val="24"/>
        </w:rPr>
        <w:t>). Notwithstanding anything herein to the contrary, in any case in which the Holder is DTC or its nominee, any Position Representation or Verification Covenant required hereunder shall be provided by the Beneficial Owner of the Notes in lieu of DTC or its nominee, and DTC shall be entitled to rely on such Position Representation and Verification Covenant in delivering its direction to the Trustee, and such Beneficial Owner shall provide proof of its holdings in a manner reasonably satisfactory to the Trustee.</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rPr>
        <w:t>If, following the delivery of a Noteholder Direction, but prior to acceleration of the Notes, the Issuer determines in good faith that there is a reasonable basis to believe a Directing Holder was, at any relevant time, in breach of its Position Representation and provides to the Trustee an Officer’s Certificate certifying that the Issuer has initiated litigation (“</w:t>
      </w:r>
      <w:r>
        <w:rPr>
          <w:rFonts w:ascii="Times New Roman;serif" w:hAnsi="Times New Roman;serif"/>
          <w:b w:val="false"/>
          <w:i/>
          <w:color w:val="000000"/>
          <w:sz w:val="24"/>
        </w:rPr>
        <w:t>Litigation</w:t>
      </w:r>
      <w:r>
        <w:rPr>
          <w:color w:val="000000"/>
        </w:rPr>
        <w:t>”</w:t>
      </w:r>
      <w:r>
        <w:rPr>
          <w:rFonts w:ascii="Times New Roman;serif" w:hAnsi="Times New Roman;serif"/>
          <w:b w:val="false"/>
          <w:color w:val="000000"/>
          <w:sz w:val="24"/>
        </w:rPr>
        <w:t>) in a court of competent jurisdiction seeking a determination that such Directing Holder was, at such time, in breach of its Position Representation, and seeking to invalidate any Default, Event of Default or acceleration (or notice thereof) that resulted from the applicable Noteholder Direction, the cure period with respect to such Default or Event of Default shall be automatically stayed and the cure period with respect to such Default or Event of Default shall be automatically reinstituted and any remedy stayed pending a final and non-appealable determination of a court of competent jurisdiction on such matter (a “</w:t>
      </w:r>
      <w:r>
        <w:rPr>
          <w:rFonts w:ascii="Times New Roman;serif" w:hAnsi="Times New Roman;serif"/>
          <w:b w:val="false"/>
          <w:i/>
          <w:color w:val="000000"/>
          <w:sz w:val="24"/>
        </w:rPr>
        <w:t>Final Decision</w:t>
      </w:r>
      <w:r>
        <w:rPr>
          <w:color w:val="000000"/>
        </w:rPr>
        <w:t>”</w:t>
      </w:r>
      <w:r>
        <w:rPr>
          <w:rFonts w:ascii="Times New Roman;serif" w:hAnsi="Times New Roman;serif"/>
          <w:b w:val="false"/>
          <w:color w:val="000000"/>
          <w:sz w:val="24"/>
        </w:rPr>
        <w:t>). Once such Officer’s Certificate has been provided to the Trustee, the Trustee shall take no further action pursuant to the related Noteholder Direction until it has actual knowledge of a Final Decision. Alternatively, if, following the delivery of a Noteholder Direction, but prior to acceleration of the Notes, the Issuer provides to the Trustee an Officer’s Certificate certifying that a Directing Holder failed to satisfy its Verification Covenant (a “</w:t>
      </w:r>
      <w:r>
        <w:rPr>
          <w:rFonts w:ascii="Times New Roman;serif" w:hAnsi="Times New Roman;serif"/>
          <w:b w:val="false"/>
          <w:i/>
          <w:color w:val="000000"/>
          <w:sz w:val="24"/>
        </w:rPr>
        <w:t>Verification Covenant Officer’s Certificate</w:t>
      </w:r>
      <w:r>
        <w:rPr>
          <w:color w:val="000000"/>
        </w:rPr>
        <w:t>”</w:t>
      </w:r>
      <w:r>
        <w:rPr>
          <w:rFonts w:ascii="Times New Roman;serif" w:hAnsi="Times New Roman;serif"/>
          <w:b w:val="false"/>
          <w:color w:val="000000"/>
          <w:sz w:val="24"/>
        </w:rPr>
        <w:t>), the cure period with respect to such Default or Event of Default shall be automatically stayed and the cure period with respect to any Default or Event of Default that resulted from the applicable Noteholder Direction shall be automatically reinstituted and any remedy stayed until such time as the Issuer provides the Trustee with an Officer’s Certificate that the Verification Covenant has been satisfied (a “</w:t>
      </w:r>
      <w:r>
        <w:rPr>
          <w:rFonts w:ascii="Times New Roman;serif" w:hAnsi="Times New Roman;serif"/>
          <w:b w:val="false"/>
          <w:i/>
          <w:color w:val="000000"/>
          <w:sz w:val="24"/>
        </w:rPr>
        <w:t>Covenant Satisfaction Officer’s Certificate</w:t>
      </w:r>
      <w:r>
        <w:rPr>
          <w:color w:val="000000"/>
        </w:rPr>
        <w:t>”</w:t>
      </w:r>
      <w:r>
        <w:rPr>
          <w:rFonts w:ascii="Times New Roman;serif" w:hAnsi="Times New Roman;serif"/>
          <w:b w:val="false"/>
          <w:color w:val="000000"/>
          <w:sz w:val="24"/>
        </w:rPr>
        <w:t xml:space="preserve">); </w:t>
      </w:r>
      <w:r>
        <w:rPr>
          <w:rFonts w:ascii="Times New Roman;serif" w:hAnsi="Times New Roman;serif"/>
          <w:b w:val="false"/>
          <w:i/>
          <w:color w:val="000000"/>
          <w:sz w:val="24"/>
        </w:rPr>
        <w:t>provided that</w:t>
      </w:r>
      <w:r>
        <w:rPr>
          <w:color w:val="000000"/>
        </w:rPr>
        <w:t xml:space="preserve"> </w:t>
      </w:r>
      <w:r>
        <w:rPr>
          <w:rFonts w:ascii="Times New Roman;serif" w:hAnsi="Times New Roman;serif"/>
          <w:b w:val="false"/>
          <w:color w:val="000000"/>
          <w:sz w:val="24"/>
        </w:rPr>
        <w:t>the Issuer shall promptly deliver such Officer’s Certificate to the Trustee upon becoming aware that the Verification Covenant has been satisfied. Any breach of the Position Representation (as evidenced by the delivery to the Trustee of the Officer’s Certificate stating that a Directing Holder failed to satisfy its Verification Covenant (a “</w:t>
      </w:r>
      <w:r>
        <w:rPr>
          <w:rFonts w:ascii="Times New Roman;serif" w:hAnsi="Times New Roman;serif"/>
          <w:b w:val="false"/>
          <w:i/>
          <w:color w:val="000000"/>
          <w:sz w:val="24"/>
        </w:rPr>
        <w:t>Covenant Failure Officer’s Certificate</w:t>
      </w:r>
      <w:r>
        <w:rPr>
          <w:color w:val="000000"/>
        </w:rPr>
        <w:t>”</w:t>
      </w:r>
      <w:r>
        <w:rPr>
          <w:rFonts w:ascii="Times New Roman;serif" w:hAnsi="Times New Roman;serif"/>
          <w:b w:val="false"/>
          <w:color w:val="000000"/>
          <w:sz w:val="24"/>
        </w:rPr>
        <w:t xml:space="preserve">)) shall result in such Directing Holder’s participation in such Noteholder Direction being disregarded; and if, without the participation of such Holder, the percentage of Notes held by the remaining Directing Holders that provided such Noteholder Direction would have been insufficient to validly provide such Noteholder Direction, such Noteholder Direction shall be void </w:t>
      </w:r>
      <w:r>
        <w:rPr>
          <w:rFonts w:ascii="Times New Roman;serif" w:hAnsi="Times New Roman;serif"/>
          <w:b w:val="false"/>
          <w:i/>
          <w:color w:val="000000"/>
          <w:sz w:val="24"/>
        </w:rPr>
        <w:t>ab initio</w:t>
      </w:r>
      <w:r>
        <w:rPr>
          <w:rFonts w:ascii="Times New Roman;serif" w:hAnsi="Times New Roman;serif"/>
          <w:b w:val="false"/>
          <w:color w:val="000000"/>
          <w:sz w:val="24"/>
        </w:rPr>
        <w:t xml:space="preserve">, with the effect that such Default or Event of Default shall be deemed never to have occurred, the related acceleration voided and the Trustee shall be deemed not to have received such Noteholder Direction or any notice of such Default or Event of Default and shall </w:t>
      </w:r>
    </w:p>
    <w:p>
      <w:pPr>
        <w:pStyle w:val="TextBody"/>
        <w:bidi w:val="0"/>
        <w:spacing w:before="0" w:after="0"/>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735965"/>
                <wp:effectExtent l="0" t="0" r="0" b="0"/>
                <wp:wrapNone/>
                <wp:docPr id="116" name="Frame116"/>
                <a:graphic xmlns:a="http://schemas.openxmlformats.org/drawingml/2006/main">
                  <a:graphicData uri="http://schemas.microsoft.com/office/word/2010/wordprocessingShape">
                    <wps:wsp>
                      <wps:cNvSpPr txBox="1"/>
                      <wps:spPr>
                        <a:xfrm>
                          <a:off x="0" y="0"/>
                          <a:ext cx="6480175" cy="7359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68</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68</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not be permitted to act thereon and shall be prohibited from accepting and acting on any future Noteholder Direction in relation to such Default or Event of Default. If the Directing Holder has satisfied its Verification Covenant, then the Trustee shall be permitted to act in accordance with such Noteholder Direction. Notwithstanding the above, if such Directing Holder’s participation is not required to achieve the requisite level of consent of Holders required under this Indenture to validly give such Noteholder Direction, the Trustee shall be permitted to act in accordance with such Noteholder Direction notwithstanding any action taken or to be taken by the Issuer (as described above). The Trustee shall be entitled to conclusively rely on any Noteholder Direction or Officer’s Certificate delivered to it in accordance with this Indenture without verification, investigation or otherwise as to the statements made therein.</w:t>
      </w:r>
    </w:p>
    <w:p>
      <w:pPr>
        <w:pStyle w:val="TextBody"/>
        <w:bidi w:val="0"/>
        <w:spacing w:lineRule="auto" w:line="240" w:before="0" w:after="240"/>
        <w:ind w:left="0" w:right="0" w:firstLine="720"/>
        <w:jc w:val="both"/>
        <w:rPr/>
      </w:pPr>
      <w:r>
        <w:rPr>
          <w:rFonts w:ascii="Times New Roman;serif" w:hAnsi="Times New Roman;serif"/>
          <w:b w:val="false"/>
          <w:color w:val="000000"/>
          <w:sz w:val="24"/>
        </w:rPr>
        <w:t>(c)</w:t>
      </w:r>
      <w:r>
        <w:rPr>
          <w:rFonts w:ascii="Times New Roman;serif" w:hAnsi="Times New Roman;serif"/>
          <w:b w:val="false"/>
          <w:color w:val="000000"/>
          <w:sz w:val="24"/>
        </w:rPr>
        <w:t xml:space="preserve">Notwithstanding anything in </w:t>
      </w:r>
      <w:r>
        <w:rPr>
          <w:rFonts w:ascii="Times New Roman;serif" w:hAnsi="Times New Roman;serif"/>
          <w:b w:val="false"/>
          <w:color w:val="000000"/>
          <w:sz w:val="24"/>
          <w:u w:val="single"/>
        </w:rPr>
        <w:t>Section 6.09(a)</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Section 6.09(b)</w:t>
      </w:r>
      <w:r>
        <w:rPr>
          <w:color w:val="000000"/>
        </w:rPr>
        <w:t xml:space="preserve"> </w:t>
      </w:r>
      <w:r>
        <w:rPr>
          <w:rFonts w:ascii="Times New Roman;serif" w:hAnsi="Times New Roman;serif"/>
          <w:b w:val="false"/>
          <w:color w:val="000000"/>
          <w:sz w:val="24"/>
        </w:rPr>
        <w:t>to the contrary, (i) any Noteholder Direction delivered to the Trustee during the pendency of an Event of Default as the result of a bankruptcy or similar proceeding shall not require compliance with the foregoing paragraphs and (ii) a notice of Default may not be given with respect to any action taken, and reported publicly or to Holders, more than two years prior to such notice of Default.</w:t>
      </w:r>
    </w:p>
    <w:p>
      <w:pPr>
        <w:pStyle w:val="TextBody"/>
        <w:bidi w:val="0"/>
        <w:spacing w:lineRule="auto" w:line="240" w:before="0" w:after="240"/>
        <w:ind w:left="0" w:right="0" w:firstLine="720"/>
        <w:jc w:val="both"/>
        <w:rPr/>
      </w:pPr>
      <w:r>
        <w:rPr>
          <w:rFonts w:ascii="Times New Roman;serif" w:hAnsi="Times New Roman;serif"/>
          <w:b w:val="false"/>
          <w:color w:val="000000"/>
          <w:sz w:val="24"/>
        </w:rPr>
        <w:t>(d)</w:t>
      </w:r>
      <w:r>
        <w:rPr>
          <w:rFonts w:ascii="Times New Roman;serif" w:hAnsi="Times New Roman;serif"/>
          <w:b w:val="false"/>
          <w:color w:val="000000"/>
          <w:sz w:val="24"/>
        </w:rPr>
        <w:t>Each Holder by accepting a Note acknowledges and agrees that the Trustee (and any agent) shall not be liable to any party for acting or refraining to act in accordance with (i) the foregoing provisions, (ii) any Noteholder Direction, (iii) any Officer’s Certificate, (iv) any Final Decision or (v) its duties under this Indenture, as the Trustee may determine in its sole discretion. For the avoidance of doubt, the Trustee shall have no duty or obligation (i) to monitor, investigate, verify or otherwise determine if a Holder (or Beneficial Owners) holds a Net Short position, (ii) to inquire as to or investigate the accuracy of any Position Representation, enforce compliance with any Verification Covenant or verify any statements in any Officer’s Certificates delivered to it or otherwise make calculations with respect to Derivative Instruments, Net Shorts, Long Derivative Instruments, Short Derivative Instruments or otherwise, (iii) prior to acting pursuant to a Noteholder Direction, inquire if the Issuer will seek to take action to determine if a Directing Holder has breached its Position Representation, (iv) monitor any court proceedings undertaken in connection therewith, or (v) monitor or investigate whether any Default or Event of Default has been publicly reported. The Trustee shall have no obligation to monitor or determine whether a Holder is Net Short and can rely conclusively on a Directing Holder’s Position Representation, the Officer’s Certificates delivered by the Issuer and determinations made by a court of competent jurisdiction and shall have no liability for ceasing to take any action, staying any remedy or otherwise failing to act in accordance with a Noteholder Direction during the pendency of Litigation or a Noteholder Direction after a Verification Covenant Officer’s Certificate has been provided but prior to receipt of a Covenant Satisfaction Officer’s Certificate. The Trustee shall have no liability or responsibility to the Issuer or to any Holder or any other Person in connection with any Noteholder Direction or to determine whether or not any Holder has delivered a Position Representation or that such Position Representation conforms with this Indenture or any other agreement.</w:t>
      </w:r>
    </w:p>
    <w:p>
      <w:pPr>
        <w:pStyle w:val="TextBody"/>
        <w:bidi w:val="0"/>
        <w:spacing w:lineRule="auto" w:line="240" w:before="0" w:after="240"/>
        <w:jc w:val="center"/>
        <w:rPr/>
      </w:pPr>
      <w:r>
        <w:rPr>
          <w:rFonts w:ascii="Times New Roman;serif" w:hAnsi="Times New Roman;serif"/>
          <w:b w:val="false"/>
          <w:color w:val="000000"/>
          <w:sz w:val="24"/>
        </w:rPr>
        <w:t>Article 7</w:t>
      </w:r>
      <w:r>
        <w:rPr>
          <w:rFonts w:ascii="Times New Roman;serif" w:hAnsi="Times New Roman;serif"/>
          <w:b w:val="false"/>
          <w:color w:val="000000"/>
          <w:sz w:val="24"/>
        </w:rPr>
        <w:br/>
        <w:t>TRUSTEE</w:t>
      </w:r>
    </w:p>
    <w:p>
      <w:pPr>
        <w:pStyle w:val="TextBody"/>
        <w:bidi w:val="0"/>
        <w:spacing w:lineRule="auto" w:line="240" w:before="0" w:after="240"/>
        <w:jc w:val="left"/>
        <w:rPr/>
      </w:pPr>
      <w:r>
        <w:rPr>
          <w:rFonts w:ascii="Times New Roman;serif" w:hAnsi="Times New Roman;serif"/>
          <w:b w:val="false"/>
          <w:color w:val="000000"/>
          <w:sz w:val="24"/>
        </w:rPr>
        <w:t>Section 7.01</w:t>
      </w:r>
      <w:r>
        <w:rPr>
          <w:rFonts w:ascii="Times New Roman;serif" w:hAnsi="Times New Roman;serif"/>
          <w:b w:val="false"/>
          <w:color w:val="000000"/>
          <w:sz w:val="24"/>
          <w:u w:val="single"/>
        </w:rPr>
        <w:t>Duties of Trustee</w:t>
      </w:r>
      <w:r>
        <w:rPr>
          <w:rFonts w:ascii="Times New Roman;serif" w:hAnsi="Times New Roman;serif"/>
          <w:b w:val="false"/>
          <w:color w:val="000000"/>
          <w:sz w:val="24"/>
        </w:rPr>
        <w:t xml:space="preserve">. </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rPr>
        <w:t xml:space="preserve">If an Event of Default of which a Responsible Officer of the Trustee has actual knowledge, or has received written notice, has occurred and is continuing, the Trustee will exercise such of the rights and powers vested in it by this Indenture, and use the same degree of care and skill in its exercise, as a prudent Person would exercise or use under the circumstances in the conduct of such person’s own affairs; provided, that such standard shall not be deemed to require the Trustee to take action if the terms of this Indenture provide that the Trustee acts at the </w:t>
      </w:r>
    </w:p>
    <w:p>
      <w:pPr>
        <w:pStyle w:val="TextBody"/>
        <w:bidi w:val="0"/>
        <w:spacing w:before="0" w:after="0"/>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735965"/>
                <wp:effectExtent l="0" t="0" r="0" b="0"/>
                <wp:wrapNone/>
                <wp:docPr id="117" name="Frame117"/>
                <a:graphic xmlns:a="http://schemas.openxmlformats.org/drawingml/2006/main">
                  <a:graphicData uri="http://schemas.microsoft.com/office/word/2010/wordprocessingShape">
                    <wps:wsp>
                      <wps:cNvSpPr txBox="1"/>
                      <wps:spPr>
                        <a:xfrm>
                          <a:off x="0" y="0"/>
                          <a:ext cx="6480175" cy="7359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69</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69</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direction of another Person, including any Holder of any outstanding Notes, and such Person has not provided such direction.</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rPr>
        <w:t>Except during the continuance of an Event of Default of which a Responsible Officer of the Trustee has actual knowledge or has received written notice:</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(1)the duties of the Trustee will be determined solely by the express provisions of this Indenture and only with respect to the Notes as to which it is Trustee and the Trustee need perform only those duties that are specifically set forth in this Indenture and no others, and no implied covenants or obligations shall be read into this Indenture against the Trustee; and</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(2)in the absence of bad faith on its part, the Trustee may conclusively rely, as to the truth of the statements and the correctness of the opinions expressed therein, upon certificates or opinions furnished to the Trustee and conforming to the requirements of this Indenture. However, with respect to certificates or opinions specifically required by any provision hereof to be furnished to it, the Trustee will examine the certificates and opinions to determine whether or not they conform to the requirements of this Indenture (but need not confirm or investigate the accuracy of mathematical calculations or other facts stated therein).</w:t>
      </w:r>
    </w:p>
    <w:p>
      <w:pPr>
        <w:pStyle w:val="TextBody"/>
        <w:bidi w:val="0"/>
        <w:spacing w:lineRule="auto" w:line="240" w:before="0" w:after="240"/>
        <w:ind w:left="0" w:right="0" w:firstLine="720"/>
        <w:jc w:val="both"/>
        <w:rPr/>
      </w:pPr>
      <w:r>
        <w:rPr>
          <w:rFonts w:ascii="Times New Roman;serif" w:hAnsi="Times New Roman;serif"/>
          <w:b w:val="false"/>
          <w:color w:val="000000"/>
          <w:sz w:val="24"/>
        </w:rPr>
        <w:t>(c)</w:t>
      </w:r>
      <w:r>
        <w:rPr>
          <w:rFonts w:ascii="Times New Roman;serif" w:hAnsi="Times New Roman;serif"/>
          <w:b w:val="false"/>
          <w:color w:val="000000"/>
          <w:sz w:val="24"/>
        </w:rPr>
        <w:t>The Trustee may not be relieved from liabilities for its own grossly negligent action, its own grossly negligent failure to act, or its own willful misconduct, except that:</w:t>
      </w:r>
    </w:p>
    <w:p>
      <w:pPr>
        <w:pStyle w:val="TextBody"/>
        <w:bidi w:val="0"/>
        <w:spacing w:lineRule="auto" w:line="240" w:before="0" w:after="240"/>
        <w:ind w:left="0" w:right="0" w:firstLine="720"/>
        <w:jc w:val="both"/>
        <w:rPr/>
      </w:pPr>
      <w:r>
        <w:rPr>
          <w:rFonts w:ascii="Times New Roman;serif" w:hAnsi="Times New Roman;serif"/>
          <w:b w:val="false"/>
          <w:color w:val="000000"/>
          <w:sz w:val="24"/>
        </w:rPr>
        <w:t xml:space="preserve">(1)this </w:t>
      </w:r>
      <w:r>
        <w:rPr>
          <w:rFonts w:ascii="Times New Roman;serif" w:hAnsi="Times New Roman;serif"/>
          <w:b w:val="false"/>
          <w:color w:val="000000"/>
          <w:sz w:val="24"/>
          <w:u w:val="single"/>
        </w:rPr>
        <w:t>Section 7.01(c)</w:t>
      </w:r>
      <w:r>
        <w:rPr>
          <w:color w:val="000000"/>
        </w:rPr>
        <w:t xml:space="preserve"> </w:t>
      </w:r>
      <w:r>
        <w:rPr>
          <w:rFonts w:ascii="Times New Roman;serif" w:hAnsi="Times New Roman;serif"/>
          <w:b w:val="false"/>
          <w:color w:val="000000"/>
          <w:sz w:val="24"/>
        </w:rPr>
        <w:t xml:space="preserve">does not limit the effect of </w:t>
      </w:r>
      <w:r>
        <w:rPr>
          <w:rFonts w:ascii="Times New Roman;serif" w:hAnsi="Times New Roman;serif"/>
          <w:b w:val="false"/>
          <w:color w:val="000000"/>
          <w:sz w:val="24"/>
          <w:u w:val="single"/>
        </w:rPr>
        <w:t>Section 7.01(b)</w:t>
      </w:r>
      <w:r>
        <w:rPr>
          <w:rFonts w:ascii="Times New Roman;serif" w:hAnsi="Times New Roman;serif"/>
          <w:b w:val="false"/>
          <w:color w:val="000000"/>
          <w:sz w:val="24"/>
        </w:rPr>
        <w:t>;</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(2)the Trustee will not be liable for any error of judgment made in good faith by a Responsible Officer, unless it is proved that the Trustee was grossly negligent in ascertaining the pertinent facts; and</w:t>
      </w:r>
    </w:p>
    <w:p>
      <w:pPr>
        <w:pStyle w:val="TextBody"/>
        <w:bidi w:val="0"/>
        <w:spacing w:lineRule="auto" w:line="240" w:before="0" w:after="240"/>
        <w:ind w:left="0" w:right="0" w:firstLine="720"/>
        <w:jc w:val="both"/>
        <w:rPr/>
      </w:pPr>
      <w:r>
        <w:rPr>
          <w:rFonts w:ascii="Times New Roman;serif" w:hAnsi="Times New Roman;serif"/>
          <w:b w:val="false"/>
          <w:color w:val="000000"/>
          <w:sz w:val="24"/>
        </w:rPr>
        <w:t xml:space="preserve">(3)the Trustee will not be liable with respect to any action it takes or omits to take in good faith in accordance with a direction received by it pursuant to </w:t>
      </w:r>
      <w:r>
        <w:rPr>
          <w:rFonts w:ascii="Times New Roman;serif" w:hAnsi="Times New Roman;serif"/>
          <w:b w:val="false"/>
          <w:color w:val="000000"/>
          <w:sz w:val="24"/>
          <w:u w:val="single"/>
        </w:rPr>
        <w:t>Section 6.04</w:t>
      </w:r>
      <w:r>
        <w:rPr>
          <w:color w:val="000000"/>
        </w:rPr>
        <w:t xml:space="preserve"> </w:t>
      </w:r>
      <w:r>
        <w:rPr>
          <w:rFonts w:ascii="Times New Roman;serif" w:hAnsi="Times New Roman;serif"/>
          <w:b w:val="false"/>
          <w:color w:val="000000"/>
          <w:sz w:val="24"/>
        </w:rPr>
        <w:t>hereof, relating to the time, method and place of conducting any proceeding for any remedy available to the Trustee, or exercising any trust or power conferred upon the Trustee, under this Indenture with respect to the Notes.</w:t>
      </w:r>
    </w:p>
    <w:p>
      <w:pPr>
        <w:pStyle w:val="TextBody"/>
        <w:bidi w:val="0"/>
        <w:spacing w:lineRule="auto" w:line="240" w:before="0" w:after="240"/>
        <w:ind w:left="0" w:right="0" w:firstLine="720"/>
        <w:jc w:val="both"/>
        <w:rPr/>
      </w:pPr>
      <w:r>
        <w:rPr>
          <w:rFonts w:ascii="Times New Roman;serif" w:hAnsi="Times New Roman;serif"/>
          <w:b w:val="false"/>
          <w:color w:val="000000"/>
          <w:sz w:val="24"/>
        </w:rPr>
        <w:t>(d)</w:t>
      </w:r>
      <w:r>
        <w:rPr>
          <w:rFonts w:ascii="Times New Roman;serif" w:hAnsi="Times New Roman;serif"/>
          <w:b w:val="false"/>
          <w:color w:val="000000"/>
          <w:sz w:val="24"/>
        </w:rPr>
        <w:t>No provision of this Indenture will require the Trustee to expend or risk its own funds or incur any liability.</w:t>
      </w:r>
    </w:p>
    <w:p>
      <w:pPr>
        <w:pStyle w:val="TextBody"/>
        <w:bidi w:val="0"/>
        <w:spacing w:lineRule="auto" w:line="240" w:before="0" w:after="240"/>
        <w:ind w:left="0" w:right="0" w:firstLine="720"/>
        <w:jc w:val="both"/>
        <w:rPr/>
      </w:pPr>
      <w:r>
        <w:rPr>
          <w:rFonts w:ascii="Times New Roman;serif" w:hAnsi="Times New Roman;serif"/>
          <w:b w:val="false"/>
          <w:color w:val="000000"/>
          <w:sz w:val="24"/>
        </w:rPr>
        <w:t>(e)</w:t>
      </w:r>
      <w:r>
        <w:rPr>
          <w:rFonts w:ascii="Times New Roman;serif" w:hAnsi="Times New Roman;serif"/>
          <w:b w:val="false"/>
          <w:color w:val="000000"/>
          <w:sz w:val="24"/>
        </w:rPr>
        <w:t>The Trustee will not be liable for interest on or the investment of any money received by it except as the Trustee may agree in writing with the Issuer. Money held in trust by the Trustee need not be segregated from other funds except to the extent required by law.</w:t>
      </w:r>
    </w:p>
    <w:p>
      <w:pPr>
        <w:pStyle w:val="TextBody"/>
        <w:bidi w:val="0"/>
        <w:spacing w:lineRule="auto" w:line="240" w:before="0" w:after="240"/>
        <w:ind w:left="0" w:right="0" w:firstLine="720"/>
        <w:jc w:val="both"/>
        <w:rPr/>
      </w:pPr>
      <w:r>
        <w:rPr>
          <w:rFonts w:ascii="Times New Roman;serif" w:hAnsi="Times New Roman;serif"/>
          <w:b w:val="false"/>
          <w:color w:val="000000"/>
          <w:sz w:val="24"/>
        </w:rPr>
        <w:t>(f)</w:t>
      </w:r>
      <w:r>
        <w:rPr>
          <w:rFonts w:ascii="Times New Roman;serif" w:hAnsi="Times New Roman;serif"/>
          <w:b w:val="false"/>
          <w:color w:val="000000"/>
          <w:sz w:val="24"/>
        </w:rPr>
        <w:t xml:space="preserve">Whether or not therein expressly so provided, every provision of this Indenture that in any way relates to the Trustee is subject to </w:t>
      </w:r>
      <w:r>
        <w:rPr>
          <w:rFonts w:ascii="Times New Roman;serif" w:hAnsi="Times New Roman;serif"/>
          <w:b w:val="false"/>
          <w:color w:val="000000"/>
          <w:sz w:val="24"/>
          <w:u w:val="single"/>
        </w:rPr>
        <w:t>Section 7.01</w:t>
      </w:r>
      <w:r>
        <w:rPr>
          <w:rFonts w:ascii="Times New Roman;serif" w:hAnsi="Times New Roman;serif"/>
          <w:b w:val="false"/>
          <w:color w:val="000000"/>
          <w:sz w:val="24"/>
        </w:rPr>
        <w:t>.</w:t>
      </w:r>
    </w:p>
    <w:p>
      <w:pPr>
        <w:pStyle w:val="TextBody"/>
        <w:bidi w:val="0"/>
        <w:spacing w:lineRule="auto" w:line="240" w:before="0" w:after="240"/>
        <w:jc w:val="left"/>
        <w:rPr/>
      </w:pPr>
      <w:r>
        <w:rPr>
          <w:rFonts w:ascii="Times New Roman;serif" w:hAnsi="Times New Roman;serif"/>
          <w:b w:val="false"/>
          <w:color w:val="000000"/>
          <w:sz w:val="24"/>
        </w:rPr>
        <w:t>Section 7.02</w:t>
      </w:r>
      <w:r>
        <w:rPr>
          <w:rFonts w:ascii="Times New Roman;serif" w:hAnsi="Times New Roman;serif"/>
          <w:b w:val="false"/>
          <w:color w:val="000000"/>
          <w:sz w:val="24"/>
          <w:u w:val="single"/>
        </w:rPr>
        <w:t>Rights of Trustee</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rPr>
        <w:t>The Trustee may conclusively rely and shall be fully protected in acting or refraining from acting upon any resolution, certificate, statement, instrument, opinion, report, notice, request, direction, consent, order, bond, debenture, note, other evidence of indebtedness or other paper or document believed by it to be genuine and to have been signed or presented by the proper Person.</w:t>
      </w:r>
    </w:p>
    <w:p>
      <w:pPr>
        <w:pStyle w:val="TextBody"/>
        <w:bidi w:val="0"/>
        <w:spacing w:before="0" w:after="0"/>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735965"/>
                <wp:effectExtent l="0" t="0" r="0" b="0"/>
                <wp:wrapNone/>
                <wp:docPr id="118" name="Frame118"/>
                <a:graphic xmlns:a="http://schemas.openxmlformats.org/drawingml/2006/main">
                  <a:graphicData uri="http://schemas.microsoft.com/office/word/2010/wordprocessingShape">
                    <wps:wsp>
                      <wps:cNvSpPr txBox="1"/>
                      <wps:spPr>
                        <a:xfrm>
                          <a:off x="0" y="0"/>
                          <a:ext cx="6480175" cy="7359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70</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70</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rPr>
        <w:t>Before the Trustee acts or refrains from acting, it may require an Officer’s Certificate or an Opinion of Counsel or both. The Trustee will not be liable for any action it takes or omits to take in good faith in reliance on such Officer’s Certificate or Opinion of Counsel. The Trustee may consult with counsel of its own selection and the advice of such counsel or any Opinion of Counsel will be full and complete authorization and protection from liability in respect of any action taken, suffered or omitted by it hereunder in good faith and in reliance thereon.</w:t>
      </w:r>
    </w:p>
    <w:p>
      <w:pPr>
        <w:pStyle w:val="TextBody"/>
        <w:bidi w:val="0"/>
        <w:spacing w:lineRule="auto" w:line="240" w:before="0" w:after="240"/>
        <w:ind w:left="0" w:right="0" w:firstLine="720"/>
        <w:jc w:val="both"/>
        <w:rPr/>
      </w:pPr>
      <w:r>
        <w:rPr>
          <w:rFonts w:ascii="Times New Roman;serif" w:hAnsi="Times New Roman;serif"/>
          <w:b w:val="false"/>
          <w:color w:val="000000"/>
          <w:sz w:val="24"/>
        </w:rPr>
        <w:t>(c)</w:t>
      </w:r>
      <w:r>
        <w:rPr>
          <w:rFonts w:ascii="Times New Roman;serif" w:hAnsi="Times New Roman;serif"/>
          <w:b w:val="false"/>
          <w:color w:val="000000"/>
          <w:sz w:val="24"/>
        </w:rPr>
        <w:t>The Trustee may act through its attorneys and agents and will not be responsible for the misconduct, negligence or failure to act or omission to act of any attorney or agent appointed with due care.</w:t>
      </w:r>
    </w:p>
    <w:p>
      <w:pPr>
        <w:pStyle w:val="TextBody"/>
        <w:bidi w:val="0"/>
        <w:spacing w:lineRule="auto" w:line="240" w:before="0" w:after="240"/>
        <w:ind w:left="0" w:right="0" w:firstLine="720"/>
        <w:jc w:val="both"/>
        <w:rPr/>
      </w:pPr>
      <w:r>
        <w:rPr>
          <w:rFonts w:ascii="Times New Roman;serif" w:hAnsi="Times New Roman;serif"/>
          <w:b w:val="false"/>
          <w:color w:val="000000"/>
          <w:sz w:val="24"/>
        </w:rPr>
        <w:t>(d)</w:t>
      </w:r>
      <w:r>
        <w:rPr>
          <w:rFonts w:ascii="Times New Roman;serif" w:hAnsi="Times New Roman;serif"/>
          <w:b w:val="false"/>
          <w:color w:val="000000"/>
          <w:sz w:val="24"/>
        </w:rPr>
        <w:t>The Trustee will not be liable for any action it takes, suffers or omits to take in good faith that it believes to be authorized or within the discretion or rights or powers conferred upon it by this Indenture.</w:t>
      </w:r>
    </w:p>
    <w:p>
      <w:pPr>
        <w:pStyle w:val="TextBody"/>
        <w:bidi w:val="0"/>
        <w:spacing w:lineRule="auto" w:line="240" w:before="0" w:after="240"/>
        <w:ind w:left="0" w:right="0" w:firstLine="720"/>
        <w:jc w:val="both"/>
        <w:rPr/>
      </w:pPr>
      <w:r>
        <w:rPr>
          <w:rFonts w:ascii="Times New Roman;serif" w:hAnsi="Times New Roman;serif"/>
          <w:b w:val="false"/>
          <w:color w:val="000000"/>
          <w:sz w:val="24"/>
        </w:rPr>
        <w:t>(e)</w:t>
      </w:r>
      <w:r>
        <w:rPr>
          <w:rFonts w:ascii="Times New Roman;serif" w:hAnsi="Times New Roman;serif"/>
          <w:b w:val="false"/>
          <w:color w:val="000000"/>
          <w:sz w:val="24"/>
        </w:rPr>
        <w:t>In the event the Trustee receives inconsistent or conflicting requests and indemnity from two or more groups of Holders, each representing less than a majority in aggregate principal amount of the Notes then outstanding, pursuant to the provisions of this Indenture, the Trustee, in its sole discretion, may determine what actions, if any, will be taken and the Trustee shall be entitled not to take any action until such instructions have been resolved or clarified to its satisfaction and the Trustee shall not be or become liable in any way or person for any failure to comply with any conflicting, unclear or equivocal instructions.</w:t>
      </w:r>
    </w:p>
    <w:p>
      <w:pPr>
        <w:pStyle w:val="TextBody"/>
        <w:bidi w:val="0"/>
        <w:spacing w:lineRule="auto" w:line="240" w:before="0" w:after="240"/>
        <w:ind w:left="0" w:right="0" w:firstLine="720"/>
        <w:jc w:val="both"/>
        <w:rPr/>
      </w:pPr>
      <w:r>
        <w:rPr>
          <w:rFonts w:ascii="Times New Roman;serif" w:hAnsi="Times New Roman;serif"/>
          <w:b w:val="false"/>
          <w:color w:val="000000"/>
          <w:sz w:val="24"/>
        </w:rPr>
        <w:t>(f)</w:t>
      </w:r>
      <w:r>
        <w:rPr>
          <w:rFonts w:ascii="Times New Roman;serif" w:hAnsi="Times New Roman;serif"/>
          <w:b w:val="false"/>
          <w:color w:val="000000"/>
          <w:sz w:val="24"/>
        </w:rPr>
        <w:t>The permissive right of the Trustee to take the actions permitted by this Indenture will not be construed as an obligation or duty to do so.</w:t>
      </w:r>
    </w:p>
    <w:p>
      <w:pPr>
        <w:pStyle w:val="TextBody"/>
        <w:bidi w:val="0"/>
        <w:spacing w:lineRule="auto" w:line="240" w:before="0" w:after="240"/>
        <w:ind w:left="0" w:right="0" w:firstLine="720"/>
        <w:jc w:val="both"/>
        <w:rPr/>
      </w:pPr>
      <w:r>
        <w:rPr>
          <w:rFonts w:ascii="Times New Roman;serif" w:hAnsi="Times New Roman;serif"/>
          <w:b w:val="false"/>
          <w:color w:val="000000"/>
          <w:sz w:val="24"/>
        </w:rPr>
        <w:t>(g)</w:t>
      </w:r>
      <w:r>
        <w:rPr>
          <w:rFonts w:ascii="Times New Roman;serif" w:hAnsi="Times New Roman;serif"/>
          <w:b w:val="false"/>
          <w:color w:val="000000"/>
          <w:sz w:val="24"/>
        </w:rPr>
        <w:t>Unless otherwise specifically provided in this Indenture, any demand, request, direction or notice from the Issuer or any Subsidiary Guarantor, as applicable, will be sufficient if signed by an Officer of the Issuer or such Subsidiary Guarantor, as applicable.</w:t>
      </w:r>
    </w:p>
    <w:p>
      <w:pPr>
        <w:pStyle w:val="TextBody"/>
        <w:bidi w:val="0"/>
        <w:spacing w:lineRule="auto" w:line="240" w:before="0" w:after="240"/>
        <w:ind w:left="0" w:right="0" w:firstLine="720"/>
        <w:jc w:val="both"/>
        <w:rPr/>
      </w:pPr>
      <w:r>
        <w:rPr>
          <w:rFonts w:ascii="Times New Roman;serif" w:hAnsi="Times New Roman;serif"/>
          <w:b w:val="false"/>
          <w:color w:val="000000"/>
          <w:sz w:val="24"/>
        </w:rPr>
        <w:t>(h)</w:t>
      </w:r>
      <w:r>
        <w:rPr>
          <w:rFonts w:ascii="Times New Roman;serif" w:hAnsi="Times New Roman;serif"/>
          <w:b w:val="false"/>
          <w:color w:val="000000"/>
          <w:sz w:val="24"/>
        </w:rPr>
        <w:t>The Trustee will be under no obligation to exercise any of the rights or powers vested in it by this Indenture at the request or direction of any of the Holders unless such Holders have offered to the Trustee indemnity and/or security satisfactory to the Trustee against the losses, liabilities and expenses that might be incurred by the Trustee in compliance with such request or direction.</w:t>
      </w:r>
    </w:p>
    <w:p>
      <w:pPr>
        <w:pStyle w:val="TextBody"/>
        <w:bidi w:val="0"/>
        <w:spacing w:lineRule="auto" w:line="240" w:before="0" w:after="240"/>
        <w:ind w:left="0" w:right="0" w:firstLine="720"/>
        <w:jc w:val="both"/>
        <w:rPr/>
      </w:pPr>
      <w:r>
        <w:rPr>
          <w:rFonts w:ascii="Times New Roman;serif" w:hAnsi="Times New Roman;serif"/>
          <w:b w:val="false"/>
          <w:color w:val="000000"/>
          <w:sz w:val="24"/>
        </w:rPr>
        <w:t>(i)</w:t>
      </w:r>
      <w:r>
        <w:rPr>
          <w:rFonts w:ascii="Times New Roman;serif" w:hAnsi="Times New Roman;serif"/>
          <w:b w:val="false"/>
          <w:color w:val="000000"/>
          <w:sz w:val="24"/>
        </w:rPr>
        <w:t>In no event shall the Trustee be responsible or liable for special, indirect, punitive, or consequential loss or damage of any kind whatsoever (including, but not limited to, loss of profit) irrespective of whether the Trustee has been advised of the likelihood of such loss or damage and regardless of the form of action.</w:t>
      </w:r>
    </w:p>
    <w:p>
      <w:pPr>
        <w:pStyle w:val="TextBody"/>
        <w:bidi w:val="0"/>
        <w:spacing w:lineRule="auto" w:line="240" w:before="0" w:after="240"/>
        <w:ind w:left="0" w:right="0" w:firstLine="720"/>
        <w:jc w:val="both"/>
        <w:rPr/>
      </w:pPr>
      <w:r>
        <w:rPr>
          <w:rFonts w:ascii="Times New Roman;serif" w:hAnsi="Times New Roman;serif"/>
          <w:b w:val="false"/>
          <w:color w:val="000000"/>
          <w:sz w:val="24"/>
        </w:rPr>
        <w:t>(j)</w:t>
      </w:r>
      <w:r>
        <w:rPr>
          <w:rFonts w:ascii="Times New Roman;serif" w:hAnsi="Times New Roman;serif"/>
          <w:b w:val="false"/>
          <w:color w:val="000000"/>
          <w:sz w:val="24"/>
        </w:rPr>
        <w:t>The Trustee shall not be deemed to have notice of any Default or Event of Default unless a Responsible Officer of the Trustee has actual knowledge thereof or unless written notice of any event which is in fact such a default is received by the Trustee at the Corporate Trust Office of the Trustee, and such notice references the Notes and this Indenture.</w:t>
      </w:r>
    </w:p>
    <w:p>
      <w:pPr>
        <w:pStyle w:val="TextBody"/>
        <w:bidi w:val="0"/>
        <w:spacing w:lineRule="auto" w:line="240" w:before="0" w:after="240"/>
        <w:ind w:left="0" w:right="0" w:firstLine="720"/>
        <w:jc w:val="both"/>
        <w:rPr/>
      </w:pPr>
      <w:r>
        <w:rPr>
          <w:rFonts w:ascii="Times New Roman;serif" w:hAnsi="Times New Roman;serif"/>
          <w:b w:val="false"/>
          <w:color w:val="000000"/>
          <w:sz w:val="24"/>
        </w:rPr>
        <w:t>(k)</w:t>
      </w:r>
      <w:r>
        <w:rPr>
          <w:rFonts w:ascii="Times New Roman;serif" w:hAnsi="Times New Roman;serif"/>
          <w:b w:val="false"/>
          <w:color w:val="000000"/>
          <w:sz w:val="24"/>
        </w:rPr>
        <w:t>The rights, privileges, protections, immunities and benefits given to the Trustee, including, without limitation, its right to be indemnified, are extended to, and shall be enforceable by, the Trustee in each of its capacities hereunder as Registrar and Paying Agent, and each Agent, Custodian and other Person employed to act hereunder.</w:t>
      </w:r>
    </w:p>
    <w:p>
      <w:pPr>
        <w:pStyle w:val="TextBody"/>
        <w:bidi w:val="0"/>
        <w:spacing w:before="0" w:after="0"/>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735965"/>
                <wp:effectExtent l="0" t="0" r="0" b="0"/>
                <wp:wrapNone/>
                <wp:docPr id="119" name="Frame119"/>
                <a:graphic xmlns:a="http://schemas.openxmlformats.org/drawingml/2006/main">
                  <a:graphicData uri="http://schemas.microsoft.com/office/word/2010/wordprocessingShape">
                    <wps:wsp>
                      <wps:cNvSpPr txBox="1"/>
                      <wps:spPr>
                        <a:xfrm>
                          <a:off x="0" y="0"/>
                          <a:ext cx="6480175" cy="7359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71</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71</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00000"/>
          <w:sz w:val="24"/>
        </w:rPr>
        <w:t>(l)</w:t>
      </w:r>
      <w:r>
        <w:rPr>
          <w:rFonts w:ascii="Times New Roman;serif" w:hAnsi="Times New Roman;serif"/>
          <w:b w:val="false"/>
          <w:color w:val="000000"/>
          <w:sz w:val="24"/>
        </w:rPr>
        <w:t>The Trustee may request that the Issuer and each Subsidiary Guarantor deliver an Officer’s Certificate setting forth the names of individuals and/or titles of Officers authorized at such time to take specified actions pursuant to this Indenture, which Officer’s Certificate may be signed by any Person authorized to sign an Officer’s Certificate, including any Person specified as so authorized in any such certificate previously delivered and not superseded.</w:t>
      </w:r>
    </w:p>
    <w:p>
      <w:pPr>
        <w:pStyle w:val="TextBody"/>
        <w:bidi w:val="0"/>
        <w:spacing w:lineRule="auto" w:line="240" w:before="0" w:after="240"/>
        <w:ind w:left="0" w:right="0" w:firstLine="720"/>
        <w:jc w:val="both"/>
        <w:rPr/>
      </w:pPr>
      <w:r>
        <w:rPr>
          <w:rFonts w:ascii="Times New Roman;serif" w:hAnsi="Times New Roman;serif"/>
          <w:b w:val="false"/>
          <w:color w:val="000000"/>
          <w:sz w:val="24"/>
        </w:rPr>
        <w:t>(m)</w:t>
      </w:r>
      <w:r>
        <w:rPr>
          <w:rFonts w:ascii="Times New Roman;serif" w:hAnsi="Times New Roman;serif"/>
          <w:b w:val="false"/>
          <w:color w:val="000000"/>
          <w:sz w:val="24"/>
        </w:rPr>
        <w:t>The Trustee shall not have any obligation or duty to monitor, determine or inquire as to compliance, and shall not be responsible or liable for compliance with restrictions on transfer, exchange, redemption, purchase or repurchase, as applicable, of minimum denominations imposed under this Indenture or under applicable law or regulation with respect to any transfer, exchange, redemption, purchase or repurchase, as applicable, of any interest in any Notes.</w:t>
      </w:r>
    </w:p>
    <w:p>
      <w:pPr>
        <w:pStyle w:val="TextBody"/>
        <w:bidi w:val="0"/>
        <w:spacing w:lineRule="auto" w:line="240" w:before="0" w:after="240"/>
        <w:ind w:left="0" w:right="0" w:firstLine="720"/>
        <w:jc w:val="both"/>
        <w:rPr/>
      </w:pPr>
      <w:r>
        <w:rPr>
          <w:rFonts w:ascii="Times New Roman;serif" w:hAnsi="Times New Roman;serif"/>
          <w:b w:val="false"/>
          <w:color w:val="000000"/>
          <w:sz w:val="24"/>
        </w:rPr>
        <w:t>(n)</w:t>
      </w:r>
      <w:r>
        <w:rPr>
          <w:rFonts w:ascii="Times New Roman;serif" w:hAnsi="Times New Roman;serif"/>
          <w:b w:val="false"/>
          <w:color w:val="000000"/>
          <w:sz w:val="24"/>
        </w:rPr>
        <w:t>Notwithstanding any provision herein to the contrary, in no event shall the Trustee be liable for any failure or delay in the performance of its obligations under this Indenture because of circumstances beyond its control, including, but not limited to, nuclear or natural catastrophes or acts of God, flood, war (whether declared or undeclared), terrorism, fire, riot, strikes or work stoppages for any reason, embargo, government action, including any laws, ordinances, regulations or the like which restrict or prohibit the providing of the services contemplated by this Indenture, inability to obtain material, equipment, or communications or computer (software and hardware) facilities, or the failure of equipment or interruption of utilities, communications or computer (software and hardware) facilities, and other causes beyond its control whether or not of the same class or kind as specifically named above.</w:t>
      </w:r>
    </w:p>
    <w:p>
      <w:pPr>
        <w:pStyle w:val="TextBody"/>
        <w:bidi w:val="0"/>
        <w:spacing w:lineRule="auto" w:line="240" w:before="0" w:after="240"/>
        <w:ind w:left="0" w:right="0" w:firstLine="720"/>
        <w:jc w:val="both"/>
        <w:rPr/>
      </w:pPr>
      <w:r>
        <w:rPr>
          <w:rFonts w:ascii="Times New Roman;serif" w:hAnsi="Times New Roman;serif"/>
          <w:b w:val="false"/>
          <w:color w:val="000000"/>
          <w:sz w:val="24"/>
        </w:rPr>
        <w:t>(o)</w:t>
      </w:r>
      <w:r>
        <w:rPr>
          <w:rFonts w:ascii="Times New Roman;serif" w:hAnsi="Times New Roman;serif"/>
          <w:b w:val="false"/>
          <w:color w:val="000000"/>
          <w:sz w:val="24"/>
        </w:rPr>
        <w:t>The Trustee shall not be bound to make any investigation into the facts or matters stated in any resolution, certificate, statement, instrument, opinion, report, notice, request, direction, consent, order, bond, debenture, note, other evidence of indebtedness or other paper or document, but the Trustee, in its discretion, may make such further inquiry or investigation into such facts or matters as it may see fit, and, if the Trustee shall determine to make such further inquiry or investigation, it shall be entitled to examine the books, records and premises of the Issuer, personally or by agent or attorney at the sole cost of the Issuer and shall incur no liability or additional liability of any kind by reason of such inquiry or investigation.</w:t>
      </w:r>
    </w:p>
    <w:p>
      <w:pPr>
        <w:pStyle w:val="TextBody"/>
        <w:bidi w:val="0"/>
        <w:spacing w:lineRule="auto" w:line="240" w:before="0" w:after="240"/>
        <w:ind w:left="0" w:right="0" w:firstLine="720"/>
        <w:jc w:val="both"/>
        <w:rPr/>
      </w:pPr>
      <w:r>
        <w:rPr>
          <w:rFonts w:ascii="Times New Roman;serif" w:hAnsi="Times New Roman;serif"/>
          <w:b w:val="false"/>
          <w:color w:val="000000"/>
          <w:sz w:val="24"/>
        </w:rPr>
        <w:t>(p)</w:t>
      </w:r>
      <w:r>
        <w:rPr>
          <w:rFonts w:ascii="Times New Roman;serif" w:hAnsi="Times New Roman;serif"/>
          <w:b w:val="false"/>
          <w:color w:val="000000"/>
          <w:sz w:val="24"/>
        </w:rPr>
        <w:t>The Trustee shall not be required to give any bond or surety in respect of the performance of its powers and duties hereunder.</w:t>
      </w:r>
    </w:p>
    <w:p>
      <w:pPr>
        <w:pStyle w:val="TextBody"/>
        <w:bidi w:val="0"/>
        <w:spacing w:lineRule="auto" w:line="240" w:before="0" w:after="240"/>
        <w:ind w:left="0" w:right="0" w:firstLine="720"/>
        <w:jc w:val="both"/>
        <w:rPr/>
      </w:pPr>
      <w:r>
        <w:rPr>
          <w:rFonts w:ascii="Times New Roman;serif" w:hAnsi="Times New Roman;serif"/>
          <w:b w:val="false"/>
          <w:color w:val="000000"/>
          <w:sz w:val="24"/>
        </w:rPr>
        <w:t>(q)</w:t>
      </w:r>
      <w:r>
        <w:rPr>
          <w:rFonts w:ascii="Times New Roman;serif" w:hAnsi="Times New Roman;serif"/>
          <w:b w:val="false"/>
          <w:color w:val="000000"/>
          <w:sz w:val="24"/>
        </w:rPr>
        <w:t>The Trustee may assume without inquiry in the absence of actual knowledge that the Issuer and each of the Subsidiaries is duly complying with their obligations contained in any Note Document required to be performed and observed by them, and that no Default or Event of Default or other event which would require repayment of the Notes has occurred.</w:t>
      </w:r>
    </w:p>
    <w:p>
      <w:pPr>
        <w:pStyle w:val="TextBody"/>
        <w:bidi w:val="0"/>
        <w:spacing w:lineRule="auto" w:line="240" w:before="0" w:after="240"/>
        <w:ind w:left="0" w:right="0" w:firstLine="720"/>
        <w:jc w:val="both"/>
        <w:rPr/>
      </w:pPr>
      <w:r>
        <w:rPr>
          <w:rFonts w:ascii="Times New Roman;serif" w:hAnsi="Times New Roman;serif"/>
          <w:b w:val="false"/>
          <w:color w:val="000000"/>
          <w:sz w:val="24"/>
        </w:rPr>
        <w:t>(r)</w:t>
      </w:r>
      <w:r>
        <w:rPr>
          <w:rFonts w:ascii="Times New Roman;serif" w:hAnsi="Times New Roman;serif"/>
          <w:b w:val="false"/>
          <w:color w:val="000000"/>
          <w:sz w:val="24"/>
        </w:rPr>
        <w:t>The Trustee shall be under no obligation to effect or maintain insurance or to renew any policies of insurance or to inquire as to the sufficiency of any policies of insurance carried by the Issuer, or to report, or make or file claims or proof of loss for, any loss or damage insured against it that may occur, or to keep itself informed or advised as to the payment of any taxes or assessments, or to require any such payment be made.</w:t>
      </w:r>
    </w:p>
    <w:p>
      <w:pPr>
        <w:pStyle w:val="TextBody"/>
        <w:bidi w:val="0"/>
        <w:spacing w:lineRule="auto" w:line="240" w:before="0" w:after="240"/>
        <w:jc w:val="left"/>
        <w:rPr/>
      </w:pPr>
      <w:r>
        <w:rPr>
          <w:rFonts w:ascii="Times New Roman;serif" w:hAnsi="Times New Roman;serif"/>
          <w:b w:val="false"/>
          <w:color w:val="000000"/>
          <w:sz w:val="24"/>
        </w:rPr>
        <w:t>Section 7.03</w:t>
      </w:r>
      <w:r>
        <w:rPr>
          <w:rFonts w:ascii="Times New Roman;serif" w:hAnsi="Times New Roman;serif"/>
          <w:b w:val="false"/>
          <w:color w:val="000000"/>
          <w:sz w:val="24"/>
          <w:u w:val="single"/>
        </w:rPr>
        <w:t>Individual Rights of Trustee</w:t>
      </w:r>
      <w:r>
        <w:rPr>
          <w:rFonts w:ascii="Times New Roman;serif" w:hAnsi="Times New Roman;serif"/>
          <w:b w:val="false"/>
          <w:color w:val="000000"/>
          <w:sz w:val="24"/>
        </w:rPr>
        <w: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The Trustee in its individual or any other capacity, may become the owner or pledgee of Notes and may otherwise deal with either the Issuer or any Subsidiary Guarantor or any Affiliate of the Issuer or any Subsidiary Guarantor with the same rights it would have if it were not </w:t>
      </w:r>
    </w:p>
    <w:p>
      <w:pPr>
        <w:pStyle w:val="TextBody"/>
        <w:bidi w:val="0"/>
        <w:spacing w:before="0" w:after="0"/>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735965"/>
                <wp:effectExtent l="0" t="0" r="0" b="0"/>
                <wp:wrapNone/>
                <wp:docPr id="120" name="Frame120"/>
                <a:graphic xmlns:a="http://schemas.openxmlformats.org/drawingml/2006/main">
                  <a:graphicData uri="http://schemas.microsoft.com/office/word/2010/wordprocessingShape">
                    <wps:wsp>
                      <wps:cNvSpPr txBox="1"/>
                      <wps:spPr>
                        <a:xfrm>
                          <a:off x="0" y="0"/>
                          <a:ext cx="6480175" cy="7359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72</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72</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Trustee. However, in the event that the Trustee acquires any conflicting interest it must eliminate such conflict within 90 days, apply to the SEC for permission to continue as Trustee (if this Indenture has been qualified under the TIA) or resign. Any Agent may do the same with like rights and duties.</w:t>
      </w:r>
    </w:p>
    <w:p>
      <w:pPr>
        <w:pStyle w:val="TextBody"/>
        <w:bidi w:val="0"/>
        <w:spacing w:lineRule="auto" w:line="240" w:before="0" w:after="240"/>
        <w:jc w:val="left"/>
        <w:rPr/>
      </w:pPr>
      <w:r>
        <w:rPr>
          <w:rFonts w:ascii="Times New Roman;serif" w:hAnsi="Times New Roman;serif"/>
          <w:b w:val="false"/>
          <w:color w:val="000000"/>
          <w:sz w:val="24"/>
        </w:rPr>
        <w:t>Section 7.04</w:t>
      </w:r>
      <w:r>
        <w:rPr>
          <w:rFonts w:ascii="Times New Roman;serif" w:hAnsi="Times New Roman;serif"/>
          <w:b w:val="false"/>
          <w:color w:val="000000"/>
          <w:sz w:val="24"/>
          <w:u w:val="single"/>
        </w:rPr>
        <w:t>Trustee’s Disclaimer</w:t>
      </w:r>
      <w:r>
        <w:rPr>
          <w:rFonts w:ascii="Times New Roman;serif" w:hAnsi="Times New Roman;serif"/>
          <w:b w:val="false"/>
          <w:color w:val="000000"/>
          <w:sz w:val="24"/>
        </w:rPr>
        <w: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Trustee will not be responsible for and makes no representation as to the validity or adequacy of any offering materials, the Note Documents, the Notes or any Subsidiary Guarantee; it shall not be accountable for the Issuer’s use of the proceeds from the Notes or any money paid to the Issuer or upon the Issuer’s direction under any provision of this Indenture; it will not be responsible for the use or application of any money received by any Paying Agent other than the Trustee; and it will not be responsible for any statement or recital herein or any statement in the Notes, any Subsidiary Guarantee or any other document in connection with the sale of the Notes or pursuant to this Indenture other than its certificate of authentication.</w:t>
      </w:r>
    </w:p>
    <w:p>
      <w:pPr>
        <w:pStyle w:val="TextBody"/>
        <w:bidi w:val="0"/>
        <w:spacing w:lineRule="auto" w:line="240" w:before="0" w:after="240"/>
        <w:jc w:val="left"/>
        <w:rPr/>
      </w:pPr>
      <w:r>
        <w:rPr>
          <w:rFonts w:ascii="Times New Roman;serif" w:hAnsi="Times New Roman;serif"/>
          <w:b w:val="false"/>
          <w:color w:val="000000"/>
          <w:sz w:val="24"/>
        </w:rPr>
        <w:t>Section 7.05</w:t>
      </w:r>
      <w:r>
        <w:rPr>
          <w:rFonts w:ascii="Times New Roman;serif" w:hAnsi="Times New Roman;serif"/>
          <w:b w:val="false"/>
          <w:color w:val="000000"/>
          <w:sz w:val="24"/>
          <w:u w:val="single"/>
        </w:rPr>
        <w:t>Notice of Defaults</w:t>
      </w:r>
      <w:r>
        <w:rPr>
          <w:rFonts w:ascii="Times New Roman;serif" w:hAnsi="Times New Roman;serif"/>
          <w:b w:val="false"/>
          <w:color w:val="000000"/>
          <w:sz w:val="24"/>
        </w:rPr>
        <w: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If a Default or Event of Default occurs and is continuing and if it is known to the Trustee, the Trustee will mail or deliver electronically to Holders a notice of the Default or Event of Default within 90 days after it occurs. Except in the case of a Default or Event of Default in payment of principal of, premium, if any, or interest on, any Note, the Trustee may and shall be protected in withholding the notice if and so long as it in good faith determines that withholding the notice is in the interests of the Holders.</w:t>
      </w:r>
    </w:p>
    <w:p>
      <w:pPr>
        <w:pStyle w:val="TextBody"/>
        <w:bidi w:val="0"/>
        <w:spacing w:lineRule="auto" w:line="240" w:before="0" w:after="240"/>
        <w:jc w:val="left"/>
        <w:rPr/>
      </w:pPr>
      <w:r>
        <w:rPr>
          <w:rFonts w:ascii="Times New Roman;serif" w:hAnsi="Times New Roman;serif"/>
          <w:b w:val="false"/>
          <w:color w:val="000000"/>
          <w:sz w:val="24"/>
        </w:rPr>
        <w:t>Section 7.06</w:t>
      </w:r>
      <w:r>
        <w:rPr>
          <w:rFonts w:ascii="Times New Roman;serif" w:hAnsi="Times New Roman;serif"/>
          <w:b w:val="false"/>
          <w:color w:val="000000"/>
          <w:sz w:val="24"/>
          <w:u w:val="single"/>
        </w:rPr>
        <w:t>Compensation and Indemnity</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rPr>
        <w:t>The Issuer and any Subsidiary Guarantors, jointly and severally, shall pay to the Trustee from time to time reasonable compensation, as agreed in writing from time to time, for its acceptance and administration of this Indenture and services hereunder. The Trustee’s compensation will not be limited by any law on compensation of a Trustee of an express trust. The Issuer and any Subsidiary Guarantors, jointly and severally, shall reimburse the Trustee promptly upon request for all reasonable and documented disbursements, advances and expenses incurred or made by it in addition to the compensation for its services. Such expenses will include the reasonable and documented compensation, disbursements and expenses of the Trustee’s agents and counsel.</w:t>
      </w:r>
    </w:p>
    <w:p>
      <w:pPr>
        <w:pStyle w:val="TextBody"/>
        <w:bidi w:val="0"/>
        <w:spacing w:lineRule="auto" w:line="30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rPr>
        <w:t xml:space="preserve">The Issuer and any Subsidiary Guarantor, jointly and severally, will indemnify the Trustee and hold it harmless from and against any and all losses, liabilities, claims, damages, costs or expenses incurred by it arising out of or in connection with the acceptance or administration of its duties or the exercise of its rights under this Indenture, each supplemental indenture and any Subsidiary Guarantees, including the reasonable and documented costs and expenses of enforcing this Indenture, each supplemental indenture and any Subsidiary Guarantees against the Issuer and any Subsidiary Guarantors (including this </w:t>
      </w:r>
      <w:r>
        <w:rPr>
          <w:rFonts w:ascii="Times New Roman;serif" w:hAnsi="Times New Roman;serif"/>
          <w:b w:val="false"/>
          <w:color w:val="000000"/>
          <w:sz w:val="24"/>
          <w:u w:val="single"/>
        </w:rPr>
        <w:t>Section 7.06</w:t>
      </w:r>
      <w:r>
        <w:rPr>
          <w:rFonts w:ascii="Times New Roman;serif" w:hAnsi="Times New Roman;serif"/>
          <w:b w:val="false"/>
          <w:color w:val="000000"/>
          <w:sz w:val="24"/>
        </w:rPr>
        <w:t xml:space="preserve">) and defending itself against any claim (whether asserted by the Issuer, any Subsidiary Guarantors, any Holder or any other Person) or liability in connection with the exercise or performance of any of its powers or duties under this Indenture and each supplemental indenture, except to the </w:t>
      </w:r>
    </w:p>
    <w:p>
      <w:pPr>
        <w:pStyle w:val="TextBody"/>
        <w:bidi w:val="0"/>
        <w:spacing w:before="0" w:after="0"/>
        <w:jc w:val="lef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735965"/>
                <wp:effectExtent l="0" t="0" r="0" b="0"/>
                <wp:wrapNone/>
                <wp:docPr id="121" name="Frame121"/>
                <a:graphic xmlns:a="http://schemas.openxmlformats.org/drawingml/2006/main">
                  <a:graphicData uri="http://schemas.microsoft.com/office/word/2010/wordprocessingShape">
                    <wps:wsp>
                      <wps:cNvSpPr txBox="1"/>
                      <wps:spPr>
                        <a:xfrm>
                          <a:off x="0" y="0"/>
                          <a:ext cx="6480175" cy="7359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73</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73</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300" w:before="0" w:after="240"/>
        <w:jc w:val="both"/>
        <w:rPr>
          <w:rFonts w:ascii="Times New Roman;serif" w:hAnsi="Times New Roman;serif"/>
          <w:b w:val="false"/>
          <w:color w:val="000000"/>
          <w:sz w:val="24"/>
        </w:rPr>
      </w:pPr>
      <w:r>
        <w:rPr>
          <w:rFonts w:ascii="Times New Roman;serif" w:hAnsi="Times New Roman;serif"/>
          <w:b w:val="false"/>
          <w:color w:val="000000"/>
          <w:sz w:val="24"/>
        </w:rPr>
        <w:t>extent any such loss, liability or expense may be attributable to its own gross negligence or bad faith or willful misconduct. The Trustee will notify the Issuer promptly of any claim for which it may seek indemnity. Failure by the Trustee to so notify the Issuer will not relieve the Issuer or any Subsidiary Guarantors of their obligations hereunder. The Issuer or any such Subsidiary Guarantor shall defend the claim and the Trustee shall cooperate in the defense. The Trustee may have separate counsel and the Issuer and/or any Subsidiary Guarantors shall pay the reasonable and documented fees and expenses of such counsel. Neither the Issuer nor any Subsidiary Guarantor need pay for any settlement made without its consent, which consent shall not be unreasonably withheld.</w:t>
      </w:r>
    </w:p>
    <w:p>
      <w:pPr>
        <w:pStyle w:val="TextBody"/>
        <w:bidi w:val="0"/>
        <w:spacing w:lineRule="auto" w:line="300" w:before="0" w:after="240"/>
        <w:ind w:left="0" w:right="0" w:firstLine="720"/>
        <w:jc w:val="both"/>
        <w:rPr/>
      </w:pPr>
      <w:r>
        <w:rPr>
          <w:rFonts w:ascii="Times New Roman;serif" w:hAnsi="Times New Roman;serif"/>
          <w:b w:val="false"/>
          <w:color w:val="000000"/>
          <w:sz w:val="24"/>
        </w:rPr>
        <w:t>(c)</w:t>
      </w:r>
      <w:r>
        <w:rPr>
          <w:rFonts w:ascii="Times New Roman;serif" w:hAnsi="Times New Roman;serif"/>
          <w:b w:val="false"/>
          <w:color w:val="000000"/>
          <w:sz w:val="24"/>
        </w:rPr>
        <w:t xml:space="preserve">When the Trustee incurs expenses or renders services after an Event of Default specified in clause (6) of </w:t>
      </w:r>
      <w:r>
        <w:rPr>
          <w:rFonts w:ascii="Times New Roman;serif" w:hAnsi="Times New Roman;serif"/>
          <w:b w:val="false"/>
          <w:color w:val="000000"/>
          <w:sz w:val="24"/>
          <w:u w:val="single"/>
        </w:rPr>
        <w:t>Section 6.01</w:t>
      </w:r>
      <w:r>
        <w:rPr>
          <w:color w:val="000000"/>
        </w:rPr>
        <w:t xml:space="preserve"> </w:t>
      </w:r>
      <w:r>
        <w:rPr>
          <w:rFonts w:ascii="Times New Roman;serif" w:hAnsi="Times New Roman;serif"/>
          <w:b w:val="false"/>
          <w:color w:val="000000"/>
          <w:sz w:val="24"/>
        </w:rPr>
        <w:t>hereof occurs, the expenses and the compensation for the services (including the fees and expenses of its agents and counsel) are intended to constitute expenses of administration under any Bankruptcy Law.</w:t>
      </w:r>
    </w:p>
    <w:p>
      <w:pPr>
        <w:pStyle w:val="TextBody"/>
        <w:bidi w:val="0"/>
        <w:spacing w:lineRule="auto" w:line="300" w:before="0" w:after="240"/>
        <w:ind w:left="0" w:right="0" w:firstLine="720"/>
        <w:jc w:val="both"/>
        <w:rPr/>
      </w:pPr>
      <w:r>
        <w:rPr>
          <w:rFonts w:ascii="Times New Roman;serif" w:hAnsi="Times New Roman;serif"/>
          <w:b w:val="false"/>
          <w:color w:val="000000"/>
          <w:sz w:val="24"/>
        </w:rPr>
        <w:t>(d)</w:t>
      </w:r>
      <w:r>
        <w:rPr>
          <w:rFonts w:ascii="Times New Roman;serif" w:hAnsi="Times New Roman;serif"/>
          <w:b w:val="false"/>
          <w:color w:val="000000"/>
          <w:sz w:val="24"/>
        </w:rPr>
        <w:t xml:space="preserve">The Issuer’s and Subsidiary Guarantors’ obligations under this </w:t>
      </w:r>
      <w:r>
        <w:rPr>
          <w:rFonts w:ascii="Times New Roman;serif" w:hAnsi="Times New Roman;serif"/>
          <w:b w:val="false"/>
          <w:color w:val="000000"/>
          <w:sz w:val="24"/>
          <w:u w:val="single"/>
        </w:rPr>
        <w:t>Section 7.06</w:t>
      </w:r>
      <w:r>
        <w:rPr>
          <w:color w:val="000000"/>
        </w:rPr>
        <w:t xml:space="preserve"> </w:t>
      </w:r>
      <w:r>
        <w:rPr>
          <w:rFonts w:ascii="Times New Roman;serif" w:hAnsi="Times New Roman;serif"/>
          <w:b w:val="false"/>
          <w:color w:val="000000"/>
          <w:sz w:val="24"/>
        </w:rPr>
        <w:t>shall survive the resignation or removal of the Trustee, the satisfaction and discharge of this Indenture with respect to any Notes, the complete satisfaction and discharge of this Indenture, any termination of this Indenture or any supplemental indenture, including any termination or rejection of this Indenture or any supplemental indenture in any insolvency or similar proceeding, and the repayment of all the Notes.</w:t>
      </w:r>
    </w:p>
    <w:p>
      <w:pPr>
        <w:pStyle w:val="TextBody"/>
        <w:bidi w:val="0"/>
        <w:spacing w:lineRule="auto" w:line="300" w:before="0" w:after="240"/>
        <w:jc w:val="left"/>
        <w:rPr/>
      </w:pPr>
      <w:r>
        <w:rPr>
          <w:rFonts w:ascii="Times New Roman;serif" w:hAnsi="Times New Roman;serif"/>
          <w:b w:val="false"/>
          <w:color w:val="000000"/>
          <w:sz w:val="24"/>
        </w:rPr>
        <w:t>Section 7.07</w:t>
      </w:r>
      <w:r>
        <w:rPr>
          <w:rFonts w:ascii="Times New Roman;serif" w:hAnsi="Times New Roman;serif"/>
          <w:b w:val="false"/>
          <w:color w:val="000000"/>
          <w:sz w:val="24"/>
          <w:u w:val="single"/>
        </w:rPr>
        <w:t>Replacement of Trustee</w:t>
      </w:r>
      <w:r>
        <w:rPr>
          <w:rFonts w:ascii="Times New Roman;serif" w:hAnsi="Times New Roman;serif"/>
          <w:b w:val="false"/>
          <w:color w:val="000000"/>
          <w:sz w:val="24"/>
        </w:rPr>
        <w:t xml:space="preserve">. </w:t>
      </w:r>
    </w:p>
    <w:p>
      <w:pPr>
        <w:pStyle w:val="TextBody"/>
        <w:bidi w:val="0"/>
        <w:spacing w:lineRule="auto" w:line="30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rPr>
        <w:t xml:space="preserve">A resignation or removal of the Trustee and appointment of a successor Trustee will become effective only upon the successor Trustee’s acceptance of appointment as provided in this </w:t>
      </w:r>
      <w:r>
        <w:rPr>
          <w:rFonts w:ascii="Times New Roman;serif" w:hAnsi="Times New Roman;serif"/>
          <w:b w:val="false"/>
          <w:color w:val="000000"/>
          <w:sz w:val="24"/>
          <w:u w:val="single"/>
        </w:rPr>
        <w:t>Section 7.07</w:t>
      </w:r>
      <w:r>
        <w:rPr>
          <w:rFonts w:ascii="Times New Roman;serif" w:hAnsi="Times New Roman;serif"/>
          <w:b w:val="false"/>
          <w:color w:val="000000"/>
          <w:sz w:val="24"/>
        </w:rPr>
        <w:t>.</w:t>
      </w:r>
    </w:p>
    <w:p>
      <w:pPr>
        <w:pStyle w:val="TextBody"/>
        <w:bidi w:val="0"/>
        <w:spacing w:lineRule="auto" w:line="30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rPr>
        <w:t>The Trustee may resign at any time, with respect to the Notes, and be discharged from the trust hereby created by so notifying the Issuer in writing. The Holders of a majority in aggregate principal amount of the then outstanding Notes may remove the Trustee by so notifying the Trustee and the Issuer in writing not less than 30 days prior to the effective date of such removal. The Issuer may remove the Trustee with respect to the Notes if:</w:t>
      </w:r>
    </w:p>
    <w:p>
      <w:pPr>
        <w:pStyle w:val="TextBody"/>
        <w:bidi w:val="0"/>
        <w:spacing w:lineRule="auto" w:line="300" w:before="0" w:after="240"/>
        <w:ind w:left="0" w:right="0" w:firstLine="720"/>
        <w:jc w:val="both"/>
        <w:rPr/>
      </w:pPr>
      <w:r>
        <w:rPr>
          <w:rFonts w:ascii="Times New Roman;serif" w:hAnsi="Times New Roman;serif"/>
          <w:b w:val="false"/>
          <w:color w:val="000000"/>
          <w:sz w:val="24"/>
        </w:rPr>
        <w:t xml:space="preserve">(1)the Trustee fails to comply with </w:t>
      </w:r>
      <w:r>
        <w:rPr>
          <w:rFonts w:ascii="Times New Roman;serif" w:hAnsi="Times New Roman;serif"/>
          <w:b w:val="false"/>
          <w:color w:val="000000"/>
          <w:sz w:val="24"/>
          <w:u w:val="single"/>
        </w:rPr>
        <w:t>Section 7.09</w:t>
      </w:r>
      <w:r>
        <w:rPr>
          <w:color w:val="000000"/>
        </w:rPr>
        <w:t xml:space="preserve"> </w:t>
      </w:r>
      <w:r>
        <w:rPr>
          <w:rFonts w:ascii="Times New Roman;serif" w:hAnsi="Times New Roman;serif"/>
          <w:b w:val="false"/>
          <w:color w:val="000000"/>
          <w:sz w:val="24"/>
        </w:rPr>
        <w:t>hereof;</w:t>
      </w:r>
    </w:p>
    <w:p>
      <w:pPr>
        <w:pStyle w:val="TextBody"/>
        <w:bidi w:val="0"/>
        <w:spacing w:lineRule="auto" w:line="30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(2)the Trustee is adjudged a bankrupt or an insolvent or an order for relief is entered with respect to the Trustee under any Bankruptcy Law;</w:t>
      </w:r>
    </w:p>
    <w:p>
      <w:pPr>
        <w:pStyle w:val="TextBody"/>
        <w:bidi w:val="0"/>
        <w:spacing w:lineRule="auto" w:line="30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(3)a custodian or public officer takes charge of the Trustee or its property; or</w:t>
      </w:r>
    </w:p>
    <w:p>
      <w:pPr>
        <w:pStyle w:val="TextBody"/>
        <w:bidi w:val="0"/>
        <w:spacing w:lineRule="auto" w:line="30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(4)the Trustee becomes incapable of acting.</w:t>
      </w:r>
    </w:p>
    <w:p>
      <w:pPr>
        <w:pStyle w:val="TextBody"/>
        <w:bidi w:val="0"/>
        <w:spacing w:before="0" w:after="0"/>
        <w:jc w:val="lef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735965"/>
                <wp:effectExtent l="0" t="0" r="0" b="0"/>
                <wp:wrapNone/>
                <wp:docPr id="122" name="Frame122"/>
                <a:graphic xmlns:a="http://schemas.openxmlformats.org/drawingml/2006/main">
                  <a:graphicData uri="http://schemas.microsoft.com/office/word/2010/wordprocessingShape">
                    <wps:wsp>
                      <wps:cNvSpPr txBox="1"/>
                      <wps:spPr>
                        <a:xfrm>
                          <a:off x="0" y="0"/>
                          <a:ext cx="6480175" cy="7359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74</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74</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300" w:before="0" w:after="240"/>
        <w:ind w:left="0" w:right="0" w:firstLine="720"/>
        <w:jc w:val="both"/>
        <w:rPr/>
      </w:pPr>
      <w:r>
        <w:rPr>
          <w:rFonts w:ascii="Times New Roman;serif" w:hAnsi="Times New Roman;serif"/>
          <w:b w:val="false"/>
          <w:color w:val="000000"/>
          <w:sz w:val="24"/>
        </w:rPr>
        <w:t>(c)</w:t>
      </w:r>
      <w:r>
        <w:rPr>
          <w:rFonts w:ascii="Times New Roman;serif" w:hAnsi="Times New Roman;serif"/>
          <w:b w:val="false"/>
          <w:color w:val="000000"/>
          <w:sz w:val="24"/>
        </w:rPr>
        <w:t>If the Trustee resigns or is removed or if a vacancy exists in the office of Trustee with respect to Notes for any reason, the Issuer will promptly appoint a successor Trustee. Within one year after the successor Trustee takes office, the Holders of a majority in aggregate principal amount of the then outstanding Notes may appoint a successor Trustee to replace the successor Trustee appointed by the Issuer.</w:t>
      </w:r>
    </w:p>
    <w:p>
      <w:pPr>
        <w:pStyle w:val="TextBody"/>
        <w:bidi w:val="0"/>
        <w:spacing w:lineRule="auto" w:line="300" w:before="0" w:after="240"/>
        <w:ind w:left="0" w:right="0" w:firstLine="720"/>
        <w:jc w:val="both"/>
        <w:rPr/>
      </w:pPr>
      <w:r>
        <w:rPr>
          <w:rFonts w:ascii="Times New Roman;serif" w:hAnsi="Times New Roman;serif"/>
          <w:b w:val="false"/>
          <w:color w:val="000000"/>
          <w:sz w:val="24"/>
        </w:rPr>
        <w:t>(d)</w:t>
      </w:r>
      <w:r>
        <w:rPr>
          <w:rFonts w:ascii="Times New Roman;serif" w:hAnsi="Times New Roman;serif"/>
          <w:b w:val="false"/>
          <w:color w:val="000000"/>
          <w:sz w:val="24"/>
        </w:rPr>
        <w:t>If a successor Trustee with respect to the Notes does not take office within 30 days after the retiring Trustee resigns or is removed, the retiring or removed Trustee, the Issuer, or the Holders of at least 10% in aggregate principal amount of the then outstanding Notes may, at the expense of the Issuer, petition any court of competent jurisdiction for the appointment of a successor Trustee.</w:t>
      </w:r>
    </w:p>
    <w:p>
      <w:pPr>
        <w:pStyle w:val="TextBody"/>
        <w:bidi w:val="0"/>
        <w:spacing w:lineRule="auto" w:line="300" w:before="0" w:after="240"/>
        <w:ind w:left="0" w:right="0" w:firstLine="720"/>
        <w:jc w:val="both"/>
        <w:rPr/>
      </w:pPr>
      <w:r>
        <w:rPr>
          <w:rFonts w:ascii="Times New Roman;serif" w:hAnsi="Times New Roman;serif"/>
          <w:b w:val="false"/>
          <w:color w:val="000000"/>
          <w:sz w:val="24"/>
        </w:rPr>
        <w:t>(e)</w:t>
      </w:r>
      <w:r>
        <w:rPr>
          <w:rFonts w:ascii="Times New Roman;serif" w:hAnsi="Times New Roman;serif"/>
          <w:b w:val="false"/>
          <w:color w:val="000000"/>
          <w:sz w:val="24"/>
        </w:rPr>
        <w:t xml:space="preserve">If the Trustee, after written request by any Holder who has been a Holder for at least six months, fails to comply with </w:t>
      </w:r>
      <w:r>
        <w:rPr>
          <w:rFonts w:ascii="Times New Roman;serif" w:hAnsi="Times New Roman;serif"/>
          <w:b w:val="false"/>
          <w:color w:val="000000"/>
          <w:sz w:val="24"/>
          <w:u w:val="single"/>
        </w:rPr>
        <w:t>Section 7.09</w:t>
      </w:r>
      <w:r>
        <w:rPr>
          <w:color w:val="000000"/>
        </w:rPr>
        <w:t xml:space="preserve"> </w:t>
      </w:r>
      <w:r>
        <w:rPr>
          <w:rFonts w:ascii="Times New Roman;serif" w:hAnsi="Times New Roman;serif"/>
          <w:b w:val="false"/>
          <w:color w:val="000000"/>
          <w:sz w:val="24"/>
        </w:rPr>
        <w:t>hereof, such Holder may petition at the expense of the Issuer any court of competent jurisdiction for the removal of the Trustee and the appointment of a successor Trustee.</w:t>
      </w:r>
    </w:p>
    <w:p>
      <w:pPr>
        <w:pStyle w:val="TextBody"/>
        <w:bidi w:val="0"/>
        <w:spacing w:lineRule="auto" w:line="300" w:before="0" w:after="240"/>
        <w:ind w:left="0" w:right="0" w:firstLine="720"/>
        <w:jc w:val="both"/>
        <w:rPr/>
      </w:pPr>
      <w:r>
        <w:rPr>
          <w:rFonts w:ascii="Times New Roman;serif" w:hAnsi="Times New Roman;serif"/>
          <w:b w:val="false"/>
          <w:color w:val="000000"/>
          <w:sz w:val="24"/>
        </w:rPr>
        <w:t>(f)</w:t>
      </w:r>
      <w:r>
        <w:rPr>
          <w:rFonts w:ascii="Times New Roman;serif" w:hAnsi="Times New Roman;serif"/>
          <w:b w:val="false"/>
          <w:color w:val="000000"/>
          <w:sz w:val="24"/>
        </w:rPr>
        <w:t xml:space="preserve">A successor Trustee will deliver a written acceptance of its appointment to the retiring Trustee and to the Issuer. Thereupon, the resignation or removal of the retiring Trustee will become effective, and the successor Trustee will have all the rights, powers and duties of the Trustee for which it is acting as Trustee under this Indenture. The successor Trustee will mail or deliver electronically a notice of its succession to Holders. The retiring Trustee will promptly transfer all property held by it as Trustee to the successor Trustee; </w:t>
      </w:r>
      <w:r>
        <w:rPr>
          <w:rFonts w:ascii="Times New Roman;serif" w:hAnsi="Times New Roman;serif"/>
          <w:b w:val="false"/>
          <w:i/>
          <w:color w:val="000000"/>
          <w:sz w:val="24"/>
        </w:rPr>
        <w:t>provided that</w:t>
      </w:r>
      <w:r>
        <w:rPr>
          <w:color w:val="000000"/>
        </w:rPr>
        <w:t xml:space="preserve"> </w:t>
      </w:r>
      <w:r>
        <w:rPr>
          <w:rFonts w:ascii="Times New Roman;serif" w:hAnsi="Times New Roman;serif"/>
          <w:b w:val="false"/>
          <w:color w:val="000000"/>
          <w:sz w:val="24"/>
        </w:rPr>
        <w:t>all sums owing to the Trustee hereunder have been paid.</w:t>
      </w:r>
    </w:p>
    <w:p>
      <w:pPr>
        <w:pStyle w:val="TextBody"/>
        <w:bidi w:val="0"/>
        <w:spacing w:lineRule="auto" w:line="300" w:before="0" w:after="240"/>
        <w:ind w:left="0" w:right="0" w:firstLine="720"/>
        <w:jc w:val="both"/>
        <w:rPr/>
      </w:pPr>
      <w:r>
        <w:rPr>
          <w:rFonts w:ascii="Times New Roman;serif" w:hAnsi="Times New Roman;serif"/>
          <w:b w:val="false"/>
          <w:color w:val="000000"/>
          <w:sz w:val="24"/>
        </w:rPr>
        <w:t>(g)</w:t>
      </w:r>
      <w:r>
        <w:rPr>
          <w:rFonts w:ascii="Times New Roman;serif" w:hAnsi="Times New Roman;serif"/>
          <w:b w:val="false"/>
          <w:color w:val="000000"/>
          <w:sz w:val="24"/>
        </w:rPr>
        <w:t>The retiring Trustee shall have no responsibility or liability for any action or inaction of a successor Trustee.</w:t>
      </w:r>
    </w:p>
    <w:p>
      <w:pPr>
        <w:pStyle w:val="TextBody"/>
        <w:bidi w:val="0"/>
        <w:spacing w:lineRule="auto" w:line="300" w:before="0" w:after="240"/>
        <w:jc w:val="left"/>
        <w:rPr/>
      </w:pPr>
      <w:r>
        <w:rPr>
          <w:rFonts w:ascii="Times New Roman;serif" w:hAnsi="Times New Roman;serif"/>
          <w:b w:val="false"/>
          <w:color w:val="000000"/>
          <w:sz w:val="24"/>
        </w:rPr>
        <w:t>Section 7.08</w:t>
      </w:r>
      <w:r>
        <w:rPr>
          <w:rFonts w:ascii="Times New Roman;serif" w:hAnsi="Times New Roman;serif"/>
          <w:b w:val="false"/>
          <w:color w:val="000000"/>
          <w:sz w:val="24"/>
          <w:u w:val="single"/>
        </w:rPr>
        <w:t>Successor Trustee by Merger, etc.</w:t>
      </w:r>
    </w:p>
    <w:p>
      <w:pPr>
        <w:pStyle w:val="TextBody"/>
        <w:bidi w:val="0"/>
        <w:spacing w:lineRule="auto" w:line="30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If the Trustee consolidates, merges or converts into, or transfers all or substantially all of its corporate trust business (including this transaction) to, another corporation, the successor corporation without any further act will be the successor Trustee.</w:t>
      </w:r>
    </w:p>
    <w:p>
      <w:pPr>
        <w:pStyle w:val="TextBody"/>
        <w:bidi w:val="0"/>
        <w:spacing w:lineRule="auto" w:line="300" w:before="0" w:after="240"/>
        <w:jc w:val="left"/>
        <w:rPr/>
      </w:pPr>
      <w:r>
        <w:rPr>
          <w:rFonts w:ascii="Times New Roman;serif" w:hAnsi="Times New Roman;serif"/>
          <w:b w:val="false"/>
          <w:color w:val="000000"/>
          <w:sz w:val="24"/>
        </w:rPr>
        <w:t>Section 7.09</w:t>
      </w:r>
      <w:r>
        <w:rPr>
          <w:rFonts w:ascii="Times New Roman;serif" w:hAnsi="Times New Roman;serif"/>
          <w:b w:val="false"/>
          <w:color w:val="000000"/>
          <w:sz w:val="24"/>
          <w:u w:val="single"/>
        </w:rPr>
        <w:t>Eligibility; Disqualification</w:t>
      </w:r>
      <w:r>
        <w:rPr>
          <w:rFonts w:ascii="Times New Roman;serif" w:hAnsi="Times New Roman;serif"/>
          <w:b w:val="false"/>
          <w:color w:val="000000"/>
          <w:sz w:val="24"/>
        </w:rPr>
        <w:t xml:space="preserve">. </w:t>
      </w:r>
    </w:p>
    <w:p>
      <w:pPr>
        <w:pStyle w:val="TextBody"/>
        <w:bidi w:val="0"/>
        <w:spacing w:lineRule="auto" w:line="30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There will at all times be a Trustee hereunder that is an entity organized and doing business under the laws of the United States of America or of any state thereof that is authorized under such laws to exercise corporate trust powers, that is subject to supervision or examination by federal or state authorities and that has a combined capital and surplus of at least $50.0 million as set forth in its most recent published annual report of condition.</w:t>
      </w:r>
    </w:p>
    <w:p>
      <w:pPr>
        <w:pStyle w:val="TextBody"/>
        <w:bidi w:val="0"/>
        <w:spacing w:before="0" w:after="0"/>
        <w:jc w:val="lef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735965"/>
                <wp:effectExtent l="0" t="0" r="0" b="0"/>
                <wp:wrapNone/>
                <wp:docPr id="123" name="Frame123"/>
                <a:graphic xmlns:a="http://schemas.openxmlformats.org/drawingml/2006/main">
                  <a:graphicData uri="http://schemas.microsoft.com/office/word/2010/wordprocessingShape">
                    <wps:wsp>
                      <wps:cNvSpPr txBox="1"/>
                      <wps:spPr>
                        <a:xfrm>
                          <a:off x="0" y="0"/>
                          <a:ext cx="6480175" cy="7359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75</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75</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center"/>
        <w:rPr/>
      </w:pPr>
      <w:r>
        <w:rPr>
          <w:rFonts w:ascii="Times New Roman;serif" w:hAnsi="Times New Roman;serif"/>
          <w:b w:val="false"/>
          <w:color w:val="000000"/>
          <w:sz w:val="24"/>
        </w:rPr>
        <w:t>Article 8</w:t>
      </w:r>
      <w:r>
        <w:rPr>
          <w:rFonts w:ascii="Times New Roman;serif" w:hAnsi="Times New Roman;serif"/>
          <w:b w:val="false"/>
          <w:color w:val="000000"/>
          <w:sz w:val="24"/>
        </w:rPr>
        <w:br/>
        <w:t>LEGAL DEFEASANCE AND COVENANT DEFEASANCE</w:t>
      </w:r>
    </w:p>
    <w:p>
      <w:pPr>
        <w:pStyle w:val="TextBody"/>
        <w:bidi w:val="0"/>
        <w:spacing w:lineRule="auto" w:line="240" w:before="0" w:after="240"/>
        <w:jc w:val="left"/>
        <w:rPr/>
      </w:pPr>
      <w:r>
        <w:rPr>
          <w:rFonts w:ascii="Times New Roman;serif" w:hAnsi="Times New Roman;serif"/>
          <w:b w:val="false"/>
          <w:color w:val="000000"/>
          <w:sz w:val="24"/>
        </w:rPr>
        <w:t>Section 8.01</w:t>
      </w:r>
      <w:r>
        <w:rPr>
          <w:rFonts w:ascii="Times New Roman;serif" w:hAnsi="Times New Roman;serif"/>
          <w:b w:val="false"/>
          <w:color w:val="000000"/>
          <w:sz w:val="24"/>
          <w:u w:val="single"/>
        </w:rPr>
        <w:t>Option to Effect Legal Defeasance or Covenant Defeasance</w:t>
      </w:r>
      <w:r>
        <w:rPr>
          <w:rFonts w:ascii="Times New Roman;serif" w:hAnsi="Times New Roman;serif"/>
          <w:b w:val="false"/>
          <w:color w:val="000000"/>
          <w:sz w:val="24"/>
        </w:rPr>
        <w:t>.</w:t>
      </w:r>
    </w:p>
    <w:p>
      <w:pPr>
        <w:pStyle w:val="TextBody"/>
        <w:bidi w:val="0"/>
        <w:spacing w:lineRule="auto" w:line="300" w:before="0" w:after="240"/>
        <w:ind w:left="0" w:right="0" w:firstLine="720"/>
        <w:jc w:val="both"/>
        <w:rPr/>
      </w:pPr>
      <w:r>
        <w:rPr>
          <w:rFonts w:ascii="Times New Roman;serif" w:hAnsi="Times New Roman;serif"/>
          <w:b w:val="false"/>
          <w:color w:val="000000"/>
          <w:sz w:val="24"/>
        </w:rPr>
        <w:t xml:space="preserve">The Issuer may, at its option evidenced by a resolution of its Board of Directors set forth in an Officer’s Certificate, at any time, elect to have either </w:t>
      </w:r>
      <w:r>
        <w:rPr>
          <w:rFonts w:ascii="Times New Roman;serif" w:hAnsi="Times New Roman;serif"/>
          <w:b w:val="false"/>
          <w:color w:val="000000"/>
          <w:sz w:val="24"/>
          <w:u w:val="single"/>
        </w:rPr>
        <w:t>Section 8.02</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Section 8.03</w:t>
      </w:r>
      <w:r>
        <w:rPr>
          <w:color w:val="000000"/>
        </w:rPr>
        <w:t xml:space="preserve"> </w:t>
      </w:r>
      <w:r>
        <w:rPr>
          <w:rFonts w:ascii="Times New Roman;serif" w:hAnsi="Times New Roman;serif"/>
          <w:b w:val="false"/>
          <w:color w:val="000000"/>
          <w:sz w:val="24"/>
        </w:rPr>
        <w:t xml:space="preserve">hereof be applied to the Note Documents upon compliance with the conditions set forth below in this </w:t>
      </w:r>
      <w:r>
        <w:rPr>
          <w:rFonts w:ascii="Times New Roman;serif" w:hAnsi="Times New Roman;serif"/>
          <w:b w:val="false"/>
          <w:color w:val="000000"/>
          <w:sz w:val="24"/>
          <w:u w:val="single"/>
        </w:rPr>
        <w:t>Article 8</w:t>
      </w:r>
      <w:r>
        <w:rPr>
          <w:rFonts w:ascii="Times New Roman;serif" w:hAnsi="Times New Roman;serif"/>
          <w:b w:val="false"/>
          <w:color w:val="000000"/>
          <w:sz w:val="24"/>
        </w:rPr>
        <w:t>.</w:t>
      </w:r>
    </w:p>
    <w:p>
      <w:pPr>
        <w:pStyle w:val="TextBody"/>
        <w:bidi w:val="0"/>
        <w:spacing w:lineRule="auto" w:line="300" w:before="0" w:after="240"/>
        <w:jc w:val="left"/>
        <w:rPr/>
      </w:pPr>
      <w:r>
        <w:rPr>
          <w:rFonts w:ascii="Times New Roman;serif" w:hAnsi="Times New Roman;serif"/>
          <w:b w:val="false"/>
          <w:color w:val="000000"/>
          <w:sz w:val="24"/>
        </w:rPr>
        <w:t>Section 8.02</w:t>
      </w:r>
      <w:r>
        <w:rPr>
          <w:rFonts w:ascii="Times New Roman;serif" w:hAnsi="Times New Roman;serif"/>
          <w:b w:val="false"/>
          <w:color w:val="000000"/>
          <w:sz w:val="24"/>
          <w:u w:val="single"/>
        </w:rPr>
        <w:t>Legal Defeasance</w:t>
      </w:r>
      <w:r>
        <w:rPr>
          <w:rFonts w:ascii="Times New Roman;serif" w:hAnsi="Times New Roman;serif"/>
          <w:b w:val="false"/>
          <w:color w:val="000000"/>
          <w:sz w:val="24"/>
        </w:rPr>
        <w:t>.</w:t>
      </w:r>
    </w:p>
    <w:p>
      <w:pPr>
        <w:pStyle w:val="TextBody"/>
        <w:bidi w:val="0"/>
        <w:spacing w:lineRule="auto" w:line="300" w:before="0" w:after="240"/>
        <w:ind w:left="0" w:right="0" w:firstLine="720"/>
        <w:jc w:val="both"/>
        <w:rPr/>
      </w:pPr>
      <w:r>
        <w:rPr>
          <w:rFonts w:ascii="Times New Roman;serif" w:hAnsi="Times New Roman;serif"/>
          <w:b w:val="false"/>
          <w:color w:val="000000"/>
          <w:sz w:val="24"/>
        </w:rPr>
        <w:t xml:space="preserve">Upon the Issuer’s exercise under </w:t>
      </w:r>
      <w:r>
        <w:rPr>
          <w:rFonts w:ascii="Times New Roman;serif" w:hAnsi="Times New Roman;serif"/>
          <w:b w:val="false"/>
          <w:color w:val="000000"/>
          <w:sz w:val="24"/>
          <w:u w:val="single"/>
        </w:rPr>
        <w:t>Section 8.01</w:t>
      </w:r>
      <w:r>
        <w:rPr>
          <w:color w:val="000000"/>
        </w:rPr>
        <w:t xml:space="preserve"> </w:t>
      </w:r>
      <w:r>
        <w:rPr>
          <w:rFonts w:ascii="Times New Roman;serif" w:hAnsi="Times New Roman;serif"/>
          <w:b w:val="false"/>
          <w:color w:val="000000"/>
          <w:sz w:val="24"/>
        </w:rPr>
        <w:t xml:space="preserve">hereof of the option applicable to this </w:t>
      </w:r>
      <w:r>
        <w:rPr>
          <w:rFonts w:ascii="Times New Roman;serif" w:hAnsi="Times New Roman;serif"/>
          <w:b w:val="false"/>
          <w:color w:val="000000"/>
          <w:sz w:val="24"/>
          <w:u w:val="single"/>
        </w:rPr>
        <w:t>Section 8.02</w:t>
      </w:r>
      <w:r>
        <w:rPr>
          <w:rFonts w:ascii="Times New Roman;serif" w:hAnsi="Times New Roman;serif"/>
          <w:b w:val="false"/>
          <w:color w:val="000000"/>
          <w:sz w:val="24"/>
        </w:rPr>
        <w:t xml:space="preserve">, the Issuer and each of the Subsidiary Guarantors shall, subject to the satisfaction of the conditions set forth in </w:t>
      </w:r>
      <w:r>
        <w:rPr>
          <w:rFonts w:ascii="Times New Roman;serif" w:hAnsi="Times New Roman;serif"/>
          <w:b w:val="false"/>
          <w:color w:val="000000"/>
          <w:sz w:val="24"/>
          <w:u w:val="single"/>
        </w:rPr>
        <w:t>Section 8.04</w:t>
      </w:r>
      <w:r>
        <w:rPr>
          <w:color w:val="000000"/>
        </w:rPr>
        <w:t xml:space="preserve"> </w:t>
      </w:r>
      <w:r>
        <w:rPr>
          <w:rFonts w:ascii="Times New Roman;serif" w:hAnsi="Times New Roman;serif"/>
          <w:b w:val="false"/>
          <w:color w:val="000000"/>
          <w:sz w:val="24"/>
        </w:rPr>
        <w:t xml:space="preserve">hereof, be deemed to have been discharged from their obligations with respect to the Note Documents (including the Subsidiary Guarantees) on the date the conditions set forth in </w:t>
      </w:r>
      <w:r>
        <w:rPr>
          <w:rFonts w:ascii="Times New Roman;serif" w:hAnsi="Times New Roman;serif"/>
          <w:b w:val="false"/>
          <w:color w:val="000000"/>
          <w:sz w:val="24"/>
          <w:u w:val="single"/>
        </w:rPr>
        <w:t>Section 8.04</w:t>
      </w:r>
      <w:r>
        <w:rPr>
          <w:color w:val="000000"/>
        </w:rPr>
        <w:t xml:space="preserve"> </w:t>
      </w:r>
      <w:r>
        <w:rPr>
          <w:rFonts w:ascii="Times New Roman;serif" w:hAnsi="Times New Roman;serif"/>
          <w:b w:val="false"/>
          <w:color w:val="000000"/>
          <w:sz w:val="24"/>
        </w:rPr>
        <w:t>hereof are satisfied (hereinafter, “</w:t>
      </w:r>
      <w:r>
        <w:rPr>
          <w:rFonts w:ascii="Times New Roman;serif" w:hAnsi="Times New Roman;serif"/>
          <w:b w:val="false"/>
          <w:i/>
          <w:color w:val="000000"/>
          <w:sz w:val="24"/>
        </w:rPr>
        <w:t>Legal Defeasance</w:t>
      </w:r>
      <w:r>
        <w:rPr>
          <w:color w:val="000000"/>
        </w:rPr>
        <w:t>”</w:t>
      </w:r>
      <w:r>
        <w:rPr>
          <w:rFonts w:ascii="Times New Roman;serif" w:hAnsi="Times New Roman;serif"/>
          <w:b w:val="false"/>
          <w:color w:val="000000"/>
          <w:sz w:val="24"/>
        </w:rPr>
        <w:t xml:space="preserve">). For this purpose, Legal Defeasance means that the Issuer and any Subsidiary Guarantors shall be deemed to have paid and discharged the entire Indebtedness represented by the Notes (including any Subsidiary Guarantees with respect to the Notes), which will thereafter be deemed to be “outstanding” only for the purposes of </w:t>
      </w:r>
      <w:r>
        <w:rPr>
          <w:rFonts w:ascii="Times New Roman;serif" w:hAnsi="Times New Roman;serif"/>
          <w:b w:val="false"/>
          <w:color w:val="000000"/>
          <w:sz w:val="24"/>
          <w:u w:val="single"/>
        </w:rPr>
        <w:t>Section 8.05</w:t>
      </w:r>
      <w:r>
        <w:rPr>
          <w:color w:val="000000"/>
        </w:rPr>
        <w:t xml:space="preserve"> </w:t>
      </w:r>
      <w:r>
        <w:rPr>
          <w:rFonts w:ascii="Times New Roman;serif" w:hAnsi="Times New Roman;serif"/>
          <w:b w:val="false"/>
          <w:color w:val="000000"/>
          <w:sz w:val="24"/>
        </w:rPr>
        <w:t>hereof and the other Sections hereof referred to in clauses (1) and (2) below, and to have satisfied all their other obligations under the applicable Note Documents (and the Trustee, on demand of and at the expense of the Issuer, shall execute proper instruments acknowledging the same), except for the following provisions which will survive until otherwise terminated or discharged hereunder:</w:t>
      </w:r>
    </w:p>
    <w:p>
      <w:pPr>
        <w:pStyle w:val="TextBody"/>
        <w:bidi w:val="0"/>
        <w:spacing w:lineRule="auto" w:line="300" w:before="0" w:after="240"/>
        <w:ind w:left="0" w:right="0" w:firstLine="720"/>
        <w:jc w:val="both"/>
        <w:rPr/>
      </w:pPr>
      <w:r>
        <w:rPr>
          <w:rFonts w:ascii="Times New Roman;serif" w:hAnsi="Times New Roman;serif"/>
          <w:b w:val="false"/>
          <w:color w:val="000000"/>
          <w:sz w:val="24"/>
        </w:rPr>
        <w:t xml:space="preserve">(1)the rights of Holders of such Notes that are then outstanding to receive payments in respect of the principal of, or interest or premium on, such Notes when such payments are due from the trust referred to in </w:t>
      </w:r>
      <w:r>
        <w:rPr>
          <w:rFonts w:ascii="Times New Roman;serif" w:hAnsi="Times New Roman;serif"/>
          <w:b w:val="false"/>
          <w:color w:val="000000"/>
          <w:sz w:val="24"/>
          <w:u w:val="single"/>
        </w:rPr>
        <w:t>Section 8.04</w:t>
      </w:r>
      <w:r>
        <w:rPr>
          <w:color w:val="000000"/>
        </w:rPr>
        <w:t xml:space="preserve"> </w:t>
      </w:r>
      <w:r>
        <w:rPr>
          <w:rFonts w:ascii="Times New Roman;serif" w:hAnsi="Times New Roman;serif"/>
          <w:b w:val="false"/>
          <w:color w:val="000000"/>
          <w:sz w:val="24"/>
        </w:rPr>
        <w:t>hereof;</w:t>
      </w:r>
    </w:p>
    <w:p>
      <w:pPr>
        <w:pStyle w:val="TextBody"/>
        <w:bidi w:val="0"/>
        <w:spacing w:lineRule="auto" w:line="300" w:before="0" w:after="240"/>
        <w:ind w:left="0" w:right="0" w:firstLine="720"/>
        <w:jc w:val="both"/>
        <w:rPr/>
      </w:pPr>
      <w:r>
        <w:rPr>
          <w:rFonts w:ascii="Times New Roman;serif" w:hAnsi="Times New Roman;serif"/>
          <w:b w:val="false"/>
          <w:color w:val="000000"/>
          <w:sz w:val="24"/>
        </w:rPr>
        <w:t xml:space="preserve">(2)the Issuer’s Obligations with respect to such Notes under </w:t>
      </w:r>
      <w:r>
        <w:rPr>
          <w:rFonts w:ascii="Times New Roman;serif" w:hAnsi="Times New Roman;serif"/>
          <w:b w:val="false"/>
          <w:color w:val="000000"/>
          <w:sz w:val="24"/>
          <w:u w:val="single"/>
        </w:rPr>
        <w:t>Article 2</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Section 4.02</w:t>
      </w:r>
      <w:r>
        <w:rPr>
          <w:color w:val="000000"/>
        </w:rPr>
        <w:t xml:space="preserve"> </w:t>
      </w:r>
      <w:r>
        <w:rPr>
          <w:rFonts w:ascii="Times New Roman;serif" w:hAnsi="Times New Roman;serif"/>
          <w:b w:val="false"/>
          <w:color w:val="000000"/>
          <w:sz w:val="24"/>
        </w:rPr>
        <w:t>hereof;</w:t>
      </w:r>
    </w:p>
    <w:p>
      <w:pPr>
        <w:pStyle w:val="TextBody"/>
        <w:bidi w:val="0"/>
        <w:spacing w:lineRule="auto" w:line="30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(3)the rights, powers, trusts, duties, indemnities and immunities of the Trustee hereunder, and the Issuer’s and any Subsidiary Guarantors’ Obligations in connection therewith; and</w:t>
      </w:r>
    </w:p>
    <w:p>
      <w:pPr>
        <w:pStyle w:val="TextBody"/>
        <w:bidi w:val="0"/>
        <w:spacing w:lineRule="auto" w:line="300" w:before="0" w:after="240"/>
        <w:ind w:left="0" w:right="0" w:firstLine="720"/>
        <w:jc w:val="both"/>
        <w:rPr/>
      </w:pPr>
      <w:r>
        <w:rPr>
          <w:rFonts w:ascii="Times New Roman;serif" w:hAnsi="Times New Roman;serif"/>
          <w:b w:val="false"/>
          <w:color w:val="000000"/>
          <w:sz w:val="24"/>
        </w:rPr>
        <w:t xml:space="preserve">(4)this </w:t>
      </w:r>
      <w:r>
        <w:rPr>
          <w:rFonts w:ascii="Times New Roman;serif" w:hAnsi="Times New Roman;serif"/>
          <w:b w:val="false"/>
          <w:color w:val="000000"/>
          <w:sz w:val="24"/>
          <w:u w:val="single"/>
        </w:rPr>
        <w:t>Article 8</w:t>
      </w:r>
      <w:r>
        <w:rPr>
          <w:rFonts w:ascii="Times New Roman;serif" w:hAnsi="Times New Roman;serif"/>
          <w:b w:val="false"/>
          <w:color w:val="000000"/>
          <w:sz w:val="24"/>
        </w:rPr>
        <w:t>.</w:t>
      </w:r>
    </w:p>
    <w:p>
      <w:pPr>
        <w:pStyle w:val="TextBody"/>
        <w:bidi w:val="0"/>
        <w:spacing w:lineRule="auto" w:line="300" w:before="0" w:after="240"/>
        <w:ind w:left="0" w:right="0" w:firstLine="720"/>
        <w:jc w:val="both"/>
        <w:rPr/>
      </w:pPr>
      <w:r>
        <w:rPr>
          <w:rFonts w:ascii="Times New Roman;serif" w:hAnsi="Times New Roman;serif"/>
          <w:b w:val="false"/>
          <w:color w:val="000000"/>
          <w:sz w:val="24"/>
        </w:rPr>
        <w:t xml:space="preserve">Subject to compliance with this </w:t>
      </w:r>
      <w:r>
        <w:rPr>
          <w:rFonts w:ascii="Times New Roman;serif" w:hAnsi="Times New Roman;serif"/>
          <w:b w:val="false"/>
          <w:color w:val="000000"/>
          <w:sz w:val="24"/>
          <w:u w:val="single"/>
        </w:rPr>
        <w:t>Article 8</w:t>
      </w:r>
      <w:r>
        <w:rPr>
          <w:rFonts w:ascii="Times New Roman;serif" w:hAnsi="Times New Roman;serif"/>
          <w:b w:val="false"/>
          <w:color w:val="000000"/>
          <w:sz w:val="24"/>
        </w:rPr>
        <w:t xml:space="preserve">, the Issuer may exercise its option under this </w:t>
      </w:r>
      <w:r>
        <w:rPr>
          <w:rFonts w:ascii="Times New Roman;serif" w:hAnsi="Times New Roman;serif"/>
          <w:b w:val="false"/>
          <w:color w:val="000000"/>
          <w:sz w:val="24"/>
          <w:u w:val="single"/>
        </w:rPr>
        <w:t>Section 8.02</w:t>
      </w:r>
      <w:r>
        <w:rPr>
          <w:color w:val="000000"/>
        </w:rPr>
        <w:t xml:space="preserve"> </w:t>
      </w:r>
      <w:r>
        <w:rPr>
          <w:rFonts w:ascii="Times New Roman;serif" w:hAnsi="Times New Roman;serif"/>
          <w:b w:val="false"/>
          <w:color w:val="000000"/>
          <w:sz w:val="24"/>
        </w:rPr>
        <w:t xml:space="preserve">notwithstanding the prior exercise of its option under </w:t>
      </w:r>
      <w:r>
        <w:rPr>
          <w:rFonts w:ascii="Times New Roman;serif" w:hAnsi="Times New Roman;serif"/>
          <w:b w:val="false"/>
          <w:color w:val="000000"/>
          <w:sz w:val="24"/>
          <w:u w:val="single"/>
        </w:rPr>
        <w:t>Section 8.03</w:t>
      </w:r>
      <w:r>
        <w:rPr>
          <w:color w:val="000000"/>
        </w:rPr>
        <w:t xml:space="preserve"> </w:t>
      </w:r>
      <w:r>
        <w:rPr>
          <w:rFonts w:ascii="Times New Roman;serif" w:hAnsi="Times New Roman;serif"/>
          <w:b w:val="false"/>
          <w:color w:val="000000"/>
          <w:sz w:val="24"/>
        </w:rPr>
        <w:t>hereof.</w:t>
      </w:r>
    </w:p>
    <w:p>
      <w:pPr>
        <w:pStyle w:val="TextBody"/>
        <w:bidi w:val="0"/>
        <w:spacing w:before="0" w:after="0"/>
        <w:jc w:val="lef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735965"/>
                <wp:effectExtent l="0" t="0" r="0" b="0"/>
                <wp:wrapNone/>
                <wp:docPr id="124" name="Frame124"/>
                <a:graphic xmlns:a="http://schemas.openxmlformats.org/drawingml/2006/main">
                  <a:graphicData uri="http://schemas.microsoft.com/office/word/2010/wordprocessingShape">
                    <wps:wsp>
                      <wps:cNvSpPr txBox="1"/>
                      <wps:spPr>
                        <a:xfrm>
                          <a:off x="0" y="0"/>
                          <a:ext cx="6480175" cy="7359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76</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76</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300" w:before="0" w:after="240"/>
        <w:jc w:val="left"/>
        <w:rPr/>
      </w:pPr>
      <w:r>
        <w:rPr>
          <w:rFonts w:ascii="Times New Roman;serif" w:hAnsi="Times New Roman;serif"/>
          <w:b w:val="false"/>
          <w:color w:val="000000"/>
          <w:sz w:val="24"/>
        </w:rPr>
        <w:t>Section 8.03</w:t>
      </w:r>
      <w:r>
        <w:rPr>
          <w:rFonts w:ascii="Times New Roman;serif" w:hAnsi="Times New Roman;serif"/>
          <w:b w:val="false"/>
          <w:color w:val="000000"/>
          <w:sz w:val="24"/>
          <w:u w:val="single"/>
        </w:rPr>
        <w:t>Covenant Defeasance</w:t>
      </w:r>
      <w:r>
        <w:rPr>
          <w:rFonts w:ascii="Times New Roman;serif" w:hAnsi="Times New Roman;serif"/>
          <w:b w:val="false"/>
          <w:color w:val="000000"/>
          <w:sz w:val="24"/>
        </w:rPr>
        <w:t>.</w:t>
      </w:r>
    </w:p>
    <w:p>
      <w:pPr>
        <w:pStyle w:val="TextBody"/>
        <w:bidi w:val="0"/>
        <w:spacing w:lineRule="auto" w:line="300" w:before="0" w:after="240"/>
        <w:ind w:left="0" w:right="0" w:firstLine="720"/>
        <w:jc w:val="both"/>
        <w:rPr/>
      </w:pPr>
      <w:r>
        <w:rPr>
          <w:rFonts w:ascii="Times New Roman;serif" w:hAnsi="Times New Roman;serif"/>
          <w:b w:val="false"/>
          <w:color w:val="000000"/>
          <w:sz w:val="24"/>
        </w:rPr>
        <w:t xml:space="preserve">Upon the Issuer’s exercise under </w:t>
      </w:r>
      <w:r>
        <w:rPr>
          <w:rFonts w:ascii="Times New Roman;serif" w:hAnsi="Times New Roman;serif"/>
          <w:b w:val="false"/>
          <w:color w:val="000000"/>
          <w:sz w:val="24"/>
          <w:u w:val="single"/>
        </w:rPr>
        <w:t>Section 8.01</w:t>
      </w:r>
      <w:r>
        <w:rPr>
          <w:color w:val="000000"/>
        </w:rPr>
        <w:t xml:space="preserve"> </w:t>
      </w:r>
      <w:r>
        <w:rPr>
          <w:rFonts w:ascii="Times New Roman;serif" w:hAnsi="Times New Roman;serif"/>
          <w:b w:val="false"/>
          <w:color w:val="000000"/>
          <w:sz w:val="24"/>
        </w:rPr>
        <w:t xml:space="preserve">hereof of the option applicable to this </w:t>
      </w:r>
      <w:r>
        <w:rPr>
          <w:rFonts w:ascii="Times New Roman;serif" w:hAnsi="Times New Roman;serif"/>
          <w:b w:val="false"/>
          <w:color w:val="000000"/>
          <w:sz w:val="24"/>
          <w:u w:val="single"/>
        </w:rPr>
        <w:t>Section 8.03</w:t>
      </w:r>
      <w:r>
        <w:rPr>
          <w:rFonts w:ascii="Times New Roman;serif" w:hAnsi="Times New Roman;serif"/>
          <w:b w:val="false"/>
          <w:color w:val="000000"/>
          <w:sz w:val="24"/>
        </w:rPr>
        <w:t xml:space="preserve">, the Issuer and the Subsidiary Guarantors shall, subject to the satisfaction of the conditions set forth in </w:t>
      </w:r>
      <w:r>
        <w:rPr>
          <w:rFonts w:ascii="Times New Roman;serif" w:hAnsi="Times New Roman;serif"/>
          <w:b w:val="false"/>
          <w:color w:val="000000"/>
          <w:sz w:val="24"/>
          <w:u w:val="single"/>
        </w:rPr>
        <w:t>Section 8.04</w:t>
      </w:r>
      <w:r>
        <w:rPr>
          <w:color w:val="000000"/>
        </w:rPr>
        <w:t xml:space="preserve"> </w:t>
      </w:r>
      <w:r>
        <w:rPr>
          <w:rFonts w:ascii="Times New Roman;serif" w:hAnsi="Times New Roman;serif"/>
          <w:b w:val="false"/>
          <w:color w:val="000000"/>
          <w:sz w:val="24"/>
        </w:rPr>
        <w:t xml:space="preserve">hereof, be released from each of their obligations under </w:t>
      </w:r>
      <w:r>
        <w:rPr>
          <w:rFonts w:ascii="Times New Roman;serif" w:hAnsi="Times New Roman;serif"/>
          <w:b w:val="false"/>
          <w:color w:val="000000"/>
          <w:sz w:val="24"/>
          <w:u w:val="single"/>
        </w:rPr>
        <w:t>Section 4.03 through (and including) Section 4.08</w:t>
      </w:r>
      <w:r>
        <w:rPr>
          <w:color w:val="000000"/>
        </w:rPr>
        <w:t xml:space="preserve"> </w:t>
      </w:r>
      <w:r>
        <w:rPr>
          <w:rFonts w:ascii="Times New Roman;serif" w:hAnsi="Times New Roman;serif"/>
          <w:b w:val="false"/>
          <w:color w:val="000000"/>
          <w:sz w:val="24"/>
        </w:rPr>
        <w:t xml:space="preserve">hereof with respect to the Notes on and after the date the conditions set forth in </w:t>
      </w:r>
      <w:r>
        <w:rPr>
          <w:rFonts w:ascii="Times New Roman;serif" w:hAnsi="Times New Roman;serif"/>
          <w:b w:val="false"/>
          <w:color w:val="000000"/>
          <w:sz w:val="24"/>
          <w:u w:val="single"/>
        </w:rPr>
        <w:t>Section 8.04</w:t>
      </w:r>
      <w:r>
        <w:rPr>
          <w:color w:val="000000"/>
        </w:rPr>
        <w:t xml:space="preserve"> </w:t>
      </w:r>
      <w:r>
        <w:rPr>
          <w:rFonts w:ascii="Times New Roman;serif" w:hAnsi="Times New Roman;serif"/>
          <w:b w:val="false"/>
          <w:color w:val="000000"/>
          <w:sz w:val="24"/>
        </w:rPr>
        <w:t>hereof</w:t>
      </w:r>
      <w:r>
        <w:rPr>
          <w:color w:val="000000"/>
        </w:rPr>
        <w:t xml:space="preserve"> </w:t>
      </w:r>
      <w:r>
        <w:rPr>
          <w:rFonts w:ascii="Times New Roman;serif" w:hAnsi="Times New Roman;serif"/>
          <w:b w:val="false"/>
          <w:color w:val="000000"/>
          <w:sz w:val="24"/>
        </w:rPr>
        <w:t>are</w:t>
      </w:r>
      <w:r>
        <w:rPr>
          <w:color w:val="000000"/>
        </w:rPr>
        <w:t xml:space="preserve"> </w:t>
      </w:r>
      <w:r>
        <w:rPr>
          <w:rFonts w:ascii="Times New Roman;serif" w:hAnsi="Times New Roman;serif"/>
          <w:b w:val="false"/>
          <w:color w:val="000000"/>
          <w:sz w:val="24"/>
        </w:rPr>
        <w:t>satisfied (hereinafter, “</w:t>
      </w:r>
      <w:r>
        <w:rPr>
          <w:rFonts w:ascii="Times New Roman;serif" w:hAnsi="Times New Roman;serif"/>
          <w:b w:val="false"/>
          <w:i/>
          <w:color w:val="000000"/>
          <w:sz w:val="24"/>
        </w:rPr>
        <w:t>Covenant Defeasance</w:t>
      </w:r>
      <w:r>
        <w:rPr>
          <w:color w:val="000000"/>
        </w:rPr>
        <w:t>”</w:t>
      </w:r>
      <w:r>
        <w:rPr>
          <w:rFonts w:ascii="Times New Roman;serif" w:hAnsi="Times New Roman;serif"/>
          <w:b w:val="false"/>
          <w:color w:val="000000"/>
          <w:sz w:val="24"/>
        </w:rPr>
        <w:t xml:space="preserve">), and the Notes will thereafter be deemed not “outstanding” for the purposes of any direction, waiver, consent or declaration or act of the Holders (and the consequences of any thereof) in connection with such covenants, but will continue to be deemed “outstanding” for all other purposes hereunder (it being understood that such Notes will not be deemed outstanding for accounting purposes). For this purpose, Covenant Defeasance means that, with respect to the Notes and any Subsidiary Guarantees, the Issuer and any Subsidiary Guarantors may omit to comply with and shall have no liability in respect of any term, condition or limitation set forth in any such covenant, whether directly or indirectly, by reason of any reference elsewhere herein to any such covenant or by reason of any reference in any such covenant to any other provision herein or in any other Note Document and such omission to comply will not constitute a Default or an Event of Default under </w:t>
      </w:r>
      <w:r>
        <w:rPr>
          <w:rFonts w:ascii="Times New Roman;serif" w:hAnsi="Times New Roman;serif"/>
          <w:b w:val="false"/>
          <w:color w:val="000000"/>
          <w:sz w:val="24"/>
          <w:u w:val="single"/>
        </w:rPr>
        <w:t>Section 6.01</w:t>
      </w:r>
      <w:r>
        <w:rPr>
          <w:color w:val="000000"/>
        </w:rPr>
        <w:t xml:space="preserve"> </w:t>
      </w:r>
      <w:r>
        <w:rPr>
          <w:rFonts w:ascii="Times New Roman;serif" w:hAnsi="Times New Roman;serif"/>
          <w:b w:val="false"/>
          <w:color w:val="000000"/>
          <w:sz w:val="24"/>
        </w:rPr>
        <w:t xml:space="preserve">hereof, but, except as specified above, the remainder of this Indenture and such Notes and Subsidiary Guarantees shall be unaffected thereby. In addition, upon the Issuer’s exercise under </w:t>
      </w:r>
      <w:r>
        <w:rPr>
          <w:rFonts w:ascii="Times New Roman;serif" w:hAnsi="Times New Roman;serif"/>
          <w:b w:val="false"/>
          <w:color w:val="000000"/>
          <w:sz w:val="24"/>
          <w:u w:val="single"/>
        </w:rPr>
        <w:t>Section 8.01</w:t>
      </w:r>
      <w:r>
        <w:rPr>
          <w:color w:val="000000"/>
        </w:rPr>
        <w:t xml:space="preserve"> </w:t>
      </w:r>
      <w:r>
        <w:rPr>
          <w:rFonts w:ascii="Times New Roman;serif" w:hAnsi="Times New Roman;serif"/>
          <w:b w:val="false"/>
          <w:color w:val="000000"/>
          <w:sz w:val="24"/>
        </w:rPr>
        <w:t xml:space="preserve">hereof of the option applicable to this </w:t>
      </w:r>
      <w:r>
        <w:rPr>
          <w:rFonts w:ascii="Times New Roman;serif" w:hAnsi="Times New Roman;serif"/>
          <w:b w:val="false"/>
          <w:color w:val="000000"/>
          <w:sz w:val="24"/>
          <w:u w:val="single"/>
        </w:rPr>
        <w:t>Section 8.03</w:t>
      </w:r>
      <w:r>
        <w:rPr>
          <w:rFonts w:ascii="Times New Roman;serif" w:hAnsi="Times New Roman;serif"/>
          <w:b w:val="false"/>
          <w:color w:val="000000"/>
          <w:sz w:val="24"/>
        </w:rPr>
        <w:t xml:space="preserve">, subject to the satisfaction of the conditions set forth in </w:t>
      </w:r>
      <w:r>
        <w:rPr>
          <w:rFonts w:ascii="Times New Roman;serif" w:hAnsi="Times New Roman;serif"/>
          <w:b w:val="false"/>
          <w:color w:val="000000"/>
          <w:sz w:val="24"/>
          <w:u w:val="single"/>
        </w:rPr>
        <w:t>Sections 8.04</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6.01(3)</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6.01(4)</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6.01(5)</w:t>
      </w:r>
      <w:r>
        <w:rPr>
          <w:color w:val="000000"/>
        </w:rPr>
        <w:t xml:space="preserve"> </w:t>
      </w:r>
      <w:r>
        <w:rPr>
          <w:rFonts w:ascii="Times New Roman;serif" w:hAnsi="Times New Roman;serif"/>
          <w:b w:val="false"/>
          <w:color w:val="000000"/>
          <w:sz w:val="24"/>
        </w:rPr>
        <w:t>hereof shall not constitute Events of Default.</w:t>
      </w:r>
    </w:p>
    <w:p>
      <w:pPr>
        <w:pStyle w:val="TextBody"/>
        <w:bidi w:val="0"/>
        <w:spacing w:lineRule="auto" w:line="300" w:before="0" w:after="240"/>
        <w:jc w:val="left"/>
        <w:rPr/>
      </w:pPr>
      <w:r>
        <w:rPr>
          <w:rFonts w:ascii="Times New Roman;serif" w:hAnsi="Times New Roman;serif"/>
          <w:b w:val="false"/>
          <w:color w:val="000000"/>
          <w:sz w:val="24"/>
        </w:rPr>
        <w:t>Section 8.04</w:t>
      </w:r>
      <w:r>
        <w:rPr>
          <w:rFonts w:ascii="Times New Roman;serif" w:hAnsi="Times New Roman;serif"/>
          <w:b w:val="false"/>
          <w:color w:val="000000"/>
          <w:sz w:val="24"/>
          <w:u w:val="single"/>
        </w:rPr>
        <w:t>Conditions to Legal or Covenant Defeasance</w:t>
      </w:r>
      <w:r>
        <w:rPr>
          <w:rFonts w:ascii="Times New Roman;serif" w:hAnsi="Times New Roman;serif"/>
          <w:b w:val="false"/>
          <w:color w:val="000000"/>
          <w:sz w:val="24"/>
        </w:rPr>
        <w:t>.</w:t>
      </w:r>
    </w:p>
    <w:p>
      <w:pPr>
        <w:pStyle w:val="TextBody"/>
        <w:bidi w:val="0"/>
        <w:spacing w:lineRule="auto" w:line="30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rPr>
        <w:t xml:space="preserve">In order to exercise either Legal Defeasance or Covenant Defeasance with respect to the Note Documents under either </w:t>
      </w:r>
      <w:r>
        <w:rPr>
          <w:rFonts w:ascii="Times New Roman;serif" w:hAnsi="Times New Roman;serif"/>
          <w:b w:val="false"/>
          <w:color w:val="000000"/>
          <w:sz w:val="24"/>
          <w:u w:val="single"/>
        </w:rPr>
        <w:t>Section 8.02</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Section 8.03</w:t>
      </w:r>
      <w:r>
        <w:rPr>
          <w:color w:val="000000"/>
        </w:rPr>
        <w:t xml:space="preserve"> </w:t>
      </w:r>
      <w:r>
        <w:rPr>
          <w:rFonts w:ascii="Times New Roman;serif" w:hAnsi="Times New Roman;serif"/>
          <w:b w:val="false"/>
          <w:color w:val="000000"/>
          <w:sz w:val="24"/>
        </w:rPr>
        <w:t>hereof:</w:t>
      </w:r>
    </w:p>
    <w:p>
      <w:pPr>
        <w:pStyle w:val="TextBody"/>
        <w:bidi w:val="0"/>
        <w:spacing w:lineRule="auto" w:line="30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(1)the Issuer must irrevocably deposit with the Trustee, in trust, for the benefit of the Holders, cash in U.S. dollars, non-callable Government Securities or a combination of cash in U.S. dollars and non-callable Government Securities, in amounts as will be sufficient to pay the principal of, or interest and premium on, such Notes that are then outstanding on the Stated Maturity or on the applicable redemption date, as the case may be, and the Issuer must specify whether such Notes are being defeased to maturity or to a particular redemption date;</w:t>
      </w:r>
    </w:p>
    <w:p>
      <w:pPr>
        <w:pStyle w:val="TextBody"/>
        <w:bidi w:val="0"/>
        <w:spacing w:lineRule="auto" w:line="30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(2)in the case of Legal Defeasance, the Issuer shall have delivered to the Trustee an Opinion of Counsel reasonably acceptable to the Trustee confirming that, subject to customary assumptions and exclusions, (a) the Issuer has received from, or there has been published by, the U.S. Internal Revenue Service a ruling or (b) since the Issue Date, there has been a change in the applicable U.S. federal income tax law, in either case to the effect that, and based thereon such Opinion of Counsel will confirm that, the beneficial owners of such Notes that are then outstanding will not recognize </w:t>
      </w:r>
    </w:p>
    <w:p>
      <w:pPr>
        <w:pStyle w:val="TextBody"/>
        <w:bidi w:val="0"/>
        <w:spacing w:before="0" w:after="0"/>
        <w:jc w:val="left"/>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735965"/>
                <wp:effectExtent l="0" t="0" r="0" b="0"/>
                <wp:wrapNone/>
                <wp:docPr id="125" name="Frame125"/>
                <a:graphic xmlns:a="http://schemas.openxmlformats.org/drawingml/2006/main">
                  <a:graphicData uri="http://schemas.microsoft.com/office/word/2010/wordprocessingShape">
                    <wps:wsp>
                      <wps:cNvSpPr txBox="1"/>
                      <wps:spPr>
                        <a:xfrm>
                          <a:off x="0" y="0"/>
                          <a:ext cx="6480175" cy="7359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77</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77</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300" w:before="0" w:after="240"/>
        <w:jc w:val="both"/>
        <w:rPr>
          <w:rFonts w:ascii="Times New Roman;serif" w:hAnsi="Times New Roman;serif"/>
          <w:b w:val="false"/>
          <w:color w:val="000000"/>
          <w:sz w:val="24"/>
        </w:rPr>
      </w:pPr>
      <w:r>
        <w:rPr>
          <w:rFonts w:ascii="Times New Roman;serif" w:hAnsi="Times New Roman;serif"/>
          <w:b w:val="false"/>
          <w:color w:val="000000"/>
          <w:sz w:val="24"/>
        </w:rPr>
        <w:t>income, gain or loss for U.S. federal income tax purposes as a result of such Legal Defeasance and will be subject to U.S. federal income tax on the same amounts, in the same manner and at the same times as would have been the case if such Legal Defeasance had not occurred;</w:t>
      </w:r>
    </w:p>
    <w:p>
      <w:pPr>
        <w:pStyle w:val="TextBody"/>
        <w:bidi w:val="0"/>
        <w:spacing w:lineRule="auto" w:line="30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(3)in the case of Covenant Defeasance, the Issuer shall have delivered to the Trustee an Opinion of Counsel reasonably acceptable to the Trustee confirming that, subject to customary assumptions and exclusions, the beneficial owners of such Notes that are then outstanding will not recognize income, gain or loss for U.S. federal income tax purposes as a result of such Covenant Defeasance and will be subject to U.S. federal income tax on the same amounts, in the same manner and at the same times as would have been the case if such Covenant Defeasance had not occurred;</w:t>
      </w:r>
    </w:p>
    <w:p>
      <w:pPr>
        <w:pStyle w:val="TextBody"/>
        <w:bidi w:val="0"/>
        <w:spacing w:lineRule="auto" w:line="30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(4)no Default or Event of Default has occurred and is continuing on the date of such deposit (other than a Default or Event of Default resulting from the borrowing of funds to be applied to such deposit);</w:t>
      </w:r>
    </w:p>
    <w:p>
      <w:pPr>
        <w:pStyle w:val="TextBody"/>
        <w:bidi w:val="0"/>
        <w:spacing w:lineRule="auto" w:line="30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(5)such Legal Defeasance or Covenant Defeasance will not result in a breach or violation of, or constitute a default under any material agreement or instrument (other than this Indenture) to which the Issuer or any of its Subsidiaries is a party or by which the Issuer or any of its Subsidiaries are bound;</w:t>
      </w:r>
    </w:p>
    <w:p>
      <w:pPr>
        <w:pStyle w:val="TextBody"/>
        <w:bidi w:val="0"/>
        <w:spacing w:lineRule="auto" w:line="30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(6)the Issuer must deliver to the Trustee an Officer’s Certificate stating that the deposit was not made by the Issuer with the intent of preferring the Holders over the other creditors of the Issuer with the intent of defeating, hindering, delaying or defrauding creditors of the Issuer or others; and</w:t>
      </w:r>
    </w:p>
    <w:p>
      <w:pPr>
        <w:pStyle w:val="TextBody"/>
        <w:bidi w:val="0"/>
        <w:spacing w:lineRule="auto" w:line="30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(7)the Issuer must deliver to the Trustee an Officer’s Certificate and an Opinion of Counsel, each stating that all conditions precedent relating to the Legal Defeasance or the Covenant Defeasance have been complied with.</w:t>
      </w:r>
    </w:p>
    <w:p>
      <w:pPr>
        <w:pStyle w:val="TextBody"/>
        <w:bidi w:val="0"/>
        <w:spacing w:lineRule="auto" w:line="300" w:before="0" w:after="240"/>
        <w:jc w:val="left"/>
        <w:rPr/>
      </w:pPr>
      <w:r>
        <w:rPr>
          <w:rFonts w:ascii="Times New Roman;serif" w:hAnsi="Times New Roman;serif"/>
          <w:b w:val="false"/>
          <w:color w:val="000000"/>
          <w:sz w:val="24"/>
        </w:rPr>
        <w:t>Section 8.05</w:t>
      </w:r>
      <w:r>
        <w:rPr>
          <w:rFonts w:ascii="Times New Roman;serif" w:hAnsi="Times New Roman;serif"/>
          <w:b w:val="false"/>
          <w:color w:val="000000"/>
          <w:sz w:val="24"/>
          <w:u w:val="single"/>
        </w:rPr>
        <w:t>Deposited Money and Government Securities to Be Held in Trust; Other Miscellaneous Provisions</w:t>
      </w:r>
      <w:r>
        <w:rPr>
          <w:rFonts w:ascii="Times New Roman;serif" w:hAnsi="Times New Roman;serif"/>
          <w:b w:val="false"/>
          <w:color w:val="000000"/>
          <w:sz w:val="24"/>
        </w:rPr>
        <w:t>.</w:t>
      </w:r>
    </w:p>
    <w:p>
      <w:pPr>
        <w:pStyle w:val="TextBody"/>
        <w:bidi w:val="0"/>
        <w:spacing w:lineRule="auto" w:line="300" w:before="0" w:after="240"/>
        <w:ind w:left="0" w:right="0" w:firstLine="720"/>
        <w:jc w:val="both"/>
        <w:rPr/>
      </w:pPr>
      <w:r>
        <w:rPr>
          <w:rFonts w:ascii="Times New Roman;serif" w:hAnsi="Times New Roman;serif"/>
          <w:b w:val="false"/>
          <w:color w:val="000000"/>
          <w:sz w:val="24"/>
        </w:rPr>
        <w:t xml:space="preserve">Subject to </w:t>
      </w:r>
      <w:r>
        <w:rPr>
          <w:rFonts w:ascii="Times New Roman;serif" w:hAnsi="Times New Roman;serif"/>
          <w:b w:val="false"/>
          <w:color w:val="000000"/>
          <w:sz w:val="24"/>
          <w:u w:val="single"/>
        </w:rPr>
        <w:t>Section 8.06</w:t>
      </w:r>
      <w:r>
        <w:rPr>
          <w:color w:val="000000"/>
        </w:rPr>
        <w:t xml:space="preserve"> </w:t>
      </w:r>
      <w:r>
        <w:rPr>
          <w:rFonts w:ascii="Times New Roman;serif" w:hAnsi="Times New Roman;serif"/>
          <w:b w:val="false"/>
          <w:color w:val="000000"/>
          <w:sz w:val="24"/>
        </w:rPr>
        <w:t xml:space="preserve">hereof, all money and non-callable Government Securities (including the proceeds thereof) deposited with the Trustee (or other qualifying trustee, collectively for purposes of this </w:t>
      </w:r>
      <w:r>
        <w:rPr>
          <w:rFonts w:ascii="Times New Roman;serif" w:hAnsi="Times New Roman;serif"/>
          <w:b w:val="false"/>
          <w:color w:val="000000"/>
          <w:sz w:val="24"/>
          <w:u w:val="single"/>
        </w:rPr>
        <w:t>Section 8.05</w:t>
      </w:r>
      <w:r>
        <w:rPr>
          <w:rFonts w:ascii="Times New Roman;serif" w:hAnsi="Times New Roman;serif"/>
          <w:b w:val="false"/>
          <w:color w:val="000000"/>
          <w:sz w:val="24"/>
        </w:rPr>
        <w:t>, the “</w:t>
      </w:r>
      <w:r>
        <w:rPr>
          <w:rFonts w:ascii="Times New Roman;serif" w:hAnsi="Times New Roman;serif"/>
          <w:b w:val="false"/>
          <w:i/>
          <w:color w:val="000000"/>
          <w:sz w:val="24"/>
        </w:rPr>
        <w:t>Trustee</w:t>
      </w:r>
      <w:r>
        <w:rPr>
          <w:color w:val="000000"/>
        </w:rPr>
        <w:t>”</w:t>
      </w:r>
      <w:r>
        <w:rPr>
          <w:rFonts w:ascii="Times New Roman;serif" w:hAnsi="Times New Roman;serif"/>
          <w:b w:val="false"/>
          <w:color w:val="000000"/>
          <w:sz w:val="24"/>
        </w:rPr>
        <w:t xml:space="preserve">) pursuant to </w:t>
      </w:r>
      <w:r>
        <w:rPr>
          <w:rFonts w:ascii="Times New Roman;serif" w:hAnsi="Times New Roman;serif"/>
          <w:b w:val="false"/>
          <w:color w:val="000000"/>
          <w:sz w:val="24"/>
          <w:u w:val="single"/>
        </w:rPr>
        <w:t>Section 8.04</w:t>
      </w:r>
      <w:r>
        <w:rPr>
          <w:color w:val="000000"/>
        </w:rPr>
        <w:t xml:space="preserve"> </w:t>
      </w:r>
      <w:r>
        <w:rPr>
          <w:rFonts w:ascii="Times New Roman;serif" w:hAnsi="Times New Roman;serif"/>
          <w:b w:val="false"/>
          <w:color w:val="000000"/>
          <w:sz w:val="24"/>
        </w:rPr>
        <w:t>hereof in respect of the outstanding Notes shall be held in trust and applied by the Trustee, in accordance with the provisions of such Notes and this Indenture, to the payment, either directly or through any Paying Agent (including the Issuer acting as Paying Agent) as the Trustee may determine, to the Holders of such Notes of all sums due and to become due thereon in respect of principal, premium, if any, and interest, but such money need not be segregated from other funds except to the extent required by law.</w:t>
      </w:r>
    </w:p>
    <w:p>
      <w:pPr>
        <w:pStyle w:val="TextBody"/>
        <w:bidi w:val="0"/>
        <w:spacing w:before="0" w:after="0"/>
        <w:jc w:val="left"/>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735965"/>
                <wp:effectExtent l="0" t="0" r="0" b="0"/>
                <wp:wrapNone/>
                <wp:docPr id="126" name="Frame126"/>
                <a:graphic xmlns:a="http://schemas.openxmlformats.org/drawingml/2006/main">
                  <a:graphicData uri="http://schemas.microsoft.com/office/word/2010/wordprocessingShape">
                    <wps:wsp>
                      <wps:cNvSpPr txBox="1"/>
                      <wps:spPr>
                        <a:xfrm>
                          <a:off x="0" y="0"/>
                          <a:ext cx="6480175" cy="7359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78</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78</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300" w:before="0" w:after="240"/>
        <w:ind w:left="0" w:right="0" w:firstLine="720"/>
        <w:jc w:val="both"/>
        <w:rPr/>
      </w:pPr>
      <w:r>
        <w:rPr>
          <w:rFonts w:ascii="Times New Roman;serif" w:hAnsi="Times New Roman;serif"/>
          <w:b w:val="false"/>
          <w:color w:val="000000"/>
          <w:sz w:val="24"/>
        </w:rPr>
        <w:t xml:space="preserve">The Issuer shall pay and indemnify the Trustee against any tax, fee or other charge imposed on or assessed against the cash or non-callable Government Securities deposited pursuant to </w:t>
      </w:r>
      <w:r>
        <w:rPr>
          <w:rFonts w:ascii="Times New Roman;serif" w:hAnsi="Times New Roman;serif"/>
          <w:b w:val="false"/>
          <w:color w:val="000000"/>
          <w:sz w:val="24"/>
          <w:u w:val="single"/>
        </w:rPr>
        <w:t>Section 8.04</w:t>
      </w:r>
      <w:r>
        <w:rPr>
          <w:color w:val="000000"/>
        </w:rPr>
        <w:t xml:space="preserve"> </w:t>
      </w:r>
      <w:r>
        <w:rPr>
          <w:rFonts w:ascii="Times New Roman;serif" w:hAnsi="Times New Roman;serif"/>
          <w:b w:val="false"/>
          <w:color w:val="000000"/>
          <w:sz w:val="24"/>
        </w:rPr>
        <w:t>hereof or the principal and interest received in respect thereof other than any such tax, fee or other charge which by law is for the account of the Holders of the outstanding Notes.</w:t>
      </w:r>
    </w:p>
    <w:p>
      <w:pPr>
        <w:pStyle w:val="TextBody"/>
        <w:bidi w:val="0"/>
        <w:spacing w:lineRule="auto" w:line="300" w:before="0" w:after="240"/>
        <w:ind w:left="0" w:right="0" w:firstLine="720"/>
        <w:jc w:val="both"/>
        <w:rPr/>
      </w:pPr>
      <w:r>
        <w:rPr>
          <w:rFonts w:ascii="Times New Roman;serif" w:hAnsi="Times New Roman;serif"/>
          <w:b w:val="false"/>
          <w:color w:val="000000"/>
          <w:sz w:val="24"/>
        </w:rPr>
        <w:t xml:space="preserve">Notwithstanding anything in this </w:t>
      </w:r>
      <w:r>
        <w:rPr>
          <w:rFonts w:ascii="Times New Roman;serif" w:hAnsi="Times New Roman;serif"/>
          <w:b w:val="false"/>
          <w:color w:val="000000"/>
          <w:sz w:val="24"/>
          <w:u w:val="single"/>
        </w:rPr>
        <w:t>Article 8</w:t>
      </w:r>
      <w:r>
        <w:rPr>
          <w:color w:val="000000"/>
        </w:rPr>
        <w:t xml:space="preserve"> </w:t>
      </w:r>
      <w:r>
        <w:rPr>
          <w:rFonts w:ascii="Times New Roman;serif" w:hAnsi="Times New Roman;serif"/>
          <w:b w:val="false"/>
          <w:color w:val="000000"/>
          <w:sz w:val="24"/>
        </w:rPr>
        <w:t xml:space="preserve">to the contrary, the Trustee shall deliver or pay to the Issuer from time to time upon the request of the Issuer any money or non-callable Government Securities held by it as provided in </w:t>
      </w:r>
      <w:r>
        <w:rPr>
          <w:rFonts w:ascii="Times New Roman;serif" w:hAnsi="Times New Roman;serif"/>
          <w:b w:val="false"/>
          <w:color w:val="000000"/>
          <w:sz w:val="24"/>
          <w:u w:val="single"/>
        </w:rPr>
        <w:t>Section 8.04</w:t>
      </w:r>
      <w:r>
        <w:rPr>
          <w:color w:val="000000"/>
        </w:rPr>
        <w:t xml:space="preserve"> </w:t>
      </w:r>
      <w:r>
        <w:rPr>
          <w:rFonts w:ascii="Times New Roman;serif" w:hAnsi="Times New Roman;serif"/>
          <w:b w:val="false"/>
          <w:color w:val="000000"/>
          <w:sz w:val="24"/>
        </w:rPr>
        <w:t xml:space="preserve">hereof which, in the opinion of a nationally recognized firm of independent public accountants expressed in a written certification thereof delivered to the Trustee (which may be the opinion delivered under </w:t>
      </w:r>
      <w:r>
        <w:rPr>
          <w:rFonts w:ascii="Times New Roman;serif" w:hAnsi="Times New Roman;serif"/>
          <w:b w:val="false"/>
          <w:color w:val="000000"/>
          <w:sz w:val="24"/>
          <w:u w:val="single"/>
        </w:rPr>
        <w:t>Section 8.04(a)(1)</w:t>
      </w:r>
      <w:r>
        <w:rPr>
          <w:color w:val="000000"/>
        </w:rPr>
        <w:t xml:space="preserve"> </w:t>
      </w:r>
      <w:r>
        <w:rPr>
          <w:rFonts w:ascii="Times New Roman;serif" w:hAnsi="Times New Roman;serif"/>
          <w:b w:val="false"/>
          <w:color w:val="000000"/>
          <w:sz w:val="24"/>
        </w:rPr>
        <w:t>hereof), are in excess of the amount thereof that would then be required to be deposited to effect an equivalent Legal Defeasance or Covenant Defeasance.</w:t>
      </w:r>
    </w:p>
    <w:p>
      <w:pPr>
        <w:pStyle w:val="TextBody"/>
        <w:bidi w:val="0"/>
        <w:spacing w:lineRule="auto" w:line="300" w:before="0" w:after="240"/>
        <w:jc w:val="both"/>
        <w:rPr/>
      </w:pPr>
      <w:r>
        <w:rPr>
          <w:rFonts w:ascii="Times New Roman;serif" w:hAnsi="Times New Roman;serif"/>
          <w:b w:val="false"/>
          <w:color w:val="000000"/>
          <w:sz w:val="24"/>
        </w:rPr>
        <w:t>Section 8.06</w:t>
      </w:r>
      <w:r>
        <w:rPr>
          <w:rFonts w:ascii="Times New Roman;serif" w:hAnsi="Times New Roman;serif"/>
          <w:b w:val="false"/>
          <w:color w:val="000000"/>
          <w:sz w:val="24"/>
          <w:u w:val="single"/>
        </w:rPr>
        <w:t>Repayment to the Issuer</w:t>
      </w:r>
      <w:r>
        <w:rPr>
          <w:rFonts w:ascii="Times New Roman;serif" w:hAnsi="Times New Roman;serif"/>
          <w:b w:val="false"/>
          <w:color w:val="000000"/>
          <w:sz w:val="24"/>
        </w:rPr>
        <w:t>.</w:t>
      </w:r>
    </w:p>
    <w:p>
      <w:pPr>
        <w:pStyle w:val="TextBody"/>
        <w:bidi w:val="0"/>
        <w:spacing w:lineRule="auto" w:line="30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Any money deposited with the Trustee or any Paying Agent, or then held by the Issuer, in trust for the payment of the principal of, premium, if any, or interest on, any Notes and remaining unclaimed for two years after such principal, premium, if any, or interest has become due and payable, shall be paid to the Issuer on its written request or (if then held by the Issuer) will be discharged from such trust; and the Holders of such Notes will thereafter be permitted to look only to the Issuer for payment thereof, and all liability of the Trustee or such Paying Agent with respect to such trust money, and all liability of the Issuer as trustee thereof, will thereupon cease.</w:t>
      </w:r>
    </w:p>
    <w:p>
      <w:pPr>
        <w:pStyle w:val="TextBody"/>
        <w:bidi w:val="0"/>
        <w:spacing w:lineRule="auto" w:line="300" w:before="0" w:after="240"/>
        <w:jc w:val="both"/>
        <w:rPr/>
      </w:pPr>
      <w:r>
        <w:rPr>
          <w:rFonts w:ascii="Times New Roman;serif" w:hAnsi="Times New Roman;serif"/>
          <w:b w:val="false"/>
          <w:color w:val="000000"/>
          <w:sz w:val="24"/>
        </w:rPr>
        <w:t>Section 8.07</w:t>
      </w:r>
      <w:r>
        <w:rPr>
          <w:rFonts w:ascii="Times New Roman;serif" w:hAnsi="Times New Roman;serif"/>
          <w:b w:val="false"/>
          <w:color w:val="000000"/>
          <w:sz w:val="24"/>
          <w:u w:val="single"/>
        </w:rPr>
        <w:t>Reinstatement</w:t>
      </w:r>
      <w:r>
        <w:rPr>
          <w:rFonts w:ascii="Times New Roman;serif" w:hAnsi="Times New Roman;serif"/>
          <w:b w:val="false"/>
          <w:color w:val="000000"/>
          <w:sz w:val="24"/>
        </w:rPr>
        <w:t>.</w:t>
      </w:r>
    </w:p>
    <w:p>
      <w:pPr>
        <w:pStyle w:val="TextBody"/>
        <w:bidi w:val="0"/>
        <w:spacing w:lineRule="auto" w:line="300" w:before="0" w:after="240"/>
        <w:ind w:left="0" w:right="0" w:firstLine="720"/>
        <w:jc w:val="both"/>
        <w:rPr/>
      </w:pPr>
      <w:r>
        <w:rPr>
          <w:rFonts w:ascii="Times New Roman;serif" w:hAnsi="Times New Roman;serif"/>
          <w:b w:val="false"/>
          <w:color w:val="000000"/>
          <w:sz w:val="24"/>
        </w:rPr>
        <w:t xml:space="preserve">If the Trustee or Paying Agent is unable to apply any United States dollars or non-callable Government Securities in accordance with </w:t>
      </w:r>
      <w:r>
        <w:rPr>
          <w:rFonts w:ascii="Times New Roman;serif" w:hAnsi="Times New Roman;serif"/>
          <w:b w:val="false"/>
          <w:color w:val="000000"/>
          <w:sz w:val="24"/>
          <w:u w:val="single"/>
        </w:rPr>
        <w:t>Section 8.02</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Section 8.03</w:t>
      </w:r>
      <w:r>
        <w:rPr>
          <w:color w:val="000000"/>
        </w:rPr>
        <w:t xml:space="preserve"> </w:t>
      </w:r>
      <w:r>
        <w:rPr>
          <w:rFonts w:ascii="Times New Roman;serif" w:hAnsi="Times New Roman;serif"/>
          <w:b w:val="false"/>
          <w:color w:val="000000"/>
          <w:sz w:val="24"/>
        </w:rPr>
        <w:t xml:space="preserve">hereof, as the case may be, by reason of any order or judgment of any court or Governmental Authority enjoining, restraining or otherwise prohibiting such application, then the Issuer’s and any Subsidiary Guarantors’ obligations under the applicable Note Documents will be revived and reinstated as though no deposit had occurred pursuant to </w:t>
      </w:r>
      <w:r>
        <w:rPr>
          <w:rFonts w:ascii="Times New Roman;serif" w:hAnsi="Times New Roman;serif"/>
          <w:b w:val="false"/>
          <w:color w:val="000000"/>
          <w:sz w:val="24"/>
          <w:u w:val="single"/>
        </w:rPr>
        <w:t>Section 8.02</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Section 8.03</w:t>
      </w:r>
      <w:r>
        <w:rPr>
          <w:color w:val="000000"/>
        </w:rPr>
        <w:t xml:space="preserve"> </w:t>
      </w:r>
      <w:r>
        <w:rPr>
          <w:rFonts w:ascii="Times New Roman;serif" w:hAnsi="Times New Roman;serif"/>
          <w:b w:val="false"/>
          <w:color w:val="000000"/>
          <w:sz w:val="24"/>
        </w:rPr>
        <w:t xml:space="preserve">hereof until such time as the Trustee or Paying Agent is permitted to apply all such money in accordance with </w:t>
      </w:r>
      <w:r>
        <w:rPr>
          <w:rFonts w:ascii="Times New Roman;serif" w:hAnsi="Times New Roman;serif"/>
          <w:b w:val="false"/>
          <w:color w:val="000000"/>
          <w:sz w:val="24"/>
          <w:u w:val="single"/>
        </w:rPr>
        <w:t>Section 8.02</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Section 8.03</w:t>
      </w:r>
      <w:r>
        <w:rPr>
          <w:color w:val="000000"/>
        </w:rPr>
        <w:t xml:space="preserve"> </w:t>
      </w:r>
      <w:r>
        <w:rPr>
          <w:rFonts w:ascii="Times New Roman;serif" w:hAnsi="Times New Roman;serif"/>
          <w:b w:val="false"/>
          <w:color w:val="000000"/>
          <w:sz w:val="24"/>
        </w:rPr>
        <w:t xml:space="preserve">hereof, as the case may be;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w:t>
      </w:r>
      <w:r>
        <w:rPr>
          <w:rFonts w:ascii="Times New Roman;serif" w:hAnsi="Times New Roman;serif"/>
          <w:b w:val="false"/>
          <w:i/>
          <w:color w:val="000000"/>
          <w:sz w:val="24"/>
        </w:rPr>
        <w:t>however</w:t>
      </w:r>
      <w:r>
        <w:rPr>
          <w:rFonts w:ascii="Times New Roman;serif" w:hAnsi="Times New Roman;serif"/>
          <w:b w:val="false"/>
          <w:color w:val="000000"/>
          <w:sz w:val="24"/>
        </w:rPr>
        <w:t>, that, if the Issuer makes any payment of principal of, premium, if any, or interest on any Note following the reinstatement of its obligations, the Issuer shall be subrogated to the rights of the Holders of such Notes to receive such payment from the money held by the Trustee or Paying Agent.</w:t>
      </w:r>
    </w:p>
    <w:p>
      <w:pPr>
        <w:pStyle w:val="TextBody"/>
        <w:bidi w:val="0"/>
        <w:spacing w:before="0" w:after="0"/>
        <w:jc w:val="left"/>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735965"/>
                <wp:effectExtent l="0" t="0" r="0" b="0"/>
                <wp:wrapNone/>
                <wp:docPr id="127" name="Frame127"/>
                <a:graphic xmlns:a="http://schemas.openxmlformats.org/drawingml/2006/main">
                  <a:graphicData uri="http://schemas.microsoft.com/office/word/2010/wordprocessingShape">
                    <wps:wsp>
                      <wps:cNvSpPr txBox="1"/>
                      <wps:spPr>
                        <a:xfrm>
                          <a:off x="0" y="0"/>
                          <a:ext cx="6480175" cy="7359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79</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79</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center"/>
        <w:rPr/>
      </w:pPr>
      <w:r>
        <w:rPr>
          <w:rFonts w:ascii="Times New Roman;serif" w:hAnsi="Times New Roman;serif"/>
          <w:b w:val="false"/>
          <w:color w:val="000000"/>
          <w:sz w:val="24"/>
        </w:rPr>
        <w:t>Article 9</w:t>
      </w:r>
      <w:r>
        <w:rPr>
          <w:rFonts w:ascii="Times New Roman;serif" w:hAnsi="Times New Roman;serif"/>
          <w:b w:val="false"/>
          <w:color w:val="000000"/>
          <w:sz w:val="24"/>
        </w:rPr>
        <w:br/>
        <w:t>AMENDMENT, SUPPLEMENT AND WAIVER</w:t>
      </w:r>
    </w:p>
    <w:p>
      <w:pPr>
        <w:pStyle w:val="TextBody"/>
        <w:bidi w:val="0"/>
        <w:spacing w:lineRule="auto" w:line="240" w:before="0" w:after="240"/>
        <w:jc w:val="left"/>
        <w:rPr/>
      </w:pPr>
      <w:r>
        <w:rPr>
          <w:rFonts w:ascii="Times New Roman;serif" w:hAnsi="Times New Roman;serif"/>
          <w:b w:val="false"/>
          <w:color w:val="000000"/>
          <w:sz w:val="24"/>
        </w:rPr>
        <w:t>Section 9.01</w:t>
      </w:r>
      <w:r>
        <w:rPr>
          <w:rFonts w:ascii="Times New Roman;serif" w:hAnsi="Times New Roman;serif"/>
          <w:b w:val="false"/>
          <w:color w:val="000000"/>
          <w:sz w:val="24"/>
          <w:u w:val="single"/>
        </w:rPr>
        <w:t>Without Consent of Holders of Notes</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Notwithstanding </w:t>
      </w:r>
      <w:r>
        <w:rPr>
          <w:rFonts w:ascii="Times New Roman;serif" w:hAnsi="Times New Roman;serif"/>
          <w:b w:val="false"/>
          <w:color w:val="000000"/>
          <w:sz w:val="24"/>
          <w:u w:val="single"/>
        </w:rPr>
        <w:t>Article 9</w:t>
      </w:r>
      <w:r>
        <w:rPr>
          <w:color w:val="000000"/>
        </w:rPr>
        <w:t xml:space="preserve"> </w:t>
      </w:r>
      <w:r>
        <w:rPr>
          <w:rFonts w:ascii="Times New Roman;serif" w:hAnsi="Times New Roman;serif"/>
          <w:b w:val="false"/>
          <w:color w:val="000000"/>
          <w:sz w:val="24"/>
        </w:rPr>
        <w:t>hereof, the Issuer, the Subsidiary Guarantors and the Trustee may amend or supplement the Note Documents without the consent of any Holder:</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(1)to cure any ambiguity, omission, mistake, defect, error or inconsistency;</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(2)to provide for uncertificated Notes in addition to or in place of certificated Notes;</w:t>
      </w:r>
    </w:p>
    <w:p>
      <w:pPr>
        <w:pStyle w:val="TextBody"/>
        <w:bidi w:val="0"/>
        <w:spacing w:lineRule="auto" w:line="240" w:before="0" w:after="240"/>
        <w:ind w:left="0" w:right="0" w:firstLine="720"/>
        <w:jc w:val="both"/>
        <w:rPr/>
      </w:pPr>
      <w:r>
        <w:rPr>
          <w:rFonts w:ascii="Times New Roman;serif" w:hAnsi="Times New Roman;serif"/>
          <w:b w:val="false"/>
          <w:color w:val="000000"/>
          <w:sz w:val="24"/>
        </w:rPr>
        <w:t xml:space="preserve">(3)to provide for the assumption of the Issuer’s or a Subsidiary Guarantor’s Obligations to Holders in the case of a merger or consolidation or sale of all or substantially all of the Issuer’s or such Subsidiary Guarantor’s assets pursuant to </w:t>
      </w:r>
      <w:r>
        <w:rPr>
          <w:rFonts w:ascii="Times New Roman;serif" w:hAnsi="Times New Roman;serif"/>
          <w:b w:val="false"/>
          <w:color w:val="000000"/>
          <w:sz w:val="24"/>
          <w:u w:val="single"/>
        </w:rPr>
        <w:t>Article 5</w:t>
      </w:r>
      <w:r>
        <w:rPr>
          <w:color w:val="000000"/>
        </w:rPr>
        <w:t xml:space="preserve"> </w:t>
      </w:r>
      <w:r>
        <w:rPr>
          <w:rFonts w:ascii="Times New Roman;serif" w:hAnsi="Times New Roman;serif"/>
          <w:b w:val="false"/>
          <w:color w:val="000000"/>
          <w:sz w:val="24"/>
        </w:rPr>
        <w:t>of this Indenture (if applicable);</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(4)to make any change that would provide any additional rights or benefits to the Holders or that does not adversely affect their legal rights under this Indenture in any material respect;</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(5)to comply with requirements of the SEC in order to effect or maintain the qualification of this Indenture under the TIA;</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(6)[reserved];</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(7)to evidence and provide for the acceptance and appointment under this Indenture of a successor Trustee pursuant to the requirements thereof;</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(8)to provide for the issuance of Additional Notes in accordance with the limitations set forth in this Indenture;</w:t>
      </w:r>
    </w:p>
    <w:p>
      <w:pPr>
        <w:pStyle w:val="TextBody"/>
        <w:bidi w:val="0"/>
        <w:spacing w:lineRule="auto" w:line="240" w:before="0" w:after="240"/>
        <w:ind w:left="0" w:right="0" w:firstLine="720"/>
        <w:jc w:val="both"/>
        <w:rPr/>
      </w:pPr>
      <w:r>
        <w:rPr>
          <w:rFonts w:ascii="Times New Roman;serif" w:hAnsi="Times New Roman;serif"/>
          <w:b w:val="false"/>
          <w:color w:val="000000"/>
          <w:sz w:val="24"/>
        </w:rPr>
        <w:t xml:space="preserve">(9)to allow any Subsidiary to execute a supplemental indenture and/or a Subsidiary Guarantee with respect to the Notes; </w:t>
      </w:r>
      <w:r>
        <w:rPr>
          <w:rFonts w:ascii="Times New Roman;serif" w:hAnsi="Times New Roman;serif"/>
          <w:b w:val="false"/>
          <w:i/>
          <w:color w:val="000000"/>
          <w:sz w:val="24"/>
        </w:rPr>
        <w:t>provided that</w:t>
      </w:r>
      <w:r>
        <w:rPr>
          <w:color w:val="000000"/>
        </w:rPr>
        <w:t xml:space="preserve"> </w:t>
      </w:r>
      <w:r>
        <w:rPr>
          <w:rFonts w:ascii="Times New Roman;serif" w:hAnsi="Times New Roman;serif"/>
          <w:b w:val="false"/>
          <w:color w:val="000000"/>
          <w:sz w:val="24"/>
        </w:rPr>
        <w:t>any supplemental indenture to add a Subsidiary Guarantor need only be signed by the Issuer, the Subsidiary Guarantor providing the Subsidiary Guarantee, and the Trustee;</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(10)to release any Subsidiary Guarantor from its Subsidiary Guarantee pursuant to this Indenture when permitted or required by this Indenture;</w:t>
      </w:r>
    </w:p>
    <w:p>
      <w:pPr>
        <w:pStyle w:val="TextBody"/>
        <w:bidi w:val="0"/>
        <w:spacing w:lineRule="auto" w:line="240" w:before="0" w:after="240"/>
        <w:ind w:left="0" w:right="0" w:firstLine="720"/>
        <w:jc w:val="both"/>
        <w:rPr/>
      </w:pPr>
      <w:r>
        <w:rPr>
          <w:rFonts w:ascii="Times New Roman;serif" w:hAnsi="Times New Roman;serif"/>
          <w:b w:val="false"/>
          <w:color w:val="000000"/>
          <w:sz w:val="24"/>
        </w:rPr>
        <w:t xml:space="preserve">(11)to make any amendment to the provisions of this Indenture relating to the transfer and legending of Notes not prohibited by this Indenture, including to facilitate the issuance and administration of Notes;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w:t>
      </w:r>
      <w:r>
        <w:rPr>
          <w:rFonts w:ascii="Times New Roman;serif" w:hAnsi="Times New Roman;serif"/>
          <w:b w:val="false"/>
          <w:i/>
          <w:color w:val="000000"/>
          <w:sz w:val="24"/>
        </w:rPr>
        <w:t>however</w:t>
      </w:r>
      <w:r>
        <w:rPr>
          <w:rFonts w:ascii="Times New Roman;serif" w:hAnsi="Times New Roman;serif"/>
          <w:b w:val="false"/>
          <w:color w:val="000000"/>
          <w:sz w:val="24"/>
        </w:rPr>
        <w:t xml:space="preserve">, that such amendment does not materially and adversely affect the rights of Holders to transfer the Notes; </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(12)to comply with the rules and procedures of any applicable securities depositary; or</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(13)make any amendment to the provisions of any Note Document to eliminate the effect of any Accounting Change or in the application thereof.</w:t>
      </w:r>
    </w:p>
    <w:p>
      <w:pPr>
        <w:pStyle w:val="TextBody"/>
        <w:bidi w:val="0"/>
        <w:spacing w:before="0" w:after="0"/>
        <w:jc w:val="left"/>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735965"/>
                <wp:effectExtent l="0" t="0" r="0" b="0"/>
                <wp:wrapNone/>
                <wp:docPr id="128" name="Frame128"/>
                <a:graphic xmlns:a="http://schemas.openxmlformats.org/drawingml/2006/main">
                  <a:graphicData uri="http://schemas.microsoft.com/office/word/2010/wordprocessingShape">
                    <wps:wsp>
                      <wps:cNvSpPr txBox="1"/>
                      <wps:spPr>
                        <a:xfrm>
                          <a:off x="0" y="0"/>
                          <a:ext cx="6480175" cy="7359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80</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80</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300" w:before="0" w:after="240"/>
        <w:ind w:left="0" w:right="0" w:firstLine="720"/>
        <w:jc w:val="both"/>
        <w:rPr/>
      </w:pPr>
      <w:r>
        <w:rPr>
          <w:rFonts w:ascii="Times New Roman;serif" w:hAnsi="Times New Roman;serif"/>
          <w:b w:val="false"/>
          <w:color w:val="000000"/>
          <w:sz w:val="24"/>
        </w:rPr>
        <w:t xml:space="preserve">After an amendment, supplement or waiver under this </w:t>
      </w:r>
      <w:r>
        <w:rPr>
          <w:rFonts w:ascii="Times New Roman;serif" w:hAnsi="Times New Roman;serif"/>
          <w:b w:val="false"/>
          <w:color w:val="000000"/>
          <w:sz w:val="24"/>
          <w:u w:val="single"/>
        </w:rPr>
        <w:t>Section 9.01</w:t>
      </w:r>
      <w:r>
        <w:rPr>
          <w:color w:val="000000"/>
        </w:rPr>
        <w:t xml:space="preserve"> </w:t>
      </w:r>
      <w:r>
        <w:rPr>
          <w:rFonts w:ascii="Times New Roman;serif" w:hAnsi="Times New Roman;serif"/>
          <w:b w:val="false"/>
          <w:color w:val="000000"/>
          <w:sz w:val="24"/>
        </w:rPr>
        <w:t>becomes effective, the Issuer shall deliver to the Holders a notice briefly describing such amendment, supplement or waiver. Any failure of the Issuer to deliver such notice to all Holders, or any defect in the notice, will not, however, in any way impair or affect the validity of any such amendment, supplement or waiver.</w:t>
      </w:r>
    </w:p>
    <w:p>
      <w:pPr>
        <w:pStyle w:val="TextBody"/>
        <w:bidi w:val="0"/>
        <w:spacing w:lineRule="auto" w:line="300" w:before="0" w:after="240"/>
        <w:jc w:val="left"/>
        <w:rPr/>
      </w:pPr>
      <w:r>
        <w:rPr>
          <w:rFonts w:ascii="Times New Roman;serif" w:hAnsi="Times New Roman;serif"/>
          <w:b w:val="false"/>
          <w:color w:val="000000"/>
          <w:sz w:val="24"/>
        </w:rPr>
        <w:t>Section 9.02</w:t>
      </w:r>
      <w:r>
        <w:rPr>
          <w:rFonts w:ascii="Times New Roman;serif" w:hAnsi="Times New Roman;serif"/>
          <w:b w:val="false"/>
          <w:color w:val="000000"/>
          <w:sz w:val="24"/>
          <w:u w:val="single"/>
        </w:rPr>
        <w:t>With Consent of Holders of Notes</w:t>
      </w:r>
      <w:r>
        <w:rPr>
          <w:rFonts w:ascii="Times New Roman;serif" w:hAnsi="Times New Roman;serif"/>
          <w:b w:val="false"/>
          <w:color w:val="000000"/>
          <w:sz w:val="24"/>
        </w:rPr>
        <w:t>.</w:t>
      </w:r>
    </w:p>
    <w:p>
      <w:pPr>
        <w:pStyle w:val="TextBody"/>
        <w:bidi w:val="0"/>
        <w:spacing w:lineRule="auto" w:line="30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rPr>
        <w:t xml:space="preserve">Except as provided in </w:t>
      </w:r>
      <w:r>
        <w:rPr>
          <w:rFonts w:ascii="Times New Roman;serif" w:hAnsi="Times New Roman;serif"/>
          <w:b w:val="false"/>
          <w:color w:val="000000"/>
          <w:sz w:val="24"/>
          <w:u w:val="single"/>
        </w:rPr>
        <w:t>Section 9.02(b)</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Section 9.02(c)</w:t>
      </w:r>
      <w:r>
        <w:rPr>
          <w:rFonts w:ascii="Times New Roman;serif" w:hAnsi="Times New Roman;serif"/>
          <w:b w:val="false"/>
          <w:color w:val="000000"/>
          <w:sz w:val="24"/>
        </w:rPr>
        <w:t xml:space="preserve">, the Issuer, the Subsidiary Guarantors and the Trustee may amend or supplement the Note Documents with the consent of the Holders of at least a majority in aggregate principal amount of the Notes then outstanding (including, without limitation, consents obtained in connection with a purchase of, or tender offer or exchange offer for, the Notes), and any existing Default or Event of Default or compliance with any provision of the Note Documents may be waived with the consent of the Holders of a majority in aggregate principal amount of the Notes then outstanding (including, without limitation, consents obtained in connection with a purchase of, or tender offer or exchange offer for, such Notes). </w:t>
      </w:r>
      <w:r>
        <w:rPr>
          <w:rFonts w:ascii="Times New Roman;serif" w:hAnsi="Times New Roman;serif"/>
          <w:b w:val="false"/>
          <w:color w:val="000000"/>
          <w:sz w:val="24"/>
          <w:u w:val="single"/>
        </w:rPr>
        <w:t>Section 2.09</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Section 2.10</w:t>
      </w:r>
      <w:r>
        <w:rPr>
          <w:color w:val="000000"/>
        </w:rPr>
        <w:t xml:space="preserve"> </w:t>
      </w:r>
      <w:r>
        <w:rPr>
          <w:rFonts w:ascii="Times New Roman;serif" w:hAnsi="Times New Roman;serif"/>
          <w:b w:val="false"/>
          <w:color w:val="000000"/>
          <w:sz w:val="24"/>
        </w:rPr>
        <w:t xml:space="preserve">hereof shall determine which Notes are considered to be “outstanding” for purposes of this </w:t>
      </w:r>
      <w:r>
        <w:rPr>
          <w:rFonts w:ascii="Times New Roman;serif" w:hAnsi="Times New Roman;serif"/>
          <w:b w:val="false"/>
          <w:color w:val="000000"/>
          <w:sz w:val="24"/>
          <w:u w:val="single"/>
        </w:rPr>
        <w:t>Article 9</w:t>
      </w:r>
      <w:r>
        <w:rPr>
          <w:rFonts w:ascii="Times New Roman;serif" w:hAnsi="Times New Roman;serif"/>
          <w:b w:val="false"/>
          <w:color w:val="000000"/>
          <w:sz w:val="24"/>
        </w:rPr>
        <w:t>.</w:t>
      </w:r>
    </w:p>
    <w:p>
      <w:pPr>
        <w:pStyle w:val="TextBody"/>
        <w:bidi w:val="0"/>
        <w:spacing w:lineRule="auto" w:line="30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rPr>
        <w:t xml:space="preserve">Without the consent of each Holder affected, an amendment, supplement or waiver under this </w:t>
      </w:r>
      <w:r>
        <w:rPr>
          <w:rFonts w:ascii="Times New Roman;serif" w:hAnsi="Times New Roman;serif"/>
          <w:b w:val="false"/>
          <w:color w:val="000000"/>
          <w:sz w:val="24"/>
          <w:u w:val="single"/>
        </w:rPr>
        <w:t>Article 9</w:t>
      </w:r>
      <w:r>
        <w:rPr>
          <w:color w:val="000000"/>
        </w:rPr>
        <w:t xml:space="preserve"> </w:t>
      </w:r>
      <w:r>
        <w:rPr>
          <w:rFonts w:ascii="Times New Roman;serif" w:hAnsi="Times New Roman;serif"/>
          <w:b w:val="false"/>
          <w:color w:val="000000"/>
          <w:sz w:val="24"/>
        </w:rPr>
        <w:t>may not (with respect to any such Notes held by a non-consenting Holder):</w:t>
      </w:r>
    </w:p>
    <w:p>
      <w:pPr>
        <w:pStyle w:val="TextBody"/>
        <w:bidi w:val="0"/>
        <w:spacing w:lineRule="auto" w:line="30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(1)reduce the principal amount of Notes whose Holders must consent to an amendment, supplement or waiver;</w:t>
      </w:r>
    </w:p>
    <w:p>
      <w:pPr>
        <w:pStyle w:val="TextBody"/>
        <w:bidi w:val="0"/>
        <w:spacing w:lineRule="auto" w:line="300" w:before="0" w:after="240"/>
        <w:ind w:left="0" w:right="0" w:firstLine="720"/>
        <w:jc w:val="both"/>
        <w:rPr/>
      </w:pPr>
      <w:r>
        <w:rPr>
          <w:rFonts w:ascii="Times New Roman;serif" w:hAnsi="Times New Roman;serif"/>
          <w:b w:val="false"/>
          <w:color w:val="000000"/>
          <w:sz w:val="24"/>
        </w:rPr>
        <w:t xml:space="preserve">(2)reduce the principal of or extend the fixed maturity of any such Note or alter the provisions with respect to the redemption of such Notes (other than </w:t>
      </w:r>
      <w:r>
        <w:rPr>
          <w:rFonts w:ascii="Times New Roman;serif" w:hAnsi="Times New Roman;serif"/>
          <w:b w:val="false"/>
          <w:color w:val="000000"/>
          <w:sz w:val="24"/>
          <w:u w:val="single"/>
        </w:rPr>
        <w:t>Section 4.08</w:t>
      </w:r>
      <w:r>
        <w:rPr>
          <w:color w:val="000000"/>
        </w:rPr>
        <w:t xml:space="preserve"> </w:t>
      </w:r>
      <w:r>
        <w:rPr>
          <w:rFonts w:ascii="Times New Roman;serif" w:hAnsi="Times New Roman;serif"/>
          <w:b w:val="false"/>
          <w:color w:val="000000"/>
          <w:sz w:val="24"/>
        </w:rPr>
        <w:t>and the provisions relating to the number of days of notice to be given in the event of a redemption);</w:t>
      </w:r>
    </w:p>
    <w:p>
      <w:pPr>
        <w:pStyle w:val="TextBody"/>
        <w:bidi w:val="0"/>
        <w:spacing w:lineRule="auto" w:line="30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(3)reduce the rate of or extend the stated time for payment of interest on any such Note;</w:t>
      </w:r>
    </w:p>
    <w:p>
      <w:pPr>
        <w:pStyle w:val="TextBody"/>
        <w:bidi w:val="0"/>
        <w:spacing w:lineRule="auto" w:line="30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(4)waive a Default or Event of Default in the payment of principal of, or interest or premium on the Notes (except a rescission of acceleration of the Notes by the Holders of a majority in aggregate principal amount of the Notes and a waiver of the payment default that resulted from such acceleration);</w:t>
      </w:r>
    </w:p>
    <w:p>
      <w:pPr>
        <w:pStyle w:val="TextBody"/>
        <w:bidi w:val="0"/>
        <w:spacing w:lineRule="auto" w:line="30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(5)make any Note payable in currency other than that stated in the Notes;</w:t>
      </w:r>
    </w:p>
    <w:p>
      <w:pPr>
        <w:pStyle w:val="TextBody"/>
        <w:bidi w:val="0"/>
        <w:spacing w:lineRule="auto" w:line="30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(6)make any change in the provisions of this Indenture relating to waivers of past Defaults;</w:t>
      </w:r>
    </w:p>
    <w:p>
      <w:pPr>
        <w:pStyle w:val="TextBody"/>
        <w:bidi w:val="0"/>
        <w:spacing w:before="0" w:after="0"/>
        <w:jc w:val="left"/>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735965"/>
                <wp:effectExtent l="0" t="0" r="0" b="0"/>
                <wp:wrapNone/>
                <wp:docPr id="129" name="Frame129"/>
                <a:graphic xmlns:a="http://schemas.openxmlformats.org/drawingml/2006/main">
                  <a:graphicData uri="http://schemas.microsoft.com/office/word/2010/wordprocessingShape">
                    <wps:wsp>
                      <wps:cNvSpPr txBox="1"/>
                      <wps:spPr>
                        <a:xfrm>
                          <a:off x="0" y="0"/>
                          <a:ext cx="6480175" cy="7359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81</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81</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30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(7)impair the contractual right expressly set forth in the Notes or this Indenture of any Holder to institute suit for the enforcement of any payment on or with respect to such Holder’s Notes on or after the due dates therefor; or</w:t>
      </w:r>
    </w:p>
    <w:p>
      <w:pPr>
        <w:pStyle w:val="TextBody"/>
        <w:bidi w:val="0"/>
        <w:spacing w:lineRule="auto" w:line="300" w:before="0" w:after="240"/>
        <w:ind w:left="0" w:right="0" w:firstLine="720"/>
        <w:jc w:val="both"/>
        <w:rPr/>
      </w:pPr>
      <w:r>
        <w:rPr>
          <w:rFonts w:ascii="Times New Roman;serif" w:hAnsi="Times New Roman;serif"/>
          <w:b w:val="false"/>
          <w:color w:val="000000"/>
          <w:sz w:val="24"/>
        </w:rPr>
        <w:t xml:space="preserve">(8)make any change to </w:t>
      </w:r>
      <w:r>
        <w:rPr>
          <w:rFonts w:ascii="Times New Roman;serif" w:hAnsi="Times New Roman;serif"/>
          <w:b w:val="false"/>
          <w:color w:val="000000"/>
          <w:sz w:val="24"/>
          <w:u w:val="single"/>
        </w:rPr>
        <w:t>Section 9.01</w:t>
      </w:r>
      <w:r>
        <w:rPr>
          <w:color w:val="000000"/>
        </w:rPr>
        <w:t xml:space="preserve"> </w:t>
      </w:r>
      <w:r>
        <w:rPr>
          <w:rFonts w:ascii="Times New Roman;serif" w:hAnsi="Times New Roman;serif"/>
          <w:b w:val="false"/>
          <w:color w:val="000000"/>
          <w:sz w:val="24"/>
        </w:rPr>
        <w:t xml:space="preserve">and this </w:t>
      </w:r>
      <w:r>
        <w:rPr>
          <w:rFonts w:ascii="Times New Roman;serif" w:hAnsi="Times New Roman;serif"/>
          <w:b w:val="false"/>
          <w:color w:val="000000"/>
          <w:sz w:val="24"/>
          <w:u w:val="single"/>
        </w:rPr>
        <w:t>Article 9</w:t>
      </w:r>
      <w:r>
        <w:rPr>
          <w:rFonts w:ascii="Times New Roman;serif" w:hAnsi="Times New Roman;serif"/>
          <w:b w:val="false"/>
          <w:color w:val="000000"/>
          <w:sz w:val="24"/>
        </w:rPr>
        <w:t>.</w:t>
      </w:r>
    </w:p>
    <w:p>
      <w:pPr>
        <w:pStyle w:val="TextBody"/>
        <w:bidi w:val="0"/>
        <w:spacing w:lineRule="auto" w:line="300" w:before="0" w:after="240"/>
        <w:ind w:left="0" w:right="0" w:firstLine="720"/>
        <w:jc w:val="both"/>
        <w:rPr/>
      </w:pPr>
      <w:r>
        <w:rPr>
          <w:rFonts w:ascii="Times New Roman;serif" w:hAnsi="Times New Roman;serif"/>
          <w:b w:val="false"/>
          <w:color w:val="000000"/>
          <w:sz w:val="24"/>
        </w:rPr>
        <w:t>(c)</w:t>
      </w:r>
      <w:r>
        <w:rPr>
          <w:rFonts w:ascii="Times New Roman;serif" w:hAnsi="Times New Roman;serif"/>
          <w:b w:val="false"/>
          <w:color w:val="000000"/>
          <w:sz w:val="24"/>
        </w:rPr>
        <w:t xml:space="preserve">Without the consent of the Holders of at least 66 2/3% in aggregate principal amount of the Notes then outstanding, no amendment or waiver may make any change to </w:t>
      </w:r>
      <w:r>
        <w:rPr>
          <w:rFonts w:ascii="Times New Roman;serif" w:hAnsi="Times New Roman;serif"/>
          <w:b w:val="false"/>
          <w:color w:val="000000"/>
          <w:sz w:val="24"/>
          <w:u w:val="single"/>
        </w:rPr>
        <w:t>Section 4.05</w:t>
      </w:r>
      <w:r>
        <w:rPr>
          <w:rFonts w:ascii="Times New Roman;serif" w:hAnsi="Times New Roman;serif"/>
          <w:b w:val="false"/>
          <w:color w:val="000000"/>
          <w:sz w:val="24"/>
        </w:rPr>
        <w:t>.</w:t>
      </w:r>
    </w:p>
    <w:p>
      <w:pPr>
        <w:pStyle w:val="TextBody"/>
        <w:bidi w:val="0"/>
        <w:spacing w:lineRule="auto" w:line="300" w:before="0" w:after="240"/>
        <w:ind w:left="0" w:right="0" w:firstLine="720"/>
        <w:jc w:val="both"/>
        <w:rPr/>
      </w:pPr>
      <w:r>
        <w:rPr>
          <w:rFonts w:ascii="Times New Roman;serif" w:hAnsi="Times New Roman;serif"/>
          <w:b w:val="false"/>
          <w:color w:val="000000"/>
          <w:sz w:val="24"/>
        </w:rPr>
        <w:t>(d)</w:t>
      </w:r>
      <w:r>
        <w:rPr>
          <w:rFonts w:ascii="Times New Roman;serif" w:hAnsi="Times New Roman;serif"/>
          <w:b w:val="false"/>
          <w:color w:val="000000"/>
          <w:sz w:val="24"/>
        </w:rPr>
        <w:t xml:space="preserve">For the avoidance of doubt, no amendment, waiver, modification or deletion of the provisions described under </w:t>
      </w:r>
      <w:r>
        <w:rPr>
          <w:rFonts w:ascii="Times New Roman;serif" w:hAnsi="Times New Roman;serif"/>
          <w:b w:val="false"/>
          <w:color w:val="000000"/>
          <w:sz w:val="24"/>
          <w:u w:val="single"/>
        </w:rPr>
        <w:t>Article 3</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Article 4</w:t>
      </w:r>
      <w:r>
        <w:rPr>
          <w:color w:val="000000"/>
        </w:rPr>
        <w:t xml:space="preserve"> </w:t>
      </w:r>
      <w:r>
        <w:rPr>
          <w:rFonts w:ascii="Times New Roman;serif" w:hAnsi="Times New Roman;serif"/>
          <w:b w:val="false"/>
          <w:color w:val="000000"/>
          <w:sz w:val="24"/>
        </w:rPr>
        <w:t>shall be deemed to impair or affect any rights of Holders to institute suit for the enforcement of any payment on or with respect to, or to receive payment of principal of, or premium, if any, or interest on, the Notes.</w:t>
      </w:r>
    </w:p>
    <w:p>
      <w:pPr>
        <w:pStyle w:val="TextBody"/>
        <w:bidi w:val="0"/>
        <w:spacing w:lineRule="auto" w:line="300" w:before="0" w:after="240"/>
        <w:ind w:left="0" w:right="0" w:firstLine="720"/>
        <w:jc w:val="both"/>
        <w:rPr/>
      </w:pPr>
      <w:r>
        <w:rPr>
          <w:rFonts w:ascii="Times New Roman;serif" w:hAnsi="Times New Roman;serif"/>
          <w:b w:val="false"/>
          <w:color w:val="000000"/>
          <w:sz w:val="24"/>
        </w:rPr>
        <w:t>(e)</w:t>
      </w:r>
      <w:r>
        <w:rPr>
          <w:rFonts w:ascii="Times New Roman;serif" w:hAnsi="Times New Roman;serif"/>
          <w:b w:val="false"/>
          <w:color w:val="000000"/>
          <w:sz w:val="24"/>
        </w:rPr>
        <w:t xml:space="preserve">The consent of the Holders is not necessary under this </w:t>
      </w:r>
      <w:r>
        <w:rPr>
          <w:rFonts w:ascii="Times New Roman;serif" w:hAnsi="Times New Roman;serif"/>
          <w:b w:val="false"/>
          <w:color w:val="000000"/>
          <w:sz w:val="24"/>
          <w:u w:val="single"/>
        </w:rPr>
        <w:t xml:space="preserve">Article 9 </w:t>
      </w:r>
      <w:r>
        <w:rPr>
          <w:rFonts w:ascii="Times New Roman;serif" w:hAnsi="Times New Roman;serif"/>
          <w:b w:val="false"/>
          <w:color w:val="000000"/>
          <w:sz w:val="24"/>
        </w:rPr>
        <w:t>to approve the particular form of any proposed amendment, supplement or waiver. It is sufficient if such consent approves the substance of the proposed amendment, supplement or waiver. A consent to any amendment, supplement or waiver under this Indenture by any Holder given in connection with a tender of such Holder’s Notes will not be rendered invalid by such tender.</w:t>
      </w:r>
    </w:p>
    <w:p>
      <w:pPr>
        <w:pStyle w:val="TextBody"/>
        <w:bidi w:val="0"/>
        <w:spacing w:lineRule="auto" w:line="300" w:before="0" w:after="240"/>
        <w:ind w:left="0" w:right="0" w:firstLine="720"/>
        <w:jc w:val="both"/>
        <w:rPr/>
      </w:pPr>
      <w:r>
        <w:rPr>
          <w:rFonts w:ascii="Times New Roman;serif" w:hAnsi="Times New Roman;serif"/>
          <w:b w:val="false"/>
          <w:color w:val="000000"/>
          <w:sz w:val="24"/>
        </w:rPr>
        <w:t>(f)</w:t>
      </w:r>
      <w:r>
        <w:rPr>
          <w:rFonts w:ascii="Times New Roman;serif" w:hAnsi="Times New Roman;serif"/>
          <w:b w:val="false"/>
          <w:color w:val="000000"/>
          <w:sz w:val="24"/>
        </w:rPr>
        <w:t xml:space="preserve">After an amendment, supplement or waiver under this </w:t>
      </w:r>
      <w:r>
        <w:rPr>
          <w:rFonts w:ascii="Times New Roman;serif" w:hAnsi="Times New Roman;serif"/>
          <w:b w:val="false"/>
          <w:color w:val="000000"/>
          <w:sz w:val="24"/>
          <w:u w:val="single"/>
        </w:rPr>
        <w:t>Article 9</w:t>
      </w:r>
      <w:r>
        <w:rPr>
          <w:color w:val="000000"/>
        </w:rPr>
        <w:t xml:space="preserve"> </w:t>
      </w:r>
      <w:r>
        <w:rPr>
          <w:rFonts w:ascii="Times New Roman;serif" w:hAnsi="Times New Roman;serif"/>
          <w:b w:val="false"/>
          <w:color w:val="000000"/>
          <w:sz w:val="24"/>
        </w:rPr>
        <w:t>becomes effective, the Issuer shall deliver to the Holders a notice briefly describing such amendment, supplement or waiver. Any failure of the Issuer to deliver such notice to all Holders, or any defect in the notice, will not impair or affect the validity of any such amendment, supplement or waiver.</w:t>
      </w:r>
    </w:p>
    <w:p>
      <w:pPr>
        <w:pStyle w:val="TextBody"/>
        <w:bidi w:val="0"/>
        <w:spacing w:lineRule="auto" w:line="300" w:before="0" w:after="240"/>
        <w:jc w:val="left"/>
        <w:rPr/>
      </w:pPr>
      <w:r>
        <w:rPr>
          <w:rFonts w:ascii="Times New Roman;serif" w:hAnsi="Times New Roman;serif"/>
          <w:b w:val="false"/>
          <w:color w:val="000000"/>
          <w:sz w:val="24"/>
        </w:rPr>
        <w:t>Section 9.03</w:t>
      </w:r>
      <w:r>
        <w:rPr>
          <w:rFonts w:ascii="Times New Roman;serif" w:hAnsi="Times New Roman;serif"/>
          <w:b w:val="false"/>
          <w:color w:val="000000"/>
          <w:sz w:val="24"/>
          <w:u w:val="single"/>
        </w:rPr>
        <w:t>Effect of Consents</w:t>
      </w:r>
      <w:r>
        <w:rPr>
          <w:rFonts w:ascii="Times New Roman;serif" w:hAnsi="Times New Roman;serif"/>
          <w:b w:val="false"/>
          <w:color w:val="000000"/>
          <w:sz w:val="24"/>
        </w:rPr>
        <w:t>.</w:t>
      </w:r>
    </w:p>
    <w:p>
      <w:pPr>
        <w:pStyle w:val="TextBody"/>
        <w:bidi w:val="0"/>
        <w:spacing w:lineRule="auto" w:line="30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Until an amendment, supplement or waiver becomes effective, a consent to it by a Holder of a Note is a continuing consent by the Holder of a Note and every subsequent Holder of a Note or portion of a Note that evidences the same debt as the consenting Holder’s Note, even if notation of the consent is not made on any Note. An amendment, supplement or waiver becomes effective in accordance with its terms and thereafter binds every Holder.</w:t>
      </w:r>
    </w:p>
    <w:p>
      <w:pPr>
        <w:pStyle w:val="TextBody"/>
        <w:bidi w:val="0"/>
        <w:spacing w:lineRule="auto" w:line="300" w:before="0" w:after="240"/>
        <w:jc w:val="left"/>
        <w:rPr/>
      </w:pPr>
      <w:r>
        <w:rPr>
          <w:rFonts w:ascii="Times New Roman;serif" w:hAnsi="Times New Roman;serif"/>
          <w:b w:val="false"/>
          <w:color w:val="000000"/>
          <w:sz w:val="24"/>
        </w:rPr>
        <w:t>Section 9.04</w:t>
      </w:r>
      <w:r>
        <w:rPr>
          <w:rFonts w:ascii="Times New Roman;serif" w:hAnsi="Times New Roman;serif"/>
          <w:b w:val="false"/>
          <w:color w:val="000000"/>
          <w:sz w:val="24"/>
          <w:u w:val="single"/>
        </w:rPr>
        <w:t>Notation on or Exchange of Notes</w:t>
      </w:r>
      <w:r>
        <w:rPr>
          <w:rFonts w:ascii="Times New Roman;serif" w:hAnsi="Times New Roman;serif"/>
          <w:b w:val="false"/>
          <w:color w:val="000000"/>
          <w:sz w:val="24"/>
        </w:rPr>
        <w:t>.</w:t>
      </w:r>
    </w:p>
    <w:p>
      <w:pPr>
        <w:pStyle w:val="TextBody"/>
        <w:bidi w:val="0"/>
        <w:spacing w:lineRule="auto" w:line="30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Trustee may place an appropriate notation about an amendment, supplement or waiver on any Note thereafter authenticated. The Issuer in exchange for all Notes may issue and the Trustee shall, upon receipt of an Issuer Order, authenticate new Notes that reflect the amendment, supplement or waiver.</w:t>
      </w:r>
    </w:p>
    <w:p>
      <w:pPr>
        <w:pStyle w:val="TextBody"/>
        <w:bidi w:val="0"/>
        <w:spacing w:lineRule="auto" w:line="30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Failure to make the appropriate notation or issue a new Note will not affect the validity and effect of such amendment, supplement or waiver.</w:t>
      </w:r>
    </w:p>
    <w:p>
      <w:pPr>
        <w:pStyle w:val="TextBody"/>
        <w:bidi w:val="0"/>
        <w:spacing w:before="0" w:after="0"/>
        <w:jc w:val="left"/>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735965"/>
                <wp:effectExtent l="0" t="0" r="0" b="0"/>
                <wp:wrapNone/>
                <wp:docPr id="130" name="Frame130"/>
                <a:graphic xmlns:a="http://schemas.openxmlformats.org/drawingml/2006/main">
                  <a:graphicData uri="http://schemas.microsoft.com/office/word/2010/wordprocessingShape">
                    <wps:wsp>
                      <wps:cNvSpPr txBox="1"/>
                      <wps:spPr>
                        <a:xfrm>
                          <a:off x="0" y="0"/>
                          <a:ext cx="6480175" cy="7359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82</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82</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300" w:before="0" w:after="240"/>
        <w:jc w:val="left"/>
        <w:rPr/>
      </w:pPr>
      <w:r>
        <w:rPr>
          <w:rFonts w:ascii="Times New Roman;serif" w:hAnsi="Times New Roman;serif"/>
          <w:b w:val="false"/>
          <w:color w:val="000000"/>
          <w:sz w:val="24"/>
        </w:rPr>
        <w:t>Section 9.05</w:t>
      </w:r>
      <w:r>
        <w:rPr>
          <w:rFonts w:ascii="Times New Roman;serif" w:hAnsi="Times New Roman;serif"/>
          <w:b w:val="false"/>
          <w:color w:val="000000"/>
          <w:sz w:val="24"/>
          <w:u w:val="single"/>
        </w:rPr>
        <w:t>Trustee to Sign Amendments, etc.</w:t>
      </w:r>
    </w:p>
    <w:p>
      <w:pPr>
        <w:pStyle w:val="TextBody"/>
        <w:bidi w:val="0"/>
        <w:spacing w:lineRule="auto" w:line="300" w:before="0" w:after="240"/>
        <w:ind w:left="0" w:right="0" w:firstLine="720"/>
        <w:jc w:val="both"/>
        <w:rPr/>
      </w:pPr>
      <w:r>
        <w:rPr>
          <w:rFonts w:ascii="Times New Roman;serif" w:hAnsi="Times New Roman;serif"/>
          <w:b w:val="false"/>
          <w:color w:val="000000"/>
          <w:sz w:val="24"/>
        </w:rPr>
        <w:t xml:space="preserve">Upon the request of the Issuer and upon the filing with the Trustee of evidence satisfactory to the Trustee of the consent of the Holders as aforesaid, the Trustee shall sign any amended or supplemental indenture or other amendment of or supplement to or waiver under any Note Document authorized pursuant to this </w:t>
      </w:r>
      <w:r>
        <w:rPr>
          <w:rFonts w:ascii="Times New Roman;serif" w:hAnsi="Times New Roman;serif"/>
          <w:b w:val="false"/>
          <w:color w:val="000000"/>
          <w:sz w:val="24"/>
          <w:u w:val="single"/>
        </w:rPr>
        <w:t>Article 9</w:t>
      </w:r>
      <w:r>
        <w:rPr>
          <w:color w:val="000000"/>
        </w:rPr>
        <w:t xml:space="preserve"> </w:t>
      </w:r>
      <w:r>
        <w:rPr>
          <w:rFonts w:ascii="Times New Roman;serif" w:hAnsi="Times New Roman;serif"/>
          <w:b w:val="false"/>
          <w:color w:val="000000"/>
          <w:sz w:val="24"/>
        </w:rPr>
        <w:t xml:space="preserve">if the amendment, supplement or waiver does not adversely affect the rights, duties, liabilities or immunities of the Trustee under this Indenture, in which case the Trustee may in its discretion, but will not be obligated to, enter into such amended or supplemental indenture or any amendment of or supplement to or waiver under any Note Document. In executing any amended or supplemental indenture or other amendment of or supplement to or waiver under any Note Document, the Trustee will be entitled to receive and (subject to </w:t>
      </w:r>
      <w:r>
        <w:rPr>
          <w:rFonts w:ascii="Times New Roman;serif" w:hAnsi="Times New Roman;serif"/>
          <w:b w:val="false"/>
          <w:color w:val="000000"/>
          <w:sz w:val="24"/>
          <w:u w:val="single"/>
        </w:rPr>
        <w:t>Section 7.01</w:t>
      </w:r>
      <w:r>
        <w:rPr>
          <w:color w:val="000000"/>
        </w:rPr>
        <w:t xml:space="preserve"> </w:t>
      </w:r>
      <w:r>
        <w:rPr>
          <w:rFonts w:ascii="Times New Roman;serif" w:hAnsi="Times New Roman;serif"/>
          <w:b w:val="false"/>
          <w:color w:val="000000"/>
          <w:sz w:val="24"/>
        </w:rPr>
        <w:t>hereof) will be fully protected in relying upon an Officer’s Certificate and an Opinion of Counsel stating that the execution of such amended or supplemental indenture or other amendment of or supplement to or waiver under any Note Document is authorized or permitted by this Indenture.</w:t>
      </w:r>
    </w:p>
    <w:p>
      <w:pPr>
        <w:pStyle w:val="TextBody"/>
        <w:bidi w:val="0"/>
        <w:spacing w:lineRule="auto" w:line="240" w:before="0" w:after="240"/>
        <w:jc w:val="center"/>
        <w:rPr/>
      </w:pPr>
      <w:r>
        <w:rPr>
          <w:rFonts w:ascii="Times New Roman;serif" w:hAnsi="Times New Roman;serif"/>
          <w:b w:val="false"/>
          <w:color w:val="000000"/>
          <w:sz w:val="24"/>
        </w:rPr>
        <w:t>Article 10</w:t>
      </w:r>
      <w:r>
        <w:rPr>
          <w:rFonts w:ascii="Times New Roman;serif" w:hAnsi="Times New Roman;serif"/>
          <w:b w:val="false"/>
          <w:color w:val="000000"/>
          <w:sz w:val="24"/>
        </w:rPr>
        <w:br/>
        <w:t>SATISFACTION AND DISCHARGE</w:t>
      </w:r>
    </w:p>
    <w:p>
      <w:pPr>
        <w:pStyle w:val="TextBody"/>
        <w:bidi w:val="0"/>
        <w:spacing w:lineRule="auto" w:line="300" w:before="0" w:after="240"/>
        <w:jc w:val="left"/>
        <w:rPr/>
      </w:pPr>
      <w:r>
        <w:rPr>
          <w:rFonts w:ascii="Times New Roman;serif" w:hAnsi="Times New Roman;serif"/>
          <w:b w:val="false"/>
          <w:color w:val="000000"/>
          <w:sz w:val="24"/>
        </w:rPr>
        <w:t>Section 10.01</w:t>
      </w:r>
      <w:r>
        <w:rPr>
          <w:rFonts w:ascii="Times New Roman;serif" w:hAnsi="Times New Roman;serif"/>
          <w:b w:val="false"/>
          <w:color w:val="000000"/>
          <w:sz w:val="24"/>
          <w:u w:val="single"/>
        </w:rPr>
        <w:t>Satisfaction and Discharge</w:t>
      </w:r>
      <w:r>
        <w:rPr>
          <w:rFonts w:ascii="Times New Roman;serif" w:hAnsi="Times New Roman;serif"/>
          <w:b w:val="false"/>
          <w:color w:val="000000"/>
          <w:sz w:val="24"/>
        </w:rPr>
        <w:t xml:space="preserve">. </w:t>
      </w:r>
    </w:p>
    <w:p>
      <w:pPr>
        <w:pStyle w:val="TextBody"/>
        <w:bidi w:val="0"/>
        <w:spacing w:lineRule="auto" w:line="30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This Indenture will be discharged and will cease to be of further effect as to all Notes issued hereunder, when:</w:t>
      </w:r>
    </w:p>
    <w:p>
      <w:pPr>
        <w:pStyle w:val="TextBody"/>
        <w:bidi w:val="0"/>
        <w:spacing w:lineRule="auto" w:line="30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(1)either:</w:t>
      </w:r>
    </w:p>
    <w:p>
      <w:pPr>
        <w:pStyle w:val="TextBody"/>
        <w:bidi w:val="0"/>
        <w:spacing w:lineRule="auto" w:line="30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(A)all such Notes that have been authenticated, except lost, stolen or destroyed Notes that have been replaced or paid and Notes for whose payment money has been deposited in trust and thereafter repaid to the Issuer, have been delivered to the Trustee for cancellation; or</w:t>
      </w:r>
    </w:p>
    <w:p>
      <w:pPr>
        <w:pStyle w:val="TextBody"/>
        <w:bidi w:val="0"/>
        <w:spacing w:lineRule="auto" w:line="30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(B)all such Notes that have not been delivered to the Trustee for cancellation have become due and payable by reason of the issuance of a notice of redemption or otherwise or will become due and payable within one year and the Issuer or any Subsidiary Guarantor has irrevocably deposited or caused to be deposited with the Trustee as trust funds in trust solely for the benefit of the Holders thereof, cash in U.S. dollars, non-callable Government Securities or a combination of cash in U.S. dollars and non-callable Government Securities, in amounts as will be sufficient, without consideration of any reinvestment of interest, to pay and discharge the entire Indebtedness on the Notes not delivered to the Trustee for cancellation for principal, premium, if any, and accrued interest to the date of maturity or redemption;</w:t>
      </w:r>
    </w:p>
    <w:p>
      <w:pPr>
        <w:pStyle w:val="TextBody"/>
        <w:bidi w:val="0"/>
        <w:spacing w:before="0" w:after="0"/>
        <w:jc w:val="left"/>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735965"/>
                <wp:effectExtent l="0" t="0" r="0" b="0"/>
                <wp:wrapNone/>
                <wp:docPr id="131" name="Frame131"/>
                <a:graphic xmlns:a="http://schemas.openxmlformats.org/drawingml/2006/main">
                  <a:graphicData uri="http://schemas.microsoft.com/office/word/2010/wordprocessingShape">
                    <wps:wsp>
                      <wps:cNvSpPr txBox="1"/>
                      <wps:spPr>
                        <a:xfrm>
                          <a:off x="0" y="0"/>
                          <a:ext cx="6480175" cy="7359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83</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83</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30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(2)no Default or Event of Default under this Indenture has occurred and is continuing on the date of the deposit (other than a Default or Event of Default resulting from the borrowing of funds to be applied to such deposit) and the deposit will not result in a breach or violation of, or constitute a default under, any other instrument to which the Issuer or any Subsidiary Guarantor is a party or by which the Issuer or any such Subsidiary Guarantor is bound;</w:t>
      </w:r>
    </w:p>
    <w:p>
      <w:pPr>
        <w:pStyle w:val="TextBody"/>
        <w:bidi w:val="0"/>
        <w:spacing w:lineRule="auto" w:line="30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(3)the Issuer or any Subsidiary Guarantor has paid or caused to be paid all sums payable by it with respect to the Notes issued under this Indenture; and</w:t>
      </w:r>
    </w:p>
    <w:p>
      <w:pPr>
        <w:pStyle w:val="TextBody"/>
        <w:bidi w:val="0"/>
        <w:spacing w:lineRule="auto" w:line="30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(4)the Issuer has delivered irrevocable written instructions to the Trustee under this Indenture to apply the deposited money toward the payment of the Notes at maturity or the redemption date, as the case may be.</w:t>
      </w:r>
    </w:p>
    <w:p>
      <w:pPr>
        <w:pStyle w:val="TextBody"/>
        <w:bidi w:val="0"/>
        <w:spacing w:lineRule="auto" w:line="300" w:before="0" w:after="240"/>
        <w:jc w:val="both"/>
        <w:rPr>
          <w:rFonts w:ascii="Times New Roman;serif" w:hAnsi="Times New Roman;serif"/>
          <w:b w:val="false"/>
          <w:color w:val="000000"/>
          <w:sz w:val="24"/>
        </w:rPr>
      </w:pPr>
      <w:r>
        <w:rPr>
          <w:rFonts w:ascii="Times New Roman;serif" w:hAnsi="Times New Roman;serif"/>
          <w:b w:val="false"/>
          <w:color w:val="000000"/>
          <w:sz w:val="24"/>
        </w:rPr>
        <w:t>In addition, the Issuer must deliver to the Trustee an Officer’s Certificate and an Opinion of Counsel stating that all conditions precedent to satisfaction and discharge have been satisfied.</w:t>
      </w:r>
    </w:p>
    <w:p>
      <w:pPr>
        <w:pStyle w:val="TextBody"/>
        <w:bidi w:val="0"/>
        <w:spacing w:lineRule="auto" w:line="300" w:before="0" w:after="240"/>
        <w:ind w:left="0" w:right="0" w:firstLine="720"/>
        <w:jc w:val="both"/>
        <w:rPr/>
      </w:pPr>
      <w:r>
        <w:rPr>
          <w:rFonts w:ascii="Times New Roman;serif" w:hAnsi="Times New Roman;serif"/>
          <w:b w:val="false"/>
          <w:color w:val="000000"/>
          <w:sz w:val="24"/>
        </w:rPr>
        <w:t xml:space="preserve">Notwithstanding the satisfaction and discharge of this Indenture, if money has been deposited with the Trustee pursuant to subclause (B) of clause (1) of this </w:t>
      </w:r>
      <w:r>
        <w:rPr>
          <w:rFonts w:ascii="Times New Roman;serif" w:hAnsi="Times New Roman;serif"/>
          <w:b w:val="false"/>
          <w:color w:val="000000"/>
          <w:sz w:val="24"/>
          <w:u w:val="single"/>
        </w:rPr>
        <w:t>Section 10.01</w:t>
      </w:r>
      <w:r>
        <w:rPr>
          <w:rFonts w:ascii="Times New Roman;serif" w:hAnsi="Times New Roman;serif"/>
          <w:b w:val="false"/>
          <w:color w:val="000000"/>
          <w:sz w:val="24"/>
        </w:rPr>
        <w:t xml:space="preserve">, the provisions of </w:t>
      </w:r>
      <w:r>
        <w:rPr>
          <w:rFonts w:ascii="Times New Roman;serif" w:hAnsi="Times New Roman;serif"/>
          <w:b w:val="false"/>
          <w:color w:val="000000"/>
          <w:sz w:val="24"/>
          <w:u w:val="single"/>
        </w:rPr>
        <w:t>Section 10.02</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Section 8.06</w:t>
      </w:r>
      <w:r>
        <w:rPr>
          <w:color w:val="000000"/>
        </w:rPr>
        <w:t xml:space="preserve"> </w:t>
      </w:r>
      <w:r>
        <w:rPr>
          <w:rFonts w:ascii="Times New Roman;serif" w:hAnsi="Times New Roman;serif"/>
          <w:b w:val="false"/>
          <w:color w:val="000000"/>
          <w:sz w:val="24"/>
        </w:rPr>
        <w:t xml:space="preserve">hereof will survive. In addition, nothing in this </w:t>
      </w:r>
      <w:r>
        <w:rPr>
          <w:rFonts w:ascii="Times New Roman;serif" w:hAnsi="Times New Roman;serif"/>
          <w:b w:val="false"/>
          <w:color w:val="000000"/>
          <w:sz w:val="24"/>
          <w:u w:val="single"/>
        </w:rPr>
        <w:t>Section 10.01</w:t>
      </w:r>
      <w:r>
        <w:rPr>
          <w:color w:val="000000"/>
        </w:rPr>
        <w:t xml:space="preserve"> </w:t>
      </w:r>
      <w:r>
        <w:rPr>
          <w:rFonts w:ascii="Times New Roman;serif" w:hAnsi="Times New Roman;serif"/>
          <w:b w:val="false"/>
          <w:color w:val="000000"/>
          <w:sz w:val="24"/>
        </w:rPr>
        <w:t xml:space="preserve">will be deemed to discharge those provisions of </w:t>
      </w:r>
      <w:r>
        <w:rPr>
          <w:rFonts w:ascii="Times New Roman;serif" w:hAnsi="Times New Roman;serif"/>
          <w:b w:val="false"/>
          <w:color w:val="000000"/>
          <w:sz w:val="24"/>
          <w:u w:val="single"/>
        </w:rPr>
        <w:t>Section 7.06</w:t>
      </w:r>
      <w:r>
        <w:rPr>
          <w:color w:val="000000"/>
        </w:rPr>
        <w:t xml:space="preserve"> </w:t>
      </w:r>
      <w:r>
        <w:rPr>
          <w:rFonts w:ascii="Times New Roman;serif" w:hAnsi="Times New Roman;serif"/>
          <w:b w:val="false"/>
          <w:color w:val="000000"/>
          <w:sz w:val="24"/>
        </w:rPr>
        <w:t>hereof, that, by their terms, survive the satisfaction and discharge of this Indenture.</w:t>
      </w:r>
    </w:p>
    <w:p>
      <w:pPr>
        <w:pStyle w:val="TextBody"/>
        <w:bidi w:val="0"/>
        <w:spacing w:lineRule="auto" w:line="300" w:before="0" w:after="240"/>
        <w:jc w:val="left"/>
        <w:rPr/>
      </w:pPr>
      <w:r>
        <w:rPr>
          <w:rFonts w:ascii="Times New Roman;serif" w:hAnsi="Times New Roman;serif"/>
          <w:b w:val="false"/>
          <w:color w:val="000000"/>
          <w:sz w:val="24"/>
        </w:rPr>
        <w:t>Section 10.02</w:t>
      </w:r>
      <w:r>
        <w:rPr>
          <w:rFonts w:ascii="Times New Roman;serif" w:hAnsi="Times New Roman;serif"/>
          <w:b w:val="false"/>
          <w:color w:val="000000"/>
          <w:sz w:val="24"/>
          <w:u w:val="single"/>
        </w:rPr>
        <w:t>Application of Trust Money</w:t>
      </w:r>
      <w:r>
        <w:rPr>
          <w:rFonts w:ascii="Times New Roman;serif" w:hAnsi="Times New Roman;serif"/>
          <w:b w:val="false"/>
          <w:color w:val="000000"/>
          <w:sz w:val="24"/>
        </w:rPr>
        <w:t xml:space="preserve">. </w:t>
      </w:r>
    </w:p>
    <w:p>
      <w:pPr>
        <w:pStyle w:val="TextBody"/>
        <w:bidi w:val="0"/>
        <w:spacing w:lineRule="auto" w:line="300" w:before="0" w:after="240"/>
        <w:ind w:left="0" w:right="0" w:firstLine="720"/>
        <w:jc w:val="both"/>
        <w:rPr/>
      </w:pPr>
      <w:r>
        <w:rPr>
          <w:rFonts w:ascii="Times New Roman;serif" w:hAnsi="Times New Roman;serif"/>
          <w:b w:val="false"/>
          <w:color w:val="000000"/>
          <w:sz w:val="24"/>
        </w:rPr>
        <w:t xml:space="preserve">Subject to the provisions of </w:t>
      </w:r>
      <w:r>
        <w:rPr>
          <w:rFonts w:ascii="Times New Roman;serif" w:hAnsi="Times New Roman;serif"/>
          <w:b w:val="false"/>
          <w:color w:val="000000"/>
          <w:sz w:val="24"/>
          <w:u w:val="single"/>
        </w:rPr>
        <w:t>Section 8.06</w:t>
      </w:r>
      <w:r>
        <w:rPr>
          <w:color w:val="000000"/>
        </w:rPr>
        <w:t xml:space="preserve"> </w:t>
      </w:r>
      <w:r>
        <w:rPr>
          <w:rFonts w:ascii="Times New Roman;serif" w:hAnsi="Times New Roman;serif"/>
          <w:b w:val="false"/>
          <w:color w:val="000000"/>
          <w:sz w:val="24"/>
        </w:rPr>
        <w:t xml:space="preserve">hereof, all money deposited with the Trustee pursuant to </w:t>
      </w:r>
      <w:r>
        <w:rPr>
          <w:rFonts w:ascii="Times New Roman;serif" w:hAnsi="Times New Roman;serif"/>
          <w:b w:val="false"/>
          <w:color w:val="000000"/>
          <w:sz w:val="24"/>
          <w:u w:val="single"/>
        </w:rPr>
        <w:t>Section 10.01</w:t>
      </w:r>
      <w:r>
        <w:rPr>
          <w:color w:val="000000"/>
        </w:rPr>
        <w:t xml:space="preserve"> </w:t>
      </w:r>
      <w:r>
        <w:rPr>
          <w:rFonts w:ascii="Times New Roman;serif" w:hAnsi="Times New Roman;serif"/>
          <w:b w:val="false"/>
          <w:color w:val="000000"/>
          <w:sz w:val="24"/>
        </w:rPr>
        <w:t>hereof shall be held in trust and applied by it, in accordance with the provisions of the Notes and this Indenture, to the payment, either directly or through any Paying Agent (including the Issuer acting as its own Paying Agent) as the Trustee may determine, to the Persons entitled thereto, of the principal, premium, if any, and interest for whose payment such money has been deposited with the Trustee; but such money need not be segregated from other funds except to the extent required by law.</w:t>
      </w:r>
    </w:p>
    <w:p>
      <w:pPr>
        <w:pStyle w:val="TextBody"/>
        <w:bidi w:val="0"/>
        <w:spacing w:lineRule="auto" w:line="300" w:before="0" w:after="240"/>
        <w:ind w:left="0" w:right="0" w:firstLine="720"/>
        <w:jc w:val="both"/>
        <w:rPr/>
      </w:pPr>
      <w:r>
        <w:rPr>
          <w:rFonts w:ascii="Times New Roman;serif" w:hAnsi="Times New Roman;serif"/>
          <w:b w:val="false"/>
          <w:color w:val="000000"/>
          <w:sz w:val="24"/>
        </w:rPr>
        <w:t xml:space="preserve">If the Trustee or Paying Agent is unable to apply any money or Government Securities in accordance with </w:t>
      </w:r>
      <w:r>
        <w:rPr>
          <w:rFonts w:ascii="Times New Roman;serif" w:hAnsi="Times New Roman;serif"/>
          <w:b w:val="false"/>
          <w:color w:val="000000"/>
          <w:sz w:val="24"/>
          <w:u w:val="single"/>
        </w:rPr>
        <w:t>Section 10.01</w:t>
      </w:r>
      <w:r>
        <w:rPr>
          <w:color w:val="000000"/>
        </w:rPr>
        <w:t xml:space="preserve"> </w:t>
      </w:r>
      <w:r>
        <w:rPr>
          <w:rFonts w:ascii="Times New Roman;serif" w:hAnsi="Times New Roman;serif"/>
          <w:b w:val="false"/>
          <w:color w:val="000000"/>
          <w:sz w:val="24"/>
        </w:rPr>
        <w:t xml:space="preserve">hereof by reason of any legal proceeding or by reason of any order or judgment of any court or Governmental Authority enjoining, restraining or otherwise prohibiting such application, the Issuer’s and any applicable Subsidiary Guarantor’s obligations under this Indenture and the Notes shall be revived and reinstated as though no deposit had occurred pursuant to </w:t>
      </w:r>
      <w:r>
        <w:rPr>
          <w:rFonts w:ascii="Times New Roman;serif" w:hAnsi="Times New Roman;serif"/>
          <w:b w:val="false"/>
          <w:color w:val="000000"/>
          <w:sz w:val="24"/>
          <w:u w:val="single"/>
        </w:rPr>
        <w:t>Section 10.01</w:t>
      </w:r>
      <w:r>
        <w:rPr>
          <w:color w:val="000000"/>
        </w:rPr>
        <w:t xml:space="preserve"> </w:t>
      </w:r>
      <w:r>
        <w:rPr>
          <w:rFonts w:ascii="Times New Roman;serif" w:hAnsi="Times New Roman;serif"/>
          <w:b w:val="false"/>
          <w:color w:val="000000"/>
          <w:sz w:val="24"/>
        </w:rPr>
        <w:t xml:space="preserve">hereof; </w:t>
      </w:r>
      <w:r>
        <w:rPr>
          <w:rFonts w:ascii="Times New Roman;serif" w:hAnsi="Times New Roman;serif"/>
          <w:b w:val="false"/>
          <w:i/>
          <w:color w:val="000000"/>
          <w:sz w:val="24"/>
        </w:rPr>
        <w:t>provided that</w:t>
      </w:r>
      <w:r>
        <w:rPr>
          <w:color w:val="000000"/>
        </w:rPr>
        <w:t xml:space="preserve"> </w:t>
      </w:r>
      <w:r>
        <w:rPr>
          <w:rFonts w:ascii="Times New Roman;serif" w:hAnsi="Times New Roman;serif"/>
          <w:b w:val="false"/>
          <w:color w:val="000000"/>
          <w:sz w:val="24"/>
        </w:rPr>
        <w:t>if the Issuer has made any payment of principal of, premium, if any, or interest on any Notes because of the reinstatement of its obligations, the Issuer shall be subrogated to the rights of the Holders of such Notes to receive such payment from the money or Government Securities held by the Trustee or Paying Agent.</w:t>
      </w:r>
    </w:p>
    <w:p>
      <w:pPr>
        <w:pStyle w:val="TextBody"/>
        <w:bidi w:val="0"/>
        <w:spacing w:before="0" w:after="0"/>
        <w:jc w:val="left"/>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735965"/>
                <wp:effectExtent l="0" t="0" r="0" b="0"/>
                <wp:wrapNone/>
                <wp:docPr id="132" name="Frame132"/>
                <a:graphic xmlns:a="http://schemas.openxmlformats.org/drawingml/2006/main">
                  <a:graphicData uri="http://schemas.microsoft.com/office/word/2010/wordprocessingShape">
                    <wps:wsp>
                      <wps:cNvSpPr txBox="1"/>
                      <wps:spPr>
                        <a:xfrm>
                          <a:off x="0" y="0"/>
                          <a:ext cx="6480175" cy="7359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84</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84</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center"/>
        <w:rPr/>
      </w:pPr>
      <w:r>
        <w:rPr>
          <w:rFonts w:ascii="Times New Roman;serif" w:hAnsi="Times New Roman;serif"/>
          <w:b w:val="false"/>
          <w:color w:val="000000"/>
          <w:sz w:val="24"/>
        </w:rPr>
        <w:t>Article 11</w:t>
      </w:r>
      <w:r>
        <w:rPr>
          <w:rFonts w:ascii="Times New Roman;serif" w:hAnsi="Times New Roman;serif"/>
          <w:b w:val="false"/>
          <w:color w:val="000000"/>
          <w:sz w:val="24"/>
        </w:rPr>
        <w:br/>
        <w:t>SUBSIDIARY GUARANTEES</w:t>
      </w:r>
    </w:p>
    <w:p>
      <w:pPr>
        <w:pStyle w:val="TextBody"/>
        <w:bidi w:val="0"/>
        <w:spacing w:lineRule="auto" w:line="240" w:before="0" w:after="240"/>
        <w:jc w:val="left"/>
        <w:rPr/>
      </w:pPr>
      <w:r>
        <w:rPr>
          <w:rFonts w:ascii="Times New Roman;serif" w:hAnsi="Times New Roman;serif"/>
          <w:b w:val="false"/>
          <w:color w:val="000000"/>
          <w:sz w:val="24"/>
        </w:rPr>
        <w:t>Section 11.01</w:t>
      </w:r>
      <w:r>
        <w:rPr>
          <w:rFonts w:ascii="Times New Roman;serif" w:hAnsi="Times New Roman;serif"/>
          <w:b w:val="false"/>
          <w:color w:val="000000"/>
          <w:sz w:val="24"/>
          <w:u w:val="single"/>
        </w:rPr>
        <w:t>Guarantee</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rPr>
        <w:t xml:space="preserve">Subject to this </w:t>
      </w:r>
      <w:r>
        <w:rPr>
          <w:rFonts w:ascii="Times New Roman;serif" w:hAnsi="Times New Roman;serif"/>
          <w:b w:val="false"/>
          <w:color w:val="000000"/>
          <w:sz w:val="24"/>
          <w:u w:val="single"/>
        </w:rPr>
        <w:t>Article 11</w:t>
      </w:r>
      <w:r>
        <w:rPr>
          <w:rFonts w:ascii="Times New Roman;serif" w:hAnsi="Times New Roman;serif"/>
          <w:b w:val="false"/>
          <w:color w:val="000000"/>
          <w:sz w:val="24"/>
        </w:rPr>
        <w:t>, each of the Subsidiary Guarantors hereby, jointly and severally unconditionally guarantees to each</w:t>
      </w:r>
      <w:r>
        <w:rPr>
          <w:color w:val="000000"/>
        </w:rPr>
        <w:t xml:space="preserve"> </w:t>
      </w:r>
      <w:r>
        <w:rPr>
          <w:rFonts w:ascii="Times New Roman;serif" w:hAnsi="Times New Roman;serif"/>
          <w:b w:val="false"/>
          <w:color w:val="000000"/>
          <w:sz w:val="24"/>
        </w:rPr>
        <w:t>Holder of a Note authenticated and delivered by the Trustee and to the Trustee and its successors and assigns, irrespective of the validity and</w:t>
      </w:r>
      <w:r>
        <w:rPr>
          <w:color w:val="000000"/>
        </w:rPr>
        <w:t xml:space="preserve"> </w:t>
      </w:r>
      <w:r>
        <w:rPr>
          <w:rFonts w:ascii="Times New Roman;serif" w:hAnsi="Times New Roman;serif"/>
          <w:b w:val="false"/>
          <w:color w:val="000000"/>
          <w:sz w:val="24"/>
        </w:rPr>
        <w:t>enforceability of this Indenture, the Notes or the obligations of the Issuer hereunder or thereunder, that:</w:t>
      </w:r>
    </w:p>
    <w:p>
      <w:pPr>
        <w:pStyle w:val="TextBody"/>
        <w:bidi w:val="0"/>
        <w:spacing w:lineRule="auto" w:line="240" w:before="0" w:after="240"/>
        <w:ind w:left="0" w:right="0" w:firstLine="720"/>
        <w:jc w:val="both"/>
        <w:rPr/>
      </w:pPr>
      <w:r>
        <w:rPr>
          <w:rFonts w:ascii="Times New Roman;serif" w:hAnsi="Times New Roman;serif"/>
          <w:b w:val="false"/>
          <w:color w:val="000000"/>
          <w:sz w:val="24"/>
        </w:rPr>
        <w:t>(1)the principal of, premium, if any, and interest on the Notes shall be promptly paid in full when due, whether at maturity, by acceleration,</w:t>
      </w:r>
      <w:r>
        <w:rPr>
          <w:color w:val="000000"/>
        </w:rPr>
        <w:t xml:space="preserve"> </w:t>
      </w:r>
      <w:r>
        <w:rPr>
          <w:rFonts w:ascii="Times New Roman;serif" w:hAnsi="Times New Roman;serif"/>
          <w:b w:val="false"/>
          <w:color w:val="000000"/>
          <w:sz w:val="24"/>
        </w:rPr>
        <w:t>redemption or otherwise, and interest on the overdue principal of and interest on the Notes, if any, if lawful, and all other obligations of the</w:t>
      </w:r>
      <w:r>
        <w:rPr>
          <w:color w:val="000000"/>
        </w:rPr>
        <w:t xml:space="preserve"> </w:t>
      </w:r>
      <w:r>
        <w:rPr>
          <w:rFonts w:ascii="Times New Roman;serif" w:hAnsi="Times New Roman;serif"/>
          <w:b w:val="false"/>
          <w:color w:val="000000"/>
          <w:sz w:val="24"/>
        </w:rPr>
        <w:t>Issuer to the Holders or the Trustee hereunder or thereunder shall be promptly paid in full or performed, all in accordance with the terms hereof</w:t>
      </w:r>
      <w:r>
        <w:rPr>
          <w:color w:val="000000"/>
        </w:rPr>
        <w:t xml:space="preserve"> </w:t>
      </w:r>
      <w:r>
        <w:rPr>
          <w:rFonts w:ascii="Times New Roman;serif" w:hAnsi="Times New Roman;serif"/>
          <w:b w:val="false"/>
          <w:color w:val="000000"/>
          <w:sz w:val="24"/>
        </w:rPr>
        <w:t>and thereof; and</w:t>
      </w:r>
    </w:p>
    <w:p>
      <w:pPr>
        <w:pStyle w:val="TextBody"/>
        <w:bidi w:val="0"/>
        <w:spacing w:lineRule="auto" w:line="240" w:before="0" w:after="240"/>
        <w:ind w:left="0" w:right="0" w:firstLine="720"/>
        <w:jc w:val="both"/>
        <w:rPr/>
      </w:pPr>
      <w:r>
        <w:rPr>
          <w:rFonts w:ascii="Times New Roman;serif" w:hAnsi="Times New Roman;serif"/>
          <w:b w:val="false"/>
          <w:color w:val="000000"/>
          <w:sz w:val="24"/>
        </w:rPr>
        <w:t>(2)in case of any extension of time of payment or renewal of any Notes or any of such other obligations, that same shall be promptly paid in</w:t>
      </w:r>
      <w:r>
        <w:rPr>
          <w:color w:val="000000"/>
        </w:rPr>
        <w:t xml:space="preserve"> </w:t>
      </w:r>
      <w:r>
        <w:rPr>
          <w:rFonts w:ascii="Times New Roman;serif" w:hAnsi="Times New Roman;serif"/>
          <w:b w:val="false"/>
          <w:color w:val="000000"/>
          <w:sz w:val="24"/>
        </w:rPr>
        <w:t>full when due or performed in accordance with the terms of the extension or renewal, whether at Stated Maturity, by acceleration or otherwise.</w:t>
      </w:r>
    </w:p>
    <w:p>
      <w:pPr>
        <w:pStyle w:val="TextBody"/>
        <w:bidi w:val="0"/>
        <w:spacing w:lineRule="auto" w:line="288" w:before="0" w:after="240"/>
        <w:jc w:val="both"/>
        <w:rPr/>
      </w:pPr>
      <w:r>
        <w:rPr>
          <w:rFonts w:ascii="Times New Roman;serif" w:hAnsi="Times New Roman;serif"/>
          <w:b w:val="false"/>
          <w:color w:val="000000"/>
          <w:sz w:val="24"/>
        </w:rPr>
        <w:t>Failing payment when due of any amount so guaranteed or any performance so guaranteed for whatever reason, the Subsidiary Guarantors</w:t>
      </w:r>
      <w:r>
        <w:rPr>
          <w:color w:val="000000"/>
        </w:rPr>
        <w:t xml:space="preserve"> </w:t>
      </w:r>
      <w:r>
        <w:rPr>
          <w:rFonts w:ascii="Times New Roman;serif" w:hAnsi="Times New Roman;serif"/>
          <w:b w:val="false"/>
          <w:color w:val="000000"/>
          <w:sz w:val="24"/>
        </w:rPr>
        <w:t>will be jointly and severally obligated to pay the same immediately. Each Subsidiary Guarantor agrees that this is a guarantee of payment and not a</w:t>
      </w:r>
      <w:r>
        <w:rPr>
          <w:color w:val="000000"/>
        </w:rPr>
        <w:t xml:space="preserve"> </w:t>
      </w:r>
      <w:r>
        <w:rPr>
          <w:rFonts w:ascii="Times New Roman;serif" w:hAnsi="Times New Roman;serif"/>
          <w:b w:val="false"/>
          <w:color w:val="000000"/>
          <w:sz w:val="24"/>
        </w:rPr>
        <w:t>guarantee</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collection.</w:t>
      </w:r>
      <w:r>
        <w:rPr>
          <w:color w:val="000000"/>
        </w:rPr>
        <w:t xml:space="preserve"> </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rPr>
        <w:t>The Subsidiary Guarantors hereby agree that their obligations hereunder are unconditional, irrespective of the validity, regularity or</w:t>
      </w:r>
      <w:r>
        <w:rPr>
          <w:color w:val="000000"/>
        </w:rPr>
        <w:t xml:space="preserve"> </w:t>
      </w:r>
      <w:r>
        <w:rPr>
          <w:rFonts w:ascii="Times New Roman;serif" w:hAnsi="Times New Roman;serif"/>
          <w:b w:val="false"/>
          <w:color w:val="000000"/>
          <w:sz w:val="24"/>
        </w:rPr>
        <w:t>enforceability</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Notes</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this Indenture,</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absence</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action</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enforce</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same,</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waiver</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consent</w:t>
      </w:r>
      <w:r>
        <w:rPr>
          <w:color w:val="000000"/>
        </w:rPr>
        <w:t xml:space="preserve"> </w:t>
      </w:r>
      <w:r>
        <w:rPr>
          <w:rFonts w:ascii="Times New Roman;serif" w:hAnsi="Times New Roman;serif"/>
          <w:b w:val="false"/>
          <w:color w:val="000000"/>
          <w:sz w:val="24"/>
        </w:rPr>
        <w:t>by</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Holder</w:t>
      </w:r>
      <w:r>
        <w:rPr>
          <w:color w:val="000000"/>
        </w:rPr>
        <w:t xml:space="preserve"> </w:t>
      </w:r>
      <w:r>
        <w:rPr>
          <w:rFonts w:ascii="Times New Roman;serif" w:hAnsi="Times New Roman;serif"/>
          <w:b w:val="false"/>
          <w:color w:val="000000"/>
          <w:sz w:val="24"/>
        </w:rPr>
        <w:t>with</w:t>
      </w:r>
      <w:r>
        <w:rPr>
          <w:color w:val="000000"/>
        </w:rPr>
        <w:t xml:space="preserve"> </w:t>
      </w:r>
      <w:r>
        <w:rPr>
          <w:rFonts w:ascii="Times New Roman;serif" w:hAnsi="Times New Roman;serif"/>
          <w:b w:val="false"/>
          <w:color w:val="000000"/>
          <w:sz w:val="24"/>
        </w:rPr>
        <w:t>respect to any provisions hereof or thereof, the recovery of any judgment against the Issuer, any action to enforce the same or any other circumstance</w:t>
      </w:r>
      <w:r>
        <w:rPr>
          <w:color w:val="000000"/>
        </w:rPr>
        <w:t xml:space="preserve"> </w:t>
      </w:r>
      <w:r>
        <w:rPr>
          <w:rFonts w:ascii="Times New Roman;serif" w:hAnsi="Times New Roman;serif"/>
          <w:b w:val="false"/>
          <w:color w:val="000000"/>
          <w:sz w:val="24"/>
        </w:rPr>
        <w:t>which might otherwise constitute a legal or equitable discharge or defense of a guarantor. Each Subsidiary Guarantor hereby waives diligence,</w:t>
      </w:r>
      <w:r>
        <w:rPr>
          <w:color w:val="000000"/>
        </w:rPr>
        <w:t xml:space="preserve"> </w:t>
      </w:r>
      <w:r>
        <w:rPr>
          <w:rFonts w:ascii="Times New Roman;serif" w:hAnsi="Times New Roman;serif"/>
          <w:b w:val="false"/>
          <w:color w:val="000000"/>
          <w:sz w:val="24"/>
        </w:rPr>
        <w:t>presentment, demand of payment, filing of claims with a court in the event of insolvency or bankruptcy of the Issuer, any right to require a proceeding</w:t>
      </w:r>
      <w:r>
        <w:rPr>
          <w:color w:val="000000"/>
        </w:rPr>
        <w:t xml:space="preserve"> </w:t>
      </w:r>
      <w:r>
        <w:rPr>
          <w:rFonts w:ascii="Times New Roman;serif" w:hAnsi="Times New Roman;serif"/>
          <w:b w:val="false"/>
          <w:color w:val="000000"/>
          <w:sz w:val="24"/>
        </w:rPr>
        <w:t>first against the Issuer, protest, notice and all demands whatsoever and covenant that this Subsidiary Guarantee will not be discharged except by</w:t>
      </w:r>
      <w:r>
        <w:rPr>
          <w:color w:val="000000"/>
        </w:rPr>
        <w:t xml:space="preserve"> </w:t>
      </w:r>
      <w:r>
        <w:rPr>
          <w:rFonts w:ascii="Times New Roman;serif" w:hAnsi="Times New Roman;serif"/>
          <w:b w:val="false"/>
          <w:color w:val="000000"/>
          <w:sz w:val="24"/>
        </w:rPr>
        <w:t>complete performance of the obligations contained in the Notes and this Indenture.</w:t>
      </w:r>
    </w:p>
    <w:p>
      <w:pPr>
        <w:pStyle w:val="TextBody"/>
        <w:bidi w:val="0"/>
        <w:spacing w:lineRule="auto" w:line="240" w:before="0" w:after="240"/>
        <w:ind w:left="0" w:right="0" w:firstLine="720"/>
        <w:jc w:val="both"/>
        <w:rPr/>
      </w:pPr>
      <w:r>
        <w:rPr>
          <w:rFonts w:ascii="Times New Roman;serif" w:hAnsi="Times New Roman;serif"/>
          <w:b w:val="false"/>
          <w:color w:val="000000"/>
          <w:sz w:val="24"/>
        </w:rPr>
        <w:t>(c)</w:t>
      </w:r>
      <w:r>
        <w:rPr>
          <w:rFonts w:ascii="Times New Roman;serif" w:hAnsi="Times New Roman;serif"/>
          <w:b w:val="false"/>
          <w:color w:val="000000"/>
          <w:sz w:val="24"/>
        </w:rPr>
        <w:t>If any Holder or the Trustee is required by any court or otherwise to return to the Issuer, the Subsidiary Guarantors or any custodian, trustee,</w:t>
      </w:r>
      <w:r>
        <w:rPr>
          <w:color w:val="000000"/>
        </w:rPr>
        <w:t xml:space="preserve"> </w:t>
      </w:r>
      <w:r>
        <w:rPr>
          <w:rFonts w:ascii="Times New Roman;serif" w:hAnsi="Times New Roman;serif"/>
          <w:b w:val="false"/>
          <w:color w:val="000000"/>
          <w:sz w:val="24"/>
        </w:rPr>
        <w:t>liquidator or other similar official acting in relation to either the Issuer or the Subsidiary Guarantors, any amount paid by either to the Trustee or such</w:t>
      </w:r>
      <w:r>
        <w:rPr>
          <w:color w:val="000000"/>
        </w:rPr>
        <w:t xml:space="preserve"> </w:t>
      </w:r>
      <w:r>
        <w:rPr>
          <w:rFonts w:ascii="Times New Roman;serif" w:hAnsi="Times New Roman;serif"/>
          <w:b w:val="false"/>
          <w:color w:val="000000"/>
          <w:sz w:val="24"/>
        </w:rPr>
        <w:t>Holder, this Subsidiary Guarantee, to the extent theretofore discharged, shall be reinstated in full force and effect.</w:t>
      </w:r>
    </w:p>
    <w:p>
      <w:pPr>
        <w:pStyle w:val="TextBody"/>
        <w:bidi w:val="0"/>
        <w:spacing w:lineRule="auto" w:line="240" w:before="0" w:after="240"/>
        <w:ind w:left="0" w:right="0" w:firstLine="720"/>
        <w:jc w:val="both"/>
        <w:rPr/>
      </w:pPr>
      <w:r>
        <w:rPr>
          <w:rFonts w:ascii="Times New Roman;serif" w:hAnsi="Times New Roman;serif"/>
          <w:b w:val="false"/>
          <w:color w:val="000000"/>
          <w:sz w:val="24"/>
        </w:rPr>
        <w:t>(d)</w:t>
      </w:r>
      <w:r>
        <w:rPr>
          <w:rFonts w:ascii="Times New Roman;serif" w:hAnsi="Times New Roman;serif"/>
          <w:b w:val="false"/>
          <w:color w:val="000000"/>
          <w:sz w:val="24"/>
        </w:rPr>
        <w:t>Each Subsidiary Guarantor agrees that it will not be entitled to any right of subrogation in relation to the Holders in respect of any obligations</w:t>
      </w:r>
      <w:r>
        <w:rPr>
          <w:color w:val="000000"/>
        </w:rPr>
        <w:t xml:space="preserve"> </w:t>
      </w:r>
      <w:r>
        <w:rPr>
          <w:rFonts w:ascii="Times New Roman;serif" w:hAnsi="Times New Roman;serif"/>
          <w:b w:val="false"/>
          <w:color w:val="000000"/>
          <w:sz w:val="24"/>
        </w:rPr>
        <w:t>guaranteed hereby until payment in full of all obligations guaranteed hereby. Each Subsidiary Guarantor further agrees that, as between the Subsidiary</w:t>
      </w:r>
      <w:r>
        <w:rPr>
          <w:color w:val="000000"/>
        </w:rPr>
        <w:t xml:space="preserve"> </w:t>
      </w:r>
      <w:r>
        <w:rPr>
          <w:rFonts w:ascii="Times New Roman;serif" w:hAnsi="Times New Roman;serif"/>
          <w:b w:val="false"/>
          <w:color w:val="000000"/>
          <w:sz w:val="24"/>
        </w:rPr>
        <w:t>Guarantors, on the one hand, and the Holders and the Trustee, on the other hand, (1) the maturity of the obligations guaranteed hereby may be</w:t>
      </w:r>
      <w:r>
        <w:rPr>
          <w:color w:val="000000"/>
        </w:rPr>
        <w:t xml:space="preserve"> </w:t>
      </w:r>
      <w:r>
        <w:rPr>
          <w:rFonts w:ascii="Times New Roman;serif" w:hAnsi="Times New Roman;serif"/>
          <w:b w:val="false"/>
          <w:color w:val="000000"/>
          <w:sz w:val="24"/>
        </w:rPr>
        <w:t xml:space="preserve">accelerated as provided in </w:t>
      </w:r>
      <w:r>
        <w:rPr>
          <w:rFonts w:ascii="Times New Roman;serif" w:hAnsi="Times New Roman;serif"/>
          <w:b w:val="false"/>
          <w:color w:val="000000"/>
          <w:sz w:val="24"/>
          <w:u w:val="single"/>
        </w:rPr>
        <w:t>Article 6</w:t>
      </w:r>
      <w:r>
        <w:rPr>
          <w:color w:val="000000"/>
        </w:rPr>
        <w:t xml:space="preserve"> </w:t>
      </w:r>
      <w:r>
        <w:rPr>
          <w:rFonts w:ascii="Times New Roman;serif" w:hAnsi="Times New Roman;serif"/>
          <w:b w:val="false"/>
          <w:color w:val="000000"/>
          <w:sz w:val="24"/>
        </w:rPr>
        <w:t xml:space="preserve">hereof for the purposes of this Subsidiary Guarantee, notwithstanding any </w:t>
      </w:r>
    </w:p>
    <w:p>
      <w:pPr>
        <w:pStyle w:val="TextBody"/>
        <w:bidi w:val="0"/>
        <w:spacing w:before="0" w:after="0"/>
        <w:jc w:val="left"/>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735965"/>
                <wp:effectExtent l="0" t="0" r="0" b="0"/>
                <wp:wrapNone/>
                <wp:docPr id="133" name="Frame133"/>
                <a:graphic xmlns:a="http://schemas.openxmlformats.org/drawingml/2006/main">
                  <a:graphicData uri="http://schemas.microsoft.com/office/word/2010/wordprocessingShape">
                    <wps:wsp>
                      <wps:cNvSpPr txBox="1"/>
                      <wps:spPr>
                        <a:xfrm>
                          <a:off x="0" y="0"/>
                          <a:ext cx="6480175" cy="7359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85</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85</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rPr>
        <w:t>stay, injunction or other prohibition</w:t>
      </w:r>
      <w:r>
        <w:rPr>
          <w:color w:val="000000"/>
        </w:rPr>
        <w:t xml:space="preserve"> </w:t>
      </w:r>
      <w:r>
        <w:rPr>
          <w:rFonts w:ascii="Times New Roman;serif" w:hAnsi="Times New Roman;serif"/>
          <w:b w:val="false"/>
          <w:color w:val="000000"/>
          <w:sz w:val="24"/>
        </w:rPr>
        <w:t>preventing</w:t>
      </w:r>
      <w:r>
        <w:rPr>
          <w:color w:val="000000"/>
        </w:rPr>
        <w:t xml:space="preserve"> </w:t>
      </w:r>
      <w:r>
        <w:rPr>
          <w:rFonts w:ascii="Times New Roman;serif" w:hAnsi="Times New Roman;serif"/>
          <w:b w:val="false"/>
          <w:color w:val="000000"/>
          <w:sz w:val="24"/>
        </w:rPr>
        <w:t>such</w:t>
      </w:r>
      <w:r>
        <w:rPr>
          <w:color w:val="000000"/>
        </w:rPr>
        <w:t xml:space="preserve"> </w:t>
      </w:r>
      <w:r>
        <w:rPr>
          <w:rFonts w:ascii="Times New Roman;serif" w:hAnsi="Times New Roman;serif"/>
          <w:b w:val="false"/>
          <w:color w:val="000000"/>
          <w:sz w:val="24"/>
        </w:rPr>
        <w:t>acceleration</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respect</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obligations</w:t>
      </w:r>
      <w:r>
        <w:rPr>
          <w:color w:val="000000"/>
        </w:rPr>
        <w:t xml:space="preserve"> </w:t>
      </w:r>
      <w:r>
        <w:rPr>
          <w:rFonts w:ascii="Times New Roman;serif" w:hAnsi="Times New Roman;serif"/>
          <w:b w:val="false"/>
          <w:color w:val="000000"/>
          <w:sz w:val="24"/>
        </w:rPr>
        <w:t>guaranteed</w:t>
      </w:r>
      <w:r>
        <w:rPr>
          <w:color w:val="000000"/>
        </w:rPr>
        <w:t xml:space="preserve"> </w:t>
      </w:r>
      <w:r>
        <w:rPr>
          <w:rFonts w:ascii="Times New Roman;serif" w:hAnsi="Times New Roman;serif"/>
          <w:b w:val="false"/>
          <w:color w:val="000000"/>
          <w:sz w:val="24"/>
        </w:rPr>
        <w:t>hereby,</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(2)</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event</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declaration</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acceleration</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such</w:t>
      </w:r>
      <w:r>
        <w:rPr>
          <w:color w:val="000000"/>
        </w:rPr>
        <w:t xml:space="preserve"> </w:t>
      </w:r>
      <w:r>
        <w:rPr>
          <w:rFonts w:ascii="Times New Roman;serif" w:hAnsi="Times New Roman;serif"/>
          <w:b w:val="false"/>
          <w:color w:val="000000"/>
          <w:sz w:val="24"/>
        </w:rPr>
        <w:t>obligations</w:t>
      </w:r>
      <w:r>
        <w:rPr>
          <w:color w:val="000000"/>
        </w:rPr>
        <w:t xml:space="preserve"> </w:t>
      </w:r>
      <w:r>
        <w:rPr>
          <w:rFonts w:ascii="Times New Roman;serif" w:hAnsi="Times New Roman;serif"/>
          <w:b w:val="false"/>
          <w:color w:val="000000"/>
          <w:sz w:val="24"/>
        </w:rPr>
        <w:t xml:space="preserve">as provided in </w:t>
      </w:r>
      <w:r>
        <w:rPr>
          <w:rFonts w:ascii="Times New Roman;serif" w:hAnsi="Times New Roman;serif"/>
          <w:b w:val="false"/>
          <w:color w:val="000000"/>
          <w:sz w:val="24"/>
          <w:u w:val="single"/>
        </w:rPr>
        <w:t>Article 6</w:t>
      </w:r>
      <w:r>
        <w:rPr>
          <w:color w:val="000000"/>
        </w:rPr>
        <w:t xml:space="preserve"> </w:t>
      </w:r>
      <w:r>
        <w:rPr>
          <w:rFonts w:ascii="Times New Roman;serif" w:hAnsi="Times New Roman;serif"/>
          <w:b w:val="false"/>
          <w:color w:val="000000"/>
          <w:sz w:val="24"/>
        </w:rPr>
        <w:t>hereof, such obligations (whether or not due and payable) will forthwith become due and payable by the Subsidiary Guarantors</w:t>
      </w:r>
      <w:r>
        <w:rPr>
          <w:color w:val="000000"/>
        </w:rPr>
        <w:t xml:space="preserve"> </w:t>
      </w:r>
      <w:r>
        <w:rPr>
          <w:rFonts w:ascii="Times New Roman;serif" w:hAnsi="Times New Roman;serif"/>
          <w:b w:val="false"/>
          <w:color w:val="000000"/>
          <w:sz w:val="24"/>
        </w:rPr>
        <w:t>for the purpose of this Subsidiary Guarantee. The Subsidiary Guarantors will have the right to seek contribution from any non-paying Subsidiary</w:t>
      </w:r>
      <w:r>
        <w:rPr>
          <w:color w:val="000000"/>
        </w:rPr>
        <w:t xml:space="preserve"> </w:t>
      </w:r>
      <w:r>
        <w:rPr>
          <w:rFonts w:ascii="Times New Roman;serif" w:hAnsi="Times New Roman;serif"/>
          <w:b w:val="false"/>
          <w:color w:val="000000"/>
          <w:sz w:val="24"/>
        </w:rPr>
        <w:t>Guarantor so long as the exercise of such right does not impair the rights of the Holders under the Subsidiary Guarantee.</w:t>
      </w:r>
    </w:p>
    <w:p>
      <w:pPr>
        <w:pStyle w:val="TextBody"/>
        <w:bidi w:val="0"/>
        <w:spacing w:lineRule="auto" w:line="240" w:before="0" w:after="240"/>
        <w:jc w:val="left"/>
        <w:rPr/>
      </w:pPr>
      <w:r>
        <w:rPr>
          <w:rFonts w:ascii="Times New Roman;serif" w:hAnsi="Times New Roman;serif"/>
          <w:b w:val="false"/>
          <w:color w:val="000000"/>
          <w:sz w:val="24"/>
        </w:rPr>
        <w:t>Section 11.02</w:t>
      </w:r>
      <w:r>
        <w:rPr>
          <w:rFonts w:ascii="Times New Roman;serif" w:hAnsi="Times New Roman;serif"/>
          <w:b w:val="false"/>
          <w:color w:val="000000"/>
          <w:sz w:val="24"/>
          <w:u w:val="single"/>
        </w:rPr>
        <w:t>Limitation on</w:t>
      </w:r>
      <w:r>
        <w:rPr>
          <w:color w:val="000000"/>
          <w:u w:val="single"/>
        </w:rPr>
        <w:t xml:space="preserve"> </w:t>
      </w:r>
      <w:r>
        <w:rPr>
          <w:rFonts w:ascii="Times New Roman;serif" w:hAnsi="Times New Roman;serif"/>
          <w:b w:val="false"/>
          <w:color w:val="000000"/>
          <w:sz w:val="24"/>
          <w:u w:val="single"/>
        </w:rPr>
        <w:t>Subsidiary Guarantor</w:t>
      </w:r>
      <w:r>
        <w:rPr>
          <w:color w:val="000000"/>
          <w:u w:val="single"/>
        </w:rPr>
        <w:t xml:space="preserve"> </w:t>
      </w:r>
      <w:r>
        <w:rPr>
          <w:rFonts w:ascii="Times New Roman;serif" w:hAnsi="Times New Roman;serif"/>
          <w:b w:val="false"/>
          <w:color w:val="000000"/>
          <w:sz w:val="24"/>
          <w:u w:val="single"/>
        </w:rPr>
        <w:t>Liability</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rFonts w:ascii="Times New Roman;serif" w:hAnsi="Times New Roman;serif"/>
          <w:b w:val="false"/>
          <w:color w:val="000000"/>
          <w:sz w:val="24"/>
        </w:rPr>
        <w:t>Each Subsidiary Guarantor, and by its acceptance of Notes, each Holder, hereby confirms that it is the intention of all such parties that the</w:t>
      </w:r>
      <w:r>
        <w:rPr>
          <w:color w:val="000000"/>
        </w:rPr>
        <w:t xml:space="preserve"> </w:t>
      </w:r>
      <w:r>
        <w:rPr>
          <w:rFonts w:ascii="Times New Roman;serif" w:hAnsi="Times New Roman;serif"/>
          <w:b w:val="false"/>
          <w:color w:val="000000"/>
          <w:sz w:val="24"/>
        </w:rPr>
        <w:t>Subsidiary Guarantee of such Subsidiary Guarantor not constitute a fraudulent transfer or conveyance for purposes of Bankruptcy Law, the Uniform</w:t>
      </w:r>
      <w:r>
        <w:rPr>
          <w:color w:val="000000"/>
        </w:rPr>
        <w:t xml:space="preserve"> </w:t>
      </w:r>
      <w:r>
        <w:rPr>
          <w:rFonts w:ascii="Times New Roman;serif" w:hAnsi="Times New Roman;serif"/>
          <w:b w:val="false"/>
          <w:color w:val="000000"/>
          <w:sz w:val="24"/>
        </w:rPr>
        <w:t>Fraudulent Conveyance Act, the Uniform Fraudulent Transfer Act or any similar federal or state law to the extent applicable to any Subsidiary Guarantee.</w:t>
      </w:r>
      <w:r>
        <w:rPr>
          <w:color w:val="000000"/>
        </w:rPr>
        <w:t xml:space="preserve"> </w:t>
      </w:r>
      <w:r>
        <w:rPr>
          <w:rFonts w:ascii="Times New Roman;serif" w:hAnsi="Times New Roman;serif"/>
          <w:b w:val="false"/>
          <w:color w:val="000000"/>
          <w:sz w:val="24"/>
        </w:rPr>
        <w:t>To effectuate the foregoing intention, the Trustee, the Holders and the Subsidiary Guarantors hereby irrevocably agree that the obligations of such</w:t>
      </w:r>
      <w:r>
        <w:rPr>
          <w:color w:val="000000"/>
        </w:rPr>
        <w:t xml:space="preserve"> </w:t>
      </w:r>
      <w:r>
        <w:rPr>
          <w:rFonts w:ascii="Times New Roman;serif" w:hAnsi="Times New Roman;serif"/>
          <w:b w:val="false"/>
          <w:color w:val="000000"/>
          <w:sz w:val="24"/>
        </w:rPr>
        <w:t>Subsidiary</w:t>
      </w:r>
      <w:r>
        <w:rPr>
          <w:color w:val="000000"/>
        </w:rPr>
        <w:t xml:space="preserve"> </w:t>
      </w:r>
      <w:r>
        <w:rPr>
          <w:rFonts w:ascii="Times New Roman;serif" w:hAnsi="Times New Roman;serif"/>
          <w:b w:val="false"/>
          <w:color w:val="000000"/>
          <w:sz w:val="24"/>
        </w:rPr>
        <w:t>Guarantor</w:t>
      </w:r>
      <w:r>
        <w:rPr>
          <w:color w:val="000000"/>
        </w:rPr>
        <w:t xml:space="preserve"> </w:t>
      </w:r>
      <w:r>
        <w:rPr>
          <w:rFonts w:ascii="Times New Roman;serif" w:hAnsi="Times New Roman;serif"/>
          <w:b w:val="false"/>
          <w:color w:val="000000"/>
          <w:sz w:val="24"/>
        </w:rPr>
        <w:t>will</w:t>
      </w:r>
      <w:r>
        <w:rPr>
          <w:color w:val="000000"/>
        </w:rPr>
        <w:t xml:space="preserve"> </w:t>
      </w:r>
      <w:r>
        <w:rPr>
          <w:rFonts w:ascii="Times New Roman;serif" w:hAnsi="Times New Roman;serif"/>
          <w:b w:val="false"/>
          <w:color w:val="000000"/>
          <w:sz w:val="24"/>
        </w:rPr>
        <w:t>be</w:t>
      </w:r>
      <w:r>
        <w:rPr>
          <w:color w:val="000000"/>
        </w:rPr>
        <w:t xml:space="preserve"> </w:t>
      </w:r>
      <w:r>
        <w:rPr>
          <w:rFonts w:ascii="Times New Roman;serif" w:hAnsi="Times New Roman;serif"/>
          <w:b w:val="false"/>
          <w:color w:val="000000"/>
          <w:sz w:val="24"/>
        </w:rPr>
        <w:t>limited</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maximum</w:t>
      </w:r>
      <w:r>
        <w:rPr>
          <w:color w:val="000000"/>
        </w:rPr>
        <w:t xml:space="preserve"> </w:t>
      </w:r>
      <w:r>
        <w:rPr>
          <w:rFonts w:ascii="Times New Roman;serif" w:hAnsi="Times New Roman;serif"/>
          <w:b w:val="false"/>
          <w:color w:val="000000"/>
          <w:sz w:val="24"/>
        </w:rPr>
        <w:t>amount</w:t>
      </w:r>
      <w:r>
        <w:rPr>
          <w:color w:val="000000"/>
        </w:rPr>
        <w:t xml:space="preserve"> </w:t>
      </w:r>
      <w:r>
        <w:rPr>
          <w:rFonts w:ascii="Times New Roman;serif" w:hAnsi="Times New Roman;serif"/>
          <w:b w:val="false"/>
          <w:color w:val="000000"/>
          <w:sz w:val="24"/>
        </w:rPr>
        <w:t>that</w:t>
      </w:r>
      <w:r>
        <w:rPr>
          <w:color w:val="000000"/>
        </w:rPr>
        <w:t xml:space="preserve"> </w:t>
      </w:r>
      <w:r>
        <w:rPr>
          <w:rFonts w:ascii="Times New Roman;serif" w:hAnsi="Times New Roman;serif"/>
          <w:b w:val="false"/>
          <w:color w:val="000000"/>
          <w:sz w:val="24"/>
        </w:rPr>
        <w:t>will,</w:t>
      </w:r>
      <w:r>
        <w:rPr>
          <w:color w:val="000000"/>
        </w:rPr>
        <w:t xml:space="preserve"> </w:t>
      </w:r>
      <w:r>
        <w:rPr>
          <w:rFonts w:ascii="Times New Roman;serif" w:hAnsi="Times New Roman;serif"/>
          <w:b w:val="false"/>
          <w:color w:val="000000"/>
          <w:sz w:val="24"/>
        </w:rPr>
        <w:t>after</w:t>
      </w:r>
      <w:r>
        <w:rPr>
          <w:color w:val="000000"/>
        </w:rPr>
        <w:t xml:space="preserve"> </w:t>
      </w:r>
      <w:r>
        <w:rPr>
          <w:rFonts w:ascii="Times New Roman;serif" w:hAnsi="Times New Roman;serif"/>
          <w:b w:val="false"/>
          <w:color w:val="000000"/>
          <w:sz w:val="24"/>
        </w:rPr>
        <w:t>giving</w:t>
      </w:r>
      <w:r>
        <w:rPr>
          <w:color w:val="000000"/>
        </w:rPr>
        <w:t xml:space="preserve"> </w:t>
      </w:r>
      <w:r>
        <w:rPr>
          <w:rFonts w:ascii="Times New Roman;serif" w:hAnsi="Times New Roman;serif"/>
          <w:b w:val="false"/>
          <w:color w:val="000000"/>
          <w:sz w:val="24"/>
        </w:rPr>
        <w:t>effect</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such</w:t>
      </w:r>
      <w:r>
        <w:rPr>
          <w:color w:val="000000"/>
        </w:rPr>
        <w:t xml:space="preserve"> </w:t>
      </w:r>
      <w:r>
        <w:rPr>
          <w:rFonts w:ascii="Times New Roman;serif" w:hAnsi="Times New Roman;serif"/>
          <w:b w:val="false"/>
          <w:color w:val="000000"/>
          <w:sz w:val="24"/>
        </w:rPr>
        <w:t>maximum</w:t>
      </w:r>
      <w:r>
        <w:rPr>
          <w:color w:val="000000"/>
        </w:rPr>
        <w:t xml:space="preserve"> </w:t>
      </w:r>
      <w:r>
        <w:rPr>
          <w:rFonts w:ascii="Times New Roman;serif" w:hAnsi="Times New Roman;serif"/>
          <w:b w:val="false"/>
          <w:color w:val="000000"/>
          <w:sz w:val="24"/>
        </w:rPr>
        <w:t>amount</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all</w:t>
      </w:r>
      <w:r>
        <w:rPr>
          <w:color w:val="000000"/>
        </w:rPr>
        <w:t xml:space="preserve"> </w:t>
      </w:r>
      <w:r>
        <w:rPr>
          <w:rFonts w:ascii="Times New Roman;serif" w:hAnsi="Times New Roman;serif"/>
          <w:b w:val="false"/>
          <w:color w:val="000000"/>
          <w:sz w:val="24"/>
        </w:rPr>
        <w:t>other</w:t>
      </w:r>
      <w:r>
        <w:rPr>
          <w:color w:val="000000"/>
        </w:rPr>
        <w:t xml:space="preserve"> </w:t>
      </w:r>
      <w:r>
        <w:rPr>
          <w:rFonts w:ascii="Times New Roman;serif" w:hAnsi="Times New Roman;serif"/>
          <w:b w:val="false"/>
          <w:color w:val="000000"/>
          <w:sz w:val="24"/>
        </w:rPr>
        <w:t>contingent</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fixed</w:t>
      </w:r>
      <w:r>
        <w:rPr>
          <w:color w:val="000000"/>
        </w:rPr>
        <w:t xml:space="preserve"> </w:t>
      </w:r>
      <w:r>
        <w:rPr>
          <w:rFonts w:ascii="Times New Roman;serif" w:hAnsi="Times New Roman;serif"/>
          <w:b w:val="false"/>
          <w:color w:val="000000"/>
          <w:sz w:val="24"/>
        </w:rPr>
        <w:t>liabilities of such Subsidiary Guarantor that are relevant under such laws, and after giving effect to any collections from, rights to receive contribution</w:t>
      </w:r>
      <w:r>
        <w:rPr>
          <w:color w:val="000000"/>
        </w:rPr>
        <w:t xml:space="preserve"> </w:t>
      </w:r>
      <w:r>
        <w:rPr>
          <w:rFonts w:ascii="Times New Roman;serif" w:hAnsi="Times New Roman;serif"/>
          <w:b w:val="false"/>
          <w:color w:val="000000"/>
          <w:sz w:val="24"/>
        </w:rPr>
        <w:t>from or payments made by or on behalf of any other Subsidiary Guarantor in respect of the obligations of such other Subsidiary Guarantor under this</w:t>
      </w:r>
      <w:r>
        <w:rPr>
          <w:color w:val="000000"/>
        </w:rPr>
        <w:t xml:space="preserve"> </w:t>
      </w:r>
      <w:r>
        <w:rPr>
          <w:rFonts w:ascii="Times New Roman;serif" w:hAnsi="Times New Roman;serif"/>
          <w:b w:val="false"/>
          <w:color w:val="000000"/>
          <w:sz w:val="24"/>
          <w:u w:val="single"/>
        </w:rPr>
        <w:t>Article 11</w:t>
      </w:r>
      <w:r>
        <w:rPr>
          <w:rFonts w:ascii="Times New Roman;serif" w:hAnsi="Times New Roman;serif"/>
          <w:b w:val="false"/>
          <w:color w:val="000000"/>
          <w:sz w:val="24"/>
        </w:rPr>
        <w:t>, result in the obligations of such Subsidiary Guarantor under its Subsidiary Guarantee not constituting a fraudulent transfer or conveyance.</w:t>
      </w:r>
    </w:p>
    <w:p>
      <w:pPr>
        <w:pStyle w:val="TextBody"/>
        <w:bidi w:val="0"/>
        <w:spacing w:lineRule="auto" w:line="240" w:before="0" w:after="240"/>
        <w:jc w:val="left"/>
        <w:rPr/>
      </w:pPr>
      <w:r>
        <w:rPr>
          <w:rFonts w:ascii="Times New Roman;serif" w:hAnsi="Times New Roman;serif"/>
          <w:b w:val="false"/>
          <w:color w:val="000000"/>
          <w:sz w:val="24"/>
        </w:rPr>
        <w:t>Section 11.03</w:t>
      </w:r>
      <w:r>
        <w:rPr>
          <w:rFonts w:ascii="Times New Roman;serif" w:hAnsi="Times New Roman;serif"/>
          <w:b w:val="false"/>
          <w:color w:val="000000"/>
          <w:sz w:val="24"/>
          <w:u w:val="single"/>
        </w:rPr>
        <w:t>Releases</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Subsidiary</w:t>
      </w:r>
      <w:r>
        <w:rPr>
          <w:color w:val="000000"/>
        </w:rPr>
        <w:t xml:space="preserve"> </w:t>
      </w:r>
      <w:r>
        <w:rPr>
          <w:rFonts w:ascii="Times New Roman;serif" w:hAnsi="Times New Roman;serif"/>
          <w:b w:val="false"/>
          <w:color w:val="000000"/>
          <w:sz w:val="24"/>
        </w:rPr>
        <w:t>Guarantee</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Subsidiary</w:t>
      </w:r>
      <w:r>
        <w:rPr>
          <w:color w:val="000000"/>
        </w:rPr>
        <w:t xml:space="preserve"> </w:t>
      </w:r>
      <w:r>
        <w:rPr>
          <w:rFonts w:ascii="Times New Roman;serif" w:hAnsi="Times New Roman;serif"/>
          <w:b w:val="false"/>
          <w:color w:val="000000"/>
          <w:sz w:val="24"/>
        </w:rPr>
        <w:t>Guarantor</w:t>
      </w:r>
      <w:r>
        <w:rPr>
          <w:color w:val="000000"/>
        </w:rPr>
        <w:t xml:space="preserve"> </w:t>
      </w:r>
      <w:r>
        <w:rPr>
          <w:rFonts w:ascii="Times New Roman;serif" w:hAnsi="Times New Roman;serif"/>
          <w:b w:val="false"/>
          <w:color w:val="000000"/>
          <w:sz w:val="24"/>
        </w:rPr>
        <w:t>will</w:t>
      </w:r>
      <w:r>
        <w:rPr>
          <w:color w:val="000000"/>
        </w:rPr>
        <w:t xml:space="preserve"> </w:t>
      </w:r>
      <w:r>
        <w:rPr>
          <w:rFonts w:ascii="Times New Roman;serif" w:hAnsi="Times New Roman;serif"/>
          <w:b w:val="false"/>
          <w:color w:val="000000"/>
          <w:sz w:val="24"/>
        </w:rPr>
        <w:t>be</w:t>
      </w:r>
      <w:r>
        <w:rPr>
          <w:color w:val="000000"/>
        </w:rPr>
        <w:t xml:space="preserve"> </w:t>
      </w:r>
      <w:r>
        <w:rPr>
          <w:rFonts w:ascii="Times New Roman;serif" w:hAnsi="Times New Roman;serif"/>
          <w:b w:val="false"/>
          <w:color w:val="000000"/>
          <w:sz w:val="24"/>
        </w:rPr>
        <w:t>released</w:t>
      </w:r>
      <w:r>
        <w:rPr>
          <w:color w:val="000000"/>
        </w:rPr>
        <w:t xml:space="preserve"> </w:t>
      </w:r>
      <w:r>
        <w:rPr>
          <w:rFonts w:ascii="Times New Roman;serif" w:hAnsi="Times New Roman;serif"/>
          <w:b w:val="false"/>
          <w:color w:val="000000"/>
          <w:sz w:val="24"/>
        </w:rPr>
        <w:t>automatically:</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(1)upon the release, discharge or termination of such Subsidiary Guarantor’s guarantee of all obligations of the Issuer under the Credit Agreement;</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(2)if such Subsidiary Guarantor has become a guarantor of any Additional Indebtedness, upon the release, discharge or termination of such Subsidiary Guarantor’s guarantee of all obligations of the Issuer under such Additional Indebtedness; </w:t>
      </w:r>
    </w:p>
    <w:p>
      <w:pPr>
        <w:pStyle w:val="TextBody"/>
        <w:bidi w:val="0"/>
        <w:spacing w:lineRule="auto" w:line="240" w:before="0" w:after="240"/>
        <w:ind w:left="0" w:right="0" w:firstLine="720"/>
        <w:jc w:val="both"/>
        <w:rPr/>
      </w:pPr>
      <w:r>
        <w:rPr>
          <w:rFonts w:ascii="Times New Roman;serif" w:hAnsi="Times New Roman;serif"/>
          <w:b w:val="false"/>
          <w:color w:val="000000"/>
          <w:sz w:val="24"/>
        </w:rPr>
        <w:t xml:space="preserve">(3)in connection with any sale or other disposition of all or substantially all of the properties and assets of such Subsidiary Guarantor (including by way of merger, consolidation or amalgamation) to a Person that is not (either before or after giving effect to such transaction) the Issuer or a Subsidiary Guarantor if the sale or disposition does not violate the provisions set forth in </w:t>
      </w:r>
      <w:r>
        <w:rPr>
          <w:rFonts w:ascii="Times New Roman;serif" w:hAnsi="Times New Roman;serif"/>
          <w:b w:val="false"/>
          <w:color w:val="000000"/>
          <w:sz w:val="24"/>
          <w:u w:val="single"/>
        </w:rPr>
        <w:t>Article 5</w:t>
      </w:r>
      <w:r>
        <w:rPr>
          <w:rFonts w:ascii="Times New Roman;serif" w:hAnsi="Times New Roman;serif"/>
          <w:b w:val="false"/>
          <w:color w:val="000000"/>
          <w:sz w:val="24"/>
        </w:rPr>
        <w:t>;</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(4)upon the liquidation or dissolution of such Subsidiary Guarantor;</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(5)upon the full and final payment of the Notes and performance of all Obligations of the Issuer and the Subsidiary Guarantors under the Note Documents;</w:t>
      </w:r>
    </w:p>
    <w:p>
      <w:pPr>
        <w:pStyle w:val="TextBody"/>
        <w:bidi w:val="0"/>
        <w:spacing w:lineRule="auto" w:line="240" w:before="0" w:after="240"/>
        <w:ind w:left="0" w:right="0" w:firstLine="720"/>
        <w:jc w:val="both"/>
        <w:rPr/>
      </w:pPr>
      <w:r>
        <w:rPr>
          <w:rFonts w:ascii="Times New Roman;serif" w:hAnsi="Times New Roman;serif"/>
          <w:b w:val="false"/>
          <w:color w:val="000000"/>
          <w:sz w:val="24"/>
        </w:rPr>
        <w:t>(6)upon</w:t>
      </w:r>
      <w:r>
        <w:rPr>
          <w:color w:val="000000"/>
        </w:rPr>
        <w:t xml:space="preserve"> </w:t>
      </w:r>
      <w:r>
        <w:rPr>
          <w:rFonts w:ascii="Times New Roman;serif" w:hAnsi="Times New Roman;serif"/>
          <w:b w:val="false"/>
          <w:color w:val="000000"/>
          <w:sz w:val="24"/>
        </w:rPr>
        <w:t>defeasance</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satisfaction</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discharge</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Notes</w:t>
      </w:r>
      <w:r>
        <w:rPr>
          <w:color w:val="000000"/>
        </w:rPr>
        <w:t xml:space="preserve"> </w:t>
      </w:r>
      <w:r>
        <w:rPr>
          <w:rFonts w:ascii="Times New Roman;serif" w:hAnsi="Times New Roman;serif"/>
          <w:b w:val="false"/>
          <w:color w:val="000000"/>
          <w:sz w:val="24"/>
        </w:rPr>
        <w:t>as</w:t>
      </w:r>
      <w:r>
        <w:rPr>
          <w:color w:val="000000"/>
        </w:rPr>
        <w:t xml:space="preserve"> </w:t>
      </w:r>
      <w:r>
        <w:rPr>
          <w:rFonts w:ascii="Times New Roman;serif" w:hAnsi="Times New Roman;serif"/>
          <w:b w:val="false"/>
          <w:color w:val="000000"/>
          <w:sz w:val="24"/>
        </w:rPr>
        <w:t>provided</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u w:val="single"/>
        </w:rPr>
        <w:t>Article 8</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u w:val="single"/>
        </w:rPr>
        <w:t>Article 10</w:t>
      </w:r>
      <w:r>
        <w:rPr>
          <w:color w:val="000000"/>
        </w:rPr>
        <w:t xml:space="preserve"> </w:t>
      </w:r>
      <w:r>
        <w:rPr>
          <w:rFonts w:ascii="Times New Roman;serif" w:hAnsi="Times New Roman;serif"/>
          <w:b w:val="false"/>
          <w:color w:val="000000"/>
          <w:sz w:val="24"/>
        </w:rPr>
        <w:t>hereof; or</w:t>
      </w:r>
    </w:p>
    <w:p>
      <w:pPr>
        <w:pStyle w:val="TextBody"/>
        <w:bidi w:val="0"/>
        <w:spacing w:before="0" w:after="0"/>
        <w:jc w:val="left"/>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735965"/>
                <wp:effectExtent l="0" t="0" r="0" b="0"/>
                <wp:wrapNone/>
                <wp:docPr id="134" name="Frame134"/>
                <a:graphic xmlns:a="http://schemas.openxmlformats.org/drawingml/2006/main">
                  <a:graphicData uri="http://schemas.microsoft.com/office/word/2010/wordprocessingShape">
                    <wps:wsp>
                      <wps:cNvSpPr txBox="1"/>
                      <wps:spPr>
                        <a:xfrm>
                          <a:off x="0" y="0"/>
                          <a:ext cx="6480175" cy="7359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86</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86</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00000"/>
          <w:sz w:val="24"/>
        </w:rPr>
        <w:t xml:space="preserve">(7)as described in </w:t>
      </w:r>
      <w:r>
        <w:rPr>
          <w:rFonts w:ascii="Times New Roman;serif" w:hAnsi="Times New Roman;serif"/>
          <w:b w:val="false"/>
          <w:color w:val="000000"/>
          <w:sz w:val="24"/>
          <w:u w:val="single"/>
        </w:rPr>
        <w:t>Article 9</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rPr>
        <w:t>Upon delivery by the Issuer to the Trustee of an Officer’s Certificate certifying that (i) the action or event giving rise to a release has</w:t>
      </w:r>
      <w:r>
        <w:rPr>
          <w:color w:val="000000"/>
        </w:rPr>
        <w:t xml:space="preserve"> </w:t>
      </w:r>
      <w:r>
        <w:rPr>
          <w:rFonts w:ascii="Times New Roman;serif" w:hAnsi="Times New Roman;serif"/>
          <w:b w:val="false"/>
          <w:color w:val="000000"/>
          <w:sz w:val="24"/>
        </w:rPr>
        <w:t>occurred as specified above and (ii) the release is authorized or permitted by this Indenture, the Trustee shall execute any</w:t>
      </w:r>
      <w:r>
        <w:rPr>
          <w:color w:val="000000"/>
        </w:rPr>
        <w:t xml:space="preserve"> </w:t>
      </w:r>
      <w:r>
        <w:rPr>
          <w:rFonts w:ascii="Times New Roman;serif" w:hAnsi="Times New Roman;serif"/>
          <w:b w:val="false"/>
          <w:color w:val="000000"/>
          <w:sz w:val="24"/>
        </w:rPr>
        <w:t>documents reasonably requested by the Issuer or the Trustee in order to evidence the release of any Subsidiary Guarantor from its obligations under</w:t>
      </w:r>
      <w:r>
        <w:rPr>
          <w:color w:val="000000"/>
        </w:rPr>
        <w:t xml:space="preserve"> </w:t>
      </w:r>
      <w:r>
        <w:rPr>
          <w:rFonts w:ascii="Times New Roman;serif" w:hAnsi="Times New Roman;serif"/>
          <w:b w:val="false"/>
          <w:color w:val="000000"/>
          <w:sz w:val="24"/>
        </w:rPr>
        <w:t>its Subsidiary Guarantee.</w:t>
      </w:r>
    </w:p>
    <w:p>
      <w:pPr>
        <w:pStyle w:val="TextBody"/>
        <w:bidi w:val="0"/>
        <w:spacing w:lineRule="auto" w:line="240" w:before="0" w:after="240"/>
        <w:ind w:left="0" w:right="0" w:firstLine="720"/>
        <w:jc w:val="both"/>
        <w:rPr/>
      </w:pPr>
      <w:r>
        <w:rPr>
          <w:rFonts w:ascii="Times New Roman;serif" w:hAnsi="Times New Roman;serif"/>
          <w:b w:val="false"/>
          <w:color w:val="000000"/>
          <w:sz w:val="24"/>
        </w:rPr>
        <w:t>(c)</w:t>
      </w:r>
      <w:r>
        <w:rPr>
          <w:rFonts w:ascii="Times New Roman;serif" w:hAnsi="Times New Roman;serif"/>
          <w:b w:val="false"/>
          <w:color w:val="000000"/>
          <w:sz w:val="24"/>
        </w:rPr>
        <w:t xml:space="preserve">Any Subsidiary Guarantor not released from its obligations under its Subsidiary Guarantee as provided in this </w:t>
      </w:r>
      <w:r>
        <w:rPr>
          <w:rFonts w:ascii="Times New Roman;serif" w:hAnsi="Times New Roman;serif"/>
          <w:b w:val="false"/>
          <w:color w:val="000000"/>
          <w:sz w:val="24"/>
          <w:u w:val="single"/>
        </w:rPr>
        <w:t>Section 11.03</w:t>
      </w:r>
      <w:r>
        <w:rPr>
          <w:color w:val="000000"/>
        </w:rPr>
        <w:t xml:space="preserve"> </w:t>
      </w:r>
      <w:r>
        <w:rPr>
          <w:rFonts w:ascii="Times New Roman;serif" w:hAnsi="Times New Roman;serif"/>
          <w:b w:val="false"/>
          <w:color w:val="000000"/>
          <w:sz w:val="24"/>
        </w:rPr>
        <w:t xml:space="preserve">will remain liable for the full amount of principal of and interest and premium, if any, on the Notes and for the other obligations of any Subsidiary Guarantor under this Indenture as provided in this </w:t>
      </w:r>
      <w:r>
        <w:rPr>
          <w:rFonts w:ascii="Times New Roman;serif" w:hAnsi="Times New Roman;serif"/>
          <w:b w:val="false"/>
          <w:color w:val="000000"/>
          <w:sz w:val="24"/>
          <w:u w:val="single"/>
        </w:rPr>
        <w:t>Article 11</w:t>
      </w:r>
      <w:r>
        <w:rPr>
          <w:rFonts w:ascii="Times New Roman;serif" w:hAnsi="Times New Roman;serif"/>
          <w:b w:val="false"/>
          <w:color w:val="000000"/>
          <w:sz w:val="24"/>
        </w:rPr>
        <w:t>.</w:t>
      </w:r>
    </w:p>
    <w:p>
      <w:pPr>
        <w:pStyle w:val="TextBody"/>
        <w:bidi w:val="0"/>
        <w:spacing w:lineRule="auto" w:line="240" w:before="0" w:after="240"/>
        <w:jc w:val="left"/>
        <w:rPr/>
      </w:pPr>
      <w:r>
        <w:rPr>
          <w:rFonts w:ascii="Times New Roman;serif" w:hAnsi="Times New Roman;serif"/>
          <w:b w:val="false"/>
          <w:color w:val="000000"/>
          <w:sz w:val="24"/>
        </w:rPr>
        <w:t>Section 11.04</w:t>
      </w:r>
      <w:r>
        <w:rPr>
          <w:rFonts w:ascii="Times New Roman;serif" w:hAnsi="Times New Roman;serif"/>
          <w:b w:val="false"/>
          <w:color w:val="000000"/>
          <w:sz w:val="24"/>
          <w:u w:val="single"/>
        </w:rPr>
        <w:t>Notation Not Required</w:t>
      </w:r>
      <w:r>
        <w:rPr>
          <w:rFonts w:ascii="Times New Roman;serif" w:hAnsi="Times New Roman;serif"/>
          <w:b w:val="false"/>
          <w:color w:val="000000"/>
          <w:sz w:val="24"/>
        </w:rPr>
        <w: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Neither the Company nor any Subsidiary Guarantor shall be required to make a notation on the Notes to reflect any Subsidiary Guarantee or any release, termination or discharge thereof.</w:t>
      </w:r>
    </w:p>
    <w:p>
      <w:pPr>
        <w:pStyle w:val="TextBody"/>
        <w:bidi w:val="0"/>
        <w:spacing w:lineRule="auto" w:line="240" w:before="0" w:after="240"/>
        <w:jc w:val="center"/>
        <w:rPr/>
      </w:pPr>
      <w:r>
        <w:rPr>
          <w:rFonts w:ascii="Times New Roman;serif" w:hAnsi="Times New Roman;serif"/>
          <w:b w:val="false"/>
          <w:color w:val="000000"/>
          <w:sz w:val="24"/>
        </w:rPr>
        <w:t>Article 12</w:t>
      </w:r>
      <w:r>
        <w:rPr>
          <w:rFonts w:ascii="Times New Roman;serif" w:hAnsi="Times New Roman;serif"/>
          <w:b w:val="false"/>
          <w:color w:val="000000"/>
          <w:sz w:val="24"/>
        </w:rPr>
        <w:br/>
        <w:t>MISCELLANEOUS</w:t>
      </w:r>
    </w:p>
    <w:p>
      <w:pPr>
        <w:pStyle w:val="TextBody"/>
        <w:bidi w:val="0"/>
        <w:spacing w:lineRule="auto" w:line="240" w:before="0" w:after="240"/>
        <w:jc w:val="left"/>
        <w:rPr/>
      </w:pPr>
      <w:r>
        <w:rPr>
          <w:rFonts w:ascii="Times New Roman;serif" w:hAnsi="Times New Roman;serif"/>
          <w:b w:val="false"/>
          <w:color w:val="000000"/>
          <w:sz w:val="24"/>
        </w:rPr>
        <w:t>Section 12.01</w:t>
      </w:r>
      <w:r>
        <w:rPr>
          <w:rFonts w:ascii="Times New Roman;serif" w:hAnsi="Times New Roman;serif"/>
          <w:b w:val="false"/>
          <w:color w:val="000000"/>
          <w:sz w:val="24"/>
          <w:u w:val="single"/>
        </w:rPr>
        <w:t>Notices</w:t>
      </w:r>
      <w:r>
        <w:rPr>
          <w:rFonts w:ascii="Times New Roman;serif" w:hAnsi="Times New Roman;serif"/>
          <w:b w:val="false"/>
          <w:color w:val="000000"/>
          <w:sz w:val="24"/>
        </w:rPr>
        <w: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Any notice or communication by the Issuer or the Trustee to the other party hereto is duly given if in writing and delivered in Person or mailed by first class mail (registered or certified, return receipt requested), email or overnight air courier guaranteeing next-day delivery, to the others’ address:</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If to the Issuer:</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Talen Energy Supply, LLC</w:t>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2929 Allen Parkway, Suite 2200</w:t>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Houston, Texas 77019</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Attention: Treasurer</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Email: TalenTreasury@talenenergy.com</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With copies to:</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Talen Energy Supply, LLC</w:t>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2929 Allen Parkway, Suite 2200</w:t>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Houston, Texas 77019</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Attention: General Counsel</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Email: legalservices@talenenergy.com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White &amp; Case LLP</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1221 Avenue of the Americas</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New York, New York 10020</w:t>
      </w:r>
    </w:p>
    <w:p>
      <w:pPr>
        <w:pStyle w:val="TextBody"/>
        <w:bidi w:val="0"/>
        <w:spacing w:lineRule="auto" w:line="288"/>
        <w:jc w:val="left"/>
        <w:rPr>
          <w:rFonts w:ascii="Times New Roman;serif" w:hAnsi="Times New Roman;serif"/>
          <w:b w:val="false"/>
          <w:color w:val="000000"/>
          <w:sz w:val="24"/>
        </w:rPr>
      </w:pPr>
      <w:r>
        <w:rPr>
          <w:rFonts w:ascii="Times New Roman;serif" w:hAnsi="Times New Roman;serif"/>
          <w:b w:val="false"/>
          <w:color w:val="000000"/>
          <w:sz w:val="24"/>
        </w:rPr>
        <w:t>Attention: Andrew Weisberg</w:t>
      </w:r>
    </w:p>
    <w:p>
      <w:pPr>
        <w:pStyle w:val="TextBody"/>
        <w:bidi w:val="0"/>
        <w:spacing w:before="0" w:after="0"/>
        <w:jc w:val="left"/>
        <w:rPr/>
      </w:pPr>
      <w:r>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735965"/>
                <wp:effectExtent l="0" t="0" r="0" b="0"/>
                <wp:wrapNone/>
                <wp:docPr id="135" name="Frame135"/>
                <a:graphic xmlns:a="http://schemas.openxmlformats.org/drawingml/2006/main">
                  <a:graphicData uri="http://schemas.microsoft.com/office/word/2010/wordprocessingShape">
                    <wps:wsp>
                      <wps:cNvSpPr txBox="1"/>
                      <wps:spPr>
                        <a:xfrm>
                          <a:off x="0" y="0"/>
                          <a:ext cx="6480175" cy="7359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87</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87</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Email: andrew.weisberg@whitecase.com </w:t>
      </w:r>
    </w:p>
    <w:p>
      <w:pPr>
        <w:pStyle w:val="TextBody"/>
        <w:bidi w:val="0"/>
        <w:spacing w:before="0" w:after="0"/>
        <w:jc w:val="left"/>
        <w:rPr/>
      </w:pPr>
      <w:r>
        <w:rPr/>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If to the Trustee:</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Wilmington Savings Fund Society, FSB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Wilmington Savings Fund</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300 Bellevue Parkway, Suite 300</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Wilmington, Delaware 19809</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Attn: Anita Woolery</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E-Mail: awoolery@wsfsbank.com</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With copies to:</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4"/>
        </w:rPr>
        <w:t>Squire Patton Boggs (US) LLP</w:t>
        <w:br/>
        <w:t>1120 Avenue of the Americas, 13</w:t>
      </w:r>
      <w:r>
        <w:rPr>
          <w:rFonts w:ascii="Times New Roman;serif" w:hAnsi="Times New Roman;serif"/>
          <w:b w:val="false"/>
          <w:color w:val="000000"/>
          <w:sz w:val="16"/>
        </w:rPr>
        <w:t>th</w:t>
      </w:r>
      <w:r>
        <w:rPr>
          <w:color w:val="000000"/>
        </w:rPr>
        <w:t xml:space="preserve"> </w:t>
      </w:r>
      <w:r>
        <w:rPr>
          <w:rFonts w:ascii="Times New Roman;serif" w:hAnsi="Times New Roman;serif"/>
          <w:b w:val="false"/>
          <w:color w:val="000000"/>
          <w:sz w:val="24"/>
        </w:rPr>
        <w:t>Floor</w:t>
        <w:br/>
        <w:t>New York, NY 10036</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Attn: Heather Rees</w:t>
        <w:br/>
        <w:t>E-mail: heather.rees@squirepb.com</w:t>
      </w:r>
    </w:p>
    <w:p>
      <w:pPr>
        <w:pStyle w:val="TextBody"/>
        <w:bidi w:val="0"/>
        <w:spacing w:before="0" w:after="0"/>
        <w:jc w:val="left"/>
        <w:rPr/>
      </w:pPr>
      <w:r>
        <w:rPr/>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Issuer or the Trustee, by notice to the other, may designate additional or different addresses for subsequent notices or communications.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All notices and communications (other than those sent to Holders) will be deemed to have been duly given: at the time delivered by hand, if personally delivered; five Business Days after being deposited in the mail, postage prepaid, if mailed; when sent, without automatic reply that such was unsuccessful, if emailed; when receipt acknowledged, if sent by overnight air courier guaranteeing next day delivery.</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Any notice or communication to a Holder will be delivered electronically or mailed by first class mail, certified or registered, return receipt requested, or by overnight air courier guaranteeing next day delivery or emailed to its address shown on the register kept by the Registrar. Failure to mail a notice or communication to a Holder or any defect in it will not affect its sufficiency with respect to other Holders. For so long as any Notes are represented by Global Notes, all notices to Holders will be delivered to DTC, which will give such notices to the Holders of book-entry interests in accordance with the applicable procedures of DTC, delivery of which shall be deemed to satisfy the requirements of this paragraph.</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If a notice or communication is delivered or mailed in the manner provided above within the time prescribed, it is duly given, whether or not the addressee receives it.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If the Issuer delivers a notice or communication to Holders, it will mail a copy to the Trustee and each Agent at the same time.</w:t>
      </w:r>
    </w:p>
    <w:p>
      <w:pPr>
        <w:pStyle w:val="TextBody"/>
        <w:bidi w:val="0"/>
        <w:spacing w:before="0" w:after="0"/>
        <w:jc w:val="left"/>
        <w:rPr/>
      </w:pPr>
      <w:r>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735965"/>
                <wp:effectExtent l="0" t="0" r="0" b="0"/>
                <wp:wrapNone/>
                <wp:docPr id="136" name="Frame136"/>
                <a:graphic xmlns:a="http://schemas.openxmlformats.org/drawingml/2006/main">
                  <a:graphicData uri="http://schemas.microsoft.com/office/word/2010/wordprocessingShape">
                    <wps:wsp>
                      <wps:cNvSpPr txBox="1"/>
                      <wps:spPr>
                        <a:xfrm>
                          <a:off x="0" y="0"/>
                          <a:ext cx="6480175" cy="7359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88</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88</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left"/>
        <w:rPr/>
      </w:pPr>
      <w:r>
        <w:rPr>
          <w:rFonts w:ascii="Times New Roman;serif" w:hAnsi="Times New Roman;serif"/>
          <w:b w:val="false"/>
          <w:color w:val="000000"/>
          <w:sz w:val="24"/>
        </w:rPr>
        <w:t>Section 12.02</w:t>
      </w:r>
      <w:r>
        <w:rPr>
          <w:rFonts w:ascii="Times New Roman;serif" w:hAnsi="Times New Roman;serif"/>
          <w:b w:val="false"/>
          <w:color w:val="000000"/>
          <w:sz w:val="24"/>
          <w:u w:val="single"/>
        </w:rPr>
        <w:t>Certificate and Opinion as to Conditions Precedent</w:t>
      </w:r>
      <w:r>
        <w:rPr>
          <w:rFonts w:ascii="Times New Roman;serif" w:hAnsi="Times New Roman;serif"/>
          <w:b w:val="false"/>
          <w:color w:val="000000"/>
          <w:sz w:val="24"/>
        </w:rPr>
        <w: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Upon any request or application by the Issuer to the Trustee to take any action under this Indenture (other than in connection with the Issuer Order, dated the date hereof, and delivered to the Trustee in connection with the issuance of the Initial Notes), the Issuer shall furnish to the Trustee:</w:t>
      </w:r>
    </w:p>
    <w:p>
      <w:pPr>
        <w:pStyle w:val="TextBody"/>
        <w:bidi w:val="0"/>
        <w:spacing w:lineRule="auto" w:line="240" w:before="0" w:after="240"/>
        <w:ind w:left="0" w:right="0" w:firstLine="720"/>
        <w:jc w:val="both"/>
        <w:rPr/>
      </w:pPr>
      <w:r>
        <w:rPr>
          <w:rFonts w:ascii="Times New Roman;serif" w:hAnsi="Times New Roman;serif"/>
          <w:b w:val="false"/>
          <w:color w:val="000000"/>
          <w:sz w:val="24"/>
        </w:rPr>
        <w:t xml:space="preserve">(1)an Officer’s Certificate in form and substance reasonably satisfactory to the Trustee (which must include the statements set forth in </w:t>
      </w:r>
      <w:r>
        <w:rPr>
          <w:rFonts w:ascii="Times New Roman;serif" w:hAnsi="Times New Roman;serif"/>
          <w:b w:val="false"/>
          <w:color w:val="000000"/>
          <w:sz w:val="24"/>
          <w:u w:val="single"/>
        </w:rPr>
        <w:t>Section 12.03</w:t>
      </w:r>
      <w:r>
        <w:rPr>
          <w:color w:val="000000"/>
        </w:rPr>
        <w:t xml:space="preserve"> </w:t>
      </w:r>
      <w:r>
        <w:rPr>
          <w:rFonts w:ascii="Times New Roman;serif" w:hAnsi="Times New Roman;serif"/>
          <w:b w:val="false"/>
          <w:color w:val="000000"/>
          <w:sz w:val="24"/>
        </w:rPr>
        <w:t>hereof) stating that, in the opinion of the signer, all conditions precedent and covenants, if any, provided for in this Indenture and the other Note Documents relating to the proposed action have been satisfied; and</w:t>
      </w:r>
    </w:p>
    <w:p>
      <w:pPr>
        <w:pStyle w:val="TextBody"/>
        <w:bidi w:val="0"/>
        <w:spacing w:lineRule="auto" w:line="240" w:before="0" w:after="240"/>
        <w:ind w:left="0" w:right="0" w:firstLine="720"/>
        <w:jc w:val="both"/>
        <w:rPr/>
      </w:pPr>
      <w:r>
        <w:rPr>
          <w:rFonts w:ascii="Times New Roman;serif" w:hAnsi="Times New Roman;serif"/>
          <w:b w:val="false"/>
          <w:color w:val="000000"/>
          <w:sz w:val="24"/>
        </w:rPr>
        <w:t xml:space="preserve">(2)an Opinion of Counsel in form and substance reasonably satisfactory to the Trustee (which must include the statements set forth in </w:t>
      </w:r>
      <w:r>
        <w:rPr>
          <w:rFonts w:ascii="Times New Roman;serif" w:hAnsi="Times New Roman;serif"/>
          <w:b w:val="false"/>
          <w:color w:val="000000"/>
          <w:sz w:val="24"/>
          <w:u w:val="single"/>
        </w:rPr>
        <w:t>Section 12.03</w:t>
      </w:r>
      <w:r>
        <w:rPr>
          <w:color w:val="000000"/>
        </w:rPr>
        <w:t xml:space="preserve"> </w:t>
      </w:r>
      <w:r>
        <w:rPr>
          <w:rFonts w:ascii="Times New Roman;serif" w:hAnsi="Times New Roman;serif"/>
          <w:b w:val="false"/>
          <w:color w:val="000000"/>
          <w:sz w:val="24"/>
        </w:rPr>
        <w:t>hereof) stating that, in the opinion of such counsel, all such conditions precedent and covenants in the Note Documents relating to the proposed action have been satisfied.</w:t>
      </w:r>
    </w:p>
    <w:p>
      <w:pPr>
        <w:pStyle w:val="TextBody"/>
        <w:bidi w:val="0"/>
        <w:spacing w:lineRule="auto" w:line="240" w:before="0" w:after="240"/>
        <w:jc w:val="left"/>
        <w:rPr/>
      </w:pPr>
      <w:r>
        <w:rPr>
          <w:rFonts w:ascii="Times New Roman;serif" w:hAnsi="Times New Roman;serif"/>
          <w:b w:val="false"/>
          <w:color w:val="000000"/>
          <w:sz w:val="24"/>
        </w:rPr>
        <w:t>Section 12.03</w:t>
      </w:r>
      <w:r>
        <w:rPr>
          <w:rFonts w:ascii="Times New Roman;serif" w:hAnsi="Times New Roman;serif"/>
          <w:b w:val="false"/>
          <w:color w:val="000000"/>
          <w:sz w:val="24"/>
          <w:u w:val="single"/>
        </w:rPr>
        <w:t>Statements Required in Certificate or Opinion</w:t>
      </w:r>
      <w:r>
        <w:rPr>
          <w:rFonts w:ascii="Times New Roman;serif" w:hAnsi="Times New Roman;serif"/>
          <w:b w:val="false"/>
          <w:color w:val="000000"/>
          <w:sz w:val="24"/>
        </w:rPr>
        <w: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Each Officer’s Certificate or Opinion of Counsel with respect to compliance with a condition precedent or covenant provided for in this Indenture or the other Note Documents must include substantially:</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(1)a statement that the Person making such certificate or opinion has read such covenant or condition;</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(2)a brief statement as to the nature and scope of the examination or investigation upon which the statements or opinions contained in such certificate or opinion are based;</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(3)a statement that, in the opinion of such Person, he or she has made such examination or investigation as is necessary to enable him or her to express an informed opinion as to whether or not such covenant or condition has been satisfied; and</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(4)a statement as to whether or not, in the opinion of such Person, such condition or covenant has been satisfied.</w:t>
      </w:r>
    </w:p>
    <w:p>
      <w:pPr>
        <w:pStyle w:val="TextBody"/>
        <w:bidi w:val="0"/>
        <w:spacing w:lineRule="auto" w:line="240" w:before="0" w:after="240"/>
        <w:jc w:val="left"/>
        <w:rPr/>
      </w:pPr>
      <w:r>
        <w:rPr>
          <w:rFonts w:ascii="Times New Roman;serif" w:hAnsi="Times New Roman;serif"/>
          <w:b w:val="false"/>
          <w:color w:val="000000"/>
          <w:sz w:val="24"/>
        </w:rPr>
        <w:t>Section 12.04</w:t>
      </w:r>
      <w:r>
        <w:rPr>
          <w:rFonts w:ascii="Times New Roman;serif" w:hAnsi="Times New Roman;serif"/>
          <w:b w:val="false"/>
          <w:color w:val="000000"/>
          <w:sz w:val="24"/>
          <w:u w:val="single"/>
        </w:rPr>
        <w:t>Rules by Trustee and Agents</w:t>
      </w:r>
      <w:r>
        <w:rPr>
          <w:rFonts w:ascii="Times New Roman;serif" w:hAnsi="Times New Roman;serif"/>
          <w:b w:val="false"/>
          <w:color w:val="000000"/>
          <w:sz w:val="24"/>
        </w:rPr>
        <w: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Trustee may make reasonable rules for action by or at a meeting of Holders. The Agents may make reasonable rules and set reasonable requirements for its functions.</w:t>
      </w:r>
    </w:p>
    <w:p>
      <w:pPr>
        <w:pStyle w:val="TextBody"/>
        <w:bidi w:val="0"/>
        <w:spacing w:lineRule="auto" w:line="240" w:before="0" w:after="240"/>
        <w:jc w:val="left"/>
        <w:rPr/>
      </w:pPr>
      <w:r>
        <w:rPr>
          <w:rFonts w:ascii="Times New Roman;serif" w:hAnsi="Times New Roman;serif"/>
          <w:b w:val="false"/>
          <w:color w:val="000000"/>
          <w:sz w:val="24"/>
        </w:rPr>
        <w:t>Section 12.05</w:t>
      </w:r>
      <w:r>
        <w:rPr>
          <w:rFonts w:ascii="Times New Roman;serif" w:hAnsi="Times New Roman;serif"/>
          <w:b w:val="false"/>
          <w:color w:val="000000"/>
          <w:sz w:val="24"/>
          <w:u w:val="single"/>
        </w:rPr>
        <w:t>No Personal Liability of Directors, Officers, Employees and Stockholders</w:t>
      </w:r>
      <w:r>
        <w:rPr>
          <w:rFonts w:ascii="Times New Roman;serif" w:hAnsi="Times New Roman;serif"/>
          <w:b w:val="false"/>
          <w:color w:val="000000"/>
          <w:sz w:val="24"/>
        </w:rPr>
        <w: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No director, officer, employee, incorporator or stockholder of the Issuer or any Subsidiary Guarantor, as such, will have any liability for any Obligations of the Issuer or the Subsidiary Guarantors under this Indenture or Notes, or for any claim based on, in respect of, or by reason of, such Obligations or their creation. By accepting a Note, each Holder waives and </w:t>
      </w:r>
    </w:p>
    <w:p>
      <w:pPr>
        <w:pStyle w:val="TextBody"/>
        <w:bidi w:val="0"/>
        <w:spacing w:before="0" w:after="0"/>
        <w:jc w:val="left"/>
        <w:rPr/>
      </w:pPr>
      <w:r>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735965"/>
                <wp:effectExtent l="0" t="0" r="0" b="0"/>
                <wp:wrapNone/>
                <wp:docPr id="137" name="Frame137"/>
                <a:graphic xmlns:a="http://schemas.openxmlformats.org/drawingml/2006/main">
                  <a:graphicData uri="http://schemas.microsoft.com/office/word/2010/wordprocessingShape">
                    <wps:wsp>
                      <wps:cNvSpPr txBox="1"/>
                      <wps:spPr>
                        <a:xfrm>
                          <a:off x="0" y="0"/>
                          <a:ext cx="6480175" cy="7359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89</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89</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releases all such liability. The waiver and release are part of the consideration for issuance of the Notes. The waiver may not be effective to waive liabilities under the federal securities laws.</w:t>
      </w:r>
    </w:p>
    <w:p>
      <w:pPr>
        <w:pStyle w:val="TextBody"/>
        <w:bidi w:val="0"/>
        <w:spacing w:lineRule="auto" w:line="240" w:before="0" w:after="240"/>
        <w:jc w:val="left"/>
        <w:rPr/>
      </w:pPr>
      <w:r>
        <w:rPr>
          <w:rFonts w:ascii="Times New Roman;serif" w:hAnsi="Times New Roman;serif"/>
          <w:b w:val="false"/>
          <w:color w:val="000000"/>
          <w:sz w:val="24"/>
        </w:rPr>
        <w:t>Section 12.06</w:t>
      </w:r>
      <w:r>
        <w:rPr>
          <w:rFonts w:ascii="Times New Roman;serif" w:hAnsi="Times New Roman;serif"/>
          <w:b w:val="false"/>
          <w:color w:val="000000"/>
          <w:sz w:val="24"/>
          <w:u w:val="single"/>
        </w:rPr>
        <w:t>Governing Law</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rPr>
        <w:t>THIS INDENTURE, THE NOTES, AND ANY SUBSIDIARY GUARANTEES SHALL BE GOVERNED BY, AND CONSTRUED IN ACCORDANCE WITH THE LAWS OF THE STATE OF NEW YORK.</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rPr>
        <w:t>Each party hereto irrevocably and unconditionally submits to the jurisdiction of the Supreme Court of the State of New York sitting in the Borough of Manhattan, New York County and of the United States District Court of the Southern District of New York sitting in the Borough of Manhattan, and any appellate court from any jurisdiction thereof, in any action or proceeding arising out of or relating to this Indenture, the Notes or any Subsidiary Guarantees, or for recognition or enforcement of any judgment, and each of the parties hereto hereby irrevocably and unconditionally agrees that all claims in respect of any such action or proceeding may be heard and determined in such New York State or, to the extent permitted by law, in such Federal court. Each party hereto agrees that a final judgment in any such action or proceeding shall be conclusive and may be enforced in other jurisdictions by suit on the judgment or in any other manner provided by law. Nothing in this Indenture shall affect any right that any party hereto otherwise have to bring any action or proceeding relating to this Indenture against any party hereto or its properties in the courts of any jurisdiction.</w:t>
      </w:r>
    </w:p>
    <w:p>
      <w:pPr>
        <w:pStyle w:val="TextBody"/>
        <w:bidi w:val="0"/>
        <w:spacing w:lineRule="auto" w:line="240" w:before="0" w:after="240"/>
        <w:ind w:left="0" w:right="0" w:firstLine="720"/>
        <w:jc w:val="both"/>
        <w:rPr/>
      </w:pPr>
      <w:r>
        <w:rPr>
          <w:rFonts w:ascii="Times New Roman;serif" w:hAnsi="Times New Roman;serif"/>
          <w:b w:val="false"/>
          <w:color w:val="000000"/>
          <w:sz w:val="24"/>
        </w:rPr>
        <w:t>(c)</w:t>
      </w:r>
      <w:r>
        <w:rPr>
          <w:rFonts w:ascii="Times New Roman;serif" w:hAnsi="Times New Roman;serif"/>
          <w:b w:val="false"/>
          <w:color w:val="000000"/>
          <w:sz w:val="24"/>
        </w:rPr>
        <w:t xml:space="preserve">Each party hereto irrevocably and unconditionally waives, to the fullest extent it may legally and effectively do so, any objection which it may now or hereafter have to the laying of venue of any suit, action or proceeding arising out of or relating to this Indenture in any court referred to in </w:t>
      </w:r>
      <w:r>
        <w:rPr>
          <w:rFonts w:ascii="Times New Roman;serif" w:hAnsi="Times New Roman;serif"/>
          <w:b w:val="false"/>
          <w:color w:val="000000"/>
          <w:sz w:val="24"/>
          <w:u w:val="single"/>
        </w:rPr>
        <w:t>Section 12.06(b)</w:t>
      </w:r>
      <w:r>
        <w:rPr>
          <w:color w:val="000000"/>
        </w:rPr>
        <w:t xml:space="preserve"> </w:t>
      </w:r>
      <w:r>
        <w:rPr>
          <w:rFonts w:ascii="Times New Roman;serif" w:hAnsi="Times New Roman;serif"/>
          <w:b w:val="false"/>
          <w:color w:val="000000"/>
          <w:sz w:val="24"/>
        </w:rPr>
        <w:t>hereto. Each party hereto irrevocably waives, to the fullest extent permitted by law, the defense of an inconvenient forum to the maintenance of such action or proceeding in any such court.</w:t>
      </w:r>
    </w:p>
    <w:p>
      <w:pPr>
        <w:pStyle w:val="TextBody"/>
        <w:bidi w:val="0"/>
        <w:spacing w:lineRule="auto" w:line="240" w:before="0" w:after="240"/>
        <w:ind w:left="0" w:right="0" w:firstLine="720"/>
        <w:jc w:val="both"/>
        <w:rPr/>
      </w:pPr>
      <w:r>
        <w:rPr>
          <w:rFonts w:ascii="Times New Roman;serif" w:hAnsi="Times New Roman;serif"/>
          <w:b w:val="false"/>
          <w:color w:val="000000"/>
          <w:sz w:val="24"/>
        </w:rPr>
        <w:t>(d)</w:t>
      </w:r>
      <w:r>
        <w:rPr>
          <w:rFonts w:ascii="Times New Roman;serif" w:hAnsi="Times New Roman;serif"/>
          <w:b w:val="false"/>
          <w:color w:val="000000"/>
          <w:sz w:val="24"/>
        </w:rPr>
        <w:t xml:space="preserve">Each party hereto irrevocably consents to service of process in the manner provided for notices in </w:t>
      </w:r>
      <w:r>
        <w:rPr>
          <w:rFonts w:ascii="Times New Roman;serif" w:hAnsi="Times New Roman;serif"/>
          <w:b w:val="false"/>
          <w:color w:val="000000"/>
          <w:sz w:val="24"/>
          <w:u w:val="single"/>
        </w:rPr>
        <w:t>Section 12.01</w:t>
      </w:r>
      <w:r>
        <w:rPr>
          <w:color w:val="000000"/>
        </w:rPr>
        <w:t xml:space="preserve"> </w:t>
      </w:r>
      <w:r>
        <w:rPr>
          <w:rFonts w:ascii="Times New Roman;serif" w:hAnsi="Times New Roman;serif"/>
          <w:b w:val="false"/>
          <w:color w:val="000000"/>
          <w:sz w:val="24"/>
        </w:rPr>
        <w:t>hereof, such service to be effective upon receipt. Nothing in this Indenture will affect the right of any party hereto to serve process in any other manner permitted by law.</w:t>
      </w:r>
    </w:p>
    <w:p>
      <w:pPr>
        <w:pStyle w:val="TextBody"/>
        <w:bidi w:val="0"/>
        <w:spacing w:lineRule="auto" w:line="240" w:before="0" w:after="240"/>
        <w:jc w:val="left"/>
        <w:rPr/>
      </w:pPr>
      <w:r>
        <w:rPr>
          <w:rFonts w:ascii="Times New Roman;serif" w:hAnsi="Times New Roman;serif"/>
          <w:b w:val="false"/>
          <w:color w:val="000000"/>
          <w:sz w:val="24"/>
        </w:rPr>
        <w:t>Section 12.07</w:t>
      </w:r>
      <w:r>
        <w:rPr>
          <w:rFonts w:ascii="Times New Roman;serif" w:hAnsi="Times New Roman;serif"/>
          <w:b w:val="false"/>
          <w:color w:val="000000"/>
          <w:sz w:val="24"/>
          <w:u w:val="single"/>
        </w:rPr>
        <w:t>Waiver of Immunity</w:t>
      </w:r>
      <w:r>
        <w:rPr>
          <w:rFonts w:ascii="Times New Roman;serif" w:hAnsi="Times New Roman;serif"/>
          <w:b w:val="false"/>
          <w:color w:val="000000"/>
          <w:sz w:val="24"/>
        </w:rPr>
        <w: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To the extent that the Issuer has or hereafter may acquire any immunity from jurisdiction of any court or from any legal process (whether through service of notice, attachment prior to judgment, attachment in aid of execution or execution, on the ground of sovereignty or otherwise) with respect to itself or its property, it hereby irrevocably waives, to the fullest extent permitted by applicable law, such immunity in respect of its obligations under this Indenture and/or Note.</w:t>
      </w:r>
    </w:p>
    <w:p>
      <w:pPr>
        <w:pStyle w:val="TextBody"/>
        <w:bidi w:val="0"/>
        <w:spacing w:lineRule="auto" w:line="240" w:before="0" w:after="240"/>
        <w:jc w:val="left"/>
        <w:rPr/>
      </w:pPr>
      <w:r>
        <w:rPr>
          <w:rFonts w:ascii="Times New Roman;serif" w:hAnsi="Times New Roman;serif"/>
          <w:b w:val="false"/>
          <w:color w:val="000000"/>
          <w:sz w:val="24"/>
        </w:rPr>
        <w:t>Section 12.08</w:t>
      </w:r>
      <w:r>
        <w:rPr>
          <w:rFonts w:ascii="Times New Roman;serif" w:hAnsi="Times New Roman;serif"/>
          <w:b w:val="false"/>
          <w:color w:val="000000"/>
          <w:sz w:val="24"/>
          <w:u w:val="single"/>
        </w:rPr>
        <w:t>Waiver of Jury Trials</w:t>
      </w:r>
      <w:r>
        <w:rPr>
          <w:rFonts w:ascii="Times New Roman;serif" w:hAnsi="Times New Roman;serif"/>
          <w:b w:val="false"/>
          <w:color w:val="000000"/>
          <w:sz w:val="24"/>
        </w:rPr>
        <w: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ALL PARTIES HERETO HEREBY IRREVOCABLY WAIVE ALL RIGHTS TO TRIAL BY JURY IN ANY ACTION, PROCEEDING OR COUNTERCLAIM (WHETHER BASED ON CONTRACT, TORT OR OTHERWISE) ARISING OUT OF OR RELATING TO </w:t>
      </w:r>
    </w:p>
    <w:p>
      <w:pPr>
        <w:pStyle w:val="TextBody"/>
        <w:bidi w:val="0"/>
        <w:spacing w:before="0" w:after="0"/>
        <w:jc w:val="left"/>
        <w:rPr/>
      </w:pPr>
      <w:r>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735965"/>
                <wp:effectExtent l="0" t="0" r="0" b="0"/>
                <wp:wrapNone/>
                <wp:docPr id="138" name="Frame138"/>
                <a:graphic xmlns:a="http://schemas.openxmlformats.org/drawingml/2006/main">
                  <a:graphicData uri="http://schemas.microsoft.com/office/word/2010/wordprocessingShape">
                    <wps:wsp>
                      <wps:cNvSpPr txBox="1"/>
                      <wps:spPr>
                        <a:xfrm>
                          <a:off x="0" y="0"/>
                          <a:ext cx="6480175" cy="7359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90</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90</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THIS INDENTURE, THE SECURITIES OR THE TRANSACTIONS CONTEMPLATED HEREBY OR THEREBY.</w:t>
      </w:r>
    </w:p>
    <w:p>
      <w:pPr>
        <w:pStyle w:val="TextBody"/>
        <w:bidi w:val="0"/>
        <w:spacing w:lineRule="auto" w:line="240" w:before="0" w:after="240"/>
        <w:jc w:val="left"/>
        <w:rPr/>
      </w:pPr>
      <w:r>
        <w:rPr>
          <w:rFonts w:ascii="Times New Roman;serif" w:hAnsi="Times New Roman;serif"/>
          <w:b w:val="false"/>
          <w:color w:val="000000"/>
          <w:sz w:val="24"/>
        </w:rPr>
        <w:t>Section 12.09</w:t>
      </w:r>
      <w:r>
        <w:rPr>
          <w:rFonts w:ascii="Times New Roman;serif" w:hAnsi="Times New Roman;serif"/>
          <w:b w:val="false"/>
          <w:color w:val="000000"/>
          <w:sz w:val="24"/>
          <w:u w:val="single"/>
        </w:rPr>
        <w:t>No Adverse Interpretation of Other Agreements</w:t>
      </w:r>
      <w:r>
        <w:rPr>
          <w:rFonts w:ascii="Times New Roman;serif" w:hAnsi="Times New Roman;serif"/>
          <w:b w:val="false"/>
          <w:color w:val="000000"/>
          <w:sz w:val="24"/>
        </w:rPr>
        <w: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This Indenture may not be used to interpret any other indenture, loan or debt agreement of the Issuer or its Subsidiaries or of any other Person. Any such indenture, loan or debt agreement may not be used to interpret this Indenture.</w:t>
      </w:r>
    </w:p>
    <w:p>
      <w:pPr>
        <w:pStyle w:val="TextBody"/>
        <w:bidi w:val="0"/>
        <w:spacing w:lineRule="auto" w:line="240" w:before="0" w:after="240"/>
        <w:jc w:val="left"/>
        <w:rPr/>
      </w:pPr>
      <w:r>
        <w:rPr>
          <w:rFonts w:ascii="Times New Roman;serif" w:hAnsi="Times New Roman;serif"/>
          <w:b w:val="false"/>
          <w:color w:val="000000"/>
          <w:sz w:val="24"/>
        </w:rPr>
        <w:t>Section 12.10</w:t>
      </w:r>
      <w:r>
        <w:rPr>
          <w:rFonts w:ascii="Times New Roman;serif" w:hAnsi="Times New Roman;serif"/>
          <w:b w:val="false"/>
          <w:color w:val="000000"/>
          <w:sz w:val="24"/>
          <w:u w:val="single"/>
        </w:rPr>
        <w:t>Successors</w:t>
      </w:r>
      <w:r>
        <w:rPr>
          <w:rFonts w:ascii="Times New Roman;serif" w:hAnsi="Times New Roman;serif"/>
          <w:b w:val="false"/>
          <w:color w:val="000000"/>
          <w:sz w:val="24"/>
        </w:rPr>
        <w: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All agreements of the Issuer in this Indenture and the Notes will bind its successors. All agreements of the Trustee in this Indenture will bind its successors.</w:t>
      </w:r>
    </w:p>
    <w:p>
      <w:pPr>
        <w:pStyle w:val="TextBody"/>
        <w:bidi w:val="0"/>
        <w:spacing w:lineRule="auto" w:line="240" w:before="0" w:after="240"/>
        <w:jc w:val="left"/>
        <w:rPr/>
      </w:pPr>
      <w:r>
        <w:rPr>
          <w:rFonts w:ascii="Times New Roman;serif" w:hAnsi="Times New Roman;serif"/>
          <w:b w:val="false"/>
          <w:color w:val="000000"/>
          <w:sz w:val="24"/>
        </w:rPr>
        <w:t>Section 12.11</w:t>
      </w:r>
      <w:r>
        <w:rPr>
          <w:rFonts w:ascii="Times New Roman;serif" w:hAnsi="Times New Roman;serif"/>
          <w:b w:val="false"/>
          <w:color w:val="000000"/>
          <w:sz w:val="24"/>
          <w:u w:val="single"/>
        </w:rPr>
        <w:t>USA Patriot Act</w:t>
      </w:r>
      <w:r>
        <w:rPr>
          <w:rFonts w:ascii="Times New Roman;serif" w:hAnsi="Times New Roman;serif"/>
          <w:b w:val="false"/>
          <w:color w:val="000000"/>
          <w:sz w:val="24"/>
        </w:rPr>
        <w: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parties hereto acknowledge that in accordance with Section 326 of the USA Patriot Act, the Trustee, like all financial institutions and in order to help fight the funding of terrorism and money laundering, is required to obtain, verify, and record information that identifies each person or legal entity that establishes a relationship or opens an account with the Trustee. The parties to this Indenture agree that they will provide the Trustee with such information as it may request in order for the Trustee to satisfy the requirements of the USA Patriot Act.</w:t>
      </w:r>
    </w:p>
    <w:p>
      <w:pPr>
        <w:pStyle w:val="TextBody"/>
        <w:bidi w:val="0"/>
        <w:spacing w:lineRule="auto" w:line="240" w:before="0" w:after="240"/>
        <w:jc w:val="left"/>
        <w:rPr/>
      </w:pPr>
      <w:r>
        <w:rPr>
          <w:rFonts w:ascii="Times New Roman;serif" w:hAnsi="Times New Roman;serif"/>
          <w:b w:val="false"/>
          <w:color w:val="000000"/>
          <w:sz w:val="24"/>
        </w:rPr>
        <w:t>Section 12.12</w:t>
      </w:r>
      <w:r>
        <w:rPr>
          <w:rFonts w:ascii="Times New Roman;serif" w:hAnsi="Times New Roman;serif"/>
          <w:b w:val="false"/>
          <w:color w:val="000000"/>
          <w:sz w:val="24"/>
          <w:u w:val="single"/>
        </w:rPr>
        <w:t>Severability</w:t>
      </w:r>
      <w:r>
        <w:rPr>
          <w:rFonts w:ascii="Times New Roman;serif" w:hAnsi="Times New Roman;serif"/>
          <w:b w:val="false"/>
          <w:color w:val="000000"/>
          <w:sz w:val="24"/>
        </w:rPr>
        <w: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In case any provision in this Indenture or in the Notes is invalid, illegal or unenforceable, the validity, legality and enforceability of the remaining provisions will not in any way be affected or impaired thereby.</w:t>
      </w:r>
    </w:p>
    <w:p>
      <w:pPr>
        <w:pStyle w:val="TextBody"/>
        <w:bidi w:val="0"/>
        <w:spacing w:lineRule="auto" w:line="240" w:before="0" w:after="240"/>
        <w:jc w:val="left"/>
        <w:rPr/>
      </w:pPr>
      <w:r>
        <w:rPr>
          <w:rFonts w:ascii="Times New Roman;serif" w:hAnsi="Times New Roman;serif"/>
          <w:b w:val="false"/>
          <w:color w:val="000000"/>
          <w:sz w:val="24"/>
        </w:rPr>
        <w:t>Section 12.13</w:t>
      </w:r>
      <w:r>
        <w:rPr>
          <w:rFonts w:ascii="Times New Roman;serif" w:hAnsi="Times New Roman;serif"/>
          <w:b w:val="false"/>
          <w:color w:val="000000"/>
          <w:sz w:val="24"/>
          <w:u w:val="single"/>
        </w:rPr>
        <w:t>Counterpart Originals</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The parties may sign any number of copies of this Indenture. Each signed copy will be an original, but all of them together represent the same agreement. The exchange of copies of this Indenture and of signature pages by PDF or other electronic transmission shall constitute effective execution and delivery of this Indenture as to the parties hereto and may be used in lieu of the original Indenture and signature pages for all purposes and shall constitute effective execution and delivery of this Indenture as to the parties hereto and will be of the same effect, validity and enforceability as manually executed signatures or a paper-based recordkeeping system, as the case may be, to the extent and as provided for under applicable law, including the Electronic Signatures in Global and National Commerce Act of 2000 (15 U.S.C. §§ 7001-7006), the Electronic Signatures and Records Act of 1999 (N.Y. State Tech. §§ 301-309), or any other similar state laws based on the Uniform Electronic Transactions Act; </w:t>
      </w:r>
      <w:r>
        <w:rPr>
          <w:rFonts w:ascii="Times New Roman;serif" w:hAnsi="Times New Roman;serif"/>
          <w:b w:val="false"/>
          <w:i/>
          <w:color w:val="000000"/>
          <w:sz w:val="24"/>
        </w:rPr>
        <w:t>provided that</w:t>
      </w:r>
      <w:r>
        <w:rPr>
          <w:rFonts w:ascii="Times New Roman;serif" w:hAnsi="Times New Roman;serif"/>
          <w:b w:val="false"/>
          <w:color w:val="000000"/>
          <w:sz w:val="24"/>
        </w:rPr>
        <w:t>, notwithstanding anything herein to the contrary, the Trustee is not under any obligation to agree to accept electronic signatures in any form or in any format unless expressly agreed to by such Trustee pursuant to procedures approved by such Trustee.</w:t>
      </w:r>
    </w:p>
    <w:p>
      <w:pPr>
        <w:pStyle w:val="TextBody"/>
        <w:bidi w:val="0"/>
        <w:spacing w:before="0" w:after="0"/>
        <w:jc w:val="left"/>
        <w:rPr/>
      </w:pPr>
      <w:r>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735965"/>
                <wp:effectExtent l="0" t="0" r="0" b="0"/>
                <wp:wrapNone/>
                <wp:docPr id="139" name="Frame139"/>
                <a:graphic xmlns:a="http://schemas.openxmlformats.org/drawingml/2006/main">
                  <a:graphicData uri="http://schemas.microsoft.com/office/word/2010/wordprocessingShape">
                    <wps:wsp>
                      <wps:cNvSpPr txBox="1"/>
                      <wps:spPr>
                        <a:xfrm>
                          <a:off x="0" y="0"/>
                          <a:ext cx="6480175" cy="7359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91</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91</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left"/>
        <w:rPr/>
      </w:pPr>
      <w:r>
        <w:rPr>
          <w:rFonts w:ascii="Times New Roman;serif" w:hAnsi="Times New Roman;serif"/>
          <w:b w:val="false"/>
          <w:color w:val="000000"/>
          <w:sz w:val="24"/>
        </w:rPr>
        <w:t>Section 12.14</w:t>
      </w:r>
      <w:r>
        <w:rPr>
          <w:rFonts w:ascii="Times New Roman;serif" w:hAnsi="Times New Roman;serif"/>
          <w:b w:val="false"/>
          <w:color w:val="000000"/>
          <w:sz w:val="24"/>
          <w:u w:val="single"/>
        </w:rPr>
        <w:t>Table of Contents, Headings, etc</w:t>
      </w:r>
      <w:r>
        <w:rPr>
          <w:rFonts w:ascii="Times New Roman;serif" w:hAnsi="Times New Roman;serif"/>
          <w:b w:val="false"/>
          <w:color w:val="000000"/>
          <w:sz w:val="24"/>
        </w:rPr>
        <w:t xml:space="preserve">. </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Table of Contents and Headings of the Articles and Sections of this Indenture have been inserted for convenience of reference only, are not to be considered a part of this Indenture and will in no way modify or restrict any of the terms or provisions hereof.</w:t>
      </w:r>
    </w:p>
    <w:p>
      <w:pPr>
        <w:pStyle w:val="TextBody"/>
        <w:bidi w:val="0"/>
        <w:spacing w:lineRule="auto" w:line="240" w:before="0" w:after="240"/>
        <w:jc w:val="left"/>
        <w:rPr/>
      </w:pPr>
      <w:r>
        <w:rPr>
          <w:rFonts w:ascii="Times New Roman;serif" w:hAnsi="Times New Roman;serif"/>
          <w:b w:val="false"/>
          <w:color w:val="000000"/>
          <w:sz w:val="24"/>
        </w:rPr>
        <w:t>Section 12.15</w:t>
      </w:r>
      <w:r>
        <w:rPr>
          <w:rFonts w:ascii="Times New Roman;serif" w:hAnsi="Times New Roman;serif"/>
          <w:b w:val="false"/>
          <w:color w:val="000000"/>
          <w:sz w:val="24"/>
          <w:u w:val="single"/>
        </w:rPr>
        <w:t>Legal Holidays</w:t>
      </w:r>
      <w:r>
        <w:rPr>
          <w:rFonts w:ascii="Times New Roman;serif" w:hAnsi="Times New Roman;serif"/>
          <w:b w:val="false"/>
          <w:color w:val="000000"/>
          <w:sz w:val="24"/>
        </w:rPr>
        <w:t xml:space="preserve">. </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In any case where any interest payment date, redemption date, Change of Control Payment Date or Stated Maturity of any Note shall not be a Business Day, then (notwithstanding any other provision of this Indenture or of the Notes) payment of principal (or premium, if any) or interest or other required payment need not be made on such date, but may be made on the next succeeding Business Day with the same force and effect as if made on the Interest payment date, redemption date, Change of Control Payment Date or at the Stated Maturity; </w:t>
      </w:r>
      <w:r>
        <w:rPr>
          <w:rFonts w:ascii="Times New Roman;serif" w:hAnsi="Times New Roman;serif"/>
          <w:b w:val="false"/>
          <w:i/>
          <w:color w:val="000000"/>
          <w:sz w:val="24"/>
        </w:rPr>
        <w:t>provided that</w:t>
      </w:r>
      <w:r>
        <w:rPr>
          <w:color w:val="000000"/>
        </w:rPr>
        <w:t xml:space="preserve"> </w:t>
      </w:r>
      <w:r>
        <w:rPr>
          <w:rFonts w:ascii="Times New Roman;serif" w:hAnsi="Times New Roman;serif"/>
          <w:b w:val="false"/>
          <w:color w:val="000000"/>
          <w:sz w:val="24"/>
        </w:rPr>
        <w:t>no interest shall accrue on such payment for the period from and after such interest payment date, redemption date, Change of Control Payment Date or Stated Maturity, as the case may be.</w:t>
      </w:r>
    </w:p>
    <w:p>
      <w:pPr>
        <w:pStyle w:val="TextBody"/>
        <w:bidi w:val="0"/>
        <w:spacing w:lineRule="auto" w:line="288" w:before="0" w:after="240"/>
        <w:jc w:val="center"/>
        <w:rPr/>
      </w:pPr>
      <w:r>
        <w:rPr>
          <w:rFonts w:ascii="Times New Roman;serif" w:hAnsi="Times New Roman;serif"/>
          <w:b w:val="false"/>
          <w:color w:val="000000"/>
          <w:sz w:val="24"/>
        </w:rPr>
        <w:t>[</w:t>
      </w:r>
      <w:r>
        <w:rPr>
          <w:rFonts w:ascii="Times New Roman;serif" w:hAnsi="Times New Roman;serif"/>
          <w:b w:val="false"/>
          <w:i/>
          <w:color w:val="000000"/>
          <w:sz w:val="24"/>
        </w:rPr>
        <w:t>Signatures on following pages</w:t>
      </w:r>
      <w:r>
        <w:rPr>
          <w:rFonts w:ascii="Times New Roman;serif" w:hAnsi="Times New Roman;serif"/>
          <w:b w:val="false"/>
          <w:color w:val="000000"/>
          <w:sz w:val="24"/>
        </w:rPr>
        <w:t>]</w:t>
      </w:r>
    </w:p>
    <w:p>
      <w:pPr>
        <w:pStyle w:val="TextBody"/>
        <w:bidi w:val="0"/>
        <w:spacing w:before="0" w:after="2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735965"/>
                <wp:effectExtent l="0" t="0" r="0" b="0"/>
                <wp:wrapNone/>
                <wp:docPr id="140" name="Frame140"/>
                <a:graphic xmlns:a="http://schemas.openxmlformats.org/drawingml/2006/main">
                  <a:graphicData uri="http://schemas.microsoft.com/office/word/2010/wordprocessingShape">
                    <wps:wsp>
                      <wps:cNvSpPr txBox="1"/>
                      <wps:spPr>
                        <a:xfrm>
                          <a:off x="0" y="0"/>
                          <a:ext cx="6480175" cy="7359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92</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92</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Dated: April 29, 2026</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 xml:space="preserve">TALEN ENERGY SUPPLY, LLC, </w:t>
        <w:br/>
        <w:t>as Issuer</w:t>
      </w:r>
    </w:p>
    <w:p>
      <w:pPr>
        <w:pStyle w:val="TextBody"/>
        <w:bidi w:val="0"/>
        <w:spacing w:before="0" w:after="240"/>
        <w:jc w:val="left"/>
        <w:rPr/>
      </w:pPr>
      <w:r>
        <w:rPr/>
      </w:r>
    </w:p>
    <w:p>
      <w:pPr>
        <w:pStyle w:val="TextBody"/>
        <w:bidi w:val="0"/>
        <w:spacing w:lineRule="auto" w:line="288" w:before="0" w:after="0"/>
        <w:jc w:val="left"/>
        <w:rPr/>
      </w:pPr>
      <w:r>
        <w:rPr>
          <w:rFonts w:ascii="Times New Roman;serif" w:hAnsi="Times New Roman;serif"/>
          <w:b w:val="false"/>
          <w:color w:val="000000"/>
          <w:sz w:val="24"/>
        </w:rPr>
        <w:t>By:    </w:t>
      </w:r>
      <w:r>
        <w:rPr>
          <w:rFonts w:ascii="Times New Roman;serif" w:hAnsi="Times New Roman;serif"/>
          <w:b w:val="false"/>
          <w:color w:val="000000"/>
          <w:sz w:val="24"/>
          <w:u w:val="single"/>
        </w:rPr>
        <w:t>/s/Sergio Castro</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 xml:space="preserve">Name:    Sergio Castro </w:t>
      </w:r>
    </w:p>
    <w:p>
      <w:pPr>
        <w:pStyle w:val="TextBody"/>
        <w:bidi w:val="0"/>
        <w:spacing w:lineRule="auto" w:line="288" w:before="0" w:after="240"/>
        <w:jc w:val="left"/>
        <w:rPr>
          <w:color w:val="000000"/>
        </w:rPr>
      </w:pPr>
      <w:r>
        <w:rPr>
          <w:color w:val="000000"/>
        </w:rPr>
        <w:t>    </w:t>
      </w:r>
      <w:r>
        <w:rPr>
          <w:rFonts w:ascii="Times New Roman;serif" w:hAnsi="Times New Roman;serif"/>
          <w:b w:val="false"/>
          <w:color w:val="000000"/>
          <w:sz w:val="24"/>
        </w:rPr>
        <w:t>Title: Vice President and Treasurer     </w:t>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351155"/>
                <wp:effectExtent l="0" t="0" r="0" b="0"/>
                <wp:wrapNone/>
                <wp:docPr id="141" name="Frame141"/>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[Signature Page to the 2031 Notes Indenture]</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[Signature Page to the 2031 Notes Indenture]</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BRANDON SHORES LLC</w:t>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BRUNNER ISLAND, LLC</w:t>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COLSTRIP COMM SERV, LLC</w:t>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FORT ARMISTEAD ROAD – LOT 15 LANDFILL, LLC</w:t>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GUERNSEY POWER STATION LLC</w:t>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H.A. WAGNER LLC</w:t>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HOLTWOOD, LLC</w:t>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LIBERTY VIEW POWER, L.L.C.</w:t>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LMBE PROJECT COMPANY LLC</w:t>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MC OPCO LLC</w:t>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MC PROJECT COMPANY LLC</w:t>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MONTANA GROWTH HOLDINGS LLC</w:t>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MONTOUR, LLC</w:t>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MOXIE FREEDOM LLC</w:t>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MORRIS ENERGY OPERATIONS COMPANY, LLC</w:t>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NEWARK BAY COGENERATION PARTNERSHIP, L.P.</w:t>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NEWARK BAY HOLDING COMPANY, L.L.C.</w:t>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NORTHEAST GAS GENERATION HOLDINGS, LLC</w:t>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PENNSYLVANIA MINES, LLC</w:t>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RAVEN LOT 15 LLC</w:t>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RAVEN FS PROPERTY HOLDINGS LLC</w:t>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RAVEN POWER FINANCE LLC</w:t>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RAVEN POWER FORT SMALLWOOD LLC</w:t>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RAVEN POWER GENERATION HOLDINGS LLC</w:t>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RAVEN POWER GROUP LLC</w:t>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RAVEN POWER PROPERTY LLC</w:t>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RMGL HOLDINGS LLC</w:t>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SAPPHIRE POWER GENERATION HOLDINGS LLC</w:t>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SUSQUEHANNA NUCLEAR, LLC</w:t>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TALEN CONEMAUGH LLC</w:t>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TALEN ENERGY MARKETING, LLC</w:t>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TALEN ENERGY SERVICES GROUP, LLC</w:t>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TALEN ENERGY SERVICES HOLDINGS, LLC</w:t>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TALEN GENERATION, LLC</w:t>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TALEN KEYCON HOLDINGS LLC</w:t>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TALEN KEYSTONE LLC</w:t>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TALEN MCR HOLDINGS LLC</w:t>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TALEN MONTANA, LLC</w:t>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TALEN MONTANA HOLDINGS, LLC</w:t>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TALEN NE LLC</w:t>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THE RIVERLANDS RECREATION AREA LLC,</w:t>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as Subsidiary Guarantors </w:t>
      </w:r>
    </w:p>
    <w:p>
      <w:pPr>
        <w:pStyle w:val="TextBody"/>
        <w:bidi w:val="0"/>
        <w:spacing w:lineRule="auto" w:line="288" w:before="0" w:after="0"/>
        <w:jc w:val="left"/>
        <w:rPr/>
      </w:pPr>
      <w:r>
        <w:rPr>
          <w:rFonts w:ascii="Times New Roman;serif" w:hAnsi="Times New Roman;serif"/>
          <w:b w:val="false"/>
          <w:color w:val="000000"/>
          <w:sz w:val="24"/>
        </w:rPr>
        <w:t>By:    </w:t>
      </w:r>
      <w:r>
        <w:rPr>
          <w:rFonts w:ascii="Times New Roman;serif" w:hAnsi="Times New Roman;serif"/>
          <w:b w:val="false"/>
          <w:color w:val="000000"/>
          <w:sz w:val="24"/>
          <w:u w:val="single"/>
        </w:rPr>
        <w:t xml:space="preserve">/s/ Sergio Castro </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Name: Sergio Castro     </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Title: Vice President &amp; Treasurer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351155"/>
                <wp:effectExtent l="0" t="0" r="0" b="0"/>
                <wp:wrapNone/>
                <wp:docPr id="142" name="Frame142"/>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[Signature Page to the 2031 Notes Indenture]</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[Signature Page to the 2031 Notes Indenture]</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WILMINGTON SAVINGS FUND SOCIETY, FSB,</w:t>
        <w:br/>
        <w:t>as Trustee</w:t>
      </w:r>
    </w:p>
    <w:p>
      <w:pPr>
        <w:pStyle w:val="TextBody"/>
        <w:bidi w:val="0"/>
        <w:spacing w:before="0" w:after="240"/>
        <w:jc w:val="left"/>
        <w:rPr/>
      </w:pPr>
      <w:r>
        <w:rPr/>
      </w:r>
    </w:p>
    <w:p>
      <w:pPr>
        <w:pStyle w:val="TextBody"/>
        <w:bidi w:val="0"/>
        <w:spacing w:lineRule="auto" w:line="288" w:before="0" w:after="0"/>
        <w:jc w:val="left"/>
        <w:rPr/>
      </w:pPr>
      <w:r>
        <w:rPr>
          <w:rFonts w:ascii="Times New Roman;serif" w:hAnsi="Times New Roman;serif"/>
          <w:b w:val="false"/>
          <w:color w:val="000000"/>
          <w:sz w:val="24"/>
        </w:rPr>
        <w:t>By:    </w:t>
      </w:r>
      <w:r>
        <w:rPr>
          <w:rFonts w:ascii="Times New Roman;serif" w:hAnsi="Times New Roman;serif"/>
          <w:b w:val="false"/>
          <w:color w:val="000000"/>
          <w:sz w:val="24"/>
          <w:u w:val="single"/>
        </w:rPr>
        <w:t xml:space="preserve">/s/ Anita Woolery </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 xml:space="preserve">Name:    Anita Woolery </w:t>
      </w:r>
    </w:p>
    <w:p>
      <w:pPr>
        <w:pStyle w:val="TextBody"/>
        <w:bidi w:val="0"/>
        <w:spacing w:lineRule="auto" w:line="288" w:before="0" w:after="240"/>
        <w:jc w:val="left"/>
        <w:rPr>
          <w:color w:val="000000"/>
        </w:rPr>
      </w:pPr>
      <w:r>
        <w:rPr>
          <w:color w:val="000000"/>
        </w:rPr>
        <w:t>    </w:t>
      </w:r>
      <w:r>
        <w:rPr>
          <w:rFonts w:ascii="Times New Roman;serif" w:hAnsi="Times New Roman;serif"/>
          <w:b w:val="false"/>
          <w:color w:val="000000"/>
          <w:sz w:val="24"/>
        </w:rPr>
        <w:t>Title: Vice President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480175" cy="351155"/>
                <wp:effectExtent l="0" t="0" r="0" b="0"/>
                <wp:wrapNone/>
                <wp:docPr id="143" name="Frame143"/>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[Signature Page to the 2031 Notes Indenture]</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[Signature Page to the 2031 Notes Indenture]</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center"/>
        <w:rPr/>
      </w:pPr>
      <w:r>
        <w:rPr>
          <w:rFonts w:ascii="Times New Roman;serif" w:hAnsi="Times New Roman;serif"/>
          <w:b/>
          <w:color w:val="000000"/>
          <w:sz w:val="24"/>
        </w:rPr>
        <w:t>Exhibit A</w:t>
      </w:r>
      <w:r>
        <w:rPr>
          <w:rFonts w:ascii="Times New Roman;serif" w:hAnsi="Times New Roman;serif"/>
          <w:b/>
          <w:color w:val="000000"/>
          <w:sz w:val="24"/>
        </w:rPr>
        <w:br/>
        <w:br/>
        <w:t>FORM OF NOTE</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[FACE OF NOTE]</w:t>
      </w:r>
    </w:p>
    <w:p>
      <w:pPr>
        <w:pStyle w:val="TextBody"/>
        <w:bidi w:val="0"/>
        <w:spacing w:lineRule="auto" w:line="288" w:before="0" w:after="240"/>
        <w:jc w:val="left"/>
        <w:rPr/>
      </w:pPr>
      <w:r>
        <w:rPr>
          <w:rFonts w:ascii="Times New Roman;serif" w:hAnsi="Times New Roman;serif"/>
          <w:b w:val="false"/>
          <w:color w:val="000000"/>
          <w:sz w:val="24"/>
        </w:rPr>
        <w:t>6.125%</w:t>
      </w:r>
      <w:r>
        <w:rPr>
          <w:color w:val="000000"/>
        </w:rPr>
        <w:t xml:space="preserve"> </w:t>
      </w:r>
      <w:r>
        <w:rPr>
          <w:rFonts w:ascii="Times New Roman;serif" w:hAnsi="Times New Roman;serif"/>
          <w:b w:val="false"/>
          <w:color w:val="000000"/>
          <w:sz w:val="24"/>
        </w:rPr>
        <w:t>Senior Notes due</w:t>
      </w:r>
      <w:r>
        <w:rPr>
          <w:color w:val="000000"/>
        </w:rPr>
        <w:t xml:space="preserve"> </w:t>
      </w:r>
      <w:r>
        <w:rPr>
          <w:rFonts w:ascii="Times New Roman;serif" w:hAnsi="Times New Roman;serif"/>
          <w:b w:val="false"/>
          <w:color w:val="000000"/>
          <w:sz w:val="24"/>
        </w:rPr>
        <w:t>2031</w:t>
      </w:r>
      <w:r>
        <w:rPr>
          <w:color w:val="000000"/>
        </w:rPr>
        <w:t>    </w:t>
      </w:r>
      <w:r>
        <w:rPr>
          <w:rFonts w:ascii="Times New Roman;serif" w:hAnsi="Times New Roman;serif"/>
          <w:b w:val="false"/>
          <w:color w:val="000000"/>
          <w:sz w:val="24"/>
        </w:rPr>
        <w:t>CUSIP/ISIN: [●]</w:t>
      </w:r>
    </w:p>
    <w:p>
      <w:pPr>
        <w:pStyle w:val="TextBody"/>
        <w:bidi w:val="0"/>
        <w:spacing w:lineRule="auto" w:line="288" w:before="0" w:after="240"/>
        <w:jc w:val="left"/>
        <w:rPr/>
      </w:pPr>
      <w:r>
        <w:rPr>
          <w:rFonts w:ascii="Times New Roman;serif" w:hAnsi="Times New Roman;serif"/>
          <w:b w:val="false"/>
          <w:color w:val="000000"/>
          <w:sz w:val="24"/>
        </w:rPr>
        <w:t>No.</w:t>
      </w:r>
      <w:r>
        <w:rPr>
          <w:color w:val="000000"/>
        </w:rPr>
        <w:t xml:space="preserve"> </w:t>
      </w:r>
      <w:r>
        <w:rPr>
          <w:rFonts w:ascii="Times New Roman;serif" w:hAnsi="Times New Roman;serif"/>
          <w:b w:val="false"/>
          <w:color w:val="000000"/>
          <w:sz w:val="24"/>
        </w:rPr>
        <w:t>[●]</w:t>
      </w:r>
    </w:p>
    <w:p>
      <w:pPr>
        <w:pStyle w:val="TextBody"/>
        <w:bidi w:val="0"/>
        <w:spacing w:lineRule="auto" w:line="240" w:before="0" w:after="240"/>
        <w:jc w:val="center"/>
        <w:rPr/>
      </w:pPr>
      <w:r>
        <w:rPr>
          <w:rFonts w:ascii="Times New Roman;serif" w:hAnsi="Times New Roman;serif"/>
          <w:b/>
          <w:color w:val="000000"/>
          <w:sz w:val="24"/>
        </w:rPr>
        <w:t>Talen Energy Supply,</w:t>
      </w:r>
      <w:r>
        <w:rPr>
          <w:color w:val="000000"/>
        </w:rPr>
        <w:t xml:space="preserve"> </w:t>
      </w:r>
      <w:r>
        <w:rPr>
          <w:rFonts w:ascii="Times New Roman;serif" w:hAnsi="Times New Roman;serif"/>
          <w:b/>
          <w:color w:val="000000"/>
          <w:sz w:val="24"/>
        </w:rPr>
        <w:t>LLC</w:t>
      </w:r>
    </w:p>
    <w:p>
      <w:pPr>
        <w:pStyle w:val="TextBody"/>
        <w:bidi w:val="0"/>
        <w:spacing w:lineRule="auto" w:line="288" w:before="0" w:after="240"/>
        <w:jc w:val="left"/>
        <w:rPr/>
      </w:pPr>
      <w:r>
        <w:rPr>
          <w:rFonts w:ascii="Times New Roman;serif" w:hAnsi="Times New Roman;serif"/>
          <w:b w:val="false"/>
          <w:color w:val="000000"/>
          <w:sz w:val="24"/>
        </w:rPr>
        <w:t>promises</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pay</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CEDE</w:t>
      </w:r>
      <w:r>
        <w:rPr>
          <w:color w:val="000000"/>
        </w:rPr>
        <w:t xml:space="preserve"> </w:t>
      </w:r>
      <w:r>
        <w:rPr>
          <w:rFonts w:ascii="Times New Roman;serif" w:hAnsi="Times New Roman;serif"/>
          <w:b w:val="false"/>
          <w:color w:val="000000"/>
          <w:sz w:val="24"/>
        </w:rPr>
        <w:t>&amp;</w:t>
      </w:r>
      <w:r>
        <w:rPr>
          <w:color w:val="000000"/>
        </w:rPr>
        <w:t xml:space="preserve"> </w:t>
      </w:r>
      <w:r>
        <w:rPr>
          <w:rFonts w:ascii="Times New Roman;serif" w:hAnsi="Times New Roman;serif"/>
          <w:b w:val="false"/>
          <w:color w:val="000000"/>
          <w:sz w:val="24"/>
        </w:rPr>
        <w:t>CO.,</w:t>
      </w:r>
      <w:r>
        <w:rPr>
          <w:color w:val="000000"/>
        </w:rPr>
        <w:t xml:space="preserve"> </w:t>
      </w:r>
      <w:r>
        <w:rPr>
          <w:rFonts w:ascii="Times New Roman;serif" w:hAnsi="Times New Roman;serif"/>
          <w:b w:val="false"/>
          <w:color w:val="000000"/>
          <w:sz w:val="24"/>
        </w:rPr>
        <w:t>INC.</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registered</w:t>
      </w:r>
      <w:r>
        <w:rPr>
          <w:color w:val="000000"/>
        </w:rPr>
        <w:t xml:space="preserve"> </w:t>
      </w:r>
      <w:r>
        <w:rPr>
          <w:rFonts w:ascii="Times New Roman;serif" w:hAnsi="Times New Roman;serif"/>
          <w:b w:val="false"/>
          <w:color w:val="000000"/>
          <w:sz w:val="24"/>
        </w:rPr>
        <w:t>assigns,</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principal</w:t>
      </w:r>
      <w:r>
        <w:rPr>
          <w:color w:val="000000"/>
        </w:rPr>
        <w:t xml:space="preserve"> </w:t>
      </w:r>
      <w:r>
        <w:rPr>
          <w:rFonts w:ascii="Times New Roman;serif" w:hAnsi="Times New Roman;serif"/>
          <w:b w:val="false"/>
          <w:color w:val="000000"/>
          <w:sz w:val="24"/>
        </w:rPr>
        <w:t>sum</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Dollars</w:t>
      </w:r>
      <w:r>
        <w:rPr>
          <w:color w:val="000000"/>
        </w:rPr>
        <w:t xml:space="preserve"> </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on</w:t>
      </w:r>
      <w:r>
        <w:rPr>
          <w:color w:val="000000"/>
        </w:rPr>
        <w:t xml:space="preserve"> </w:t>
      </w:r>
      <w:r>
        <w:rPr>
          <w:rFonts w:ascii="Times New Roman;serif" w:hAnsi="Times New Roman;serif"/>
          <w:b w:val="false"/>
          <w:color w:val="000000"/>
          <w:sz w:val="24"/>
        </w:rPr>
        <w:t>May 1, 2031.</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 xml:space="preserve">Interest Payment Dates: May 1 and November 1 </w:t>
      </w:r>
    </w:p>
    <w:p>
      <w:pPr>
        <w:pStyle w:val="TextBody"/>
        <w:bidi w:val="0"/>
        <w:spacing w:lineRule="auto" w:line="288" w:before="0" w:after="240"/>
        <w:jc w:val="left"/>
        <w:rPr/>
      </w:pPr>
      <w:r>
        <w:rPr>
          <w:rFonts w:ascii="Times New Roman;serif" w:hAnsi="Times New Roman;serif"/>
          <w:b w:val="false"/>
          <w:color w:val="000000"/>
          <w:sz w:val="24"/>
        </w:rPr>
        <w:t>Record</w:t>
      </w:r>
      <w:r>
        <w:rPr>
          <w:color w:val="000000"/>
        </w:rPr>
        <w:t xml:space="preserve"> </w:t>
      </w:r>
      <w:r>
        <w:rPr>
          <w:rFonts w:ascii="Times New Roman;serif" w:hAnsi="Times New Roman;serif"/>
          <w:b w:val="false"/>
          <w:color w:val="000000"/>
          <w:sz w:val="24"/>
        </w:rPr>
        <w:t>Dates:</w:t>
      </w:r>
      <w:r>
        <w:rPr>
          <w:color w:val="000000"/>
        </w:rPr>
        <w:t xml:space="preserve"> </w:t>
      </w:r>
      <w:r>
        <w:rPr>
          <w:rFonts w:ascii="Times New Roman;serif" w:hAnsi="Times New Roman;serif"/>
          <w:b w:val="false"/>
          <w:color w:val="000000"/>
          <w:sz w:val="24"/>
        </w:rPr>
        <w:t>April 15 and October 15</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Dated:    _______________ , 20[●]</w:t>
      </w:r>
    </w:p>
    <w:p>
      <w:pPr>
        <w:pStyle w:val="TextBody"/>
        <w:bidi w:val="0"/>
        <w:spacing w:before="0" w:after="0"/>
        <w:jc w:val="left"/>
        <w:rPr/>
      </w:pPr>
      <w:r>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480175" cy="175260"/>
                <wp:effectExtent l="0" t="0" r="0" b="0"/>
                <wp:wrapNone/>
                <wp:docPr id="144" name="Frame14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A-1</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WITNESS</w:t>
      </w:r>
      <w:r>
        <w:rPr>
          <w:color w:val="000000"/>
        </w:rPr>
        <w:t xml:space="preserve"> </w:t>
      </w:r>
      <w:r>
        <w:rPr>
          <w:rFonts w:ascii="Times New Roman;serif" w:hAnsi="Times New Roman;serif"/>
          <w:b w:val="false"/>
          <w:color w:val="000000"/>
          <w:sz w:val="24"/>
        </w:rPr>
        <w:t>WHEREOF,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Issuer</w:t>
      </w:r>
      <w:r>
        <w:rPr>
          <w:color w:val="000000"/>
        </w:rPr>
        <w:t xml:space="preserve"> </w:t>
      </w:r>
      <w:r>
        <w:rPr>
          <w:rFonts w:ascii="Times New Roman;serif" w:hAnsi="Times New Roman;serif"/>
          <w:b w:val="false"/>
          <w:color w:val="000000"/>
          <w:sz w:val="24"/>
        </w:rPr>
        <w:t>has</w:t>
      </w:r>
      <w:r>
        <w:rPr>
          <w:color w:val="000000"/>
        </w:rPr>
        <w:t xml:space="preserve"> </w:t>
      </w:r>
      <w:r>
        <w:rPr>
          <w:rFonts w:ascii="Times New Roman;serif" w:hAnsi="Times New Roman;serif"/>
          <w:b w:val="false"/>
          <w:color w:val="000000"/>
          <w:sz w:val="24"/>
        </w:rPr>
        <w:t>caused</w:t>
      </w:r>
      <w:r>
        <w:rPr>
          <w:color w:val="000000"/>
        </w:rPr>
        <w:t xml:space="preserve"> </w:t>
      </w:r>
      <w:r>
        <w:rPr>
          <w:rFonts w:ascii="Times New Roman;serif" w:hAnsi="Times New Roman;serif"/>
          <w:b w:val="false"/>
          <w:color w:val="000000"/>
          <w:sz w:val="24"/>
        </w:rPr>
        <w:t>this</w:t>
      </w:r>
      <w:r>
        <w:rPr>
          <w:color w:val="000000"/>
        </w:rPr>
        <w:t xml:space="preserve"> </w:t>
      </w:r>
      <w:r>
        <w:rPr>
          <w:rFonts w:ascii="Times New Roman;serif" w:hAnsi="Times New Roman;serif"/>
          <w:b w:val="false"/>
          <w:color w:val="000000"/>
          <w:sz w:val="24"/>
        </w:rPr>
        <w:t>Note</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be</w:t>
      </w:r>
      <w:r>
        <w:rPr>
          <w:color w:val="000000"/>
        </w:rPr>
        <w:t xml:space="preserve"> </w:t>
      </w:r>
      <w:r>
        <w:rPr>
          <w:rFonts w:ascii="Times New Roman;serif" w:hAnsi="Times New Roman;serif"/>
          <w:b w:val="false"/>
          <w:color w:val="000000"/>
          <w:sz w:val="24"/>
        </w:rPr>
        <w:t>duly</w:t>
      </w:r>
      <w:r>
        <w:rPr>
          <w:color w:val="000000"/>
        </w:rPr>
        <w:t xml:space="preserve"> </w:t>
      </w:r>
      <w:r>
        <w:rPr>
          <w:rFonts w:ascii="Times New Roman;serif" w:hAnsi="Times New Roman;serif"/>
          <w:b w:val="false"/>
          <w:color w:val="000000"/>
          <w:sz w:val="24"/>
        </w:rPr>
        <w:t>signed</w:t>
      </w:r>
      <w:r>
        <w:rPr>
          <w:color w:val="000000"/>
        </w:rPr>
        <w:t xml:space="preserve"> </w:t>
      </w:r>
      <w:r>
        <w:rPr>
          <w:rFonts w:ascii="Times New Roman;serif" w:hAnsi="Times New Roman;serif"/>
          <w:b w:val="false"/>
          <w:color w:val="000000"/>
          <w:sz w:val="24"/>
        </w:rPr>
        <w:t>below.</w:t>
      </w:r>
    </w:p>
    <w:p>
      <w:pPr>
        <w:pStyle w:val="TextBody"/>
        <w:bidi w:val="0"/>
        <w:spacing w:lineRule="auto" w:line="288" w:before="0" w:after="240"/>
        <w:jc w:val="left"/>
        <w:rPr>
          <w:rFonts w:ascii="Times New Roman;serif" w:hAnsi="Times New Roman;serif"/>
          <w:b/>
          <w:color w:val="000000"/>
          <w:sz w:val="24"/>
        </w:rPr>
      </w:pPr>
      <w:r>
        <w:rPr>
          <w:rFonts w:ascii="Times New Roman;serif" w:hAnsi="Times New Roman;serif"/>
          <w:b/>
          <w:color w:val="000000"/>
          <w:sz w:val="24"/>
        </w:rPr>
        <w:t>TALEN ENERGY SUPPLY, LLC</w:t>
      </w:r>
    </w:p>
    <w:p>
      <w:pPr>
        <w:pStyle w:val="TextBody"/>
        <w:bidi w:val="0"/>
        <w:spacing w:lineRule="auto" w:line="288" w:before="0" w:after="240"/>
        <w:jc w:val="left"/>
        <w:rPr/>
      </w:pPr>
      <w:r>
        <w:rPr>
          <w:rFonts w:ascii="Times New Roman;serif" w:hAnsi="Times New Roman;serif"/>
          <w:b w:val="false"/>
          <w:color w:val="000000"/>
          <w:sz w:val="24"/>
        </w:rPr>
        <w:t>By:    </w:t>
      </w:r>
      <w:r>
        <w:rPr>
          <w:color w:val="000000"/>
          <w:u w:val="single"/>
        </w:rPr>
        <w:t>        </w:t>
      </w:r>
      <w:r>
        <w:rPr>
          <w:rFonts w:ascii="Times New Roman;serif" w:hAnsi="Times New Roman;serif"/>
          <w:b w:val="false"/>
          <w:color w:val="000000"/>
          <w:sz w:val="24"/>
          <w:u w:val="single"/>
        </w:rPr>
        <w:br/>
      </w:r>
      <w:r>
        <w:rPr>
          <w:color w:val="000000"/>
        </w:rPr>
        <w:t>    </w:t>
      </w:r>
      <w:r>
        <w:rPr>
          <w:rFonts w:ascii="Times New Roman;serif" w:hAnsi="Times New Roman;serif"/>
          <w:b w:val="false"/>
          <w:color w:val="000000"/>
          <w:sz w:val="24"/>
        </w:rPr>
        <w:t>Name:    </w:t>
        <w:br/>
        <w:t>    Title:    </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Dated:    </w:t>
      </w:r>
    </w:p>
    <w:p>
      <w:pPr>
        <w:pStyle w:val="TextBody"/>
        <w:bidi w:val="0"/>
        <w:spacing w:lineRule="auto" w:line="288" w:before="0" w:after="240"/>
        <w:jc w:val="left"/>
        <w:rPr/>
      </w:pPr>
      <w:r>
        <w:rPr>
          <w:rFonts w:ascii="Times New Roman;serif" w:hAnsi="Times New Roman;serif"/>
          <w:b/>
          <w:color w:val="000000"/>
          <w:sz w:val="24"/>
        </w:rPr>
        <w:t>WILMINGTON SAVINGS FUND SOCIETY, FSB</w:t>
      </w:r>
      <w:r>
        <w:rPr>
          <w:rFonts w:ascii="Times New Roman;serif" w:hAnsi="Times New Roman;serif"/>
          <w:b w:val="false"/>
          <w:color w:val="000000"/>
          <w:sz w:val="24"/>
        </w:rPr>
        <w:t>,</w:t>
      </w:r>
      <w:r>
        <w:rPr>
          <w:color w:val="000000"/>
        </w:rPr>
        <w:t xml:space="preserve"> </w:t>
      </w:r>
      <w:r>
        <w:rPr>
          <w:rFonts w:ascii="Times New Roman;serif" w:hAnsi="Times New Roman;serif"/>
          <w:b/>
          <w:color w:val="000000"/>
          <w:sz w:val="24"/>
        </w:rPr>
        <w:br/>
      </w:r>
      <w:r>
        <w:rPr>
          <w:rFonts w:ascii="Times New Roman;serif" w:hAnsi="Times New Roman;serif"/>
          <w:b w:val="false"/>
          <w:color w:val="000000"/>
          <w:sz w:val="24"/>
        </w:rPr>
        <w:t>as Trustee certifies that this is one of the Notes described</w:t>
      </w:r>
      <w:r>
        <w:rPr>
          <w:color w:val="000000"/>
        </w:rPr>
        <w:t xml:space="preserve"> </w:t>
      </w:r>
      <w:r>
        <w:rPr>
          <w:rFonts w:ascii="Times New Roman;serif" w:hAnsi="Times New Roman;serif"/>
          <w:b w:val="false"/>
          <w:color w:val="000000"/>
          <w:sz w:val="24"/>
        </w:rPr>
        <w:t>in the within-named Indenture.</w:t>
      </w:r>
    </w:p>
    <w:p>
      <w:pPr>
        <w:pStyle w:val="TextBody"/>
        <w:bidi w:val="0"/>
        <w:spacing w:lineRule="auto" w:line="288"/>
        <w:jc w:val="left"/>
        <w:rPr/>
      </w:pPr>
      <w:r>
        <w:rPr>
          <w:rFonts w:ascii="Times New Roman;serif" w:hAnsi="Times New Roman;serif"/>
          <w:b w:val="false"/>
          <w:color w:val="000000"/>
          <w:sz w:val="24"/>
        </w:rPr>
        <w:t>By:    </w:t>
      </w:r>
      <w:r>
        <w:rPr>
          <w:color w:val="000000"/>
          <w:u w:val="single"/>
        </w:rPr>
        <w:t>                        </w:t>
      </w:r>
      <w:r>
        <w:rPr>
          <w:rFonts w:ascii="Times New Roman;serif" w:hAnsi="Times New Roman;serif"/>
          <w:b w:val="false"/>
          <w:color w:val="000000"/>
          <w:sz w:val="24"/>
          <w:u w:val="single"/>
        </w:rPr>
        <w:br/>
      </w:r>
      <w:r>
        <w:rPr>
          <w:rFonts w:ascii="Times New Roman;serif" w:hAnsi="Times New Roman;serif"/>
          <w:b w:val="false"/>
          <w:color w:val="000000"/>
          <w:sz w:val="24"/>
        </w:rPr>
        <w:t>Name:    </w:t>
        <w:br/>
        <w:t>Title:    </w:t>
      </w:r>
    </w:p>
    <w:p>
      <w:pPr>
        <w:pStyle w:val="TextBody"/>
        <w:bidi w:val="0"/>
        <w:spacing w:before="0" w:after="0"/>
        <w:jc w:val="left"/>
        <w:rPr/>
      </w:pPr>
      <w:r>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480175" cy="175260"/>
                <wp:effectExtent l="0" t="0" r="0" b="0"/>
                <wp:wrapNone/>
                <wp:docPr id="145" name="Frame1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A-2</w:t>
                      </w:r>
                    </w:p>
                  </w:txbxContent>
                </v:textbox>
                <w10:wrap type="none"/>
              </v:rect>
            </w:pict>
          </mc:Fallback>
        </mc:AlternateContent>
      </w:r>
    </w:p>
    <w:p>
      <w:pPr>
        <w:pStyle w:val="TextBody"/>
        <w:bidi w:val="0"/>
        <w:spacing w:lineRule="auto" w:line="240" w:before="0" w:after="240"/>
        <w:jc w:val="center"/>
        <w:rPr/>
      </w:pPr>
      <w:r>
        <w:rPr>
          <w:rFonts w:ascii="Times New Roman;serif" w:hAnsi="Times New Roman;serif"/>
          <w:b/>
          <w:color w:val="000000"/>
          <w:sz w:val="24"/>
        </w:rPr>
        <w:t>[BACK</w:t>
      </w:r>
      <w:r>
        <w:rPr>
          <w:color w:val="000000"/>
        </w:rPr>
        <w:t xml:space="preserve"> </w:t>
      </w:r>
      <w:r>
        <w:rPr>
          <w:rFonts w:ascii="Times New Roman;serif" w:hAnsi="Times New Roman;serif"/>
          <w:b/>
          <w:color w:val="000000"/>
          <w:sz w:val="24"/>
        </w:rPr>
        <w:t>OF</w:t>
      </w:r>
      <w:r>
        <w:rPr>
          <w:color w:val="000000"/>
        </w:rPr>
        <w:t xml:space="preserve"> </w:t>
      </w:r>
      <w:r>
        <w:rPr>
          <w:rFonts w:ascii="Times New Roman;serif" w:hAnsi="Times New Roman;serif"/>
          <w:b/>
          <w:color w:val="000000"/>
          <w:sz w:val="24"/>
        </w:rPr>
        <w:t>NOTE]</w:t>
      </w:r>
    </w:p>
    <w:p>
      <w:pPr>
        <w:pStyle w:val="TextBody"/>
        <w:bidi w:val="0"/>
        <w:spacing w:lineRule="auto" w:line="240" w:before="0" w:after="240"/>
        <w:jc w:val="center"/>
        <w:rPr/>
      </w:pPr>
      <w:r>
        <w:rPr>
          <w:rFonts w:ascii="Times New Roman;serif" w:hAnsi="Times New Roman;serif"/>
          <w:b/>
          <w:color w:val="000000"/>
          <w:sz w:val="24"/>
        </w:rPr>
        <w:t>6.125%</w:t>
      </w:r>
      <w:r>
        <w:rPr>
          <w:color w:val="000000"/>
        </w:rPr>
        <w:t xml:space="preserve"> </w:t>
      </w:r>
      <w:r>
        <w:rPr>
          <w:rFonts w:ascii="Times New Roman;serif" w:hAnsi="Times New Roman;serif"/>
          <w:b/>
          <w:color w:val="000000"/>
          <w:sz w:val="24"/>
        </w:rPr>
        <w:t>Senior</w:t>
      </w:r>
      <w:r>
        <w:rPr>
          <w:color w:val="000000"/>
        </w:rPr>
        <w:t xml:space="preserve"> </w:t>
      </w:r>
      <w:r>
        <w:rPr>
          <w:rFonts w:ascii="Times New Roman;serif" w:hAnsi="Times New Roman;serif"/>
          <w:b/>
          <w:color w:val="000000"/>
          <w:sz w:val="24"/>
        </w:rPr>
        <w:t>Notes</w:t>
      </w:r>
      <w:r>
        <w:rPr>
          <w:color w:val="000000"/>
        </w:rPr>
        <w:t xml:space="preserve"> </w:t>
      </w:r>
      <w:r>
        <w:rPr>
          <w:rFonts w:ascii="Times New Roman;serif" w:hAnsi="Times New Roman;serif"/>
          <w:b/>
          <w:color w:val="000000"/>
          <w:sz w:val="24"/>
        </w:rPr>
        <w:t>due</w:t>
      </w:r>
      <w:r>
        <w:rPr>
          <w:color w:val="000000"/>
        </w:rPr>
        <w:t xml:space="preserve"> </w:t>
      </w:r>
      <w:r>
        <w:rPr>
          <w:rFonts w:ascii="Times New Roman;serif" w:hAnsi="Times New Roman;serif"/>
          <w:b/>
          <w:color w:val="000000"/>
          <w:sz w:val="24"/>
        </w:rPr>
        <w:t>2031</w:t>
      </w:r>
    </w:p>
    <w:p>
      <w:pPr>
        <w:pStyle w:val="TextBody"/>
        <w:bidi w:val="0"/>
        <w:spacing w:lineRule="auto" w:line="288" w:before="0" w:after="240"/>
        <w:jc w:val="left"/>
        <w:rPr/>
      </w:pPr>
      <w:r>
        <w:rPr>
          <w:rFonts w:ascii="Times New Roman;serif" w:hAnsi="Times New Roman;serif"/>
          <w:b w:val="false"/>
          <w:i/>
          <w:color w:val="000000"/>
          <w:sz w:val="24"/>
        </w:rPr>
        <w:t>[Insert</w:t>
      </w:r>
      <w:r>
        <w:rPr>
          <w:color w:val="000000"/>
        </w:rPr>
        <w:t xml:space="preserve"> </w:t>
      </w:r>
      <w:r>
        <w:rPr>
          <w:rFonts w:ascii="Times New Roman;serif" w:hAnsi="Times New Roman;serif"/>
          <w:b w:val="false"/>
          <w:i/>
          <w:color w:val="000000"/>
          <w:sz w:val="24"/>
        </w:rPr>
        <w:t>the</w:t>
      </w:r>
      <w:r>
        <w:rPr>
          <w:color w:val="000000"/>
        </w:rPr>
        <w:t xml:space="preserve"> </w:t>
      </w:r>
      <w:r>
        <w:rPr>
          <w:rFonts w:ascii="Times New Roman;serif" w:hAnsi="Times New Roman;serif"/>
          <w:b w:val="false"/>
          <w:i/>
          <w:color w:val="000000"/>
          <w:sz w:val="24"/>
        </w:rPr>
        <w:t>Global</w:t>
      </w:r>
      <w:r>
        <w:rPr>
          <w:color w:val="000000"/>
        </w:rPr>
        <w:t xml:space="preserve"> </w:t>
      </w:r>
      <w:r>
        <w:rPr>
          <w:rFonts w:ascii="Times New Roman;serif" w:hAnsi="Times New Roman;serif"/>
          <w:b w:val="false"/>
          <w:i/>
          <w:color w:val="000000"/>
          <w:sz w:val="24"/>
        </w:rPr>
        <w:t>Note</w:t>
      </w:r>
      <w:r>
        <w:rPr>
          <w:color w:val="000000"/>
        </w:rPr>
        <w:t xml:space="preserve"> </w:t>
      </w:r>
      <w:r>
        <w:rPr>
          <w:rFonts w:ascii="Times New Roman;serif" w:hAnsi="Times New Roman;serif"/>
          <w:b w:val="false"/>
          <w:i/>
          <w:color w:val="000000"/>
          <w:sz w:val="24"/>
        </w:rPr>
        <w:t>Legend,</w:t>
      </w:r>
      <w:r>
        <w:rPr>
          <w:color w:val="000000"/>
        </w:rPr>
        <w:t xml:space="preserve"> </w:t>
      </w:r>
      <w:r>
        <w:rPr>
          <w:rFonts w:ascii="Times New Roman;serif" w:hAnsi="Times New Roman;serif"/>
          <w:b w:val="false"/>
          <w:i/>
          <w:color w:val="000000"/>
          <w:sz w:val="24"/>
        </w:rPr>
        <w:t>if</w:t>
      </w:r>
      <w:r>
        <w:rPr>
          <w:color w:val="000000"/>
        </w:rPr>
        <w:t xml:space="preserve"> </w:t>
      </w:r>
      <w:r>
        <w:rPr>
          <w:rFonts w:ascii="Times New Roman;serif" w:hAnsi="Times New Roman;serif"/>
          <w:b w:val="false"/>
          <w:i/>
          <w:color w:val="000000"/>
          <w:sz w:val="24"/>
        </w:rPr>
        <w:t>applicable</w:t>
      </w:r>
      <w:r>
        <w:rPr>
          <w:color w:val="000000"/>
        </w:rPr>
        <w:t xml:space="preserve"> </w:t>
      </w:r>
      <w:r>
        <w:rPr>
          <w:rFonts w:ascii="Times New Roman;serif" w:hAnsi="Times New Roman;serif"/>
          <w:b w:val="false"/>
          <w:i/>
          <w:color w:val="000000"/>
          <w:sz w:val="24"/>
        </w:rPr>
        <w:t>pursuant</w:t>
      </w:r>
      <w:r>
        <w:rPr>
          <w:color w:val="000000"/>
        </w:rPr>
        <w:t xml:space="preserve"> </w:t>
      </w:r>
      <w:r>
        <w:rPr>
          <w:rFonts w:ascii="Times New Roman;serif" w:hAnsi="Times New Roman;serif"/>
          <w:b w:val="false"/>
          <w:i/>
          <w:color w:val="000000"/>
          <w:sz w:val="24"/>
        </w:rPr>
        <w:t>to</w:t>
      </w:r>
      <w:r>
        <w:rPr>
          <w:color w:val="000000"/>
        </w:rPr>
        <w:t xml:space="preserve"> </w:t>
      </w:r>
      <w:r>
        <w:rPr>
          <w:rFonts w:ascii="Times New Roman;serif" w:hAnsi="Times New Roman;serif"/>
          <w:b w:val="false"/>
          <w:i/>
          <w:color w:val="000000"/>
          <w:sz w:val="24"/>
        </w:rPr>
        <w:t>the</w:t>
      </w:r>
      <w:r>
        <w:rPr>
          <w:color w:val="000000"/>
        </w:rPr>
        <w:t xml:space="preserve"> </w:t>
      </w:r>
      <w:r>
        <w:rPr>
          <w:rFonts w:ascii="Times New Roman;serif" w:hAnsi="Times New Roman;serif"/>
          <w:b w:val="false"/>
          <w:i/>
          <w:color w:val="000000"/>
          <w:sz w:val="24"/>
        </w:rPr>
        <w:t>provisions</w:t>
      </w:r>
      <w:r>
        <w:rPr>
          <w:color w:val="000000"/>
        </w:rPr>
        <w:t xml:space="preserve"> </w:t>
      </w:r>
      <w:r>
        <w:rPr>
          <w:rFonts w:ascii="Times New Roman;serif" w:hAnsi="Times New Roman;serif"/>
          <w:b w:val="false"/>
          <w:i/>
          <w:color w:val="000000"/>
          <w:sz w:val="24"/>
        </w:rPr>
        <w:t>of</w:t>
      </w:r>
      <w:r>
        <w:rPr>
          <w:color w:val="000000"/>
        </w:rPr>
        <w:t xml:space="preserve"> </w:t>
      </w:r>
      <w:r>
        <w:rPr>
          <w:rFonts w:ascii="Times New Roman;serif" w:hAnsi="Times New Roman;serif"/>
          <w:b w:val="false"/>
          <w:i/>
          <w:color w:val="000000"/>
          <w:sz w:val="24"/>
        </w:rPr>
        <w:t>the</w:t>
      </w:r>
      <w:r>
        <w:rPr>
          <w:color w:val="000000"/>
        </w:rPr>
        <w:t xml:space="preserve"> </w:t>
      </w:r>
      <w:r>
        <w:rPr>
          <w:rFonts w:ascii="Times New Roman;serif" w:hAnsi="Times New Roman;serif"/>
          <w:b w:val="false"/>
          <w:i/>
          <w:color w:val="000000"/>
          <w:sz w:val="24"/>
        </w:rPr>
        <w:t>Indenture]</w:t>
      </w:r>
      <w:r>
        <w:rPr>
          <w:color w:val="000000"/>
        </w:rPr>
        <w:t xml:space="preserve"> </w:t>
      </w:r>
    </w:p>
    <w:p>
      <w:pPr>
        <w:pStyle w:val="TextBody"/>
        <w:bidi w:val="0"/>
        <w:spacing w:lineRule="auto" w:line="288" w:before="0" w:after="240"/>
        <w:jc w:val="left"/>
        <w:rPr>
          <w:rFonts w:ascii="Times New Roman;serif" w:hAnsi="Times New Roman;serif"/>
          <w:b w:val="false"/>
          <w:i/>
          <w:color w:val="000000"/>
          <w:sz w:val="24"/>
        </w:rPr>
      </w:pPr>
      <w:r>
        <w:rPr>
          <w:rFonts w:ascii="Times New Roman;serif" w:hAnsi="Times New Roman;serif"/>
          <w:b w:val="false"/>
          <w:i/>
          <w:color w:val="000000"/>
          <w:sz w:val="24"/>
        </w:rPr>
        <w:t>[Insert the Private Placement Legend, if applicable pursuant to the provisions of the Indenture]</w:t>
      </w:r>
    </w:p>
    <w:p>
      <w:pPr>
        <w:pStyle w:val="TextBody"/>
        <w:bidi w:val="0"/>
        <w:spacing w:lineRule="auto" w:line="288" w:before="0" w:after="240"/>
        <w:jc w:val="left"/>
        <w:rPr/>
      </w:pPr>
      <w:r>
        <w:rPr>
          <w:rFonts w:ascii="Times New Roman;serif" w:hAnsi="Times New Roman;serif"/>
          <w:b w:val="false"/>
          <w:i/>
          <w:color w:val="000000"/>
          <w:sz w:val="24"/>
        </w:rPr>
        <w:t>[Insert</w:t>
      </w:r>
      <w:r>
        <w:rPr>
          <w:color w:val="000000"/>
        </w:rPr>
        <w:t xml:space="preserve"> </w:t>
      </w:r>
      <w:r>
        <w:rPr>
          <w:rFonts w:ascii="Times New Roman;serif" w:hAnsi="Times New Roman;serif"/>
          <w:b w:val="false"/>
          <w:i/>
          <w:color w:val="000000"/>
          <w:sz w:val="24"/>
        </w:rPr>
        <w:t>the</w:t>
      </w:r>
      <w:r>
        <w:rPr>
          <w:color w:val="000000"/>
        </w:rPr>
        <w:t xml:space="preserve"> </w:t>
      </w:r>
      <w:r>
        <w:rPr>
          <w:rFonts w:ascii="Times New Roman;serif" w:hAnsi="Times New Roman;serif"/>
          <w:b w:val="false"/>
          <w:i/>
          <w:color w:val="000000"/>
          <w:sz w:val="24"/>
        </w:rPr>
        <w:t>Regulation</w:t>
      </w:r>
      <w:r>
        <w:rPr>
          <w:color w:val="000000"/>
        </w:rPr>
        <w:t xml:space="preserve"> </w:t>
      </w:r>
      <w:r>
        <w:rPr>
          <w:rFonts w:ascii="Times New Roman;serif" w:hAnsi="Times New Roman;serif"/>
          <w:b w:val="false"/>
          <w:i/>
          <w:color w:val="000000"/>
          <w:sz w:val="24"/>
        </w:rPr>
        <w:t>S</w:t>
      </w:r>
      <w:r>
        <w:rPr>
          <w:color w:val="000000"/>
        </w:rPr>
        <w:t xml:space="preserve"> </w:t>
      </w:r>
      <w:r>
        <w:rPr>
          <w:rFonts w:ascii="Times New Roman;serif" w:hAnsi="Times New Roman;serif"/>
          <w:b w:val="false"/>
          <w:i/>
          <w:color w:val="000000"/>
          <w:sz w:val="24"/>
        </w:rPr>
        <w:t>Temporary</w:t>
      </w:r>
      <w:r>
        <w:rPr>
          <w:color w:val="000000"/>
        </w:rPr>
        <w:t xml:space="preserve"> </w:t>
      </w:r>
      <w:r>
        <w:rPr>
          <w:rFonts w:ascii="Times New Roman;serif" w:hAnsi="Times New Roman;serif"/>
          <w:b w:val="false"/>
          <w:i/>
          <w:color w:val="000000"/>
          <w:sz w:val="24"/>
        </w:rPr>
        <w:t>Global</w:t>
      </w:r>
      <w:r>
        <w:rPr>
          <w:color w:val="000000"/>
        </w:rPr>
        <w:t xml:space="preserve"> </w:t>
      </w:r>
      <w:r>
        <w:rPr>
          <w:rFonts w:ascii="Times New Roman;serif" w:hAnsi="Times New Roman;serif"/>
          <w:b w:val="false"/>
          <w:i/>
          <w:color w:val="000000"/>
          <w:sz w:val="24"/>
        </w:rPr>
        <w:t>Note</w:t>
      </w:r>
      <w:r>
        <w:rPr>
          <w:color w:val="000000"/>
        </w:rPr>
        <w:t xml:space="preserve"> </w:t>
      </w:r>
      <w:r>
        <w:rPr>
          <w:rFonts w:ascii="Times New Roman;serif" w:hAnsi="Times New Roman;serif"/>
          <w:b w:val="false"/>
          <w:i/>
          <w:color w:val="000000"/>
          <w:sz w:val="24"/>
        </w:rPr>
        <w:t>Placement</w:t>
      </w:r>
      <w:r>
        <w:rPr>
          <w:color w:val="000000"/>
        </w:rPr>
        <w:t xml:space="preserve"> </w:t>
      </w:r>
      <w:r>
        <w:rPr>
          <w:rFonts w:ascii="Times New Roman;serif" w:hAnsi="Times New Roman;serif"/>
          <w:b w:val="false"/>
          <w:i/>
          <w:color w:val="000000"/>
          <w:sz w:val="24"/>
        </w:rPr>
        <w:t>Legend,</w:t>
      </w:r>
      <w:r>
        <w:rPr>
          <w:color w:val="000000"/>
        </w:rPr>
        <w:t xml:space="preserve"> </w:t>
      </w:r>
      <w:r>
        <w:rPr>
          <w:rFonts w:ascii="Times New Roman;serif" w:hAnsi="Times New Roman;serif"/>
          <w:b w:val="false"/>
          <w:i/>
          <w:color w:val="000000"/>
          <w:sz w:val="24"/>
        </w:rPr>
        <w:t>if</w:t>
      </w:r>
      <w:r>
        <w:rPr>
          <w:color w:val="000000"/>
        </w:rPr>
        <w:t xml:space="preserve"> </w:t>
      </w:r>
      <w:r>
        <w:rPr>
          <w:rFonts w:ascii="Times New Roman;serif" w:hAnsi="Times New Roman;serif"/>
          <w:b w:val="false"/>
          <w:i/>
          <w:color w:val="000000"/>
          <w:sz w:val="24"/>
        </w:rPr>
        <w:t>applicable</w:t>
      </w:r>
      <w:r>
        <w:rPr>
          <w:color w:val="000000"/>
        </w:rPr>
        <w:t xml:space="preserve"> </w:t>
      </w:r>
      <w:r>
        <w:rPr>
          <w:rFonts w:ascii="Times New Roman;serif" w:hAnsi="Times New Roman;serif"/>
          <w:b w:val="false"/>
          <w:i/>
          <w:color w:val="000000"/>
          <w:sz w:val="24"/>
        </w:rPr>
        <w:t>pursuant</w:t>
      </w:r>
      <w:r>
        <w:rPr>
          <w:color w:val="000000"/>
        </w:rPr>
        <w:t xml:space="preserve"> </w:t>
      </w:r>
      <w:r>
        <w:rPr>
          <w:rFonts w:ascii="Times New Roman;serif" w:hAnsi="Times New Roman;serif"/>
          <w:b w:val="false"/>
          <w:i/>
          <w:color w:val="000000"/>
          <w:sz w:val="24"/>
        </w:rPr>
        <w:t>to</w:t>
      </w:r>
      <w:r>
        <w:rPr>
          <w:color w:val="000000"/>
        </w:rPr>
        <w:t xml:space="preserve"> </w:t>
      </w:r>
      <w:r>
        <w:rPr>
          <w:rFonts w:ascii="Times New Roman;serif" w:hAnsi="Times New Roman;serif"/>
          <w:b w:val="false"/>
          <w:i/>
          <w:color w:val="000000"/>
          <w:sz w:val="24"/>
        </w:rPr>
        <w:t>the</w:t>
      </w:r>
      <w:r>
        <w:rPr>
          <w:color w:val="000000"/>
        </w:rPr>
        <w:t xml:space="preserve"> </w:t>
      </w:r>
      <w:r>
        <w:rPr>
          <w:rFonts w:ascii="Times New Roman;serif" w:hAnsi="Times New Roman;serif"/>
          <w:b w:val="false"/>
          <w:i/>
          <w:color w:val="000000"/>
          <w:sz w:val="24"/>
        </w:rPr>
        <w:t>provisions</w:t>
      </w:r>
      <w:r>
        <w:rPr>
          <w:color w:val="000000"/>
        </w:rPr>
        <w:t xml:space="preserve"> </w:t>
      </w:r>
      <w:r>
        <w:rPr>
          <w:rFonts w:ascii="Times New Roman;serif" w:hAnsi="Times New Roman;serif"/>
          <w:b w:val="false"/>
          <w:i/>
          <w:color w:val="000000"/>
          <w:sz w:val="24"/>
        </w:rPr>
        <w:t>of</w:t>
      </w:r>
      <w:r>
        <w:rPr>
          <w:color w:val="000000"/>
        </w:rPr>
        <w:t xml:space="preserve"> </w:t>
      </w:r>
      <w:r>
        <w:rPr>
          <w:rFonts w:ascii="Times New Roman;serif" w:hAnsi="Times New Roman;serif"/>
          <w:b w:val="false"/>
          <w:i/>
          <w:color w:val="000000"/>
          <w:sz w:val="24"/>
        </w:rPr>
        <w:t>the</w:t>
      </w:r>
      <w:r>
        <w:rPr>
          <w:color w:val="000000"/>
        </w:rPr>
        <w:t xml:space="preserve"> </w:t>
      </w:r>
      <w:r>
        <w:rPr>
          <w:rFonts w:ascii="Times New Roman;serif" w:hAnsi="Times New Roman;serif"/>
          <w:b w:val="false"/>
          <w:i/>
          <w:color w:val="000000"/>
          <w:sz w:val="24"/>
        </w:rPr>
        <w:t>Indenture]</w:t>
      </w:r>
    </w:p>
    <w:p>
      <w:pPr>
        <w:pStyle w:val="TextBody"/>
        <w:bidi w:val="0"/>
        <w:spacing w:lineRule="auto" w:line="240" w:before="0" w:after="240"/>
        <w:ind w:left="0" w:right="0" w:firstLine="720"/>
        <w:jc w:val="both"/>
        <w:rPr/>
      </w:pPr>
      <w:r>
        <w:rPr>
          <w:rFonts w:ascii="Times New Roman;serif" w:hAnsi="Times New Roman;serif"/>
          <w:b w:val="false"/>
          <w:color w:val="000000"/>
          <w:sz w:val="24"/>
        </w:rPr>
        <w:t>Capitalized</w:t>
      </w:r>
      <w:r>
        <w:rPr>
          <w:color w:val="000000"/>
        </w:rPr>
        <w:t xml:space="preserve"> </w:t>
      </w:r>
      <w:r>
        <w:rPr>
          <w:rFonts w:ascii="Times New Roman;serif" w:hAnsi="Times New Roman;serif"/>
          <w:b w:val="false"/>
          <w:color w:val="000000"/>
          <w:sz w:val="24"/>
        </w:rPr>
        <w:t>terms</w:t>
      </w:r>
      <w:r>
        <w:rPr>
          <w:color w:val="000000"/>
        </w:rPr>
        <w:t xml:space="preserve"> </w:t>
      </w:r>
      <w:r>
        <w:rPr>
          <w:rFonts w:ascii="Times New Roman;serif" w:hAnsi="Times New Roman;serif"/>
          <w:b w:val="false"/>
          <w:color w:val="000000"/>
          <w:sz w:val="24"/>
        </w:rPr>
        <w:t>used</w:t>
      </w:r>
      <w:r>
        <w:rPr>
          <w:color w:val="000000"/>
        </w:rPr>
        <w:t xml:space="preserve"> </w:t>
      </w:r>
      <w:r>
        <w:rPr>
          <w:rFonts w:ascii="Times New Roman;serif" w:hAnsi="Times New Roman;serif"/>
          <w:b w:val="false"/>
          <w:color w:val="000000"/>
          <w:sz w:val="24"/>
        </w:rPr>
        <w:t>herein</w:t>
      </w:r>
      <w:r>
        <w:rPr>
          <w:color w:val="000000"/>
        </w:rPr>
        <w:t xml:space="preserve"> </w:t>
      </w:r>
      <w:r>
        <w:rPr>
          <w:rFonts w:ascii="Times New Roman;serif" w:hAnsi="Times New Roman;serif"/>
          <w:b w:val="false"/>
          <w:color w:val="000000"/>
          <w:sz w:val="24"/>
        </w:rPr>
        <w:t>have</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meanings</w:t>
      </w:r>
      <w:r>
        <w:rPr>
          <w:color w:val="000000"/>
        </w:rPr>
        <w:t xml:space="preserve"> </w:t>
      </w:r>
      <w:r>
        <w:rPr>
          <w:rFonts w:ascii="Times New Roman;serif" w:hAnsi="Times New Roman;serif"/>
          <w:b w:val="false"/>
          <w:color w:val="000000"/>
          <w:sz w:val="24"/>
        </w:rPr>
        <w:t>assigned</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them</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Indenture</w:t>
      </w:r>
      <w:r>
        <w:rPr>
          <w:color w:val="000000"/>
        </w:rPr>
        <w:t xml:space="preserve"> </w:t>
      </w:r>
      <w:r>
        <w:rPr>
          <w:rFonts w:ascii="Times New Roman;serif" w:hAnsi="Times New Roman;serif"/>
          <w:b w:val="false"/>
          <w:color w:val="000000"/>
          <w:sz w:val="24"/>
        </w:rPr>
        <w:t>referred</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below</w:t>
      </w:r>
      <w:r>
        <w:rPr>
          <w:color w:val="000000"/>
        </w:rPr>
        <w:t xml:space="preserve"> </w:t>
      </w:r>
      <w:r>
        <w:rPr>
          <w:rFonts w:ascii="Times New Roman;serif" w:hAnsi="Times New Roman;serif"/>
          <w:b w:val="false"/>
          <w:color w:val="000000"/>
          <w:sz w:val="24"/>
        </w:rPr>
        <w:t>unless</w:t>
      </w:r>
      <w:r>
        <w:rPr>
          <w:color w:val="000000"/>
        </w:rPr>
        <w:t xml:space="preserve"> </w:t>
      </w:r>
      <w:r>
        <w:rPr>
          <w:rFonts w:ascii="Times New Roman;serif" w:hAnsi="Times New Roman;serif"/>
          <w:b w:val="false"/>
          <w:color w:val="000000"/>
          <w:sz w:val="24"/>
        </w:rPr>
        <w:t>otherwise</w:t>
      </w:r>
      <w:r>
        <w:rPr>
          <w:color w:val="000000"/>
        </w:rPr>
        <w:t xml:space="preserve"> </w:t>
      </w:r>
      <w:r>
        <w:rPr>
          <w:rFonts w:ascii="Times New Roman;serif" w:hAnsi="Times New Roman;serif"/>
          <w:b w:val="false"/>
          <w:color w:val="000000"/>
          <w:sz w:val="24"/>
        </w:rPr>
        <w:t>indicated.</w:t>
      </w:r>
    </w:p>
    <w:p>
      <w:pPr>
        <w:pStyle w:val="TextBody"/>
        <w:bidi w:val="0"/>
        <w:spacing w:lineRule="auto" w:line="240" w:before="0" w:after="240"/>
        <w:ind w:left="0" w:right="0" w:firstLine="720"/>
        <w:jc w:val="both"/>
        <w:rPr/>
      </w:pPr>
      <w:r>
        <w:rPr>
          <w:rFonts w:ascii="Times New Roman;serif" w:hAnsi="Times New Roman;serif"/>
          <w:b w:val="false"/>
          <w:color w:val="000000"/>
          <w:sz w:val="24"/>
        </w:rPr>
        <w:t>1.</w:t>
      </w:r>
      <w:r>
        <w:rPr>
          <w:rFonts w:ascii="Times New Roman;serif" w:hAnsi="Times New Roman;serif"/>
          <w:b w:val="false"/>
          <w:i/>
          <w:color w:val="000000"/>
          <w:sz w:val="24"/>
        </w:rPr>
        <w:t>Interest</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Talen Energy Supply,</w:t>
      </w:r>
      <w:r>
        <w:rPr>
          <w:color w:val="000000"/>
        </w:rPr>
        <w:t xml:space="preserve"> </w:t>
      </w:r>
      <w:r>
        <w:rPr>
          <w:rFonts w:ascii="Times New Roman;serif" w:hAnsi="Times New Roman;serif"/>
          <w:b w:val="false"/>
          <w:color w:val="000000"/>
          <w:sz w:val="24"/>
        </w:rPr>
        <w:t>LLC,</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Delaware</w:t>
      </w:r>
      <w:r>
        <w:rPr>
          <w:color w:val="000000"/>
        </w:rPr>
        <w:t xml:space="preserve"> </w:t>
      </w:r>
      <w:r>
        <w:rPr>
          <w:rFonts w:ascii="Times New Roman;serif" w:hAnsi="Times New Roman;serif"/>
          <w:b w:val="false"/>
          <w:color w:val="000000"/>
          <w:sz w:val="24"/>
        </w:rPr>
        <w:t>limited</w:t>
      </w:r>
      <w:r>
        <w:rPr>
          <w:color w:val="000000"/>
        </w:rPr>
        <w:t xml:space="preserve"> </w:t>
      </w:r>
      <w:r>
        <w:rPr>
          <w:rFonts w:ascii="Times New Roman;serif" w:hAnsi="Times New Roman;serif"/>
          <w:b w:val="false"/>
          <w:color w:val="000000"/>
          <w:sz w:val="24"/>
        </w:rPr>
        <w:t>liability</w:t>
      </w:r>
      <w:r>
        <w:rPr>
          <w:color w:val="000000"/>
        </w:rPr>
        <w:t xml:space="preserve"> </w:t>
      </w:r>
      <w:r>
        <w:rPr>
          <w:rFonts w:ascii="Times New Roman;serif" w:hAnsi="Times New Roman;serif"/>
          <w:b w:val="false"/>
          <w:color w:val="000000"/>
          <w:sz w:val="24"/>
        </w:rPr>
        <w:t>company</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i/>
          <w:color w:val="000000"/>
          <w:sz w:val="24"/>
        </w:rPr>
        <w:t>Issuer</w:t>
      </w:r>
      <w:r>
        <w:rPr>
          <w:color w:val="000000"/>
        </w:rPr>
        <w:t>”</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promises</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pay</w:t>
      </w:r>
      <w:r>
        <w:rPr>
          <w:color w:val="000000"/>
        </w:rPr>
        <w:t xml:space="preserve"> </w:t>
      </w:r>
      <w:r>
        <w:rPr>
          <w:rFonts w:ascii="Times New Roman;serif" w:hAnsi="Times New Roman;serif"/>
          <w:b w:val="false"/>
          <w:color w:val="000000"/>
          <w:sz w:val="24"/>
        </w:rPr>
        <w:t>interest</w:t>
      </w:r>
      <w:r>
        <w:rPr>
          <w:color w:val="000000"/>
        </w:rPr>
        <w:t xml:space="preserve"> </w:t>
      </w:r>
      <w:r>
        <w:rPr>
          <w:rFonts w:ascii="Times New Roman;serif" w:hAnsi="Times New Roman;serif"/>
          <w:b w:val="false"/>
          <w:color w:val="000000"/>
          <w:sz w:val="24"/>
        </w:rPr>
        <w:t>on</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principal</w:t>
      </w:r>
      <w:r>
        <w:rPr>
          <w:color w:val="000000"/>
        </w:rPr>
        <w:t xml:space="preserve"> </w:t>
      </w:r>
      <w:r>
        <w:rPr>
          <w:rFonts w:ascii="Times New Roman;serif" w:hAnsi="Times New Roman;serif"/>
          <w:b w:val="false"/>
          <w:color w:val="000000"/>
          <w:sz w:val="24"/>
        </w:rPr>
        <w:t>amount</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this</w:t>
      </w:r>
      <w:r>
        <w:rPr>
          <w:color w:val="000000"/>
        </w:rPr>
        <w:t xml:space="preserve"> </w:t>
      </w:r>
      <w:r>
        <w:rPr>
          <w:rFonts w:ascii="Times New Roman;serif" w:hAnsi="Times New Roman;serif"/>
          <w:b w:val="false"/>
          <w:color w:val="000000"/>
          <w:sz w:val="24"/>
        </w:rPr>
        <w:t>Note</w:t>
      </w:r>
      <w:r>
        <w:rPr>
          <w:color w:val="000000"/>
        </w:rPr>
        <w:t xml:space="preserve"> </w:t>
      </w:r>
      <w:r>
        <w:rPr>
          <w:rFonts w:ascii="Times New Roman;serif" w:hAnsi="Times New Roman;serif"/>
          <w:b w:val="false"/>
          <w:color w:val="000000"/>
          <w:sz w:val="24"/>
        </w:rPr>
        <w:t>at</w:t>
      </w:r>
      <w:r>
        <w:rPr>
          <w:color w:val="000000"/>
        </w:rPr>
        <w:t xml:space="preserve"> </w:t>
      </w:r>
      <w:r>
        <w:rPr>
          <w:rFonts w:ascii="Times New Roman;serif" w:hAnsi="Times New Roman;serif"/>
          <w:b w:val="false"/>
          <w:color w:val="000000"/>
          <w:sz w:val="24"/>
        </w:rPr>
        <w:t>6.125%</w:t>
      </w:r>
      <w:r>
        <w:rPr>
          <w:color w:val="000000"/>
        </w:rPr>
        <w:t xml:space="preserve"> </w:t>
      </w:r>
      <w:r>
        <w:rPr>
          <w:rFonts w:ascii="Times New Roman;serif" w:hAnsi="Times New Roman;serif"/>
          <w:b w:val="false"/>
          <w:color w:val="000000"/>
          <w:sz w:val="24"/>
        </w:rPr>
        <w:t>per</w:t>
      </w:r>
      <w:r>
        <w:rPr>
          <w:color w:val="000000"/>
        </w:rPr>
        <w:t xml:space="preserve"> </w:t>
      </w:r>
      <w:r>
        <w:rPr>
          <w:rFonts w:ascii="Times New Roman;serif" w:hAnsi="Times New Roman;serif"/>
          <w:b w:val="false"/>
          <w:color w:val="000000"/>
          <w:sz w:val="24"/>
        </w:rPr>
        <w:t>annum</w:t>
      </w:r>
      <w:r>
        <w:rPr>
          <w:color w:val="000000"/>
        </w:rPr>
        <w:t xml:space="preserve"> </w:t>
      </w:r>
      <w:r>
        <w:rPr>
          <w:rFonts w:ascii="Times New Roman;serif" w:hAnsi="Times New Roman;serif"/>
          <w:b w:val="false"/>
          <w:color w:val="000000"/>
          <w:sz w:val="24"/>
        </w:rPr>
        <w:t>from</w:t>
      </w:r>
      <w:r>
        <w:rPr>
          <w:color w:val="000000"/>
        </w:rPr>
        <w:t xml:space="preserve"> </w:t>
      </w:r>
      <w:r>
        <w:rPr>
          <w:rFonts w:ascii="Times New Roman;serif" w:hAnsi="Times New Roman;serif"/>
          <w:b w:val="false"/>
          <w:color w:val="000000"/>
          <w:sz w:val="24"/>
        </w:rPr>
        <w:t>April 29, 2026 until</w:t>
      </w:r>
      <w:r>
        <w:rPr>
          <w:color w:val="000000"/>
        </w:rPr>
        <w:t xml:space="preserve"> </w:t>
      </w:r>
      <w:r>
        <w:rPr>
          <w:rFonts w:ascii="Times New Roman;serif" w:hAnsi="Times New Roman;serif"/>
          <w:b w:val="false"/>
          <w:color w:val="000000"/>
          <w:sz w:val="24"/>
        </w:rPr>
        <w:t>maturity.</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Issuer</w:t>
      </w:r>
      <w:r>
        <w:rPr>
          <w:color w:val="000000"/>
        </w:rPr>
        <w:t xml:space="preserve"> </w:t>
      </w:r>
      <w:r>
        <w:rPr>
          <w:rFonts w:ascii="Times New Roman;serif" w:hAnsi="Times New Roman;serif"/>
          <w:b w:val="false"/>
          <w:color w:val="000000"/>
          <w:sz w:val="24"/>
        </w:rPr>
        <w:t>shall</w:t>
      </w:r>
      <w:r>
        <w:rPr>
          <w:color w:val="000000"/>
        </w:rPr>
        <w:t xml:space="preserve"> </w:t>
      </w:r>
      <w:r>
        <w:rPr>
          <w:rFonts w:ascii="Times New Roman;serif" w:hAnsi="Times New Roman;serif"/>
          <w:b w:val="false"/>
          <w:color w:val="000000"/>
          <w:sz w:val="24"/>
        </w:rPr>
        <w:t>pay</w:t>
      </w:r>
      <w:r>
        <w:rPr>
          <w:color w:val="000000"/>
        </w:rPr>
        <w:t xml:space="preserve"> </w:t>
      </w:r>
      <w:r>
        <w:rPr>
          <w:rFonts w:ascii="Times New Roman;serif" w:hAnsi="Times New Roman;serif"/>
          <w:b w:val="false"/>
          <w:color w:val="000000"/>
          <w:sz w:val="24"/>
        </w:rPr>
        <w:t>interest</w:t>
      </w:r>
      <w:r>
        <w:rPr>
          <w:color w:val="000000"/>
        </w:rPr>
        <w:t xml:space="preserve"> </w:t>
      </w:r>
      <w:r>
        <w:rPr>
          <w:rFonts w:ascii="Times New Roman;serif" w:hAnsi="Times New Roman;serif"/>
          <w:b w:val="false"/>
          <w:color w:val="000000"/>
          <w:sz w:val="24"/>
        </w:rPr>
        <w:t>semi-annually</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arrears</w:t>
      </w:r>
      <w:r>
        <w:rPr>
          <w:color w:val="000000"/>
        </w:rPr>
        <w:t xml:space="preserve"> </w:t>
      </w:r>
      <w:r>
        <w:rPr>
          <w:rFonts w:ascii="Times New Roman;serif" w:hAnsi="Times New Roman;serif"/>
          <w:b w:val="false"/>
          <w:color w:val="000000"/>
          <w:sz w:val="24"/>
        </w:rPr>
        <w:t>on</w:t>
      </w:r>
      <w:r>
        <w:rPr>
          <w:color w:val="000000"/>
        </w:rPr>
        <w:t xml:space="preserve"> </w:t>
      </w:r>
      <w:r>
        <w:rPr>
          <w:rFonts w:ascii="Times New Roman;serif" w:hAnsi="Times New Roman;serif"/>
          <w:b w:val="false"/>
          <w:color w:val="000000"/>
          <w:sz w:val="24"/>
        </w:rPr>
        <w:t>May 1</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November 1 of each year, or if any such day is not a Business Day, on the next succeeding Business Day (and without any additional interest or other payment in</w:t>
      </w:r>
      <w:r>
        <w:rPr>
          <w:color w:val="000000"/>
        </w:rPr>
        <w:t xml:space="preserve"> </w:t>
      </w:r>
      <w:r>
        <w:rPr>
          <w:rFonts w:ascii="Times New Roman;serif" w:hAnsi="Times New Roman;serif"/>
          <w:b w:val="false"/>
          <w:color w:val="000000"/>
          <w:sz w:val="24"/>
        </w:rPr>
        <w:t>respect</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delay)</w:t>
      </w:r>
      <w:r>
        <w:rPr>
          <w:color w:val="000000"/>
        </w:rPr>
        <w:t xml:space="preserve"> </w:t>
      </w:r>
      <w:r>
        <w:rPr>
          <w:rFonts w:ascii="Times New Roman;serif" w:hAnsi="Times New Roman;serif"/>
          <w:b w:val="false"/>
          <w:color w:val="000000"/>
          <w:sz w:val="24"/>
        </w:rPr>
        <w:t>(each,</w:t>
      </w:r>
      <w:r>
        <w:rPr>
          <w:color w:val="000000"/>
        </w:rPr>
        <w:t xml:space="preserve"> </w:t>
      </w:r>
      <w:r>
        <w:rPr>
          <w:rFonts w:ascii="Times New Roman;serif" w:hAnsi="Times New Roman;serif"/>
          <w:b w:val="false"/>
          <w:color w:val="000000"/>
          <w:sz w:val="24"/>
        </w:rPr>
        <w:t>an</w:t>
      </w:r>
      <w:r>
        <w:rPr>
          <w:color w:val="000000"/>
        </w:rPr>
        <w:t xml:space="preserve"> “</w:t>
      </w:r>
      <w:r>
        <w:rPr>
          <w:rFonts w:ascii="Times New Roman;serif" w:hAnsi="Times New Roman;serif"/>
          <w:b w:val="false"/>
          <w:i/>
          <w:color w:val="000000"/>
          <w:sz w:val="24"/>
        </w:rPr>
        <w:t>Interest</w:t>
      </w:r>
      <w:r>
        <w:rPr>
          <w:color w:val="000000"/>
        </w:rPr>
        <w:t xml:space="preserve"> </w:t>
      </w:r>
      <w:r>
        <w:rPr>
          <w:rFonts w:ascii="Times New Roman;serif" w:hAnsi="Times New Roman;serif"/>
          <w:b w:val="false"/>
          <w:i/>
          <w:color w:val="000000"/>
          <w:sz w:val="24"/>
        </w:rPr>
        <w:t>Payment</w:t>
      </w:r>
      <w:r>
        <w:rPr>
          <w:color w:val="000000"/>
        </w:rPr>
        <w:t xml:space="preserve"> </w:t>
      </w:r>
      <w:r>
        <w:rPr>
          <w:rFonts w:ascii="Times New Roman;serif" w:hAnsi="Times New Roman;serif"/>
          <w:b w:val="false"/>
          <w:i/>
          <w:color w:val="000000"/>
          <w:sz w:val="24"/>
        </w:rPr>
        <w:t>Date</w:t>
      </w:r>
      <w:r>
        <w:rPr>
          <w:color w:val="000000"/>
        </w:rPr>
        <w:t>”</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with</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same</w:t>
      </w:r>
      <w:r>
        <w:rPr>
          <w:color w:val="000000"/>
        </w:rPr>
        <w:t xml:space="preserve"> </w:t>
      </w:r>
      <w:r>
        <w:rPr>
          <w:rFonts w:ascii="Times New Roman;serif" w:hAnsi="Times New Roman;serif"/>
          <w:b w:val="false"/>
          <w:color w:val="000000"/>
          <w:sz w:val="24"/>
        </w:rPr>
        <w:t>force</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effect</w:t>
      </w:r>
      <w:r>
        <w:rPr>
          <w:color w:val="000000"/>
        </w:rPr>
        <w:t xml:space="preserve"> </w:t>
      </w:r>
      <w:r>
        <w:rPr>
          <w:rFonts w:ascii="Times New Roman;serif" w:hAnsi="Times New Roman;serif"/>
          <w:b w:val="false"/>
          <w:color w:val="000000"/>
          <w:sz w:val="24"/>
        </w:rPr>
        <w:t>as</w:t>
      </w:r>
      <w:r>
        <w:rPr>
          <w:color w:val="000000"/>
        </w:rPr>
        <w:t xml:space="preserve"> </w:t>
      </w:r>
      <w:r>
        <w:rPr>
          <w:rFonts w:ascii="Times New Roman;serif" w:hAnsi="Times New Roman;serif"/>
          <w:b w:val="false"/>
          <w:color w:val="000000"/>
          <w:sz w:val="24"/>
        </w:rPr>
        <w:t>if</w:t>
      </w:r>
      <w:r>
        <w:rPr>
          <w:color w:val="000000"/>
        </w:rPr>
        <w:t xml:space="preserve"> </w:t>
      </w:r>
      <w:r>
        <w:rPr>
          <w:rFonts w:ascii="Times New Roman;serif" w:hAnsi="Times New Roman;serif"/>
          <w:b w:val="false"/>
          <w:color w:val="000000"/>
          <w:sz w:val="24"/>
        </w:rPr>
        <w:t>made</w:t>
      </w:r>
      <w:r>
        <w:rPr>
          <w:color w:val="000000"/>
        </w:rPr>
        <w:t xml:space="preserve"> </w:t>
      </w:r>
      <w:r>
        <w:rPr>
          <w:rFonts w:ascii="Times New Roman;serif" w:hAnsi="Times New Roman;serif"/>
          <w:b w:val="false"/>
          <w:color w:val="000000"/>
          <w:sz w:val="24"/>
        </w:rPr>
        <w:t>on</w:t>
      </w:r>
      <w:r>
        <w:rPr>
          <w:color w:val="000000"/>
        </w:rPr>
        <w:t xml:space="preserve"> </w:t>
      </w:r>
      <w:r>
        <w:rPr>
          <w:rFonts w:ascii="Times New Roman;serif" w:hAnsi="Times New Roman;serif"/>
          <w:b w:val="false"/>
          <w:color w:val="000000"/>
          <w:sz w:val="24"/>
        </w:rPr>
        <w:t>such</w:t>
      </w:r>
      <w:r>
        <w:rPr>
          <w:color w:val="000000"/>
        </w:rPr>
        <w:t xml:space="preserve"> </w:t>
      </w:r>
      <w:r>
        <w:rPr>
          <w:rFonts w:ascii="Times New Roman;serif" w:hAnsi="Times New Roman;serif"/>
          <w:b w:val="false"/>
          <w:color w:val="000000"/>
          <w:sz w:val="24"/>
        </w:rPr>
        <w:t>date.</w:t>
      </w:r>
      <w:r>
        <w:rPr>
          <w:color w:val="000000"/>
        </w:rPr>
        <w:t xml:space="preserve"> </w:t>
      </w:r>
      <w:r>
        <w:rPr>
          <w:rFonts w:ascii="Times New Roman;serif" w:hAnsi="Times New Roman;serif"/>
          <w:b w:val="false"/>
          <w:color w:val="000000"/>
          <w:sz w:val="24"/>
        </w:rPr>
        <w:t>Interest</w:t>
      </w:r>
      <w:r>
        <w:rPr>
          <w:color w:val="000000"/>
        </w:rPr>
        <w:t xml:space="preserve"> </w:t>
      </w:r>
      <w:r>
        <w:rPr>
          <w:rFonts w:ascii="Times New Roman;serif" w:hAnsi="Times New Roman;serif"/>
          <w:b w:val="false"/>
          <w:color w:val="000000"/>
          <w:sz w:val="24"/>
        </w:rPr>
        <w:t>on</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Notes</w:t>
      </w:r>
      <w:r>
        <w:rPr>
          <w:color w:val="000000"/>
        </w:rPr>
        <w:t xml:space="preserve"> </w:t>
      </w:r>
      <w:r>
        <w:rPr>
          <w:rFonts w:ascii="Times New Roman;serif" w:hAnsi="Times New Roman;serif"/>
          <w:b w:val="false"/>
          <w:color w:val="000000"/>
          <w:sz w:val="24"/>
        </w:rPr>
        <w:t>will</w:t>
      </w:r>
      <w:r>
        <w:rPr>
          <w:color w:val="000000"/>
        </w:rPr>
        <w:t xml:space="preserve"> </w:t>
      </w:r>
      <w:r>
        <w:rPr>
          <w:rFonts w:ascii="Times New Roman;serif" w:hAnsi="Times New Roman;serif"/>
          <w:b w:val="false"/>
          <w:color w:val="000000"/>
          <w:sz w:val="24"/>
        </w:rPr>
        <w:t>accrue</w:t>
      </w:r>
      <w:r>
        <w:rPr>
          <w:color w:val="000000"/>
        </w:rPr>
        <w:t xml:space="preserve"> </w:t>
      </w:r>
      <w:r>
        <w:rPr>
          <w:rFonts w:ascii="Times New Roman;serif" w:hAnsi="Times New Roman;serif"/>
          <w:b w:val="false"/>
          <w:color w:val="000000"/>
          <w:sz w:val="24"/>
        </w:rPr>
        <w:t>from</w:t>
      </w:r>
      <w:r>
        <w:rPr>
          <w:color w:val="000000"/>
        </w:rPr>
        <w:t xml:space="preserve"> </w:t>
      </w:r>
      <w:r>
        <w:rPr>
          <w:rFonts w:ascii="Times New Roman;serif" w:hAnsi="Times New Roman;serif"/>
          <w:b w:val="false"/>
          <w:color w:val="000000"/>
          <w:sz w:val="24"/>
        </w:rPr>
        <w:t>the most recent</w:t>
      </w:r>
      <w:r>
        <w:rPr>
          <w:color w:val="000000"/>
        </w:rPr>
        <w:t xml:space="preserve"> </w:t>
      </w:r>
      <w:r>
        <w:rPr>
          <w:rFonts w:ascii="Times New Roman;serif" w:hAnsi="Times New Roman;serif"/>
          <w:b w:val="false"/>
          <w:color w:val="000000"/>
          <w:sz w:val="24"/>
        </w:rPr>
        <w:t>date</w:t>
      </w:r>
      <w:r>
        <w:rPr>
          <w:color w:val="000000"/>
        </w:rPr>
        <w:t xml:space="preserve"> </w:t>
      </w:r>
      <w:r>
        <w:rPr>
          <w:rFonts w:ascii="Times New Roman;serif" w:hAnsi="Times New Roman;serif"/>
          <w:b w:val="false"/>
          <w:color w:val="000000"/>
          <w:sz w:val="24"/>
        </w:rPr>
        <w:t>to which</w:t>
      </w:r>
      <w:r>
        <w:rPr>
          <w:color w:val="000000"/>
        </w:rPr>
        <w:t xml:space="preserve"> </w:t>
      </w:r>
      <w:r>
        <w:rPr>
          <w:rFonts w:ascii="Times New Roman;serif" w:hAnsi="Times New Roman;serif"/>
          <w:b w:val="false"/>
          <w:color w:val="000000"/>
          <w:sz w:val="24"/>
        </w:rPr>
        <w:t>interest has</w:t>
      </w:r>
      <w:r>
        <w:rPr>
          <w:color w:val="000000"/>
        </w:rPr>
        <w:t xml:space="preserve"> </w:t>
      </w:r>
      <w:r>
        <w:rPr>
          <w:rFonts w:ascii="Times New Roman;serif" w:hAnsi="Times New Roman;serif"/>
          <w:b w:val="false"/>
          <w:color w:val="000000"/>
          <w:sz w:val="24"/>
        </w:rPr>
        <w:t>been</w:t>
      </w:r>
      <w:r>
        <w:rPr>
          <w:color w:val="000000"/>
        </w:rPr>
        <w:t xml:space="preserve"> </w:t>
      </w:r>
      <w:r>
        <w:rPr>
          <w:rFonts w:ascii="Times New Roman;serif" w:hAnsi="Times New Roman;serif"/>
          <w:b w:val="false"/>
          <w:color w:val="000000"/>
          <w:sz w:val="24"/>
        </w:rPr>
        <w:t>paid</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if no</w:t>
      </w:r>
      <w:r>
        <w:rPr>
          <w:color w:val="000000"/>
        </w:rPr>
        <w:t xml:space="preserve"> </w:t>
      </w:r>
      <w:r>
        <w:rPr>
          <w:rFonts w:ascii="Times New Roman;serif" w:hAnsi="Times New Roman;serif"/>
          <w:b w:val="false"/>
          <w:color w:val="000000"/>
          <w:sz w:val="24"/>
        </w:rPr>
        <w:t>interest has</w:t>
      </w:r>
      <w:r>
        <w:rPr>
          <w:color w:val="000000"/>
        </w:rPr>
        <w:t xml:space="preserve"> </w:t>
      </w:r>
      <w:r>
        <w:rPr>
          <w:rFonts w:ascii="Times New Roman;serif" w:hAnsi="Times New Roman;serif"/>
          <w:b w:val="false"/>
          <w:color w:val="000000"/>
          <w:sz w:val="24"/>
        </w:rPr>
        <w:t>been</w:t>
      </w:r>
      <w:r>
        <w:rPr>
          <w:color w:val="000000"/>
        </w:rPr>
        <w:t xml:space="preserve"> </w:t>
      </w:r>
      <w:r>
        <w:rPr>
          <w:rFonts w:ascii="Times New Roman;serif" w:hAnsi="Times New Roman;serif"/>
          <w:b w:val="false"/>
          <w:color w:val="000000"/>
          <w:sz w:val="24"/>
        </w:rPr>
        <w:t>paid,</w:t>
      </w:r>
      <w:r>
        <w:rPr>
          <w:color w:val="000000"/>
        </w:rPr>
        <w:t xml:space="preserve"> </w:t>
      </w:r>
      <w:r>
        <w:rPr>
          <w:rFonts w:ascii="Times New Roman;serif" w:hAnsi="Times New Roman;serif"/>
          <w:b w:val="false"/>
          <w:color w:val="000000"/>
          <w:sz w:val="24"/>
        </w:rPr>
        <w:t>from</w:t>
      </w:r>
      <w:r>
        <w:rPr>
          <w:color w:val="000000"/>
        </w:rPr>
        <w:t xml:space="preserve"> </w:t>
      </w:r>
      <w:r>
        <w:rPr>
          <w:rFonts w:ascii="Times New Roman;serif" w:hAnsi="Times New Roman;serif"/>
          <w:b w:val="false"/>
          <w:color w:val="000000"/>
          <w:sz w:val="24"/>
        </w:rPr>
        <w:t>the date</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issuance;</w:t>
      </w:r>
      <w:r>
        <w:rPr>
          <w:color w:val="000000"/>
        </w:rPr>
        <w:t xml:space="preserve"> </w:t>
      </w:r>
      <w:r>
        <w:rPr>
          <w:rFonts w:ascii="Times New Roman;serif" w:hAnsi="Times New Roman;serif"/>
          <w:b w:val="false"/>
          <w:i/>
          <w:color w:val="000000"/>
          <w:sz w:val="24"/>
        </w:rPr>
        <w:t xml:space="preserve">provided </w:t>
      </w:r>
      <w:r>
        <w:rPr>
          <w:rFonts w:ascii="Times New Roman;serif" w:hAnsi="Times New Roman;serif"/>
          <w:b w:val="false"/>
          <w:color w:val="000000"/>
          <w:sz w:val="24"/>
        </w:rPr>
        <w:t>that if there is no existing Default</w:t>
      </w:r>
      <w:r>
        <w:rPr>
          <w:color w:val="000000"/>
        </w:rPr>
        <w:t xml:space="preserve"> </w:t>
      </w:r>
      <w:r>
        <w:rPr>
          <w:rFonts w:ascii="Times New Roman;serif" w:hAnsi="Times New Roman;serif"/>
          <w:b w:val="false"/>
          <w:color w:val="000000"/>
          <w:sz w:val="24"/>
        </w:rPr>
        <w:t>in the payment of interest, and if this Note is authenticated between a record date referred to on the face hereof and the next succeeding Interest Payment</w:t>
      </w:r>
      <w:r>
        <w:rPr>
          <w:color w:val="000000"/>
        </w:rPr>
        <w:t xml:space="preserve"> </w:t>
      </w:r>
      <w:r>
        <w:rPr>
          <w:rFonts w:ascii="Times New Roman;serif" w:hAnsi="Times New Roman;serif"/>
          <w:b w:val="false"/>
          <w:color w:val="000000"/>
          <w:sz w:val="24"/>
        </w:rPr>
        <w:t xml:space="preserve">Date, interest shall accrue from such next succeeding Interest Payment Date; </w:t>
      </w:r>
      <w:r>
        <w:rPr>
          <w:rFonts w:ascii="Times New Roman;serif" w:hAnsi="Times New Roman;serif"/>
          <w:b w:val="false"/>
          <w:i/>
          <w:color w:val="000000"/>
          <w:sz w:val="24"/>
        </w:rPr>
        <w:t>provided further</w:t>
      </w:r>
      <w:r>
        <w:rPr>
          <w:rFonts w:ascii="Times New Roman;serif" w:hAnsi="Times New Roman;serif"/>
          <w:b w:val="false"/>
          <w:color w:val="000000"/>
          <w:sz w:val="24"/>
        </w:rPr>
        <w:t>, that the first Interest Payment Date shall be November 1, 2026. Interest will be computed on the basis of a 360-day year of twelve 30-day months, and with respect to any period less than a full calendar month, on</w:t>
      </w:r>
      <w:r>
        <w:rPr>
          <w:color w:val="000000"/>
        </w:rPr>
        <w:t xml:space="preserve"> </w:t>
      </w:r>
      <w:r>
        <w:rPr>
          <w:rFonts w:ascii="Times New Roman;serif" w:hAnsi="Times New Roman;serif"/>
          <w:b w:val="false"/>
          <w:color w:val="000000"/>
          <w:sz w:val="24"/>
        </w:rPr>
        <w:t>the basis of the actual number of days elapsed during the period.</w:t>
      </w:r>
    </w:p>
    <w:p>
      <w:pPr>
        <w:pStyle w:val="TextBody"/>
        <w:bidi w:val="0"/>
        <w:spacing w:lineRule="auto" w:line="240" w:before="0" w:after="240"/>
        <w:ind w:left="0" w:right="0" w:firstLine="720"/>
        <w:jc w:val="both"/>
        <w:rPr/>
      </w:pPr>
      <w:r>
        <w:rPr>
          <w:rFonts w:ascii="Times New Roman;serif" w:hAnsi="Times New Roman;serif"/>
          <w:b w:val="false"/>
          <w:color w:val="000000"/>
          <w:sz w:val="24"/>
        </w:rPr>
        <w:t>2.</w:t>
      </w:r>
      <w:r>
        <w:rPr>
          <w:rFonts w:ascii="Times New Roman;serif" w:hAnsi="Times New Roman;serif"/>
          <w:b w:val="false"/>
          <w:i/>
          <w:color w:val="000000"/>
          <w:sz w:val="24"/>
        </w:rPr>
        <w:t>Method</w:t>
      </w:r>
      <w:r>
        <w:rPr>
          <w:color w:val="000000"/>
        </w:rPr>
        <w:t xml:space="preserve"> </w:t>
      </w:r>
      <w:r>
        <w:rPr>
          <w:rFonts w:ascii="Times New Roman;serif" w:hAnsi="Times New Roman;serif"/>
          <w:b w:val="false"/>
          <w:i/>
          <w:color w:val="000000"/>
          <w:sz w:val="24"/>
        </w:rPr>
        <w:t>of</w:t>
      </w:r>
      <w:r>
        <w:rPr>
          <w:color w:val="000000"/>
        </w:rPr>
        <w:t xml:space="preserve"> </w:t>
      </w:r>
      <w:r>
        <w:rPr>
          <w:rFonts w:ascii="Times New Roman;serif" w:hAnsi="Times New Roman;serif"/>
          <w:b w:val="false"/>
          <w:i/>
          <w:color w:val="000000"/>
          <w:sz w:val="24"/>
        </w:rPr>
        <w:t>Payment</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Issuer</w:t>
      </w:r>
      <w:r>
        <w:rPr>
          <w:color w:val="000000"/>
        </w:rPr>
        <w:t xml:space="preserve"> </w:t>
      </w:r>
      <w:r>
        <w:rPr>
          <w:rFonts w:ascii="Times New Roman;serif" w:hAnsi="Times New Roman;serif"/>
          <w:b w:val="false"/>
          <w:color w:val="000000"/>
          <w:sz w:val="24"/>
        </w:rPr>
        <w:t>shall</w:t>
      </w:r>
      <w:r>
        <w:rPr>
          <w:color w:val="000000"/>
        </w:rPr>
        <w:t xml:space="preserve"> </w:t>
      </w:r>
      <w:r>
        <w:rPr>
          <w:rFonts w:ascii="Times New Roman;serif" w:hAnsi="Times New Roman;serif"/>
          <w:b w:val="false"/>
          <w:color w:val="000000"/>
          <w:sz w:val="24"/>
        </w:rPr>
        <w:t>pay</w:t>
      </w:r>
      <w:r>
        <w:rPr>
          <w:color w:val="000000"/>
        </w:rPr>
        <w:t xml:space="preserve"> </w:t>
      </w:r>
      <w:r>
        <w:rPr>
          <w:rFonts w:ascii="Times New Roman;serif" w:hAnsi="Times New Roman;serif"/>
          <w:b w:val="false"/>
          <w:color w:val="000000"/>
          <w:sz w:val="24"/>
        </w:rPr>
        <w:t>interest</w:t>
      </w:r>
      <w:r>
        <w:rPr>
          <w:color w:val="000000"/>
        </w:rPr>
        <w:t xml:space="preserve"> </w:t>
      </w:r>
      <w:r>
        <w:rPr>
          <w:rFonts w:ascii="Times New Roman;serif" w:hAnsi="Times New Roman;serif"/>
          <w:b w:val="false"/>
          <w:color w:val="000000"/>
          <w:sz w:val="24"/>
        </w:rPr>
        <w:t>on</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Notes</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Persons</w:t>
      </w:r>
      <w:r>
        <w:rPr>
          <w:color w:val="000000"/>
        </w:rPr>
        <w:t xml:space="preserve"> </w:t>
      </w:r>
      <w:r>
        <w:rPr>
          <w:rFonts w:ascii="Times New Roman;serif" w:hAnsi="Times New Roman;serif"/>
          <w:b w:val="false"/>
          <w:color w:val="000000"/>
          <w:sz w:val="24"/>
        </w:rPr>
        <w:t>who</w:t>
      </w:r>
      <w:r>
        <w:rPr>
          <w:color w:val="000000"/>
        </w:rPr>
        <w:t xml:space="preserve"> </w:t>
      </w:r>
      <w:r>
        <w:rPr>
          <w:rFonts w:ascii="Times New Roman;serif" w:hAnsi="Times New Roman;serif"/>
          <w:b w:val="false"/>
          <w:color w:val="000000"/>
          <w:sz w:val="24"/>
        </w:rPr>
        <w:t>are</w:t>
      </w:r>
      <w:r>
        <w:rPr>
          <w:color w:val="000000"/>
        </w:rPr>
        <w:t xml:space="preserve"> </w:t>
      </w:r>
      <w:r>
        <w:rPr>
          <w:rFonts w:ascii="Times New Roman;serif" w:hAnsi="Times New Roman;serif"/>
          <w:b w:val="false"/>
          <w:color w:val="000000"/>
          <w:sz w:val="24"/>
        </w:rPr>
        <w:t>registered</w:t>
      </w:r>
      <w:r>
        <w:rPr>
          <w:color w:val="000000"/>
        </w:rPr>
        <w:t xml:space="preserve"> </w:t>
      </w:r>
      <w:r>
        <w:rPr>
          <w:rFonts w:ascii="Times New Roman;serif" w:hAnsi="Times New Roman;serif"/>
          <w:b w:val="false"/>
          <w:color w:val="000000"/>
          <w:sz w:val="24"/>
        </w:rPr>
        <w:t>Holders</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Notes</w:t>
      </w:r>
      <w:r>
        <w:rPr>
          <w:color w:val="000000"/>
        </w:rPr>
        <w:t xml:space="preserve"> </w:t>
      </w:r>
      <w:r>
        <w:rPr>
          <w:rFonts w:ascii="Times New Roman;serif" w:hAnsi="Times New Roman;serif"/>
          <w:b w:val="false"/>
          <w:color w:val="000000"/>
          <w:sz w:val="24"/>
        </w:rPr>
        <w:t>on</w:t>
      </w:r>
      <w:r>
        <w:rPr>
          <w:color w:val="000000"/>
        </w:rPr>
        <w:t xml:space="preserve"> </w:t>
      </w:r>
      <w:r>
        <w:rPr>
          <w:rFonts w:ascii="Times New Roman;serif" w:hAnsi="Times New Roman;serif"/>
          <w:b w:val="false"/>
          <w:color w:val="000000"/>
          <w:sz w:val="24"/>
        </w:rPr>
        <w:t>April 15 and October 15</w:t>
      </w:r>
      <w:r>
        <w:rPr>
          <w:color w:val="000000"/>
        </w:rPr>
        <w:t xml:space="preserve"> </w:t>
      </w:r>
      <w:r>
        <w:rPr>
          <w:rFonts w:ascii="Times New Roman;serif" w:hAnsi="Times New Roman;serif"/>
          <w:b w:val="false"/>
          <w:color w:val="000000"/>
          <w:sz w:val="24"/>
        </w:rPr>
        <w:t>(whether or not a Business Day) immediately preceding the Interest Payment Date, except that interest payable at maturity will be paid to the person to</w:t>
      </w:r>
      <w:r>
        <w:rPr>
          <w:color w:val="000000"/>
        </w:rPr>
        <w:t xml:space="preserve"> </w:t>
      </w:r>
      <w:r>
        <w:rPr>
          <w:rFonts w:ascii="Times New Roman;serif" w:hAnsi="Times New Roman;serif"/>
          <w:b w:val="false"/>
          <w:color w:val="000000"/>
          <w:sz w:val="24"/>
        </w:rPr>
        <w:t>whom</w:t>
      </w:r>
      <w:r>
        <w:rPr>
          <w:color w:val="000000"/>
        </w:rPr>
        <w:t xml:space="preserve"> </w:t>
      </w:r>
      <w:r>
        <w:rPr>
          <w:rFonts w:ascii="Times New Roman;serif" w:hAnsi="Times New Roman;serif"/>
          <w:b w:val="false"/>
          <w:color w:val="000000"/>
          <w:sz w:val="24"/>
        </w:rPr>
        <w:t>principal</w:t>
      </w:r>
      <w:r>
        <w:rPr>
          <w:color w:val="000000"/>
        </w:rPr>
        <w:t xml:space="preserve"> </w:t>
      </w:r>
      <w:r>
        <w:rPr>
          <w:rFonts w:ascii="Times New Roman;serif" w:hAnsi="Times New Roman;serif"/>
          <w:b w:val="false"/>
          <w:color w:val="000000"/>
          <w:sz w:val="24"/>
        </w:rPr>
        <w:t>is</w:t>
      </w:r>
      <w:r>
        <w:rPr>
          <w:color w:val="000000"/>
        </w:rPr>
        <w:t xml:space="preserve"> </w:t>
      </w:r>
      <w:r>
        <w:rPr>
          <w:rFonts w:ascii="Times New Roman;serif" w:hAnsi="Times New Roman;serif"/>
          <w:b w:val="false"/>
          <w:color w:val="000000"/>
          <w:sz w:val="24"/>
        </w:rPr>
        <w:t>paid.</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Notes</w:t>
      </w:r>
      <w:r>
        <w:rPr>
          <w:color w:val="000000"/>
        </w:rPr>
        <w:t xml:space="preserve"> </w:t>
      </w:r>
      <w:r>
        <w:rPr>
          <w:rFonts w:ascii="Times New Roman;serif" w:hAnsi="Times New Roman;serif"/>
          <w:b w:val="false"/>
          <w:color w:val="000000"/>
          <w:sz w:val="24"/>
        </w:rPr>
        <w:t>will</w:t>
      </w:r>
      <w:r>
        <w:rPr>
          <w:color w:val="000000"/>
        </w:rPr>
        <w:t xml:space="preserve"> </w:t>
      </w:r>
      <w:r>
        <w:rPr>
          <w:rFonts w:ascii="Times New Roman;serif" w:hAnsi="Times New Roman;serif"/>
          <w:b w:val="false"/>
          <w:color w:val="000000"/>
          <w:sz w:val="24"/>
        </w:rPr>
        <w:t>be</w:t>
      </w:r>
      <w:r>
        <w:rPr>
          <w:color w:val="000000"/>
        </w:rPr>
        <w:t xml:space="preserve"> </w:t>
      </w:r>
      <w:r>
        <w:rPr>
          <w:rFonts w:ascii="Times New Roman;serif" w:hAnsi="Times New Roman;serif"/>
          <w:b w:val="false"/>
          <w:color w:val="000000"/>
          <w:sz w:val="24"/>
        </w:rPr>
        <w:t>payable</w:t>
      </w:r>
      <w:r>
        <w:rPr>
          <w:color w:val="000000"/>
        </w:rPr>
        <w:t xml:space="preserve"> </w:t>
      </w:r>
      <w:r>
        <w:rPr>
          <w:rFonts w:ascii="Times New Roman;serif" w:hAnsi="Times New Roman;serif"/>
          <w:b w:val="false"/>
          <w:color w:val="000000"/>
          <w:sz w:val="24"/>
        </w:rPr>
        <w:t>as</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principal,</w:t>
      </w:r>
      <w:r>
        <w:rPr>
          <w:color w:val="000000"/>
        </w:rPr>
        <w:t xml:space="preserve"> </w:t>
      </w:r>
      <w:r>
        <w:rPr>
          <w:rFonts w:ascii="Times New Roman;serif" w:hAnsi="Times New Roman;serif"/>
          <w:b w:val="false"/>
          <w:color w:val="000000"/>
          <w:sz w:val="24"/>
        </w:rPr>
        <w:t>premium,</w:t>
      </w:r>
      <w:r>
        <w:rPr>
          <w:color w:val="000000"/>
        </w:rPr>
        <w:t xml:space="preserve"> </w:t>
      </w:r>
      <w:r>
        <w:rPr>
          <w:rFonts w:ascii="Times New Roman;serif" w:hAnsi="Times New Roman;serif"/>
          <w:b w:val="false"/>
          <w:color w:val="000000"/>
          <w:sz w:val="24"/>
        </w:rPr>
        <w:t>if</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interest</w:t>
      </w:r>
      <w:r>
        <w:rPr>
          <w:color w:val="000000"/>
        </w:rPr>
        <w:t xml:space="preserve"> </w:t>
      </w:r>
      <w:r>
        <w:rPr>
          <w:rFonts w:ascii="Times New Roman;serif" w:hAnsi="Times New Roman;serif"/>
          <w:b w:val="false"/>
          <w:color w:val="000000"/>
          <w:sz w:val="24"/>
        </w:rPr>
        <w:t>at</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office</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agency</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Issuer</w:t>
      </w:r>
      <w:r>
        <w:rPr>
          <w:color w:val="000000"/>
        </w:rPr>
        <w:t xml:space="preserve"> </w:t>
      </w:r>
      <w:r>
        <w:rPr>
          <w:rFonts w:ascii="Times New Roman;serif" w:hAnsi="Times New Roman;serif"/>
          <w:b w:val="false"/>
          <w:color w:val="000000"/>
          <w:sz w:val="24"/>
        </w:rPr>
        <w:t>maintained</w:t>
      </w:r>
      <w:r>
        <w:rPr>
          <w:color w:val="000000"/>
        </w:rPr>
        <w:t xml:space="preserve"> </w:t>
      </w:r>
      <w:r>
        <w:rPr>
          <w:rFonts w:ascii="Times New Roman;serif" w:hAnsi="Times New Roman;serif"/>
          <w:b w:val="false"/>
          <w:color w:val="000000"/>
          <w:sz w:val="24"/>
        </w:rPr>
        <w:t>for</w:t>
      </w:r>
      <w:r>
        <w:rPr>
          <w:color w:val="000000"/>
        </w:rPr>
        <w:t xml:space="preserve"> </w:t>
      </w:r>
      <w:r>
        <w:rPr>
          <w:rFonts w:ascii="Times New Roman;serif" w:hAnsi="Times New Roman;serif"/>
          <w:b w:val="false"/>
          <w:color w:val="000000"/>
          <w:sz w:val="24"/>
        </w:rPr>
        <w:t>such</w:t>
      </w:r>
      <w:r>
        <w:rPr>
          <w:color w:val="000000"/>
        </w:rPr>
        <w:t xml:space="preserve"> </w:t>
      </w:r>
      <w:r>
        <w:rPr>
          <w:rFonts w:ascii="Times New Roman;serif" w:hAnsi="Times New Roman;serif"/>
          <w:b w:val="false"/>
          <w:color w:val="000000"/>
          <w:sz w:val="24"/>
        </w:rPr>
        <w:t>purpose, or, at the option of the Issuer, payment of interest and may be made by check mailed to the Holders at their addresses set forth in the register</w:t>
      </w:r>
      <w:r>
        <w:rPr>
          <w:color w:val="000000"/>
        </w:rPr>
        <w:t xml:space="preserve"> </w:t>
      </w:r>
      <w:r>
        <w:rPr>
          <w:rFonts w:ascii="Times New Roman;serif" w:hAnsi="Times New Roman;serif"/>
          <w:b w:val="false"/>
          <w:color w:val="000000"/>
          <w:sz w:val="24"/>
        </w:rPr>
        <w:t xml:space="preserve">of Holders; </w:t>
      </w:r>
      <w:r>
        <w:rPr>
          <w:rFonts w:ascii="Times New Roman;serif" w:hAnsi="Times New Roman;serif"/>
          <w:b w:val="false"/>
          <w:i/>
          <w:color w:val="000000"/>
          <w:sz w:val="24"/>
        </w:rPr>
        <w:t>provided that</w:t>
      </w:r>
      <w:r>
        <w:rPr>
          <w:color w:val="000000"/>
        </w:rPr>
        <w:t xml:space="preserve"> </w:t>
      </w:r>
      <w:r>
        <w:rPr>
          <w:rFonts w:ascii="Times New Roman;serif" w:hAnsi="Times New Roman;serif"/>
          <w:b w:val="false"/>
          <w:color w:val="000000"/>
          <w:sz w:val="24"/>
        </w:rPr>
        <w:t>payment by wire transfer of immediately available funds will be required with respect to principal of and interest and premium, if</w:t>
      </w:r>
      <w:r>
        <w:rPr>
          <w:color w:val="000000"/>
        </w:rPr>
        <w:t xml:space="preserve"> </w:t>
      </w:r>
      <w:r>
        <w:rPr>
          <w:rFonts w:ascii="Times New Roman;serif" w:hAnsi="Times New Roman;serif"/>
          <w:b w:val="false"/>
          <w:color w:val="000000"/>
          <w:sz w:val="24"/>
        </w:rPr>
        <w:t>any, on, all Global Notes and all other Notes the Holders of which will have provided wire transfer instructions to the Issuer or the Paying Agent. Such</w:t>
      </w:r>
      <w:r>
        <w:rPr>
          <w:color w:val="000000"/>
        </w:rPr>
        <w:t xml:space="preserve"> </w:t>
      </w:r>
      <w:r>
        <w:rPr>
          <w:rFonts w:ascii="Times New Roman;serif" w:hAnsi="Times New Roman;serif"/>
          <w:b w:val="false"/>
          <w:color w:val="000000"/>
          <w:sz w:val="24"/>
        </w:rPr>
        <w:t>payment</w:t>
      </w:r>
      <w:r>
        <w:rPr>
          <w:color w:val="000000"/>
        </w:rPr>
        <w:t xml:space="preserve"> </w:t>
      </w:r>
      <w:r>
        <w:rPr>
          <w:rFonts w:ascii="Times New Roman;serif" w:hAnsi="Times New Roman;serif"/>
          <w:b w:val="false"/>
          <w:color w:val="000000"/>
          <w:sz w:val="24"/>
        </w:rPr>
        <w:t>shall</w:t>
      </w:r>
      <w:r>
        <w:rPr>
          <w:color w:val="000000"/>
        </w:rPr>
        <w:t xml:space="preserve"> </w:t>
      </w:r>
      <w:r>
        <w:rPr>
          <w:rFonts w:ascii="Times New Roman;serif" w:hAnsi="Times New Roman;serif"/>
          <w:b w:val="false"/>
          <w:color w:val="000000"/>
          <w:sz w:val="24"/>
        </w:rPr>
        <w:t>be</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such</w:t>
      </w:r>
      <w:r>
        <w:rPr>
          <w:color w:val="000000"/>
        </w:rPr>
        <w:t xml:space="preserve"> </w:t>
      </w:r>
      <w:r>
        <w:rPr>
          <w:rFonts w:ascii="Times New Roman;serif" w:hAnsi="Times New Roman;serif"/>
          <w:b w:val="false"/>
          <w:color w:val="000000"/>
          <w:sz w:val="24"/>
        </w:rPr>
        <w:t>coin</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currency</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United</w:t>
      </w:r>
      <w:r>
        <w:rPr>
          <w:color w:val="000000"/>
        </w:rPr>
        <w:t xml:space="preserve"> </w:t>
      </w:r>
      <w:r>
        <w:rPr>
          <w:rFonts w:ascii="Times New Roman;serif" w:hAnsi="Times New Roman;serif"/>
          <w:b w:val="false"/>
          <w:color w:val="000000"/>
          <w:sz w:val="24"/>
        </w:rPr>
        <w:t>States</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America</w:t>
      </w:r>
      <w:r>
        <w:rPr>
          <w:color w:val="000000"/>
        </w:rPr>
        <w:t xml:space="preserve"> </w:t>
      </w:r>
      <w:r>
        <w:rPr>
          <w:rFonts w:ascii="Times New Roman;serif" w:hAnsi="Times New Roman;serif"/>
          <w:b w:val="false"/>
          <w:color w:val="000000"/>
          <w:sz w:val="24"/>
        </w:rPr>
        <w:t>as</w:t>
      </w:r>
      <w:r>
        <w:rPr>
          <w:color w:val="000000"/>
        </w:rPr>
        <w:t xml:space="preserve"> </w:t>
      </w:r>
      <w:r>
        <w:rPr>
          <w:rFonts w:ascii="Times New Roman;serif" w:hAnsi="Times New Roman;serif"/>
          <w:b w:val="false"/>
          <w:color w:val="000000"/>
          <w:sz w:val="24"/>
        </w:rPr>
        <w:t>at</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time</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payment</w:t>
      </w:r>
      <w:r>
        <w:rPr>
          <w:color w:val="000000"/>
        </w:rPr>
        <w:t xml:space="preserve"> </w:t>
      </w:r>
      <w:r>
        <w:rPr>
          <w:rFonts w:ascii="Times New Roman;serif" w:hAnsi="Times New Roman;serif"/>
          <w:b w:val="false"/>
          <w:color w:val="000000"/>
          <w:sz w:val="24"/>
        </w:rPr>
        <w:t>is</w:t>
      </w:r>
      <w:r>
        <w:rPr>
          <w:color w:val="000000"/>
        </w:rPr>
        <w:t xml:space="preserve"> </w:t>
      </w:r>
      <w:r>
        <w:rPr>
          <w:rFonts w:ascii="Times New Roman;serif" w:hAnsi="Times New Roman;serif"/>
          <w:b w:val="false"/>
          <w:color w:val="000000"/>
          <w:sz w:val="24"/>
        </w:rPr>
        <w:t>legal</w:t>
      </w:r>
      <w:r>
        <w:rPr>
          <w:color w:val="000000"/>
        </w:rPr>
        <w:t xml:space="preserve"> </w:t>
      </w:r>
      <w:r>
        <w:rPr>
          <w:rFonts w:ascii="Times New Roman;serif" w:hAnsi="Times New Roman;serif"/>
          <w:b w:val="false"/>
          <w:color w:val="000000"/>
          <w:sz w:val="24"/>
        </w:rPr>
        <w:t>tender</w:t>
      </w:r>
      <w:r>
        <w:rPr>
          <w:color w:val="000000"/>
        </w:rPr>
        <w:t xml:space="preserve"> </w:t>
      </w:r>
      <w:r>
        <w:rPr>
          <w:rFonts w:ascii="Times New Roman;serif" w:hAnsi="Times New Roman;serif"/>
          <w:b w:val="false"/>
          <w:color w:val="000000"/>
          <w:sz w:val="24"/>
        </w:rPr>
        <w:t>for</w:t>
      </w:r>
      <w:r>
        <w:rPr>
          <w:color w:val="000000"/>
        </w:rPr>
        <w:t xml:space="preserve"> </w:t>
      </w:r>
      <w:r>
        <w:rPr>
          <w:rFonts w:ascii="Times New Roman;serif" w:hAnsi="Times New Roman;serif"/>
          <w:b w:val="false"/>
          <w:color w:val="000000"/>
          <w:sz w:val="24"/>
        </w:rPr>
        <w:t>payment</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public</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private</w:t>
      </w:r>
      <w:r>
        <w:rPr>
          <w:color w:val="000000"/>
        </w:rPr>
        <w:t xml:space="preserve"> </w:t>
      </w:r>
      <w:r>
        <w:rPr>
          <w:rFonts w:ascii="Times New Roman;serif" w:hAnsi="Times New Roman;serif"/>
          <w:b w:val="false"/>
          <w:color w:val="000000"/>
          <w:sz w:val="24"/>
        </w:rPr>
        <w:t>debts.</w:t>
      </w:r>
    </w:p>
    <w:p>
      <w:pPr>
        <w:pStyle w:val="TextBody"/>
        <w:bidi w:val="0"/>
        <w:spacing w:lineRule="auto" w:line="240" w:before="0" w:after="240"/>
        <w:ind w:left="0" w:right="0" w:firstLine="720"/>
        <w:jc w:val="both"/>
        <w:rPr/>
      </w:pPr>
      <w:r>
        <w:rPr>
          <w:rFonts w:ascii="Times New Roman;serif" w:hAnsi="Times New Roman;serif"/>
          <w:b w:val="false"/>
          <w:color w:val="000000"/>
          <w:sz w:val="24"/>
        </w:rPr>
        <w:t>3.</w:t>
      </w:r>
      <w:r>
        <w:rPr>
          <w:rFonts w:ascii="Times New Roman;serif" w:hAnsi="Times New Roman;serif"/>
          <w:b w:val="false"/>
          <w:i/>
          <w:color w:val="000000"/>
          <w:sz w:val="24"/>
        </w:rPr>
        <w:t>Paying Agent and Registrar</w:t>
      </w:r>
      <w:r>
        <w:rPr>
          <w:rFonts w:ascii="Times New Roman;serif" w:hAnsi="Times New Roman;serif"/>
          <w:b w:val="false"/>
          <w:color w:val="000000"/>
          <w:sz w:val="24"/>
        </w:rPr>
        <w:t>. Initially, Wilmington Savings Fund Society, FSB, the Trustee under the Indenture, will act as Paying Agent and the</w:t>
      </w:r>
      <w:r>
        <w:rPr>
          <w:color w:val="000000"/>
        </w:rPr>
        <w:t xml:space="preserve"> </w:t>
      </w:r>
      <w:r>
        <w:rPr>
          <w:rFonts w:ascii="Times New Roman;serif" w:hAnsi="Times New Roman;serif"/>
          <w:b w:val="false"/>
          <w:color w:val="000000"/>
          <w:sz w:val="24"/>
        </w:rPr>
        <w:t>Registrar. The Issuer may change any Paying Agent or the Registrar without prior notice to any Holder. The Issuer or any of its Subsidiaries may</w:t>
      </w:r>
      <w:r>
        <w:rPr>
          <w:color w:val="000000"/>
        </w:rPr>
        <w:t xml:space="preserve"> </w:t>
      </w:r>
      <w:r>
        <w:rPr>
          <w:rFonts w:ascii="Times New Roman;serif" w:hAnsi="Times New Roman;serif"/>
          <w:b w:val="false"/>
          <w:color w:val="000000"/>
          <w:sz w:val="24"/>
        </w:rPr>
        <w:t>act in any such capacity.</w:t>
      </w:r>
    </w:p>
    <w:p>
      <w:pPr>
        <w:pStyle w:val="TextBody"/>
        <w:bidi w:val="0"/>
        <w:spacing w:lineRule="auto" w:line="240" w:before="0" w:after="240"/>
        <w:ind w:left="0" w:right="0" w:firstLine="720"/>
        <w:jc w:val="both"/>
        <w:rPr/>
      </w:pPr>
      <w:r>
        <w:rPr>
          <w:rFonts w:ascii="Times New Roman;serif" w:hAnsi="Times New Roman;serif"/>
          <w:b w:val="false"/>
          <w:color w:val="000000"/>
          <w:sz w:val="24"/>
        </w:rPr>
        <w:t>4.</w:t>
      </w:r>
      <w:r>
        <w:rPr>
          <w:rFonts w:ascii="Times New Roman;serif" w:hAnsi="Times New Roman;serif"/>
          <w:b w:val="false"/>
          <w:i/>
          <w:color w:val="000000"/>
          <w:sz w:val="24"/>
        </w:rPr>
        <w:t>Indenture</w:t>
      </w:r>
      <w:r>
        <w:rPr>
          <w:rFonts w:ascii="Times New Roman;serif" w:hAnsi="Times New Roman;serif"/>
          <w:b w:val="false"/>
          <w:color w:val="000000"/>
          <w:sz w:val="24"/>
        </w:rPr>
        <w:t>. The Issuer issued the Notes as one of a duly authenticated series of securities of the Issuer issued and to be issued in one or</w:t>
      </w:r>
      <w:r>
        <w:rPr>
          <w:color w:val="000000"/>
        </w:rPr>
        <w:t xml:space="preserve"> </w:t>
      </w:r>
      <w:r>
        <w:rPr>
          <w:rFonts w:ascii="Times New Roman;serif" w:hAnsi="Times New Roman;serif"/>
          <w:b w:val="false"/>
          <w:color w:val="000000"/>
          <w:sz w:val="24"/>
        </w:rPr>
        <w:t>more series under an Indenture dated as of April 29, 2026 (the “</w:t>
      </w:r>
      <w:r>
        <w:rPr>
          <w:rFonts w:ascii="Times New Roman;serif" w:hAnsi="Times New Roman;serif"/>
          <w:b w:val="false"/>
          <w:i/>
          <w:color w:val="000000"/>
          <w:sz w:val="24"/>
        </w:rPr>
        <w:t>Indenture</w:t>
      </w:r>
      <w:r>
        <w:rPr>
          <w:color w:val="000000"/>
        </w:rPr>
        <w:t>”</w:t>
      </w:r>
      <w:r>
        <w:rPr>
          <w:rFonts w:ascii="Times New Roman;serif" w:hAnsi="Times New Roman;serif"/>
          <w:b w:val="false"/>
          <w:color w:val="000000"/>
          <w:sz w:val="24"/>
        </w:rPr>
        <w:t>), among the</w:t>
      </w:r>
      <w:r>
        <w:rPr>
          <w:color w:val="000000"/>
        </w:rPr>
        <w:t xml:space="preserve"> </w:t>
      </w:r>
      <w:r>
        <w:rPr>
          <w:rFonts w:ascii="Times New Roman;serif" w:hAnsi="Times New Roman;serif"/>
          <w:b w:val="false"/>
          <w:color w:val="000000"/>
          <w:sz w:val="24"/>
        </w:rPr>
        <w:t>Issuer, the Subsidiary Guarantors party thereto and the Trustee, and Holders are referred to the Indenture for a statement of such terms. To the extent any provision</w:t>
      </w:r>
      <w:r>
        <w:rPr>
          <w:color w:val="000000"/>
        </w:rPr>
        <w:t xml:space="preserve"> </w:t>
      </w:r>
      <w:r>
        <w:rPr>
          <w:rFonts w:ascii="Times New Roman;serif" w:hAnsi="Times New Roman;serif"/>
          <w:b w:val="false"/>
          <w:color w:val="000000"/>
          <w:sz w:val="24"/>
        </w:rPr>
        <w:t>of this Note conflicts with the express provisions of the Indenture, the</w:t>
      </w:r>
      <w:r>
        <w:rPr>
          <w:color w:val="000000"/>
        </w:rPr>
        <w:t xml:space="preserve"> </w:t>
      </w:r>
    </w:p>
    <w:p>
      <w:pPr>
        <w:pStyle w:val="TextBody"/>
        <w:bidi w:val="0"/>
        <w:spacing w:before="0" w:after="0"/>
        <w:jc w:val="left"/>
        <w:rPr/>
      </w:pPr>
      <w:r>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480175" cy="175260"/>
                <wp:effectExtent l="0" t="0" r="0" b="0"/>
                <wp:wrapNone/>
                <wp:docPr id="146" name="Frame14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A-3</w:t>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rPr>
        <w:t>provisions</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Indenture</w:t>
      </w:r>
      <w:r>
        <w:rPr>
          <w:color w:val="000000"/>
        </w:rPr>
        <w:t xml:space="preserve"> </w:t>
      </w:r>
      <w:r>
        <w:rPr>
          <w:rFonts w:ascii="Times New Roman;serif" w:hAnsi="Times New Roman;serif"/>
          <w:b w:val="false"/>
          <w:color w:val="000000"/>
          <w:sz w:val="24"/>
        </w:rPr>
        <w:t>shall</w:t>
      </w:r>
      <w:r>
        <w:rPr>
          <w:color w:val="000000"/>
        </w:rPr>
        <w:t xml:space="preserve"> </w:t>
      </w:r>
      <w:r>
        <w:rPr>
          <w:rFonts w:ascii="Times New Roman;serif" w:hAnsi="Times New Roman;serif"/>
          <w:b w:val="false"/>
          <w:color w:val="000000"/>
          <w:sz w:val="24"/>
        </w:rPr>
        <w:t>govern</w:t>
      </w:r>
      <w:r>
        <w:rPr>
          <w:color w:val="000000"/>
        </w:rPr>
        <w:t xml:space="preserve"> </w:t>
      </w:r>
      <w:r>
        <w:rPr>
          <w:rFonts w:ascii="Times New Roman;serif" w:hAnsi="Times New Roman;serif"/>
          <w:b w:val="false"/>
          <w:color w:val="000000"/>
          <w:sz w:val="24"/>
        </w:rPr>
        <w:t>and be controlling. The Issuer shall be entitled to issue Additional Notes pursuant to</w:t>
      </w:r>
      <w:r>
        <w:rPr>
          <w:color w:val="000000"/>
        </w:rPr>
        <w:t xml:space="preserve"> </w:t>
      </w:r>
      <w:r>
        <w:rPr>
          <w:rFonts w:ascii="Times New Roman;serif" w:hAnsi="Times New Roman;serif"/>
          <w:b w:val="false"/>
          <w:color w:val="000000"/>
          <w:sz w:val="24"/>
          <w:u w:val="single"/>
        </w:rPr>
        <w:t>Section 2.07</w:t>
      </w:r>
      <w:r>
        <w:rPr>
          <w:color w:val="000000"/>
          <w:u w:val="single"/>
        </w:rPr>
        <w:t xml:space="preserve"> </w:t>
      </w:r>
      <w:r>
        <w:rPr>
          <w:rFonts w:ascii="Times New Roman;serif" w:hAnsi="Times New Roman;serif"/>
          <w:b w:val="false"/>
          <w:color w:val="000000"/>
          <w:sz w:val="24"/>
        </w:rPr>
        <w:t>of the Indenture.</w:t>
      </w:r>
    </w:p>
    <w:p>
      <w:pPr>
        <w:pStyle w:val="TextBody"/>
        <w:bidi w:val="0"/>
        <w:spacing w:lineRule="auto" w:line="240" w:before="0" w:after="240"/>
        <w:ind w:left="0" w:right="0" w:firstLine="720"/>
        <w:jc w:val="both"/>
        <w:rPr/>
      </w:pPr>
      <w:r>
        <w:rPr>
          <w:rFonts w:ascii="Times New Roman;serif" w:hAnsi="Times New Roman;serif"/>
          <w:b w:val="false"/>
          <w:color w:val="000000"/>
          <w:sz w:val="24"/>
        </w:rPr>
        <w:t>5.</w:t>
      </w:r>
      <w:r>
        <w:rPr>
          <w:rFonts w:ascii="Times New Roman;serif" w:hAnsi="Times New Roman;serif"/>
          <w:b w:val="false"/>
          <w:i/>
          <w:color w:val="000000"/>
          <w:sz w:val="24"/>
        </w:rPr>
        <w:t>Optional</w:t>
      </w:r>
      <w:r>
        <w:rPr>
          <w:color w:val="000000"/>
        </w:rPr>
        <w:t xml:space="preserve"> </w:t>
      </w:r>
      <w:r>
        <w:rPr>
          <w:rFonts w:ascii="Times New Roman;serif" w:hAnsi="Times New Roman;serif"/>
          <w:b w:val="false"/>
          <w:i/>
          <w:color w:val="000000"/>
          <w:sz w:val="24"/>
        </w:rPr>
        <w:t>Redemption</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At any time prior to May 1, 2028, the Issuer may, on any one or more occasions, redeem all or a part of the Notes at a redemption price equal to 100% of the principal amount of the Notes to be redeemed, plus the Applicable Premium as of, and accrued and unpaid interest, if any, to, but excluding, the redemption date, subject to the rights of Holders of such Notes on the relevant record date to receive interest due on the relevant interest payment date.</w:t>
      </w:r>
    </w:p>
    <w:p>
      <w:pPr>
        <w:pStyle w:val="TextBody"/>
        <w:bidi w:val="0"/>
        <w:spacing w:lineRule="auto" w:line="240"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 xml:space="preserve">At any time prior to May 1, 2028, the Issuer may, on any one or more occasions, redeem the Notes with the proceeds from any Equity Offering at a redemption price equal to 106.125% of the principal amount of such Notes, plus accrued and unpaid interest, if any, to, but excluding, the redemption date (subject to the rights of Holders of such Notes on the relevant record date to receive interest due on the relevant interest payment date), in an aggregate principal amount for all such redemptions not to exceed 40% of the aggregate principal amount of the Notes issued under the Indenture; </w:t>
      </w:r>
      <w:r>
        <w:rPr>
          <w:rFonts w:ascii="Times New Roman;serif" w:hAnsi="Times New Roman;serif"/>
          <w:b w:val="false"/>
          <w:i/>
          <w:color w:val="000000"/>
          <w:sz w:val="24"/>
        </w:rPr>
        <w:t>provided that</w:t>
      </w:r>
      <w:r>
        <w:rPr>
          <w:rFonts w:ascii="Times New Roman;serif" w:hAnsi="Times New Roman;serif"/>
          <w:b w:val="false"/>
          <w:color w:val="000000"/>
          <w:sz w:val="24"/>
        </w:rPr>
        <w:t xml:space="preserve">: </w:t>
      </w:r>
    </w:p>
    <w:p>
      <w:pPr>
        <w:pStyle w:val="TextBody"/>
        <w:bidi w:val="0"/>
        <w:spacing w:lineRule="auto" w:line="240"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(i)in each case the redemption takes place not later than 180 days after the closing of the related Equity Offering, and</w:t>
      </w:r>
    </w:p>
    <w:p>
      <w:pPr>
        <w:pStyle w:val="TextBody"/>
        <w:bidi w:val="0"/>
        <w:spacing w:lineRule="auto" w:line="240"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(ii)not less than 50% of the aggregate principal amount of the then-outstanding Notes issued under the Indenture remain outstanding immediately thereafter (excluding Notes held by the Issuer or any of its Subsidiaries), unless all such Notes are redeemed or repurchased or to be redeemed or repurchased substantially concurrently.</w:t>
      </w:r>
    </w:p>
    <w:p>
      <w:pPr>
        <w:pStyle w:val="TextBody"/>
        <w:bidi w:val="0"/>
        <w:spacing w:lineRule="auto" w:line="240" w:before="0" w:after="24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rPr>
        <w:t>At any time on or after May 1, 2028, the Issuer may, on any one or more occasions, redeem all or a part of the Notes at the following redemption prices (expressed as a percentage of principal amount of the Notes to be redeemed) set forth below, plus accrued and unpaid interest, if any, to, but excluding, the redemption date, if redeemed during the 12-month period beginning on May 1 of each of the years indicated below, subject to the rights of Holders of such Notes on the relevant record date to receive interest due on the relevant interest payment date:</w:t>
      </w:r>
    </w:p>
    <w:tbl>
      <w:tblPr>
        <w:tblW w:w="3314" w:type="dxa"/>
        <w:jc w:val="left"/>
        <w:tblInd w:w="0" w:type="dxa"/>
        <w:tblLayout w:type="fixed"/>
        <w:tblCellMar>
          <w:top w:w="28" w:type="dxa"/>
          <w:left w:w="28" w:type="dxa"/>
          <w:bottom w:w="28" w:type="dxa"/>
          <w:right w:w="28" w:type="dxa"/>
        </w:tblCellMar>
      </w:tblPr>
      <w:tblGrid>
        <w:gridCol w:w="703"/>
        <w:gridCol w:w="620"/>
        <w:gridCol w:w="626"/>
        <w:gridCol w:w="399"/>
        <w:gridCol w:w="399"/>
        <w:gridCol w:w="567"/>
      </w:tblGrid>
      <w:tr>
        <w:trPr/>
        <w:tc>
          <w:tcPr>
            <w:tcW w:w="703"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u w:val="single"/>
              </w:rPr>
            </w:pPr>
            <w:r>
              <w:rPr>
                <w:rFonts w:ascii="Times New Roman;serif" w:hAnsi="Times New Roman;serif"/>
                <w:b/>
                <w:color w:val="000000"/>
                <w:sz w:val="24"/>
                <w:u w:val="single"/>
              </w:rPr>
              <w:t>Year</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u w:val="single"/>
              </w:rPr>
            </w:pPr>
            <w:r>
              <w:rPr>
                <w:rFonts w:ascii="Times New Roman;serif" w:hAnsi="Times New Roman;serif"/>
                <w:b/>
                <w:color w:val="000000"/>
                <w:sz w:val="24"/>
                <w:u w:val="single"/>
              </w:rPr>
              <w:t>Percentage</w:t>
            </w:r>
          </w:p>
        </w:tc>
      </w:tr>
      <w:tr>
        <w:trPr/>
        <w:tc>
          <w:tcPr>
            <w:tcW w:w="194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2028</w:t>
            </w:r>
          </w:p>
        </w:tc>
        <w:tc>
          <w:tcPr>
            <w:tcW w:w="1365" w:type="dxa"/>
            <w:gridSpan w:val="3"/>
            <w:tcBorders/>
            <w:tcMar>
              <w:top w:w="0" w:type="dxa"/>
              <w:left w:w="0" w:type="dxa"/>
              <w:bottom w:w="0" w:type="dxa"/>
              <w:right w:w="0" w:type="dxa"/>
            </w:tcMar>
            <w:vAlign w:val="center"/>
          </w:tcPr>
          <w:p>
            <w:pPr>
              <w:pStyle w:val="TableContents"/>
              <w:bidi w:val="0"/>
              <w:spacing w:lineRule="auto" w:line="288" w:before="0" w:after="0"/>
              <w:jc w:val="right"/>
              <w:rPr>
                <w:color w:val="000000"/>
              </w:rPr>
            </w:pPr>
            <w:r>
              <w:rPr>
                <w:color w:val="000000"/>
              </w:rPr>
              <w:t>    </w:t>
            </w:r>
            <w:r>
              <w:rPr>
                <w:rFonts w:ascii="Times New Roman;serif" w:hAnsi="Times New Roman;serif"/>
                <w:b w:val="false"/>
                <w:color w:val="000000"/>
                <w:sz w:val="24"/>
              </w:rPr>
              <w:t>103.062%</w:t>
            </w:r>
          </w:p>
        </w:tc>
      </w:tr>
      <w:tr>
        <w:trPr/>
        <w:tc>
          <w:tcPr>
            <w:tcW w:w="194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2029</w:t>
            </w:r>
          </w:p>
        </w:tc>
        <w:tc>
          <w:tcPr>
            <w:tcW w:w="1365" w:type="dxa"/>
            <w:gridSpan w:val="3"/>
            <w:tcBorders/>
            <w:tcMar>
              <w:top w:w="0" w:type="dxa"/>
              <w:left w:w="0" w:type="dxa"/>
              <w:bottom w:w="0" w:type="dxa"/>
              <w:right w:w="0" w:type="dxa"/>
            </w:tcMar>
            <w:vAlign w:val="center"/>
          </w:tcPr>
          <w:p>
            <w:pPr>
              <w:pStyle w:val="TableContents"/>
              <w:bidi w:val="0"/>
              <w:spacing w:lineRule="auto" w:line="288" w:before="0" w:after="0"/>
              <w:jc w:val="right"/>
              <w:rPr>
                <w:color w:val="000000"/>
              </w:rPr>
            </w:pPr>
            <w:r>
              <w:rPr>
                <w:color w:val="000000"/>
              </w:rPr>
              <w:t>    </w:t>
            </w:r>
            <w:r>
              <w:rPr>
                <w:rFonts w:ascii="Times New Roman;serif" w:hAnsi="Times New Roman;serif"/>
                <w:b w:val="false"/>
                <w:color w:val="000000"/>
                <w:sz w:val="24"/>
              </w:rPr>
              <w:t>101.531%</w:t>
            </w:r>
          </w:p>
        </w:tc>
      </w:tr>
      <w:tr>
        <w:trPr/>
        <w:tc>
          <w:tcPr>
            <w:tcW w:w="194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2030 and thereafter</w:t>
            </w:r>
          </w:p>
        </w:tc>
        <w:tc>
          <w:tcPr>
            <w:tcW w:w="1365" w:type="dxa"/>
            <w:gridSpan w:val="3"/>
            <w:tcBorders/>
            <w:tcMar>
              <w:top w:w="0" w:type="dxa"/>
              <w:left w:w="0" w:type="dxa"/>
              <w:bottom w:w="0" w:type="dxa"/>
              <w:right w:w="0" w:type="dxa"/>
            </w:tcMar>
            <w:vAlign w:val="center"/>
          </w:tcPr>
          <w:p>
            <w:pPr>
              <w:pStyle w:val="TableContents"/>
              <w:bidi w:val="0"/>
              <w:spacing w:lineRule="auto" w:line="288" w:before="0" w:after="0"/>
              <w:jc w:val="right"/>
              <w:rPr>
                <w:color w:val="000000"/>
              </w:rPr>
            </w:pPr>
            <w:r>
              <w:rPr>
                <w:color w:val="000000"/>
              </w:rPr>
              <w:t>    </w:t>
            </w:r>
            <w:r>
              <w:rPr>
                <w:rFonts w:ascii="Times New Roman;serif" w:hAnsi="Times New Roman;serif"/>
                <w:b w:val="false"/>
                <w:color w:val="000000"/>
                <w:sz w:val="24"/>
              </w:rPr>
              <w:t>100.000%</w:t>
            </w:r>
          </w:p>
        </w:tc>
      </w:tr>
    </w:tbl>
    <w:p>
      <w:pPr>
        <w:pStyle w:val="TextBody"/>
        <w:bidi w:val="0"/>
        <w:spacing w:before="0" w:after="0"/>
        <w:ind w:left="0" w:right="0" w:firstLine="1800"/>
        <w:jc w:val="left"/>
        <w:rPr/>
      </w:pPr>
      <w:r>
        <w:rPr/>
      </w:r>
    </w:p>
    <w:p>
      <w:pPr>
        <w:pStyle w:val="TextBody"/>
        <w:bidi w:val="0"/>
        <w:spacing w:lineRule="auto" w:line="240" w:before="0" w:after="240"/>
        <w:ind w:left="0" w:right="0" w:firstLine="1440"/>
        <w:jc w:val="both"/>
        <w:rPr/>
      </w:pPr>
      <w:r>
        <w:rPr>
          <w:rFonts w:ascii="Times New Roman;serif" w:hAnsi="Times New Roman;serif"/>
          <w:b w:val="false"/>
          <w:color w:val="000000"/>
          <w:sz w:val="24"/>
        </w:rPr>
        <w:t>(d)</w:t>
      </w:r>
      <w:r>
        <w:rPr>
          <w:rFonts w:ascii="Times New Roman;serif" w:hAnsi="Times New Roman;serif"/>
          <w:b w:val="false"/>
          <w:color w:val="000000"/>
          <w:sz w:val="24"/>
        </w:rPr>
        <w:t xml:space="preserve">Notwithstanding the foregoing, in connection with any tender offer for or other offer to purchase the Notes, including a Change of Control Offer, if Holders of not less than 90% in aggregate principal amount of the outstanding Notes validly tender and do not validly withdraw such Notes in such offer and the Issuer, or any third party making such an offer in lieu of the Issuer, purchase all of the Notes validly tendered and not withdrawn by such Holders, all Holders will be deemed to have consented to such offer, and the Issuer or such third party will have the right upon not less than 10 nor more than 60 days’ notice, given not more than 30 days following such offer expiration date, to redeem (with respect to the Issuer) or purchase (with respect to a third party) Notes that remain outstanding, in whole but not in part, following such purchase at a price equal to the price paid to each other Holder (excluding any early tender, incentive or similar fee) in such offer, plus, to the extent not included in the offer payment, accrued and unpaid interest, if any, thereon, to, but excluding, such redemption date </w:t>
      </w:r>
    </w:p>
    <w:p>
      <w:pPr>
        <w:pStyle w:val="TextBody"/>
        <w:bidi w:val="0"/>
        <w:spacing w:before="0" w:after="0"/>
        <w:jc w:val="left"/>
        <w:rPr/>
      </w:pPr>
      <w:r>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480175" cy="175260"/>
                <wp:effectExtent l="0" t="0" r="0" b="0"/>
                <wp:wrapNone/>
                <wp:docPr id="147" name="Frame14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A-4</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(subject to the rights of Holders on the relevant record date to receive interest due on the relevant interest payment date). In determining whether the Holders of at least 90% of the aggregate principal amount of the then outstanding Notes have validly tendered and not validly withdrawn such Notes in a tender offer or other offer to purchase, such calculation shall include all Notes owned by an Affiliate of the Issuer (notwithstanding any provision of the Indenture to the contrary). </w:t>
      </w:r>
    </w:p>
    <w:p>
      <w:pPr>
        <w:pStyle w:val="TextBody"/>
        <w:bidi w:val="0"/>
        <w:spacing w:lineRule="auto" w:line="240" w:before="0" w:after="240"/>
        <w:ind w:left="0" w:right="0" w:firstLine="1440"/>
        <w:jc w:val="both"/>
        <w:rPr/>
      </w:pPr>
      <w:r>
        <w:rPr>
          <w:rFonts w:ascii="Times New Roman;serif" w:hAnsi="Times New Roman;serif"/>
          <w:b w:val="false"/>
          <w:color w:val="000000"/>
          <w:sz w:val="24"/>
        </w:rPr>
        <w:t>(e)</w:t>
      </w:r>
      <w:r>
        <w:rPr>
          <w:rFonts w:ascii="Times New Roman;serif" w:hAnsi="Times New Roman;serif"/>
          <w:b w:val="false"/>
          <w:color w:val="000000"/>
          <w:sz w:val="24"/>
        </w:rPr>
        <w:t xml:space="preserve">If a redemption date is not a Business Day, payment may be made on the next succeeding day that is a Business Day, and no interest shall accrue on any amount that would have been otherwise payable on such redemption date if it were a Business Day for the intervening period. </w:t>
      </w:r>
    </w:p>
    <w:p>
      <w:pPr>
        <w:pStyle w:val="TextBody"/>
        <w:bidi w:val="0"/>
        <w:spacing w:lineRule="auto" w:line="240" w:before="0" w:after="240"/>
        <w:ind w:left="0" w:right="0" w:firstLine="720"/>
        <w:jc w:val="both"/>
        <w:rPr/>
      </w:pPr>
      <w:r>
        <w:rPr>
          <w:rFonts w:ascii="Times New Roman;serif" w:hAnsi="Times New Roman;serif"/>
          <w:b w:val="false"/>
          <w:color w:val="000000"/>
          <w:sz w:val="24"/>
        </w:rPr>
        <w:t>6.</w:t>
      </w:r>
      <w:r>
        <w:rPr>
          <w:rFonts w:ascii="Times New Roman;serif" w:hAnsi="Times New Roman;serif"/>
          <w:b w:val="false"/>
          <w:i/>
          <w:color w:val="000000"/>
          <w:sz w:val="24"/>
        </w:rPr>
        <w:t>Special Mandatory Redemption</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Except as set forth in this Section 6, the Issuer is not required to make mandatory redemption or sinking fund payments with respect to the Notes.</w:t>
      </w:r>
    </w:p>
    <w:p>
      <w:pPr>
        <w:pStyle w:val="TextBody"/>
        <w:bidi w:val="0"/>
        <w:spacing w:lineRule="auto" w:line="240"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If (i) the Cornerstone Acquisition has not been completed on or prior to 11:59 p.m. (New York City time) on January 15, 2027 (or, to the extent such date is automatically extended pursuant to the terms of the Cornerstone Merger Agreement to July 15, 2027) (such date, as extended if applicable, the “</w:t>
      </w:r>
      <w:r>
        <w:rPr>
          <w:rFonts w:ascii="Times New Roman;serif" w:hAnsi="Times New Roman;serif"/>
          <w:b w:val="false"/>
          <w:i/>
          <w:color w:val="000000"/>
          <w:sz w:val="24"/>
        </w:rPr>
        <w:t>Outside Date</w:t>
      </w:r>
      <w:r>
        <w:rPr>
          <w:color w:val="000000"/>
        </w:rPr>
        <w:t>”</w:t>
      </w:r>
      <w:r>
        <w:rPr>
          <w:rFonts w:ascii="Times New Roman;serif" w:hAnsi="Times New Roman;serif"/>
          <w:b w:val="false"/>
          <w:color w:val="000000"/>
          <w:sz w:val="24"/>
        </w:rPr>
        <w:t>), or (ii) prior to 11:59 p.m. (New York City time) on the Outside Date, (a) the Issuer determines that the Cornerstone Acquisition will not be consummated on or before the Outside Date or (b) the Cornerstone Merger Agreement has been terminated (the earlier to occur of the events described in clauses (i) and (ii) of this sentence, a “</w:t>
      </w:r>
      <w:r>
        <w:rPr>
          <w:rFonts w:ascii="Times New Roman;serif" w:hAnsi="Times New Roman;serif"/>
          <w:b w:val="false"/>
          <w:i/>
          <w:color w:val="000000"/>
          <w:sz w:val="24"/>
        </w:rPr>
        <w:t>Acquisition Triggering Event</w:t>
      </w:r>
      <w:r>
        <w:rPr>
          <w:color w:val="000000"/>
        </w:rPr>
        <w:t>”</w:t>
      </w:r>
      <w:r>
        <w:rPr>
          <w:rFonts w:ascii="Times New Roman;serif" w:hAnsi="Times New Roman;serif"/>
          <w:b w:val="false"/>
          <w:color w:val="000000"/>
          <w:sz w:val="24"/>
        </w:rPr>
        <w:t>), the Issuer will redeem (a “</w:t>
      </w:r>
      <w:r>
        <w:rPr>
          <w:rFonts w:ascii="Times New Roman;serif" w:hAnsi="Times New Roman;serif"/>
          <w:b w:val="false"/>
          <w:i/>
          <w:color w:val="000000"/>
          <w:sz w:val="24"/>
        </w:rPr>
        <w:t>Special Mandatory Redemption</w:t>
      </w:r>
      <w:r>
        <w:rPr>
          <w:color w:val="000000"/>
        </w:rPr>
        <w:t>”</w:t>
      </w:r>
      <w:r>
        <w:rPr>
          <w:rFonts w:ascii="Times New Roman;serif" w:hAnsi="Times New Roman;serif"/>
          <w:b w:val="false"/>
          <w:color w:val="000000"/>
          <w:sz w:val="24"/>
        </w:rPr>
        <w:t>); within 30 days after the Acquisition Triggering Event, $1,050,000,000 in aggregate principal amount of the Notes, at a redemption price equal to 100% of the issue price thereof, plus accrued and unpaid interest to, but not including, the redemption date (the “</w:t>
      </w:r>
      <w:r>
        <w:rPr>
          <w:rFonts w:ascii="Times New Roman;serif" w:hAnsi="Times New Roman;serif"/>
          <w:b w:val="false"/>
          <w:i/>
          <w:color w:val="000000"/>
          <w:sz w:val="24"/>
        </w:rPr>
        <w:t>Special Mandatory Redemption Price</w:t>
      </w:r>
      <w:r>
        <w:rPr>
          <w:color w:val="000000"/>
        </w:rPr>
        <w:t>”</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rPr>
        <w:t>Upon the occurrence of an Acquisition Triggering Event, the Issuer will promptly (but in no event later than five Business Days following such Acquisition Triggering Event) notify (such notice, a “</w:t>
      </w:r>
      <w:r>
        <w:rPr>
          <w:rFonts w:ascii="Times New Roman;serif" w:hAnsi="Times New Roman;serif"/>
          <w:b w:val="false"/>
          <w:i/>
          <w:color w:val="000000"/>
          <w:sz w:val="24"/>
        </w:rPr>
        <w:t>Special Mandatory Redemption Notice</w:t>
      </w:r>
      <w:r>
        <w:rPr>
          <w:color w:val="000000"/>
        </w:rPr>
        <w:t>”</w:t>
      </w:r>
      <w:r>
        <w:rPr>
          <w:rFonts w:ascii="Times New Roman;serif" w:hAnsi="Times New Roman;serif"/>
          <w:b w:val="false"/>
          <w:color w:val="000000"/>
          <w:sz w:val="24"/>
        </w:rPr>
        <w:t>) the Holders of the Notes, by mail or electronic delivery (with an Officer’s Certificate certifying the occurrence of the applicable Acquisition Triggering Event to be delivered to the Trustee prior to or substantially simultaneously with such notice) (i) that Notes will be redeemed no later than 30 days after the applicable Acquisition Triggering Event (such date, a “</w:t>
      </w:r>
      <w:r>
        <w:rPr>
          <w:rFonts w:ascii="Times New Roman;serif" w:hAnsi="Times New Roman;serif"/>
          <w:b w:val="false"/>
          <w:i/>
          <w:color w:val="000000"/>
          <w:sz w:val="24"/>
        </w:rPr>
        <w:t>Special Mandatory Redemption Date</w:t>
      </w:r>
      <w:r>
        <w:rPr>
          <w:color w:val="000000"/>
        </w:rPr>
        <w:t>”</w:t>
      </w:r>
      <w:r>
        <w:rPr>
          <w:rFonts w:ascii="Times New Roman;serif" w:hAnsi="Times New Roman;serif"/>
          <w:b w:val="false"/>
          <w:color w:val="000000"/>
          <w:sz w:val="24"/>
        </w:rPr>
        <w:t xml:space="preserve">), in each case in accordance with </w:t>
      </w:r>
      <w:r>
        <w:rPr>
          <w:rFonts w:ascii="Times New Roman;serif" w:hAnsi="Times New Roman;serif"/>
          <w:b w:val="false"/>
          <w:color w:val="000000"/>
          <w:sz w:val="24"/>
          <w:u w:val="single"/>
        </w:rPr>
        <w:t>Article 3</w:t>
      </w:r>
      <w:r>
        <w:rPr>
          <w:color w:val="000000"/>
        </w:rPr>
        <w:t xml:space="preserve"> </w:t>
      </w:r>
      <w:r>
        <w:rPr>
          <w:rFonts w:ascii="Times New Roman;serif" w:hAnsi="Times New Roman;serif"/>
          <w:b w:val="false"/>
          <w:color w:val="000000"/>
          <w:sz w:val="24"/>
        </w:rPr>
        <w:t xml:space="preserve">of the Indenture and (ii) the amount of the Notes that shall be redeemed at the applicable Special Mandatory Redemption Price on the Special Mandatory Redemption Date, automatically and without any further action by the Holders, in each case in accordance with </w:t>
      </w:r>
      <w:r>
        <w:rPr>
          <w:rFonts w:ascii="Times New Roman;serif" w:hAnsi="Times New Roman;serif"/>
          <w:b w:val="false"/>
          <w:color w:val="000000"/>
          <w:sz w:val="24"/>
          <w:u w:val="single"/>
        </w:rPr>
        <w:t>Article 3</w:t>
      </w:r>
      <w:r>
        <w:rPr>
          <w:color w:val="000000"/>
        </w:rPr>
        <w:t xml:space="preserve"> </w:t>
      </w:r>
      <w:r>
        <w:rPr>
          <w:rFonts w:ascii="Times New Roman;serif" w:hAnsi="Times New Roman;serif"/>
          <w:b w:val="false"/>
          <w:color w:val="000000"/>
          <w:sz w:val="24"/>
        </w:rPr>
        <w:t>of the Indenture. The date on which the notice described above is provided to the Holders is referred to as a “</w:t>
      </w:r>
      <w:r>
        <w:rPr>
          <w:rFonts w:ascii="Times New Roman;serif" w:hAnsi="Times New Roman;serif"/>
          <w:b w:val="false"/>
          <w:i/>
          <w:color w:val="000000"/>
          <w:sz w:val="24"/>
        </w:rPr>
        <w:t>Special Mandatory Redemption Notice Date</w:t>
      </w:r>
      <w:r>
        <w:rPr>
          <w:color w:val="000000"/>
        </w:rPr>
        <w:t>”</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rFonts w:ascii="Times New Roman;serif" w:hAnsi="Times New Roman;serif"/>
          <w:b w:val="false"/>
          <w:color w:val="000000"/>
          <w:sz w:val="24"/>
        </w:rPr>
        <w:t>(d)</w:t>
      </w:r>
      <w:r>
        <w:rPr>
          <w:rFonts w:ascii="Times New Roman;serif" w:hAnsi="Times New Roman;serif"/>
          <w:b w:val="false"/>
          <w:color w:val="000000"/>
          <w:sz w:val="24"/>
        </w:rPr>
        <w:t xml:space="preserve">At the Issuer’s written request, the Trustee shall give the notice of an Acquisition Triggering Event to the Holders in the Issuer’s name and at the Issuer’s expense, which request (together with such Officer’s Certificate) shall be delivered to the Trustee at least one Business Day before the delivery of the notice to the Holders of the Notes. </w:t>
      </w:r>
    </w:p>
    <w:p>
      <w:pPr>
        <w:pStyle w:val="TextBody"/>
        <w:bidi w:val="0"/>
        <w:spacing w:lineRule="auto" w:line="240" w:before="0" w:after="240"/>
        <w:ind w:left="0" w:right="0" w:firstLine="1440"/>
        <w:jc w:val="both"/>
        <w:rPr/>
      </w:pPr>
      <w:r>
        <w:rPr>
          <w:rFonts w:ascii="Times New Roman;serif" w:hAnsi="Times New Roman;serif"/>
          <w:b w:val="false"/>
          <w:color w:val="000000"/>
          <w:sz w:val="24"/>
        </w:rPr>
        <w:t>(e)</w:t>
      </w:r>
      <w:r>
        <w:rPr>
          <w:rFonts w:ascii="Times New Roman;serif" w:hAnsi="Times New Roman;serif"/>
          <w:b w:val="false"/>
          <w:color w:val="000000"/>
          <w:sz w:val="24"/>
        </w:rPr>
        <w:t xml:space="preserve">At or prior to 11:00 a.m., New York City time, on a Special Mandatory Redemption Date, the Issuer will deposit with the Trustee funds sufficient to pay the applicable Special Mandatory Redemption Price for the Notes to be redeemed and direct, through written instruction, the Trustee to redeem the applicable Notes on the Special Mandatory Redemption Date. If such deposit is made as provided above, the applicable redeemed Notes will cease to </w:t>
      </w:r>
    </w:p>
    <w:p>
      <w:pPr>
        <w:pStyle w:val="TextBody"/>
        <w:bidi w:val="0"/>
        <w:spacing w:before="0" w:after="0"/>
        <w:jc w:val="left"/>
        <w:rPr/>
      </w:pPr>
      <w:r>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480175" cy="175260"/>
                <wp:effectExtent l="0" t="0" r="0" b="0"/>
                <wp:wrapNone/>
                <wp:docPr id="148" name="Frame1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A-5</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bear interest on and after the Special Mandatory Redemption Date and the Trustee shall cause the redemption of the applicable Notes and the payment of the applicable Special Mandatory Redemption Price, in accordance with the Special Mandatory Redemption Notice to the Holders of the applicable redeemed Notes.</w:t>
      </w:r>
    </w:p>
    <w:p>
      <w:pPr>
        <w:pStyle w:val="TextBody"/>
        <w:bidi w:val="0"/>
        <w:spacing w:lineRule="auto" w:line="240" w:before="0" w:after="240"/>
        <w:ind w:left="0" w:right="0" w:firstLine="1440"/>
        <w:jc w:val="both"/>
        <w:rPr/>
      </w:pPr>
      <w:r>
        <w:rPr>
          <w:rFonts w:ascii="Times New Roman;serif" w:hAnsi="Times New Roman;serif"/>
          <w:b w:val="false"/>
          <w:color w:val="000000"/>
          <w:sz w:val="24"/>
        </w:rPr>
        <w:t>(f)</w:t>
      </w:r>
      <w:r>
        <w:rPr>
          <w:rFonts w:ascii="Times New Roman;serif" w:hAnsi="Times New Roman;serif"/>
          <w:b w:val="false"/>
          <w:color w:val="000000"/>
          <w:sz w:val="24"/>
        </w:rPr>
        <w:t>Upon the consummation of the Cornerstone Acquisition, this Section 6 regarding Special Mandatory Redemption shall cease to apply.</w:t>
      </w:r>
    </w:p>
    <w:p>
      <w:pPr>
        <w:pStyle w:val="TextBody"/>
        <w:bidi w:val="0"/>
        <w:spacing w:lineRule="auto" w:line="240" w:before="0" w:after="240"/>
        <w:ind w:left="0" w:right="0" w:firstLine="720"/>
        <w:jc w:val="both"/>
        <w:rPr/>
      </w:pPr>
      <w:r>
        <w:rPr>
          <w:rFonts w:ascii="Times New Roman;serif" w:hAnsi="Times New Roman;serif"/>
          <w:b w:val="false"/>
          <w:color w:val="000000"/>
          <w:sz w:val="24"/>
        </w:rPr>
        <w:t>7.</w:t>
      </w:r>
      <w:r>
        <w:rPr>
          <w:rFonts w:ascii="Times New Roman;serif" w:hAnsi="Times New Roman;serif"/>
          <w:b w:val="false"/>
          <w:i/>
          <w:color w:val="000000"/>
          <w:sz w:val="24"/>
        </w:rPr>
        <w:t>Offer to Repurchase Upon a Change of Control Triggering Event</w:t>
      </w:r>
      <w:r>
        <w:rPr>
          <w:rFonts w:ascii="Times New Roman;serif" w:hAnsi="Times New Roman;serif"/>
          <w:b w:val="false"/>
          <w:color w:val="000000"/>
          <w:sz w:val="24"/>
        </w:rPr>
        <w:t>. Upon the occurrence of a Change of Control Triggering Event, each Holder shall</w:t>
      </w:r>
      <w:r>
        <w:rPr>
          <w:color w:val="000000"/>
        </w:rPr>
        <w:t xml:space="preserve"> </w:t>
      </w:r>
      <w:r>
        <w:rPr>
          <w:rFonts w:ascii="Times New Roman;serif" w:hAnsi="Times New Roman;serif"/>
          <w:b w:val="false"/>
          <w:color w:val="000000"/>
          <w:sz w:val="24"/>
        </w:rPr>
        <w:t>have the right to require the Issuer to make an offer (a “</w:t>
      </w:r>
      <w:r>
        <w:rPr>
          <w:rFonts w:ascii="Times New Roman;serif" w:hAnsi="Times New Roman;serif"/>
          <w:b w:val="false"/>
          <w:i/>
          <w:color w:val="000000"/>
          <w:sz w:val="24"/>
        </w:rPr>
        <w:t>Change of Control Offer</w:t>
      </w:r>
      <w:r>
        <w:rPr>
          <w:color w:val="000000"/>
        </w:rPr>
        <w:t>”</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repurchase</w:t>
      </w:r>
      <w:r>
        <w:rPr>
          <w:color w:val="000000"/>
        </w:rPr>
        <w:t xml:space="preserve"> </w:t>
      </w:r>
      <w:r>
        <w:rPr>
          <w:rFonts w:ascii="Times New Roman;serif" w:hAnsi="Times New Roman;serif"/>
          <w:b w:val="false"/>
          <w:color w:val="000000"/>
          <w:sz w:val="24"/>
        </w:rPr>
        <w:t>all</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part</w:t>
      </w:r>
      <w:r>
        <w:rPr>
          <w:color w:val="000000"/>
        </w:rPr>
        <w:t xml:space="preserve"> </w:t>
      </w:r>
      <w:r>
        <w:rPr>
          <w:rFonts w:ascii="Times New Roman;serif" w:hAnsi="Times New Roman;serif"/>
          <w:b w:val="false"/>
          <w:color w:val="000000"/>
          <w:sz w:val="24"/>
        </w:rPr>
        <w:t>(equal</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$2,000</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an</w:t>
      </w:r>
      <w:r>
        <w:rPr>
          <w:color w:val="000000"/>
        </w:rPr>
        <w:t xml:space="preserve"> </w:t>
      </w:r>
      <w:r>
        <w:rPr>
          <w:rFonts w:ascii="Times New Roman;serif" w:hAnsi="Times New Roman;serif"/>
          <w:b w:val="false"/>
          <w:color w:val="000000"/>
          <w:sz w:val="24"/>
        </w:rPr>
        <w:t>integral</w:t>
      </w:r>
      <w:r>
        <w:rPr>
          <w:color w:val="000000"/>
        </w:rPr>
        <w:t xml:space="preserve"> </w:t>
      </w:r>
      <w:r>
        <w:rPr>
          <w:rFonts w:ascii="Times New Roman;serif" w:hAnsi="Times New Roman;serif"/>
          <w:b w:val="false"/>
          <w:color w:val="000000"/>
          <w:sz w:val="24"/>
        </w:rPr>
        <w:t>multiple</w:t>
      </w:r>
      <w:r>
        <w:rPr>
          <w:color w:val="000000"/>
        </w:rPr>
        <w:t xml:space="preserve"> </w:t>
      </w:r>
      <w:r>
        <w:rPr>
          <w:rFonts w:ascii="Times New Roman;serif" w:hAnsi="Times New Roman;serif"/>
          <w:b w:val="false"/>
          <w:color w:val="000000"/>
          <w:sz w:val="24"/>
        </w:rPr>
        <w:t>of $1,000 in excess of $2,000) of each Holder’s Notes at a purchase price equal to 101% of the aggregate principal amount of the Notes repurchased, plus</w:t>
      </w:r>
      <w:r>
        <w:rPr>
          <w:color w:val="000000"/>
        </w:rPr>
        <w:t xml:space="preserve"> </w:t>
      </w:r>
      <w:r>
        <w:rPr>
          <w:rFonts w:ascii="Times New Roman;serif" w:hAnsi="Times New Roman;serif"/>
          <w:b w:val="false"/>
          <w:color w:val="000000"/>
          <w:sz w:val="24"/>
        </w:rPr>
        <w:t>accrued</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unpaid</w:t>
      </w:r>
      <w:r>
        <w:rPr>
          <w:color w:val="000000"/>
        </w:rPr>
        <w:t xml:space="preserve"> </w:t>
      </w:r>
      <w:r>
        <w:rPr>
          <w:rFonts w:ascii="Times New Roman;serif" w:hAnsi="Times New Roman;serif"/>
          <w:b w:val="false"/>
          <w:color w:val="000000"/>
          <w:sz w:val="24"/>
        </w:rPr>
        <w:t>interest</w:t>
      </w:r>
      <w:r>
        <w:rPr>
          <w:color w:val="000000"/>
        </w:rPr>
        <w:t xml:space="preserve"> </w:t>
      </w:r>
      <w:r>
        <w:rPr>
          <w:rFonts w:ascii="Times New Roman;serif" w:hAnsi="Times New Roman;serif"/>
          <w:b w:val="false"/>
          <w:color w:val="000000"/>
          <w:sz w:val="24"/>
        </w:rPr>
        <w:t>on</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Notes,</w:t>
      </w:r>
      <w:r>
        <w:rPr>
          <w:color w:val="000000"/>
        </w:rPr>
        <w:t xml:space="preserve"> </w:t>
      </w:r>
      <w:r>
        <w:rPr>
          <w:rFonts w:ascii="Times New Roman;serif" w:hAnsi="Times New Roman;serif"/>
          <w:b w:val="false"/>
          <w:color w:val="000000"/>
          <w:sz w:val="24"/>
        </w:rPr>
        <w:t>if</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but</w:t>
      </w:r>
      <w:r>
        <w:rPr>
          <w:color w:val="000000"/>
        </w:rPr>
        <w:t xml:space="preserve"> </w:t>
      </w:r>
      <w:r>
        <w:rPr>
          <w:rFonts w:ascii="Times New Roman;serif" w:hAnsi="Times New Roman;serif"/>
          <w:b w:val="false"/>
          <w:color w:val="000000"/>
          <w:sz w:val="24"/>
        </w:rPr>
        <w:t>excluding,</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date</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purchase,</w:t>
      </w:r>
      <w:r>
        <w:rPr>
          <w:color w:val="000000"/>
        </w:rPr>
        <w:t xml:space="preserve"> </w:t>
      </w:r>
      <w:r>
        <w:rPr>
          <w:rFonts w:ascii="Times New Roman;serif" w:hAnsi="Times New Roman;serif"/>
          <w:b w:val="false"/>
          <w:color w:val="000000"/>
          <w:sz w:val="24"/>
        </w:rPr>
        <w:t>subject</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rights</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Holders</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Notes</w:t>
      </w:r>
      <w:r>
        <w:rPr>
          <w:color w:val="000000"/>
        </w:rPr>
        <w:t xml:space="preserve"> </w:t>
      </w:r>
      <w:r>
        <w:rPr>
          <w:rFonts w:ascii="Times New Roman;serif" w:hAnsi="Times New Roman;serif"/>
          <w:b w:val="false"/>
          <w:color w:val="000000"/>
          <w:sz w:val="24"/>
        </w:rPr>
        <w:t>on</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relevant</w:t>
      </w:r>
      <w:r>
        <w:rPr>
          <w:color w:val="000000"/>
        </w:rPr>
        <w:t xml:space="preserve"> </w:t>
      </w:r>
      <w:r>
        <w:rPr>
          <w:rFonts w:ascii="Times New Roman;serif" w:hAnsi="Times New Roman;serif"/>
          <w:b w:val="false"/>
          <w:color w:val="000000"/>
          <w:sz w:val="24"/>
        </w:rPr>
        <w:t>record</w:t>
      </w:r>
      <w:r>
        <w:rPr>
          <w:color w:val="000000"/>
        </w:rPr>
        <w:t xml:space="preserve"> </w:t>
      </w:r>
      <w:r>
        <w:rPr>
          <w:rFonts w:ascii="Times New Roman;serif" w:hAnsi="Times New Roman;serif"/>
          <w:b w:val="false"/>
          <w:color w:val="000000"/>
          <w:sz w:val="24"/>
        </w:rPr>
        <w:t>date</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receive</w:t>
      </w:r>
      <w:r>
        <w:rPr>
          <w:color w:val="000000"/>
        </w:rPr>
        <w:t xml:space="preserve"> </w:t>
      </w:r>
      <w:r>
        <w:rPr>
          <w:rFonts w:ascii="Times New Roman;serif" w:hAnsi="Times New Roman;serif"/>
          <w:b w:val="false"/>
          <w:color w:val="000000"/>
          <w:sz w:val="24"/>
        </w:rPr>
        <w:t>interest</w:t>
      </w:r>
      <w:r>
        <w:rPr>
          <w:color w:val="000000"/>
        </w:rPr>
        <w:t xml:space="preserve"> </w:t>
      </w:r>
      <w:r>
        <w:rPr>
          <w:rFonts w:ascii="Times New Roman;serif" w:hAnsi="Times New Roman;serif"/>
          <w:b w:val="false"/>
          <w:color w:val="000000"/>
          <w:sz w:val="24"/>
        </w:rPr>
        <w:t>due</w:t>
      </w:r>
      <w:r>
        <w:rPr>
          <w:color w:val="000000"/>
        </w:rPr>
        <w:t xml:space="preserve"> </w:t>
      </w:r>
      <w:r>
        <w:rPr>
          <w:rFonts w:ascii="Times New Roman;serif" w:hAnsi="Times New Roman;serif"/>
          <w:b w:val="false"/>
          <w:color w:val="000000"/>
          <w:sz w:val="24"/>
        </w:rPr>
        <w:t>on</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relevant</w:t>
      </w:r>
      <w:r>
        <w:rPr>
          <w:color w:val="000000"/>
        </w:rPr>
        <w:t xml:space="preserve"> </w:t>
      </w:r>
      <w:r>
        <w:rPr>
          <w:rFonts w:ascii="Times New Roman;serif" w:hAnsi="Times New Roman;serif"/>
          <w:b w:val="false"/>
          <w:color w:val="000000"/>
          <w:sz w:val="24"/>
        </w:rPr>
        <w:t>interest</w:t>
      </w:r>
      <w:r>
        <w:rPr>
          <w:color w:val="000000"/>
        </w:rPr>
        <w:t xml:space="preserve"> </w:t>
      </w:r>
      <w:r>
        <w:rPr>
          <w:rFonts w:ascii="Times New Roman;serif" w:hAnsi="Times New Roman;serif"/>
          <w:b w:val="false"/>
          <w:color w:val="000000"/>
          <w:sz w:val="24"/>
        </w:rPr>
        <w:t>payment</w:t>
      </w:r>
      <w:r>
        <w:rPr>
          <w:color w:val="000000"/>
        </w:rPr>
        <w:t xml:space="preserve"> </w:t>
      </w:r>
      <w:r>
        <w:rPr>
          <w:rFonts w:ascii="Times New Roman;serif" w:hAnsi="Times New Roman;serif"/>
          <w:b w:val="false"/>
          <w:color w:val="000000"/>
          <w:sz w:val="24"/>
        </w:rPr>
        <w:t>date</w:t>
      </w:r>
      <w:r>
        <w:rPr>
          <w:color w:val="000000"/>
        </w:rPr>
        <w:t xml:space="preserve"> </w:t>
      </w:r>
      <w:r>
        <w:rPr>
          <w:rFonts w:ascii="Times New Roman;serif" w:hAnsi="Times New Roman;serif"/>
          <w:b w:val="false"/>
          <w:color w:val="000000"/>
          <w:sz w:val="24"/>
        </w:rPr>
        <w:t>specified</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notice</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i/>
          <w:color w:val="000000"/>
          <w:sz w:val="24"/>
        </w:rPr>
        <w:t>Change</w:t>
      </w:r>
      <w:r>
        <w:rPr>
          <w:color w:val="000000"/>
        </w:rPr>
        <w:t xml:space="preserve"> </w:t>
      </w:r>
      <w:r>
        <w:rPr>
          <w:rFonts w:ascii="Times New Roman;serif" w:hAnsi="Times New Roman;serif"/>
          <w:b w:val="false"/>
          <w:i/>
          <w:color w:val="000000"/>
          <w:sz w:val="24"/>
        </w:rPr>
        <w:t>of</w:t>
      </w:r>
      <w:r>
        <w:rPr>
          <w:color w:val="000000"/>
        </w:rPr>
        <w:t xml:space="preserve"> </w:t>
      </w:r>
      <w:r>
        <w:rPr>
          <w:rFonts w:ascii="Times New Roman;serif" w:hAnsi="Times New Roman;serif"/>
          <w:b w:val="false"/>
          <w:i/>
          <w:color w:val="000000"/>
          <w:sz w:val="24"/>
        </w:rPr>
        <w:t>Control</w:t>
      </w:r>
      <w:r>
        <w:rPr>
          <w:color w:val="000000"/>
        </w:rPr>
        <w:t xml:space="preserve"> </w:t>
      </w:r>
      <w:r>
        <w:rPr>
          <w:rFonts w:ascii="Times New Roman;serif" w:hAnsi="Times New Roman;serif"/>
          <w:b w:val="false"/>
          <w:i/>
          <w:color w:val="000000"/>
          <w:sz w:val="24"/>
        </w:rPr>
        <w:t>Payment</w:t>
      </w:r>
      <w:r>
        <w:rPr>
          <w:color w:val="000000"/>
        </w:rPr>
        <w:t>”</w:t>
      </w:r>
      <w:r>
        <w:rPr>
          <w:rFonts w:ascii="Times New Roman;serif" w:hAnsi="Times New Roman;serif"/>
          <w:b w:val="false"/>
          <w:color w:val="000000"/>
          <w:sz w:val="24"/>
        </w:rPr>
        <w:t>). Within 30 days following</w:t>
      </w:r>
      <w:r>
        <w:rPr>
          <w:color w:val="000000"/>
        </w:rPr>
        <w:t xml:space="preserve"> </w:t>
      </w:r>
      <w:r>
        <w:rPr>
          <w:rFonts w:ascii="Times New Roman;serif" w:hAnsi="Times New Roman;serif"/>
          <w:b w:val="false"/>
          <w:color w:val="000000"/>
          <w:sz w:val="24"/>
        </w:rPr>
        <w:t>any Change of Control Triggering Event, the Issuer shall mail (or deliver electronically) a notice to each Holder describing the transaction or transactions</w:t>
      </w:r>
      <w:r>
        <w:rPr>
          <w:color w:val="000000"/>
        </w:rPr>
        <w:t xml:space="preserve"> </w:t>
      </w:r>
      <w:r>
        <w:rPr>
          <w:rFonts w:ascii="Times New Roman;serif" w:hAnsi="Times New Roman;serif"/>
          <w:b w:val="false"/>
          <w:color w:val="000000"/>
          <w:sz w:val="24"/>
        </w:rPr>
        <w:t>that constitute the Change of Control as required by the Indenture.</w:t>
      </w:r>
    </w:p>
    <w:p>
      <w:pPr>
        <w:pStyle w:val="TextBody"/>
        <w:bidi w:val="0"/>
        <w:spacing w:lineRule="auto" w:line="240" w:before="0" w:after="240"/>
        <w:ind w:left="0" w:right="0" w:firstLine="720"/>
        <w:jc w:val="both"/>
        <w:rPr/>
      </w:pPr>
      <w:r>
        <w:rPr>
          <w:rFonts w:ascii="Times New Roman;serif" w:hAnsi="Times New Roman;serif"/>
          <w:b w:val="false"/>
          <w:color w:val="000000"/>
          <w:sz w:val="24"/>
        </w:rPr>
        <w:t>8.</w:t>
      </w:r>
      <w:r>
        <w:rPr>
          <w:rFonts w:ascii="Times New Roman;serif" w:hAnsi="Times New Roman;serif"/>
          <w:b w:val="false"/>
          <w:i/>
          <w:color w:val="000000"/>
          <w:sz w:val="24"/>
        </w:rPr>
        <w:t>Notice of Redemption</w:t>
      </w:r>
      <w:r>
        <w:rPr>
          <w:rFonts w:ascii="Times New Roman;serif" w:hAnsi="Times New Roman;serif"/>
          <w:b w:val="false"/>
          <w:color w:val="000000"/>
          <w:sz w:val="24"/>
        </w:rPr>
        <w:t>. Except in certain circumstances, including but not limited to, a Special Mandatory Redemption pursuant to Section 6 hereof, a notice of redemption will be furnished at least 10 days but not more than 60 days before the redemption date to each</w:t>
      </w:r>
      <w:r>
        <w:rPr>
          <w:color w:val="000000"/>
        </w:rPr>
        <w:t xml:space="preserve"> </w:t>
      </w:r>
      <w:r>
        <w:rPr>
          <w:rFonts w:ascii="Times New Roman;serif" w:hAnsi="Times New Roman;serif"/>
          <w:b w:val="false"/>
          <w:color w:val="000000"/>
          <w:sz w:val="24"/>
        </w:rPr>
        <w:t>Holder</w:t>
      </w:r>
      <w:r>
        <w:rPr>
          <w:color w:val="000000"/>
        </w:rPr>
        <w:t xml:space="preserve"> </w:t>
      </w:r>
      <w:r>
        <w:rPr>
          <w:rFonts w:ascii="Times New Roman;serif" w:hAnsi="Times New Roman;serif"/>
          <w:b w:val="false"/>
          <w:color w:val="000000"/>
          <w:sz w:val="24"/>
        </w:rPr>
        <w:t>whose</w:t>
      </w:r>
      <w:r>
        <w:rPr>
          <w:color w:val="000000"/>
        </w:rPr>
        <w:t xml:space="preserve"> </w:t>
      </w:r>
      <w:r>
        <w:rPr>
          <w:rFonts w:ascii="Times New Roman;serif" w:hAnsi="Times New Roman;serif"/>
          <w:b w:val="false"/>
          <w:color w:val="000000"/>
          <w:sz w:val="24"/>
        </w:rPr>
        <w:t>Notes</w:t>
      </w:r>
      <w:r>
        <w:rPr>
          <w:color w:val="000000"/>
        </w:rPr>
        <w:t xml:space="preserve"> </w:t>
      </w:r>
      <w:r>
        <w:rPr>
          <w:rFonts w:ascii="Times New Roman;serif" w:hAnsi="Times New Roman;serif"/>
          <w:b w:val="false"/>
          <w:color w:val="000000"/>
          <w:sz w:val="24"/>
        </w:rPr>
        <w:t>are</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be</w:t>
      </w:r>
      <w:r>
        <w:rPr>
          <w:color w:val="000000"/>
        </w:rPr>
        <w:t xml:space="preserve"> </w:t>
      </w:r>
      <w:r>
        <w:rPr>
          <w:rFonts w:ascii="Times New Roman;serif" w:hAnsi="Times New Roman;serif"/>
          <w:b w:val="false"/>
          <w:color w:val="000000"/>
          <w:sz w:val="24"/>
        </w:rPr>
        <w:t>redeemed.</w:t>
      </w:r>
      <w:r>
        <w:rPr>
          <w:color w:val="000000"/>
        </w:rPr>
        <w:t xml:space="preserve"> </w:t>
      </w:r>
      <w:r>
        <w:rPr>
          <w:rFonts w:ascii="Times New Roman;serif" w:hAnsi="Times New Roman;serif"/>
          <w:b w:val="false"/>
          <w:color w:val="000000"/>
          <w:sz w:val="24"/>
        </w:rPr>
        <w:t>Notes</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denominations</w:t>
      </w:r>
      <w:r>
        <w:rPr>
          <w:color w:val="000000"/>
        </w:rPr>
        <w:t xml:space="preserve"> </w:t>
      </w:r>
      <w:r>
        <w:rPr>
          <w:rFonts w:ascii="Times New Roman;serif" w:hAnsi="Times New Roman;serif"/>
          <w:b w:val="false"/>
          <w:color w:val="000000"/>
          <w:sz w:val="24"/>
        </w:rPr>
        <w:t>larger</w:t>
      </w:r>
      <w:r>
        <w:rPr>
          <w:color w:val="000000"/>
        </w:rPr>
        <w:t xml:space="preserve"> </w:t>
      </w:r>
      <w:r>
        <w:rPr>
          <w:rFonts w:ascii="Times New Roman;serif" w:hAnsi="Times New Roman;serif"/>
          <w:b w:val="false"/>
          <w:color w:val="000000"/>
          <w:sz w:val="24"/>
        </w:rPr>
        <w:t>than</w:t>
      </w:r>
      <w:r>
        <w:rPr>
          <w:color w:val="000000"/>
        </w:rPr>
        <w:t xml:space="preserve"> </w:t>
      </w:r>
      <w:r>
        <w:rPr>
          <w:rFonts w:ascii="Times New Roman;serif" w:hAnsi="Times New Roman;serif"/>
          <w:b w:val="false"/>
          <w:color w:val="000000"/>
          <w:sz w:val="24"/>
        </w:rPr>
        <w:t>$2,000</w:t>
      </w:r>
      <w:r>
        <w:rPr>
          <w:color w:val="000000"/>
        </w:rPr>
        <w:t xml:space="preserve"> </w:t>
      </w:r>
      <w:r>
        <w:rPr>
          <w:rFonts w:ascii="Times New Roman;serif" w:hAnsi="Times New Roman;serif"/>
          <w:b w:val="false"/>
          <w:color w:val="000000"/>
          <w:sz w:val="24"/>
        </w:rPr>
        <w:t>may</w:t>
      </w:r>
      <w:r>
        <w:rPr>
          <w:color w:val="000000"/>
        </w:rPr>
        <w:t xml:space="preserve"> </w:t>
      </w:r>
      <w:r>
        <w:rPr>
          <w:rFonts w:ascii="Times New Roman;serif" w:hAnsi="Times New Roman;serif"/>
          <w:b w:val="false"/>
          <w:color w:val="000000"/>
          <w:sz w:val="24"/>
        </w:rPr>
        <w:t>be</w:t>
      </w:r>
      <w:r>
        <w:rPr>
          <w:color w:val="000000"/>
        </w:rPr>
        <w:t xml:space="preserve"> </w:t>
      </w:r>
      <w:r>
        <w:rPr>
          <w:rFonts w:ascii="Times New Roman;serif" w:hAnsi="Times New Roman;serif"/>
          <w:b w:val="false"/>
          <w:color w:val="000000"/>
          <w:sz w:val="24"/>
        </w:rPr>
        <w:t>redeemed</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part</w:t>
      </w:r>
      <w:r>
        <w:rPr>
          <w:color w:val="000000"/>
        </w:rPr>
        <w:t xml:space="preserve"> </w:t>
      </w:r>
      <w:r>
        <w:rPr>
          <w:rFonts w:ascii="Times New Roman;serif" w:hAnsi="Times New Roman;serif"/>
          <w:b w:val="false"/>
          <w:color w:val="000000"/>
          <w:sz w:val="24"/>
        </w:rPr>
        <w:t>but</w:t>
      </w:r>
      <w:r>
        <w:rPr>
          <w:color w:val="000000"/>
        </w:rPr>
        <w:t xml:space="preserve"> </w:t>
      </w:r>
      <w:r>
        <w:rPr>
          <w:rFonts w:ascii="Times New Roman;serif" w:hAnsi="Times New Roman;serif"/>
          <w:b w:val="false"/>
          <w:color w:val="000000"/>
          <w:sz w:val="24"/>
        </w:rPr>
        <w:t>only</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whole</w:t>
      </w:r>
      <w:r>
        <w:rPr>
          <w:color w:val="000000"/>
        </w:rPr>
        <w:t xml:space="preserve"> </w:t>
      </w:r>
      <w:r>
        <w:rPr>
          <w:rFonts w:ascii="Times New Roman;serif" w:hAnsi="Times New Roman;serif"/>
          <w:b w:val="false"/>
          <w:color w:val="000000"/>
          <w:sz w:val="24"/>
        </w:rPr>
        <w:t>multiples</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$1,000,</w:t>
      </w:r>
      <w:r>
        <w:rPr>
          <w:color w:val="000000"/>
        </w:rPr>
        <w:t xml:space="preserve"> </w:t>
      </w:r>
      <w:r>
        <w:rPr>
          <w:rFonts w:ascii="Times New Roman;serif" w:hAnsi="Times New Roman;serif"/>
          <w:b w:val="false"/>
          <w:color w:val="000000"/>
          <w:sz w:val="24"/>
        </w:rPr>
        <w:t>unless</w:t>
      </w:r>
      <w:r>
        <w:rPr>
          <w:color w:val="000000"/>
        </w:rPr>
        <w:t xml:space="preserve"> </w:t>
      </w:r>
      <w:r>
        <w:rPr>
          <w:rFonts w:ascii="Times New Roman;serif" w:hAnsi="Times New Roman;serif"/>
          <w:b w:val="false"/>
          <w:color w:val="000000"/>
          <w:sz w:val="24"/>
        </w:rPr>
        <w:t>all of the Notes held by a Holder are to be redeemed. On and after the redemption date interest ceases to accrue on Notes or portions thereof called for</w:t>
      </w:r>
      <w:r>
        <w:rPr>
          <w:color w:val="000000"/>
        </w:rPr>
        <w:t xml:space="preserve"> </w:t>
      </w:r>
      <w:r>
        <w:rPr>
          <w:rFonts w:ascii="Times New Roman;serif" w:hAnsi="Times New Roman;serif"/>
          <w:b w:val="false"/>
          <w:color w:val="000000"/>
          <w:sz w:val="24"/>
        </w:rPr>
        <w:t>redemption.</w:t>
      </w:r>
    </w:p>
    <w:p>
      <w:pPr>
        <w:pStyle w:val="TextBody"/>
        <w:bidi w:val="0"/>
        <w:spacing w:lineRule="auto" w:line="240" w:before="0" w:after="240"/>
        <w:ind w:left="0" w:right="0" w:firstLine="720"/>
        <w:jc w:val="both"/>
        <w:rPr/>
      </w:pPr>
      <w:r>
        <w:rPr>
          <w:rFonts w:ascii="Times New Roman;serif" w:hAnsi="Times New Roman;serif"/>
          <w:b w:val="false"/>
          <w:color w:val="000000"/>
          <w:sz w:val="24"/>
        </w:rPr>
        <w:t>9.</w:t>
      </w:r>
      <w:r>
        <w:rPr>
          <w:rFonts w:ascii="Times New Roman;serif" w:hAnsi="Times New Roman;serif"/>
          <w:b w:val="false"/>
          <w:i/>
          <w:color w:val="000000"/>
          <w:sz w:val="24"/>
        </w:rPr>
        <w:t>Denominations, Transfer, Exchange</w:t>
      </w:r>
      <w:r>
        <w:rPr>
          <w:rFonts w:ascii="Times New Roman;serif" w:hAnsi="Times New Roman;serif"/>
          <w:b w:val="false"/>
          <w:color w:val="000000"/>
          <w:sz w:val="24"/>
        </w:rPr>
        <w:t>. The Notes are in registered form without coupons in minimum denominations of $2,000 and integral</w:t>
      </w:r>
      <w:r>
        <w:rPr>
          <w:color w:val="000000"/>
        </w:rPr>
        <w:t xml:space="preserve"> </w:t>
      </w:r>
      <w:r>
        <w:rPr>
          <w:rFonts w:ascii="Times New Roman;serif" w:hAnsi="Times New Roman;serif"/>
          <w:b w:val="false"/>
          <w:color w:val="000000"/>
          <w:sz w:val="24"/>
        </w:rPr>
        <w:t>multiples of $1,000 in excess of $2,000. A Holder may transfer or exchange Notes in accordance with the provisions of the Indenture. The</w:t>
      </w:r>
      <w:r>
        <w:rPr>
          <w:color w:val="000000"/>
        </w:rPr>
        <w:t xml:space="preserve"> </w:t>
      </w:r>
      <w:r>
        <w:rPr>
          <w:rFonts w:ascii="Times New Roman;serif" w:hAnsi="Times New Roman;serif"/>
          <w:b w:val="false"/>
          <w:color w:val="000000"/>
          <w:sz w:val="24"/>
        </w:rPr>
        <w:t>Registrar and the Trustee may require a Holder, among other things, to furnish appropriate endorsements and transfer documents in connection with a</w:t>
      </w:r>
      <w:r>
        <w:rPr>
          <w:color w:val="000000"/>
        </w:rPr>
        <w:t xml:space="preserve"> </w:t>
      </w:r>
      <w:r>
        <w:rPr>
          <w:rFonts w:ascii="Times New Roman;serif" w:hAnsi="Times New Roman;serif"/>
          <w:b w:val="false"/>
          <w:color w:val="000000"/>
          <w:sz w:val="24"/>
        </w:rPr>
        <w:t>transfer of Notes. There will be no service charge for any transfer or exchange of the Notes, but Holders will be required to pay all taxes due on transfer.</w:t>
      </w:r>
      <w:r>
        <w:rPr>
          <w:color w:val="000000"/>
        </w:rPr>
        <w:t xml:space="preserve"> </w:t>
      </w:r>
      <w:r>
        <w:rPr>
          <w:rFonts w:ascii="Times New Roman;serif" w:hAnsi="Times New Roman;serif"/>
          <w:b w:val="false"/>
          <w:color w:val="000000"/>
          <w:sz w:val="24"/>
        </w:rPr>
        <w:t>The Issuer is not required to transfer or exchange any Note selected for redemption or to transfer or exchange any Note for a period of 15 days before</w:t>
      </w:r>
      <w:r>
        <w:rPr>
          <w:color w:val="000000"/>
        </w:rPr>
        <w:t xml:space="preserve"> </w:t>
      </w:r>
      <w:r>
        <w:rPr>
          <w:rFonts w:ascii="Times New Roman;serif" w:hAnsi="Times New Roman;serif"/>
          <w:b w:val="false"/>
          <w:color w:val="000000"/>
          <w:sz w:val="24"/>
        </w:rPr>
        <w:t>a selection of Notes to be redeemed. The registered Holder will be treated as the owner of the Note for all purposes.</w:t>
      </w:r>
    </w:p>
    <w:p>
      <w:pPr>
        <w:pStyle w:val="TextBody"/>
        <w:bidi w:val="0"/>
        <w:spacing w:lineRule="auto" w:line="240" w:before="0" w:after="240"/>
        <w:ind w:left="0" w:right="0" w:firstLine="720"/>
        <w:jc w:val="both"/>
        <w:rPr/>
      </w:pPr>
      <w:r>
        <w:rPr>
          <w:rFonts w:ascii="Times New Roman;serif" w:hAnsi="Times New Roman;serif"/>
          <w:b w:val="false"/>
          <w:color w:val="000000"/>
          <w:sz w:val="24"/>
        </w:rPr>
        <w:t>10.</w:t>
      </w:r>
      <w:r>
        <w:rPr>
          <w:rFonts w:ascii="Times New Roman;serif" w:hAnsi="Times New Roman;serif"/>
          <w:b w:val="false"/>
          <w:i/>
          <w:color w:val="000000"/>
          <w:sz w:val="24"/>
        </w:rPr>
        <w:t>Persons</w:t>
      </w:r>
      <w:r>
        <w:rPr>
          <w:color w:val="000000"/>
        </w:rPr>
        <w:t xml:space="preserve"> </w:t>
      </w:r>
      <w:r>
        <w:rPr>
          <w:rFonts w:ascii="Times New Roman;serif" w:hAnsi="Times New Roman;serif"/>
          <w:b w:val="false"/>
          <w:i/>
          <w:color w:val="000000"/>
          <w:sz w:val="24"/>
        </w:rPr>
        <w:t>Deemed Owners</w:t>
      </w:r>
      <w:r>
        <w:rPr>
          <w:rFonts w:ascii="Times New Roman;serif" w:hAnsi="Times New Roman;serif"/>
          <w:b w:val="false"/>
          <w:color w:val="000000"/>
          <w:sz w:val="24"/>
        </w:rPr>
        <w:t>. The</w:t>
      </w:r>
      <w:r>
        <w:rPr>
          <w:color w:val="000000"/>
        </w:rPr>
        <w:t xml:space="preserve"> </w:t>
      </w:r>
      <w:r>
        <w:rPr>
          <w:rFonts w:ascii="Times New Roman;serif" w:hAnsi="Times New Roman;serif"/>
          <w:b w:val="false"/>
          <w:color w:val="000000"/>
          <w:sz w:val="24"/>
        </w:rPr>
        <w:t>registered Holder of</w:t>
      </w:r>
      <w:r>
        <w:rPr>
          <w:color w:val="000000"/>
        </w:rPr>
        <w:t xml:space="preserve"> </w:t>
      </w:r>
      <w:r>
        <w:rPr>
          <w:rFonts w:ascii="Times New Roman;serif" w:hAnsi="Times New Roman;serif"/>
          <w:b w:val="false"/>
          <w:color w:val="000000"/>
          <w:sz w:val="24"/>
        </w:rPr>
        <w:t>a Note may be</w:t>
      </w:r>
      <w:r>
        <w:rPr>
          <w:color w:val="000000"/>
        </w:rPr>
        <w:t xml:space="preserve"> </w:t>
      </w:r>
      <w:r>
        <w:rPr>
          <w:rFonts w:ascii="Times New Roman;serif" w:hAnsi="Times New Roman;serif"/>
          <w:b w:val="false"/>
          <w:color w:val="000000"/>
          <w:sz w:val="24"/>
        </w:rPr>
        <w:t>treated as its</w:t>
      </w:r>
      <w:r>
        <w:rPr>
          <w:color w:val="000000"/>
        </w:rPr>
        <w:t xml:space="preserve"> </w:t>
      </w:r>
      <w:r>
        <w:rPr>
          <w:rFonts w:ascii="Times New Roman;serif" w:hAnsi="Times New Roman;serif"/>
          <w:b w:val="false"/>
          <w:color w:val="000000"/>
          <w:sz w:val="24"/>
        </w:rPr>
        <w:t>owner for all</w:t>
      </w:r>
      <w:r>
        <w:rPr>
          <w:color w:val="000000"/>
        </w:rPr>
        <w:t xml:space="preserve"> </w:t>
      </w:r>
      <w:r>
        <w:rPr>
          <w:rFonts w:ascii="Times New Roman;serif" w:hAnsi="Times New Roman;serif"/>
          <w:b w:val="false"/>
          <w:color w:val="000000"/>
          <w:sz w:val="24"/>
        </w:rPr>
        <w:t>purposes.</w:t>
      </w:r>
    </w:p>
    <w:p>
      <w:pPr>
        <w:pStyle w:val="TextBody"/>
        <w:bidi w:val="0"/>
        <w:spacing w:lineRule="auto" w:line="240" w:before="0" w:after="240"/>
        <w:ind w:left="0" w:right="0" w:firstLine="720"/>
        <w:jc w:val="both"/>
        <w:rPr/>
      </w:pPr>
      <w:r>
        <w:rPr>
          <w:rFonts w:ascii="Times New Roman;serif" w:hAnsi="Times New Roman;serif"/>
          <w:b w:val="false"/>
          <w:color w:val="000000"/>
          <w:sz w:val="24"/>
        </w:rPr>
        <w:t>11.</w:t>
      </w:r>
      <w:r>
        <w:rPr>
          <w:rFonts w:ascii="Times New Roman;serif" w:hAnsi="Times New Roman;serif"/>
          <w:b w:val="false"/>
          <w:i/>
          <w:color w:val="000000"/>
          <w:sz w:val="24"/>
        </w:rPr>
        <w:t>Amendment, Supplement and Waiver</w:t>
      </w:r>
      <w:r>
        <w:rPr>
          <w:rFonts w:ascii="Times New Roman;serif" w:hAnsi="Times New Roman;serif"/>
          <w:b w:val="false"/>
          <w:color w:val="000000"/>
          <w:sz w:val="24"/>
        </w:rPr>
        <w:t xml:space="preserve">. Subject to certain exceptions set forth in the Indenture, the Issuer, the Subsidiary Guarantors and the Trustee may amend or supplement the Note Documents with the consent of the Holders of at least a majority in principal aggregate amount of the Notes then outstanding and any existing Default or Event of Default (other than a Default or Event of Default in the payment of the principal of, premium or interest on such Notes, except a payment default resulting from an acceleration that has been rescinded) or compliance with any provision of the Note Documents may be waived with the consent of the Holders of a majority in principal aggregate amount of the Notes then outstanding. Without the consent of each Holder affected, the Note Documents may not (with respect to any such Notes held by a non-consenting Holder) be amended, supplemented or waived for certain purposes set forth in the Indenture. </w:t>
      </w:r>
    </w:p>
    <w:p>
      <w:pPr>
        <w:pStyle w:val="TextBody"/>
        <w:bidi w:val="0"/>
        <w:spacing w:before="0" w:after="0"/>
        <w:jc w:val="left"/>
        <w:rPr/>
      </w:pPr>
      <w:r>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6480175" cy="175260"/>
                <wp:effectExtent l="0" t="0" r="0" b="0"/>
                <wp:wrapNone/>
                <wp:docPr id="149" name="Frame1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A-6</w:t>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00000"/>
          <w:sz w:val="24"/>
        </w:rPr>
        <w:t>12.</w:t>
      </w:r>
      <w:r>
        <w:rPr>
          <w:rFonts w:ascii="Times New Roman;serif" w:hAnsi="Times New Roman;serif"/>
          <w:b w:val="false"/>
          <w:i/>
          <w:color w:val="000000"/>
          <w:sz w:val="24"/>
        </w:rPr>
        <w:t>Defaults and Remedies</w:t>
      </w:r>
      <w:r>
        <w:rPr>
          <w:rFonts w:ascii="Times New Roman;serif" w:hAnsi="Times New Roman;serif"/>
          <w:b w:val="false"/>
          <w:color w:val="000000"/>
          <w:sz w:val="24"/>
        </w:rPr>
        <w:t>. Events of Default include those events as set forth in the Indenture. In the case of an Event of Default with respect to the Issuer with respect to the Notes arising from certain events of bankruptcy or insolvency, principal of and accrued and unpaid interest on all the Notes that are outstanding will become due and payable immediately without further action or notice. If any other Event of Default occurs and is continuing, the Trustee or the Holders of at least 30% in principal amount of the Notes that are outstanding may declare the principal of and accrued and unpaid interest on all the Notes to be due and payable immediately. Subject to certain limitations set forth in the Indenture, Holders of a majority in aggregate principal amount of the then-outstanding Notes may direct the time, method and place of conducting any proceeding for exercising any remedy available to the Trustee or exercising any trust or power conferred on it. Holders of a majority in aggregate principal amount of the then outstanding Notes may rescind an acceleration and its consequences, including any related payment default that resulted from such acceleration.</w:t>
      </w:r>
    </w:p>
    <w:p>
      <w:pPr>
        <w:pStyle w:val="TextBody"/>
        <w:bidi w:val="0"/>
        <w:spacing w:lineRule="auto" w:line="240" w:before="0" w:after="240"/>
        <w:ind w:left="0" w:right="0" w:firstLine="720"/>
        <w:jc w:val="both"/>
        <w:rPr/>
      </w:pPr>
      <w:r>
        <w:rPr>
          <w:rFonts w:ascii="Times New Roman;serif" w:hAnsi="Times New Roman;serif"/>
          <w:b w:val="false"/>
          <w:color w:val="000000"/>
          <w:sz w:val="24"/>
        </w:rPr>
        <w:t>13.</w:t>
      </w:r>
      <w:r>
        <w:rPr>
          <w:rFonts w:ascii="Times New Roman;serif" w:hAnsi="Times New Roman;serif"/>
          <w:b w:val="false"/>
          <w:i/>
          <w:color w:val="000000"/>
          <w:sz w:val="24"/>
        </w:rPr>
        <w:t>Trustee Dealings with Issuer</w:t>
      </w:r>
      <w:r>
        <w:rPr>
          <w:rFonts w:ascii="Times New Roman;serif" w:hAnsi="Times New Roman;serif"/>
          <w:b w:val="false"/>
          <w:color w:val="000000"/>
          <w:sz w:val="24"/>
        </w:rPr>
        <w:t>. The Trustee in its individual or any other capacity may become the owner or pledgee of Notes and may</w:t>
      </w:r>
      <w:r>
        <w:rPr>
          <w:color w:val="000000"/>
        </w:rPr>
        <w:t xml:space="preserve"> </w:t>
      </w:r>
      <w:r>
        <w:rPr>
          <w:rFonts w:ascii="Times New Roman;serif" w:hAnsi="Times New Roman;serif"/>
          <w:b w:val="false"/>
          <w:color w:val="000000"/>
          <w:sz w:val="24"/>
        </w:rPr>
        <w:t>otherwise deal with the Issuer or any Subsidiary Guarantor or any Affiliate of the Issuer or any Subsidiary Guarantor with the same rights it would</w:t>
      </w:r>
      <w:r>
        <w:rPr>
          <w:color w:val="000000"/>
        </w:rPr>
        <w:t xml:space="preserve"> </w:t>
      </w:r>
      <w:r>
        <w:rPr>
          <w:rFonts w:ascii="Times New Roman;serif" w:hAnsi="Times New Roman;serif"/>
          <w:b w:val="false"/>
          <w:color w:val="000000"/>
          <w:sz w:val="24"/>
        </w:rPr>
        <w:t>have if it were not Trustee. However, in the event that the Trustee acquires any conflicting interest it must eliminate such conflict within 90 days, apply to</w:t>
      </w:r>
      <w:r>
        <w:rPr>
          <w:color w:val="000000"/>
        </w:rPr>
        <w:t xml:space="preserve"> </w:t>
      </w:r>
      <w:r>
        <w:rPr>
          <w:rFonts w:ascii="Times New Roman;serif" w:hAnsi="Times New Roman;serif"/>
          <w:b w:val="false"/>
          <w:color w:val="000000"/>
          <w:sz w:val="24"/>
        </w:rPr>
        <w:t>the SEC for permission to continue as Trustee (if the Indenture has been qualified under the TIA) or resign. Any Agent may do the same with like rights</w:t>
      </w:r>
      <w:r>
        <w:rPr>
          <w:color w:val="000000"/>
        </w:rPr>
        <w:t xml:space="preserve"> </w:t>
      </w:r>
      <w:r>
        <w:rPr>
          <w:rFonts w:ascii="Times New Roman;serif" w:hAnsi="Times New Roman;serif"/>
          <w:b w:val="false"/>
          <w:color w:val="000000"/>
          <w:sz w:val="24"/>
        </w:rPr>
        <w:t xml:space="preserve">and duties. The Trustee is also subject to </w:t>
      </w:r>
      <w:r>
        <w:rPr>
          <w:rFonts w:ascii="Times New Roman;serif" w:hAnsi="Times New Roman;serif"/>
          <w:b w:val="false"/>
          <w:color w:val="000000"/>
          <w:sz w:val="24"/>
          <w:u w:val="single"/>
        </w:rPr>
        <w:t>Section 7.09</w:t>
      </w:r>
      <w:r>
        <w:rPr>
          <w:color w:val="000000"/>
        </w:rPr>
        <w:t xml:space="preserve"> </w:t>
      </w:r>
      <w:r>
        <w:rPr>
          <w:rFonts w:ascii="Times New Roman;serif" w:hAnsi="Times New Roman;serif"/>
          <w:b w:val="false"/>
          <w:color w:val="000000"/>
          <w:sz w:val="24"/>
        </w:rPr>
        <w:t>of the Indenture.</w:t>
      </w:r>
    </w:p>
    <w:p>
      <w:pPr>
        <w:pStyle w:val="TextBody"/>
        <w:bidi w:val="0"/>
        <w:spacing w:lineRule="auto" w:line="240" w:before="0" w:after="240"/>
        <w:ind w:left="0" w:right="0" w:firstLine="720"/>
        <w:jc w:val="both"/>
        <w:rPr/>
      </w:pPr>
      <w:r>
        <w:rPr>
          <w:rFonts w:ascii="Times New Roman;serif" w:hAnsi="Times New Roman;serif"/>
          <w:b w:val="false"/>
          <w:color w:val="000000"/>
          <w:sz w:val="24"/>
        </w:rPr>
        <w:t>14.</w:t>
      </w:r>
      <w:r>
        <w:rPr>
          <w:rFonts w:ascii="Times New Roman;serif" w:hAnsi="Times New Roman;serif"/>
          <w:b w:val="false"/>
          <w:i/>
          <w:color w:val="000000"/>
          <w:sz w:val="24"/>
        </w:rPr>
        <w:t>No Recourse Against Others</w:t>
      </w:r>
      <w:r>
        <w:rPr>
          <w:rFonts w:ascii="Times New Roman;serif" w:hAnsi="Times New Roman;serif"/>
          <w:b w:val="false"/>
          <w:color w:val="000000"/>
          <w:sz w:val="24"/>
        </w:rPr>
        <w:t>. No director, officer, employee, incorporator or stockholder of the Issuer or any Subsidiary Guarantor, as such,</w:t>
      </w:r>
      <w:r>
        <w:rPr>
          <w:color w:val="000000"/>
        </w:rPr>
        <w:t xml:space="preserve"> </w:t>
      </w:r>
      <w:r>
        <w:rPr>
          <w:rFonts w:ascii="Times New Roman;serif" w:hAnsi="Times New Roman;serif"/>
          <w:b w:val="false"/>
          <w:color w:val="000000"/>
          <w:sz w:val="24"/>
        </w:rPr>
        <w:t>will have any liability for any obligations of the Issuer or the Subsidiary Guarantors under the Notes, the Indenture, the Subsidiary Guarantees or for</w:t>
      </w:r>
      <w:r>
        <w:rPr>
          <w:color w:val="000000"/>
        </w:rPr>
        <w:t xml:space="preserve"> </w:t>
      </w:r>
      <w:r>
        <w:rPr>
          <w:rFonts w:ascii="Times New Roman;serif" w:hAnsi="Times New Roman;serif"/>
          <w:b w:val="false"/>
          <w:color w:val="000000"/>
          <w:sz w:val="24"/>
        </w:rPr>
        <w:t>any claim based on, in respect of, or by reason of, such obligations or their creation. Each Holder by accepting a Note waives and releases all such</w:t>
      </w:r>
      <w:r>
        <w:rPr>
          <w:color w:val="000000"/>
        </w:rPr>
        <w:t xml:space="preserve"> </w:t>
      </w:r>
      <w:r>
        <w:rPr>
          <w:rFonts w:ascii="Times New Roman;serif" w:hAnsi="Times New Roman;serif"/>
          <w:b w:val="false"/>
          <w:color w:val="000000"/>
          <w:sz w:val="24"/>
        </w:rPr>
        <w:t>liability. The waiver and release are part of the consideration for issuance of the Notes. The waiver may not be effective to waive liabilities under the</w:t>
      </w:r>
      <w:r>
        <w:rPr>
          <w:color w:val="000000"/>
        </w:rPr>
        <w:t xml:space="preserve"> </w:t>
      </w:r>
      <w:r>
        <w:rPr>
          <w:rFonts w:ascii="Times New Roman;serif" w:hAnsi="Times New Roman;serif"/>
          <w:b w:val="false"/>
          <w:color w:val="000000"/>
          <w:sz w:val="24"/>
        </w:rPr>
        <w:t>federal securities laws.</w:t>
      </w:r>
    </w:p>
    <w:p>
      <w:pPr>
        <w:pStyle w:val="TextBody"/>
        <w:bidi w:val="0"/>
        <w:spacing w:lineRule="auto" w:line="240" w:before="0" w:after="240"/>
        <w:ind w:left="0" w:right="0" w:firstLine="720"/>
        <w:jc w:val="both"/>
        <w:rPr/>
      </w:pPr>
      <w:r>
        <w:rPr>
          <w:rFonts w:ascii="Times New Roman;serif" w:hAnsi="Times New Roman;serif"/>
          <w:b w:val="false"/>
          <w:color w:val="000000"/>
          <w:sz w:val="24"/>
        </w:rPr>
        <w:t>15.</w:t>
      </w:r>
      <w:r>
        <w:rPr>
          <w:rFonts w:ascii="Times New Roman;serif" w:hAnsi="Times New Roman;serif"/>
          <w:b w:val="false"/>
          <w:i/>
          <w:color w:val="000000"/>
          <w:sz w:val="24"/>
        </w:rPr>
        <w:t>Authentication</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This</w:t>
      </w:r>
      <w:r>
        <w:rPr>
          <w:color w:val="000000"/>
        </w:rPr>
        <w:t xml:space="preserve"> </w:t>
      </w:r>
      <w:r>
        <w:rPr>
          <w:rFonts w:ascii="Times New Roman;serif" w:hAnsi="Times New Roman;serif"/>
          <w:b w:val="false"/>
          <w:color w:val="000000"/>
          <w:sz w:val="24"/>
        </w:rPr>
        <w:t>Note</w:t>
      </w:r>
      <w:r>
        <w:rPr>
          <w:color w:val="000000"/>
        </w:rPr>
        <w:t xml:space="preserve"> </w:t>
      </w:r>
      <w:r>
        <w:rPr>
          <w:rFonts w:ascii="Times New Roman;serif" w:hAnsi="Times New Roman;serif"/>
          <w:b w:val="false"/>
          <w:color w:val="000000"/>
          <w:sz w:val="24"/>
        </w:rPr>
        <w:t>will</w:t>
      </w:r>
      <w:r>
        <w:rPr>
          <w:color w:val="000000"/>
        </w:rPr>
        <w:t xml:space="preserve"> </w:t>
      </w:r>
      <w:r>
        <w:rPr>
          <w:rFonts w:ascii="Times New Roman;serif" w:hAnsi="Times New Roman;serif"/>
          <w:b w:val="false"/>
          <w:color w:val="000000"/>
          <w:sz w:val="24"/>
        </w:rPr>
        <w:t>not</w:t>
      </w:r>
      <w:r>
        <w:rPr>
          <w:color w:val="000000"/>
        </w:rPr>
        <w:t xml:space="preserve"> </w:t>
      </w:r>
      <w:r>
        <w:rPr>
          <w:rFonts w:ascii="Times New Roman;serif" w:hAnsi="Times New Roman;serif"/>
          <w:b w:val="false"/>
          <w:color w:val="000000"/>
          <w:sz w:val="24"/>
        </w:rPr>
        <w:t>be</w:t>
      </w:r>
      <w:r>
        <w:rPr>
          <w:color w:val="000000"/>
        </w:rPr>
        <w:t xml:space="preserve"> </w:t>
      </w:r>
      <w:r>
        <w:rPr>
          <w:rFonts w:ascii="Times New Roman;serif" w:hAnsi="Times New Roman;serif"/>
          <w:b w:val="false"/>
          <w:color w:val="000000"/>
          <w:sz w:val="24"/>
        </w:rPr>
        <w:t>valid</w:t>
      </w:r>
      <w:r>
        <w:rPr>
          <w:color w:val="000000"/>
        </w:rPr>
        <w:t xml:space="preserve"> </w:t>
      </w:r>
      <w:r>
        <w:rPr>
          <w:rFonts w:ascii="Times New Roman;serif" w:hAnsi="Times New Roman;serif"/>
          <w:b w:val="false"/>
          <w:color w:val="000000"/>
          <w:sz w:val="24"/>
        </w:rPr>
        <w:t>until</w:t>
      </w:r>
      <w:r>
        <w:rPr>
          <w:color w:val="000000"/>
        </w:rPr>
        <w:t xml:space="preserve"> </w:t>
      </w:r>
      <w:r>
        <w:rPr>
          <w:rFonts w:ascii="Times New Roman;serif" w:hAnsi="Times New Roman;serif"/>
          <w:b w:val="false"/>
          <w:color w:val="000000"/>
          <w:sz w:val="24"/>
        </w:rPr>
        <w:t>authenticated</w:t>
      </w:r>
      <w:r>
        <w:rPr>
          <w:color w:val="000000"/>
        </w:rPr>
        <w:t xml:space="preserve"> </w:t>
      </w:r>
      <w:r>
        <w:rPr>
          <w:rFonts w:ascii="Times New Roman;serif" w:hAnsi="Times New Roman;serif"/>
          <w:b w:val="false"/>
          <w:color w:val="000000"/>
          <w:sz w:val="24"/>
        </w:rPr>
        <w:t>by</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manual</w:t>
      </w:r>
      <w:r>
        <w:rPr>
          <w:color w:val="000000"/>
        </w:rPr>
        <w:t xml:space="preserve"> </w:t>
      </w:r>
      <w:r>
        <w:rPr>
          <w:rFonts w:ascii="Times New Roman;serif" w:hAnsi="Times New Roman;serif"/>
          <w:b w:val="false"/>
          <w:color w:val="000000"/>
          <w:sz w:val="24"/>
        </w:rPr>
        <w:t>signature</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Trustee</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an</w:t>
      </w:r>
      <w:r>
        <w:rPr>
          <w:color w:val="000000"/>
        </w:rPr>
        <w:t xml:space="preserve"> </w:t>
      </w:r>
      <w:r>
        <w:rPr>
          <w:rFonts w:ascii="Times New Roman;serif" w:hAnsi="Times New Roman;serif"/>
          <w:b w:val="false"/>
          <w:color w:val="000000"/>
          <w:sz w:val="24"/>
        </w:rPr>
        <w:t>authenticating</w:t>
      </w:r>
      <w:r>
        <w:rPr>
          <w:color w:val="000000"/>
        </w:rPr>
        <w:t xml:space="preserve"> </w:t>
      </w:r>
      <w:r>
        <w:rPr>
          <w:rFonts w:ascii="Times New Roman;serif" w:hAnsi="Times New Roman;serif"/>
          <w:b w:val="false"/>
          <w:color w:val="000000"/>
          <w:sz w:val="24"/>
        </w:rPr>
        <w:t>agent.</w:t>
      </w:r>
    </w:p>
    <w:p>
      <w:pPr>
        <w:pStyle w:val="TextBody"/>
        <w:bidi w:val="0"/>
        <w:spacing w:lineRule="auto" w:line="240" w:before="0" w:after="240"/>
        <w:ind w:left="0" w:right="0" w:firstLine="720"/>
        <w:jc w:val="both"/>
        <w:rPr/>
      </w:pPr>
      <w:r>
        <w:rPr>
          <w:rFonts w:ascii="Times New Roman;serif" w:hAnsi="Times New Roman;serif"/>
          <w:b w:val="false"/>
          <w:color w:val="000000"/>
          <w:sz w:val="24"/>
        </w:rPr>
        <w:t>16.</w:t>
      </w:r>
      <w:r>
        <w:rPr>
          <w:rFonts w:ascii="Times New Roman;serif" w:hAnsi="Times New Roman;serif"/>
          <w:b w:val="false"/>
          <w:i/>
          <w:color w:val="000000"/>
          <w:sz w:val="24"/>
        </w:rPr>
        <w:t>Abbreviations</w:t>
      </w:r>
      <w:r>
        <w:rPr>
          <w:rFonts w:ascii="Times New Roman;serif" w:hAnsi="Times New Roman;serif"/>
          <w:b w:val="false"/>
          <w:color w:val="000000"/>
          <w:sz w:val="24"/>
        </w:rPr>
        <w:t>. Customary abbreviations may be used in the name of a Holder or an assignee, such as: TEN COM (= tenants in common), TEN</w:t>
      </w:r>
      <w:r>
        <w:rPr>
          <w:color w:val="000000"/>
        </w:rPr>
        <w:t xml:space="preserve"> </w:t>
      </w:r>
      <w:r>
        <w:rPr>
          <w:rFonts w:ascii="Times New Roman;serif" w:hAnsi="Times New Roman;serif"/>
          <w:b w:val="false"/>
          <w:color w:val="000000"/>
          <w:sz w:val="24"/>
        </w:rPr>
        <w:t>ENT (= tenants by the entireties), JT TEN (= joint tenants with right of survivorship and not as tenants in common), CUST (= Custodian), and U/G/M/A</w:t>
      </w:r>
      <w:r>
        <w:rPr>
          <w:color w:val="000000"/>
        </w:rPr>
        <w:t xml:space="preserve"> </w:t>
      </w:r>
      <w:r>
        <w:rPr>
          <w:rFonts w:ascii="Times New Roman;serif" w:hAnsi="Times New Roman;serif"/>
          <w:b w:val="false"/>
          <w:color w:val="000000"/>
          <w:sz w:val="24"/>
        </w:rPr>
        <w:t>(= Uniform Gifts to Minors Act).</w:t>
      </w:r>
    </w:p>
    <w:p>
      <w:pPr>
        <w:pStyle w:val="TextBody"/>
        <w:bidi w:val="0"/>
        <w:spacing w:lineRule="auto" w:line="240" w:before="0" w:after="240"/>
        <w:ind w:left="0" w:right="0" w:firstLine="720"/>
        <w:jc w:val="both"/>
        <w:rPr/>
      </w:pPr>
      <w:r>
        <w:rPr>
          <w:rFonts w:ascii="Times New Roman;serif" w:hAnsi="Times New Roman;serif"/>
          <w:b w:val="false"/>
          <w:color w:val="000000"/>
          <w:sz w:val="24"/>
        </w:rPr>
        <w:t>17.</w:t>
      </w:r>
      <w:r>
        <w:rPr>
          <w:rFonts w:ascii="Times New Roman;serif" w:hAnsi="Times New Roman;serif"/>
          <w:b w:val="false"/>
          <w:color w:val="000000"/>
          <w:sz w:val="24"/>
        </w:rPr>
        <w:t>CUSIP Numbers/ISINs. Pursuant to a recommendation promulgated by the Committee on Uniform Security Identification Procedures, the Issuer has caused CUSIP numbers/ISINs to be printed on the Notes and the Trustee may use CUSIP numbers/ISINs in notices of redemption as a convenience to Holders. No representation is made as to the accuracy of such numbers either as printed on the Notes or as contained in any notice of redemption and reliance may be placed only on the other identification numbers placed thereon.</w:t>
      </w:r>
    </w:p>
    <w:p>
      <w:pPr>
        <w:pStyle w:val="TextBody"/>
        <w:bidi w:val="0"/>
        <w:spacing w:lineRule="auto" w:line="240" w:before="0" w:after="240"/>
        <w:ind w:left="0" w:right="0" w:firstLine="720"/>
        <w:jc w:val="both"/>
        <w:rPr/>
      </w:pPr>
      <w:r>
        <w:rPr>
          <w:rFonts w:ascii="Times New Roman;serif" w:hAnsi="Times New Roman;serif"/>
          <w:b w:val="false"/>
          <w:color w:val="000000"/>
          <w:sz w:val="24"/>
        </w:rPr>
        <w:t>18.</w:t>
      </w:r>
      <w:r>
        <w:rPr>
          <w:rFonts w:ascii="Times New Roman;serif" w:hAnsi="Times New Roman;serif"/>
          <w:b w:val="false"/>
          <w:color w:val="000000"/>
          <w:sz w:val="24"/>
        </w:rPr>
        <w:t>NEW YORK LAW TO GOVERN. THE INDENTURE, THIS NOTE AND THE SUBSIDIARY GUARANTEES SHALL BE GOVERNED BY AND CONSTRUED IN ACCORDANCE WITH THE LAWS OF THE STATE OF NEW YORK.</w:t>
      </w:r>
    </w:p>
    <w:p>
      <w:pPr>
        <w:pStyle w:val="TextBody"/>
        <w:bidi w:val="0"/>
        <w:spacing w:before="0" w:after="0"/>
        <w:jc w:val="left"/>
        <w:rPr/>
      </w:pPr>
      <w:r>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6480175" cy="175260"/>
                <wp:effectExtent l="0" t="0" r="0" b="0"/>
                <wp:wrapNone/>
                <wp:docPr id="150" name="Frame1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A-7</w:t>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Issuer shall furnish to any Holder upon written request and without charge a copy of the Indenture. Requests may be made to:</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Talen Energy Supply, LLC</w:t>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2929 Allen Parkway, Suite 2200</w:t>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Houston, Texas 77019</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Attention: Treasurer</w:t>
      </w:r>
    </w:p>
    <w:p>
      <w:pPr>
        <w:pStyle w:val="TextBody"/>
        <w:bidi w:val="0"/>
        <w:spacing w:lineRule="auto" w:line="288"/>
        <w:jc w:val="left"/>
        <w:rPr>
          <w:rFonts w:ascii="Times New Roman;serif" w:hAnsi="Times New Roman;serif"/>
          <w:b w:val="false"/>
          <w:color w:val="000000"/>
          <w:sz w:val="24"/>
        </w:rPr>
      </w:pPr>
      <w:r>
        <w:rPr>
          <w:rFonts w:ascii="Times New Roman;serif" w:hAnsi="Times New Roman;serif"/>
          <w:b w:val="false"/>
          <w:color w:val="000000"/>
          <w:sz w:val="24"/>
        </w:rPr>
        <w:t>E-mail: TalenTreasury@talenenergy.com</w:t>
      </w:r>
    </w:p>
    <w:p>
      <w:pPr>
        <w:pStyle w:val="TextBody"/>
        <w:bidi w:val="0"/>
        <w:spacing w:before="0" w:after="0"/>
        <w:jc w:val="left"/>
        <w:rPr/>
      </w:pPr>
      <w:r>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6480175" cy="175260"/>
                <wp:effectExtent l="0" t="0" r="0" b="0"/>
                <wp:wrapNone/>
                <wp:docPr id="151" name="Frame15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A-8</w:t>
                      </w:r>
                    </w:p>
                  </w:txbxContent>
                </v:textbox>
                <w10:wrap type="none"/>
              </v:rect>
            </w:pict>
          </mc:Fallback>
        </mc:AlternateContent>
      </w:r>
    </w:p>
    <w:p>
      <w:pPr>
        <w:pStyle w:val="TextBody"/>
        <w:bidi w:val="0"/>
        <w:spacing w:lineRule="auto" w:line="240" w:before="0" w:after="240"/>
        <w:jc w:val="center"/>
        <w:rPr/>
      </w:pPr>
      <w:r>
        <w:rPr>
          <w:rFonts w:ascii="Times New Roman;serif" w:hAnsi="Times New Roman;serif"/>
          <w:b/>
          <w:color w:val="000000"/>
          <w:sz w:val="24"/>
        </w:rPr>
        <w:t>Assignment</w:t>
      </w:r>
      <w:r>
        <w:rPr>
          <w:color w:val="000000"/>
        </w:rPr>
        <w:t xml:space="preserve"> </w:t>
      </w:r>
      <w:r>
        <w:rPr>
          <w:rFonts w:ascii="Times New Roman;serif" w:hAnsi="Times New Roman;serif"/>
          <w:b/>
          <w:color w:val="000000"/>
          <w:sz w:val="24"/>
        </w:rPr>
        <w:t>Form</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To assign this Note, fill in the form below:</w:t>
      </w:r>
    </w:p>
    <w:tbl>
      <w:tblPr>
        <w:tblW w:w="10205" w:type="dxa"/>
        <w:jc w:val="left"/>
        <w:tblInd w:w="0" w:type="dxa"/>
        <w:tblLayout w:type="fixed"/>
        <w:tblCellMar>
          <w:top w:w="28" w:type="dxa"/>
          <w:left w:w="28" w:type="dxa"/>
          <w:bottom w:w="28" w:type="dxa"/>
          <w:right w:w="28" w:type="dxa"/>
        </w:tblCellMar>
      </w:tblPr>
      <w:tblGrid>
        <w:gridCol w:w="791"/>
        <w:gridCol w:w="632"/>
        <w:gridCol w:w="632"/>
        <w:gridCol w:w="632"/>
        <w:gridCol w:w="632"/>
        <w:gridCol w:w="632"/>
        <w:gridCol w:w="632"/>
        <w:gridCol w:w="632"/>
        <w:gridCol w:w="632"/>
        <w:gridCol w:w="1125"/>
        <w:gridCol w:w="1016"/>
        <w:gridCol w:w="1016"/>
        <w:gridCol w:w="348"/>
        <w:gridCol w:w="348"/>
        <w:gridCol w:w="505"/>
      </w:tblGrid>
      <w:tr>
        <w:trPr/>
        <w:tc>
          <w:tcPr>
            <w:tcW w:w="791"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r>
      <w:tr>
        <w:trPr/>
        <w:tc>
          <w:tcPr>
            <w:tcW w:w="9004"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(I) or (we) assign and transfer this Note to:</w:t>
            </w:r>
          </w:p>
        </w:tc>
        <w:tc>
          <w:tcPr>
            <w:tcW w:w="1201"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5"/>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5"/>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5"/>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(Insert assignee’s legal name)</w:t>
            </w:r>
          </w:p>
        </w:tc>
      </w:tr>
      <w:tr>
        <w:trPr/>
        <w:tc>
          <w:tcPr>
            <w:tcW w:w="10205" w:type="dxa"/>
            <w:gridSpan w:val="15"/>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5"/>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(Insert assignee’s soc. sec. or tax I.D. no.)</w:t>
            </w:r>
          </w:p>
        </w:tc>
      </w:tr>
      <w:tr>
        <w:trPr/>
        <w:tc>
          <w:tcPr>
            <w:tcW w:w="10205" w:type="dxa"/>
            <w:gridSpan w:val="15"/>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5"/>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(Print or type assignee’s name, address and zip code)</w:t>
            </w:r>
          </w:p>
        </w:tc>
      </w:tr>
      <w:tr>
        <w:trPr/>
        <w:tc>
          <w:tcPr>
            <w:tcW w:w="10205"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 xml:space="preserve">and irrevocably appoint to transfer this Note on the books of the Issuer. The agent may substitute another to act for him. </w:t>
            </w:r>
          </w:p>
        </w:tc>
      </w:tr>
      <w:tr>
        <w:trPr/>
        <w:tc>
          <w:tcPr>
            <w:tcW w:w="10205" w:type="dxa"/>
            <w:gridSpan w:val="15"/>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Date:</w:t>
            </w:r>
          </w:p>
        </w:tc>
        <w:tc>
          <w:tcPr>
            <w:tcW w:w="18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8" w:type="dxa"/>
            <w:gridSpan w:val="6"/>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Your Signature:</w:t>
            </w:r>
          </w:p>
        </w:tc>
      </w:tr>
      <w:tr>
        <w:trPr/>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8" w:type="dxa"/>
            <w:gridSpan w:val="6"/>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(Sign exactly as your name appears on the face of this Note)</w:t>
            </w:r>
          </w:p>
        </w:tc>
      </w:tr>
      <w:tr>
        <w:trPr/>
        <w:tc>
          <w:tcPr>
            <w:tcW w:w="10205" w:type="dxa"/>
            <w:gridSpan w:val="15"/>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Signature Guarantee*:</w:t>
      </w:r>
    </w:p>
    <w:p>
      <w:pPr>
        <w:pStyle w:val="TextBody"/>
        <w:bidi w:val="0"/>
        <w:spacing w:lineRule="auto" w:line="288" w:before="0" w:after="24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    Participant in a recognized Signature Guarantee Medallion Program (or other signature guarantor acceptable to the Trustee).</w:t>
      </w:r>
    </w:p>
    <w:p>
      <w:pPr>
        <w:pStyle w:val="TextBody"/>
        <w:bidi w:val="0"/>
        <w:spacing w:before="0" w:after="0"/>
        <w:jc w:val="left"/>
        <w:rPr/>
      </w:pPr>
      <w:r>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6480175" cy="175260"/>
                <wp:effectExtent l="0" t="0" r="0" b="0"/>
                <wp:wrapNone/>
                <wp:docPr id="152" name="Frame15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A-9</w:t>
                      </w:r>
                    </w:p>
                  </w:txbxContent>
                </v:textbox>
                <w10:wrap type="none"/>
              </v:rect>
            </w:pict>
          </mc:Fallback>
        </mc:AlternateContent>
      </w:r>
    </w:p>
    <w:p>
      <w:pPr>
        <w:pStyle w:val="TextBody"/>
        <w:bidi w:val="0"/>
        <w:spacing w:lineRule="auto" w:line="240" w:before="0" w:after="240"/>
        <w:jc w:val="center"/>
        <w:rPr/>
      </w:pPr>
      <w:r>
        <w:rPr>
          <w:rFonts w:ascii="Times New Roman;serif" w:hAnsi="Times New Roman;serif"/>
          <w:b/>
          <w:color w:val="000000"/>
          <w:sz w:val="24"/>
        </w:rPr>
        <w:t>Option</w:t>
      </w:r>
      <w:r>
        <w:rPr>
          <w:color w:val="000000"/>
        </w:rPr>
        <w:t xml:space="preserve"> </w:t>
      </w:r>
      <w:r>
        <w:rPr>
          <w:rFonts w:ascii="Times New Roman;serif" w:hAnsi="Times New Roman;serif"/>
          <w:b/>
          <w:color w:val="000000"/>
          <w:sz w:val="24"/>
        </w:rPr>
        <w:t>of</w:t>
      </w:r>
      <w:r>
        <w:rPr>
          <w:color w:val="000000"/>
        </w:rPr>
        <w:t xml:space="preserve"> </w:t>
      </w:r>
      <w:r>
        <w:rPr>
          <w:rFonts w:ascii="Times New Roman;serif" w:hAnsi="Times New Roman;serif"/>
          <w:b/>
          <w:color w:val="000000"/>
          <w:sz w:val="24"/>
        </w:rPr>
        <w:t>Holder</w:t>
      </w:r>
      <w:r>
        <w:rPr>
          <w:color w:val="000000"/>
        </w:rPr>
        <w:t xml:space="preserve"> </w:t>
      </w:r>
      <w:r>
        <w:rPr>
          <w:rFonts w:ascii="Times New Roman;serif" w:hAnsi="Times New Roman;serif"/>
          <w:b/>
          <w:color w:val="000000"/>
          <w:sz w:val="24"/>
        </w:rPr>
        <w:t>to</w:t>
      </w:r>
      <w:r>
        <w:rPr>
          <w:color w:val="000000"/>
        </w:rPr>
        <w:t xml:space="preserve"> </w:t>
      </w:r>
      <w:r>
        <w:rPr>
          <w:rFonts w:ascii="Times New Roman;serif" w:hAnsi="Times New Roman;serif"/>
          <w:b/>
          <w:color w:val="000000"/>
          <w:sz w:val="24"/>
        </w:rPr>
        <w:t>Elect</w:t>
      </w:r>
      <w:r>
        <w:rPr>
          <w:color w:val="000000"/>
        </w:rPr>
        <w:t xml:space="preserve"> </w:t>
      </w:r>
      <w:r>
        <w:rPr>
          <w:rFonts w:ascii="Times New Roman;serif" w:hAnsi="Times New Roman;serif"/>
          <w:b/>
          <w:color w:val="000000"/>
          <w:sz w:val="24"/>
        </w:rPr>
        <w:t>Purchase</w:t>
      </w:r>
      <w:r>
        <w:rPr>
          <w:color w:val="000000"/>
        </w:rPr>
        <w:t xml:space="preserve"> </w:t>
      </w:r>
      <w:r>
        <w:rPr>
          <w:rFonts w:ascii="Times New Roman;serif" w:hAnsi="Times New Roman;serif"/>
          <w:b/>
          <w:color w:val="000000"/>
          <w:sz w:val="24"/>
        </w:rPr>
        <w:t>Pursuant</w:t>
      </w:r>
      <w:r>
        <w:rPr>
          <w:color w:val="000000"/>
        </w:rPr>
        <w:t xml:space="preserve"> </w:t>
      </w:r>
      <w:r>
        <w:rPr>
          <w:rFonts w:ascii="Times New Roman;serif" w:hAnsi="Times New Roman;serif"/>
          <w:b/>
          <w:color w:val="000000"/>
          <w:sz w:val="24"/>
        </w:rPr>
        <w:t>to</w:t>
      </w:r>
      <w:r>
        <w:rPr>
          <w:color w:val="000000"/>
        </w:rPr>
        <w:t xml:space="preserve"> </w:t>
      </w:r>
      <w:r>
        <w:rPr>
          <w:rFonts w:ascii="Times New Roman;serif" w:hAnsi="Times New Roman;serif"/>
          <w:b/>
          <w:color w:val="000000"/>
          <w:sz w:val="24"/>
          <w:u w:val="single"/>
        </w:rPr>
        <w:t>Section 4.08</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If you want to elect to have only part of the Note purchased by the Issuer pursuant to </w:t>
      </w:r>
      <w:r>
        <w:rPr>
          <w:rFonts w:ascii="Times New Roman;serif" w:hAnsi="Times New Roman;serif"/>
          <w:b w:val="false"/>
          <w:color w:val="000000"/>
          <w:sz w:val="24"/>
          <w:u w:val="single"/>
        </w:rPr>
        <w:t>Section 4.08</w:t>
      </w:r>
      <w:r>
        <w:rPr>
          <w:color w:val="000000"/>
        </w:rPr>
        <w:t xml:space="preserve"> </w:t>
      </w:r>
      <w:r>
        <w:rPr>
          <w:rFonts w:ascii="Times New Roman;serif" w:hAnsi="Times New Roman;serif"/>
          <w:b w:val="false"/>
          <w:color w:val="000000"/>
          <w:sz w:val="24"/>
        </w:rPr>
        <w:t>of the Indenture, state the</w:t>
      </w:r>
      <w:r>
        <w:rPr>
          <w:color w:val="000000"/>
        </w:rPr>
        <w:t xml:space="preserve"> </w:t>
      </w:r>
      <w:r>
        <w:rPr>
          <w:rFonts w:ascii="Times New Roman;serif" w:hAnsi="Times New Roman;serif"/>
          <w:b w:val="false"/>
          <w:color w:val="000000"/>
          <w:sz w:val="24"/>
        </w:rPr>
        <w:t>amount you elect to have purchased:</w:t>
      </w:r>
    </w:p>
    <w:tbl>
      <w:tblPr>
        <w:tblW w:w="7112" w:type="dxa"/>
        <w:jc w:val="left"/>
        <w:tblInd w:w="0" w:type="dxa"/>
        <w:tblLayout w:type="fixed"/>
        <w:tblCellMar>
          <w:top w:w="28" w:type="dxa"/>
          <w:left w:w="28" w:type="dxa"/>
          <w:bottom w:w="28" w:type="dxa"/>
          <w:right w:w="28" w:type="dxa"/>
        </w:tblCellMar>
      </w:tblPr>
      <w:tblGrid>
        <w:gridCol w:w="228"/>
        <w:gridCol w:w="200"/>
        <w:gridCol w:w="202"/>
        <w:gridCol w:w="109"/>
        <w:gridCol w:w="109"/>
        <w:gridCol w:w="109"/>
        <w:gridCol w:w="109"/>
        <w:gridCol w:w="109"/>
        <w:gridCol w:w="109"/>
        <w:gridCol w:w="615"/>
        <w:gridCol w:w="615"/>
        <w:gridCol w:w="615"/>
        <w:gridCol w:w="615"/>
        <w:gridCol w:w="615"/>
        <w:gridCol w:w="615"/>
        <w:gridCol w:w="615"/>
        <w:gridCol w:w="615"/>
        <w:gridCol w:w="908"/>
      </w:tblGrid>
      <w:tr>
        <w:trPr/>
        <w:tc>
          <w:tcPr>
            <w:tcW w:w="22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r>
      <w:tr>
        <w:trPr/>
        <w:tc>
          <w:tcPr>
            <w:tcW w:w="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w:t>
            </w:r>
          </w:p>
        </w:tc>
        <w:tc>
          <w:tcPr>
            <w:tcW w:w="3983" w:type="dxa"/>
            <w:gridSpan w:val="6"/>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8"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8" w:type="dxa"/>
            <w:gridSpan w:val="9"/>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Your Signature:</w:t>
            </w:r>
          </w:p>
        </w:tc>
      </w:tr>
      <w:tr>
        <w:trPr/>
        <w:tc>
          <w:tcPr>
            <w:tcW w:w="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8" w:type="dxa"/>
            <w:gridSpan w:val="9"/>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(Sign exactly as your name appears on the face of this Note)</w:t>
            </w:r>
          </w:p>
        </w:tc>
      </w:tr>
      <w:tr>
        <w:trPr/>
        <w:tc>
          <w:tcPr>
            <w:tcW w:w="7112" w:type="dxa"/>
            <w:gridSpan w:val="18"/>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Tax Identification No.:</w:t>
            </w:r>
          </w:p>
        </w:tc>
        <w:tc>
          <w:tcPr>
            <w:tcW w:w="2138"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7112" w:type="dxa"/>
            <w:gridSpan w:val="18"/>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pPr>
      <w:r>
        <w:rPr>
          <w:rFonts w:ascii="Times New Roman;serif" w:hAnsi="Times New Roman;serif"/>
          <w:b w:val="false"/>
          <w:color w:val="000000"/>
          <w:sz w:val="24"/>
        </w:rPr>
        <w:t>Signature</w:t>
      </w:r>
      <w:r>
        <w:rPr>
          <w:color w:val="000000"/>
        </w:rPr>
        <w:t xml:space="preserve"> </w:t>
      </w:r>
      <w:r>
        <w:rPr>
          <w:rFonts w:ascii="Times New Roman;serif" w:hAnsi="Times New Roman;serif"/>
          <w:b w:val="false"/>
          <w:color w:val="000000"/>
          <w:sz w:val="24"/>
        </w:rPr>
        <w:t>Guarantee*:</w:t>
      </w:r>
    </w:p>
    <w:p>
      <w:pPr>
        <w:pStyle w:val="TextBody"/>
        <w:bidi w:val="0"/>
        <w:spacing w:lineRule="auto" w:line="288" w:before="0" w:after="240"/>
        <w:ind w:left="0" w:right="0" w:hanging="720"/>
        <w:jc w:val="left"/>
        <w:rPr/>
      </w:pPr>
      <w:r>
        <w:rPr>
          <w:rFonts w:ascii="Times New Roman;serif" w:hAnsi="Times New Roman;serif"/>
          <w:b w:val="false"/>
          <w:color w:val="000000"/>
          <w:sz w:val="24"/>
        </w:rPr>
        <w:t>*</w:t>
      </w:r>
      <w:r>
        <w:rPr>
          <w:color w:val="000000"/>
        </w:rPr>
        <w:t>    </w:t>
      </w:r>
      <w:r>
        <w:rPr>
          <w:rFonts w:ascii="Times New Roman;serif" w:hAnsi="Times New Roman;serif"/>
          <w:b w:val="false"/>
          <w:color w:val="000000"/>
          <w:sz w:val="24"/>
        </w:rPr>
        <w:t>Participant</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recognized</w:t>
      </w:r>
      <w:r>
        <w:rPr>
          <w:color w:val="000000"/>
        </w:rPr>
        <w:t xml:space="preserve"> </w:t>
      </w:r>
      <w:r>
        <w:rPr>
          <w:rFonts w:ascii="Times New Roman;serif" w:hAnsi="Times New Roman;serif"/>
          <w:b w:val="false"/>
          <w:color w:val="000000"/>
          <w:sz w:val="24"/>
        </w:rPr>
        <w:t>Signature</w:t>
      </w:r>
      <w:r>
        <w:rPr>
          <w:color w:val="000000"/>
        </w:rPr>
        <w:t xml:space="preserve"> </w:t>
      </w:r>
      <w:r>
        <w:rPr>
          <w:rFonts w:ascii="Times New Roman;serif" w:hAnsi="Times New Roman;serif"/>
          <w:b w:val="false"/>
          <w:color w:val="000000"/>
          <w:sz w:val="24"/>
        </w:rPr>
        <w:t>Guarantee</w:t>
      </w:r>
      <w:r>
        <w:rPr>
          <w:color w:val="000000"/>
        </w:rPr>
        <w:t xml:space="preserve"> </w:t>
      </w:r>
      <w:r>
        <w:rPr>
          <w:rFonts w:ascii="Times New Roman;serif" w:hAnsi="Times New Roman;serif"/>
          <w:b w:val="false"/>
          <w:color w:val="000000"/>
          <w:sz w:val="24"/>
        </w:rPr>
        <w:t>Medallion</w:t>
      </w:r>
      <w:r>
        <w:rPr>
          <w:color w:val="000000"/>
        </w:rPr>
        <w:t xml:space="preserve"> </w:t>
      </w:r>
      <w:r>
        <w:rPr>
          <w:rFonts w:ascii="Times New Roman;serif" w:hAnsi="Times New Roman;serif"/>
          <w:b w:val="false"/>
          <w:color w:val="000000"/>
          <w:sz w:val="24"/>
        </w:rPr>
        <w:t>Program</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other</w:t>
      </w:r>
      <w:r>
        <w:rPr>
          <w:color w:val="000000"/>
        </w:rPr>
        <w:t xml:space="preserve"> </w:t>
      </w:r>
      <w:r>
        <w:rPr>
          <w:rFonts w:ascii="Times New Roman;serif" w:hAnsi="Times New Roman;serif"/>
          <w:b w:val="false"/>
          <w:color w:val="000000"/>
          <w:sz w:val="24"/>
        </w:rPr>
        <w:t>signature</w:t>
      </w:r>
      <w:r>
        <w:rPr>
          <w:color w:val="000000"/>
        </w:rPr>
        <w:t xml:space="preserve"> </w:t>
      </w:r>
      <w:r>
        <w:rPr>
          <w:rFonts w:ascii="Times New Roman;serif" w:hAnsi="Times New Roman;serif"/>
          <w:b w:val="false"/>
          <w:color w:val="000000"/>
          <w:sz w:val="24"/>
        </w:rPr>
        <w:t>guarantor</w:t>
      </w:r>
      <w:r>
        <w:rPr>
          <w:color w:val="000000"/>
        </w:rPr>
        <w:t xml:space="preserve"> </w:t>
      </w:r>
      <w:r>
        <w:rPr>
          <w:rFonts w:ascii="Times New Roman;serif" w:hAnsi="Times New Roman;serif"/>
          <w:b w:val="false"/>
          <w:color w:val="000000"/>
          <w:sz w:val="24"/>
        </w:rPr>
        <w:t>acceptable</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Trustee).</w:t>
      </w:r>
    </w:p>
    <w:p>
      <w:pPr>
        <w:pStyle w:val="TextBody"/>
        <w:bidi w:val="0"/>
        <w:spacing w:before="0" w:after="0"/>
        <w:jc w:val="left"/>
        <w:rPr/>
      </w:pPr>
      <w:r>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6480175" cy="175260"/>
                <wp:effectExtent l="0" t="0" r="0" b="0"/>
                <wp:wrapNone/>
                <wp:docPr id="153" name="Frame15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A-10</w:t>
                      </w:r>
                    </w:p>
                  </w:txbxContent>
                </v:textbox>
                <w10:wrap type="none"/>
              </v:rect>
            </w:pict>
          </mc:Fallback>
        </mc:AlternateContent>
      </w:r>
    </w:p>
    <w:p>
      <w:pPr>
        <w:pStyle w:val="TextBody"/>
        <w:bidi w:val="0"/>
        <w:spacing w:lineRule="auto" w:line="240" w:before="0" w:after="240"/>
        <w:jc w:val="center"/>
        <w:rPr/>
      </w:pPr>
      <w:r>
        <w:rPr>
          <w:rFonts w:ascii="Times New Roman;serif" w:hAnsi="Times New Roman;serif"/>
          <w:b/>
          <w:color w:val="000000"/>
          <w:sz w:val="24"/>
        </w:rPr>
        <w:t>Schedule</w:t>
      </w:r>
      <w:r>
        <w:rPr>
          <w:color w:val="000000"/>
        </w:rPr>
        <w:t xml:space="preserve"> </w:t>
      </w:r>
      <w:r>
        <w:rPr>
          <w:rFonts w:ascii="Times New Roman;serif" w:hAnsi="Times New Roman;serif"/>
          <w:b/>
          <w:color w:val="000000"/>
          <w:sz w:val="24"/>
        </w:rPr>
        <w:t>of</w:t>
      </w:r>
      <w:r>
        <w:rPr>
          <w:color w:val="000000"/>
        </w:rPr>
        <w:t xml:space="preserve"> </w:t>
      </w:r>
      <w:r>
        <w:rPr>
          <w:rFonts w:ascii="Times New Roman;serif" w:hAnsi="Times New Roman;serif"/>
          <w:b/>
          <w:color w:val="000000"/>
          <w:sz w:val="24"/>
        </w:rPr>
        <w:t>Exchanges</w:t>
      </w:r>
      <w:r>
        <w:rPr>
          <w:color w:val="000000"/>
        </w:rPr>
        <w:t xml:space="preserve"> </w:t>
      </w:r>
      <w:r>
        <w:rPr>
          <w:rFonts w:ascii="Times New Roman;serif" w:hAnsi="Times New Roman;serif"/>
          <w:b/>
          <w:color w:val="000000"/>
          <w:sz w:val="24"/>
        </w:rPr>
        <w:t>of</w:t>
      </w:r>
      <w:r>
        <w:rPr>
          <w:color w:val="000000"/>
        </w:rPr>
        <w:t xml:space="preserve"> </w:t>
      </w:r>
      <w:r>
        <w:rPr>
          <w:rFonts w:ascii="Times New Roman;serif" w:hAnsi="Times New Roman;serif"/>
          <w:b/>
          <w:color w:val="000000"/>
          <w:sz w:val="24"/>
        </w:rPr>
        <w:t>Interests</w:t>
      </w:r>
      <w:r>
        <w:rPr>
          <w:color w:val="000000"/>
        </w:rPr>
        <w:t xml:space="preserve"> </w:t>
      </w:r>
      <w:r>
        <w:rPr>
          <w:rFonts w:ascii="Times New Roman;serif" w:hAnsi="Times New Roman;serif"/>
          <w:b/>
          <w:color w:val="000000"/>
          <w:sz w:val="24"/>
        </w:rPr>
        <w:t>in</w:t>
      </w:r>
      <w:r>
        <w:rPr>
          <w:color w:val="000000"/>
        </w:rPr>
        <w:t xml:space="preserve"> </w:t>
      </w:r>
      <w:r>
        <w:rPr>
          <w:rFonts w:ascii="Times New Roman;serif" w:hAnsi="Times New Roman;serif"/>
          <w:b/>
          <w:color w:val="000000"/>
          <w:sz w:val="24"/>
        </w:rPr>
        <w:t>the</w:t>
      </w:r>
      <w:r>
        <w:rPr>
          <w:color w:val="000000"/>
        </w:rPr>
        <w:t xml:space="preserve"> </w:t>
      </w:r>
      <w:r>
        <w:rPr>
          <w:rFonts w:ascii="Times New Roman;serif" w:hAnsi="Times New Roman;serif"/>
          <w:b/>
          <w:color w:val="000000"/>
          <w:sz w:val="24"/>
        </w:rPr>
        <w:t>Global</w:t>
      </w:r>
      <w:r>
        <w:rPr>
          <w:color w:val="000000"/>
        </w:rPr>
        <w:t xml:space="preserve"> </w:t>
      </w:r>
      <w:r>
        <w:rPr>
          <w:rFonts w:ascii="Times New Roman;serif" w:hAnsi="Times New Roman;serif"/>
          <w:b/>
          <w:color w:val="000000"/>
          <w:sz w:val="24"/>
        </w:rPr>
        <w:t>Note</w:t>
      </w:r>
    </w:p>
    <w:p>
      <w:pPr>
        <w:pStyle w:val="TextBody"/>
        <w:bidi w:val="0"/>
        <w:spacing w:lineRule="auto" w:line="288" w:before="0" w:after="240"/>
        <w:ind w:left="0" w:right="0" w:firstLine="720"/>
        <w:jc w:val="both"/>
        <w:rPr/>
      </w:pP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following</w:t>
      </w:r>
      <w:r>
        <w:rPr>
          <w:color w:val="000000"/>
        </w:rPr>
        <w:t xml:space="preserve"> </w:t>
      </w:r>
      <w:r>
        <w:rPr>
          <w:rFonts w:ascii="Times New Roman;serif" w:hAnsi="Times New Roman;serif"/>
          <w:b w:val="false"/>
          <w:color w:val="000000"/>
          <w:sz w:val="24"/>
        </w:rPr>
        <w:t>exchanges</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part</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this</w:t>
      </w:r>
      <w:r>
        <w:rPr>
          <w:color w:val="000000"/>
        </w:rPr>
        <w:t xml:space="preserve"> </w:t>
      </w:r>
      <w:r>
        <w:rPr>
          <w:rFonts w:ascii="Times New Roman;serif" w:hAnsi="Times New Roman;serif"/>
          <w:b w:val="false"/>
          <w:color w:val="000000"/>
          <w:sz w:val="24"/>
        </w:rPr>
        <w:t>Global</w:t>
      </w:r>
      <w:r>
        <w:rPr>
          <w:color w:val="000000"/>
        </w:rPr>
        <w:t xml:space="preserve"> </w:t>
      </w:r>
      <w:r>
        <w:rPr>
          <w:rFonts w:ascii="Times New Roman;serif" w:hAnsi="Times New Roman;serif"/>
          <w:b w:val="false"/>
          <w:color w:val="000000"/>
          <w:sz w:val="24"/>
        </w:rPr>
        <w:t>Note</w:t>
      </w:r>
      <w:r>
        <w:rPr>
          <w:color w:val="000000"/>
        </w:rPr>
        <w:t xml:space="preserve"> </w:t>
      </w:r>
      <w:r>
        <w:rPr>
          <w:rFonts w:ascii="Times New Roman;serif" w:hAnsi="Times New Roman;serif"/>
          <w:b w:val="false"/>
          <w:color w:val="000000"/>
          <w:sz w:val="24"/>
        </w:rPr>
        <w:t>for</w:t>
      </w:r>
      <w:r>
        <w:rPr>
          <w:color w:val="000000"/>
        </w:rPr>
        <w:t xml:space="preserve"> </w:t>
      </w:r>
      <w:r>
        <w:rPr>
          <w:rFonts w:ascii="Times New Roman;serif" w:hAnsi="Times New Roman;serif"/>
          <w:b w:val="false"/>
          <w:color w:val="000000"/>
          <w:sz w:val="24"/>
        </w:rPr>
        <w:t>an</w:t>
      </w:r>
      <w:r>
        <w:rPr>
          <w:color w:val="000000"/>
        </w:rPr>
        <w:t xml:space="preserve"> </w:t>
      </w:r>
      <w:r>
        <w:rPr>
          <w:rFonts w:ascii="Times New Roman;serif" w:hAnsi="Times New Roman;serif"/>
          <w:b w:val="false"/>
          <w:color w:val="000000"/>
          <w:sz w:val="24"/>
        </w:rPr>
        <w:t>interest</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another</w:t>
      </w:r>
      <w:r>
        <w:rPr>
          <w:color w:val="000000"/>
        </w:rPr>
        <w:t xml:space="preserve"> </w:t>
      </w:r>
      <w:r>
        <w:rPr>
          <w:rFonts w:ascii="Times New Roman;serif" w:hAnsi="Times New Roman;serif"/>
          <w:b w:val="false"/>
          <w:color w:val="000000"/>
          <w:sz w:val="24"/>
        </w:rPr>
        <w:t>Global</w:t>
      </w:r>
      <w:r>
        <w:rPr>
          <w:color w:val="000000"/>
        </w:rPr>
        <w:t xml:space="preserve"> </w:t>
      </w:r>
      <w:r>
        <w:rPr>
          <w:rFonts w:ascii="Times New Roman;serif" w:hAnsi="Times New Roman;serif"/>
          <w:b w:val="false"/>
          <w:color w:val="000000"/>
          <w:sz w:val="24"/>
        </w:rPr>
        <w:t>Note</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for</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Definitive</w:t>
      </w:r>
      <w:r>
        <w:rPr>
          <w:color w:val="000000"/>
        </w:rPr>
        <w:t xml:space="preserve"> </w:t>
      </w:r>
      <w:r>
        <w:rPr>
          <w:rFonts w:ascii="Times New Roman;serif" w:hAnsi="Times New Roman;serif"/>
          <w:b w:val="false"/>
          <w:color w:val="000000"/>
          <w:sz w:val="24"/>
        </w:rPr>
        <w:t>Note,</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exchanges</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part</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another Global Note or Definitive Note for an interest in this Global Note, have been made:</w:t>
      </w:r>
    </w:p>
    <w:tbl>
      <w:tblPr>
        <w:tblW w:w="10205" w:type="dxa"/>
        <w:jc w:val="left"/>
        <w:tblInd w:w="0" w:type="dxa"/>
        <w:tblLayout w:type="fixed"/>
        <w:tblCellMar>
          <w:top w:w="28" w:type="dxa"/>
          <w:left w:w="28" w:type="dxa"/>
          <w:bottom w:w="28" w:type="dxa"/>
          <w:right w:w="28" w:type="dxa"/>
        </w:tblCellMar>
      </w:tblPr>
      <w:tblGrid>
        <w:gridCol w:w="469"/>
        <w:gridCol w:w="411"/>
        <w:gridCol w:w="413"/>
        <w:gridCol w:w="712"/>
        <w:gridCol w:w="712"/>
        <w:gridCol w:w="714"/>
        <w:gridCol w:w="708"/>
        <w:gridCol w:w="708"/>
        <w:gridCol w:w="711"/>
        <w:gridCol w:w="812"/>
        <w:gridCol w:w="812"/>
        <w:gridCol w:w="815"/>
        <w:gridCol w:w="645"/>
        <w:gridCol w:w="645"/>
        <w:gridCol w:w="918"/>
      </w:tblGrid>
      <w:tr>
        <w:trPr/>
        <w:tc>
          <w:tcPr>
            <w:tcW w:w="46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r>
      <w:tr>
        <w:trPr/>
        <w:tc>
          <w:tcPr>
            <w:tcW w:w="12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Date of Exchange</w:t>
            </w:r>
          </w:p>
        </w:tc>
        <w:tc>
          <w:tcPr>
            <w:tcW w:w="21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Amount of decrease in Principal Amount of this Global Note</w:t>
            </w:r>
          </w:p>
        </w:tc>
        <w:tc>
          <w:tcPr>
            <w:tcW w:w="21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Amount of increase in Principal Amount of this Global Note</w:t>
            </w:r>
          </w:p>
        </w:tc>
        <w:tc>
          <w:tcPr>
            <w:tcW w:w="2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Principal Amount of this Global Note following such decrease (or increase)</w:t>
            </w:r>
          </w:p>
        </w:tc>
        <w:tc>
          <w:tcPr>
            <w:tcW w:w="22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Signature of authorized officer of Trustee or Custodian</w:t>
            </w:r>
          </w:p>
        </w:tc>
      </w:tr>
      <w:tr>
        <w:trPr/>
        <w:tc>
          <w:tcPr>
            <w:tcW w:w="1293"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8"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8"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hanging="720"/>
        <w:jc w:val="left"/>
        <w:rPr/>
      </w:pPr>
      <w:r>
        <w:rPr>
          <w:rFonts w:ascii="Times New Roman;serif" w:hAnsi="Times New Roman;serif"/>
          <w:b w:val="false"/>
          <w:i/>
          <w:color w:val="000000"/>
          <w:sz w:val="24"/>
        </w:rPr>
        <w:t>*</w:t>
      </w:r>
      <w:r>
        <w:rPr>
          <w:color w:val="000000"/>
        </w:rPr>
        <w:t xml:space="preserve"> </w:t>
      </w:r>
      <w:r>
        <w:rPr>
          <w:rFonts w:ascii="Times New Roman;serif" w:hAnsi="Times New Roman;serif"/>
          <w:b w:val="false"/>
          <w:i/>
          <w:color w:val="000000"/>
          <w:sz w:val="24"/>
        </w:rPr>
        <w:t>This</w:t>
      </w:r>
      <w:r>
        <w:rPr>
          <w:color w:val="000000"/>
        </w:rPr>
        <w:t xml:space="preserve"> </w:t>
      </w:r>
      <w:r>
        <w:rPr>
          <w:rFonts w:ascii="Times New Roman;serif" w:hAnsi="Times New Roman;serif"/>
          <w:b w:val="false"/>
          <w:i/>
          <w:color w:val="000000"/>
          <w:sz w:val="24"/>
        </w:rPr>
        <w:t>schedule</w:t>
      </w:r>
      <w:r>
        <w:rPr>
          <w:color w:val="000000"/>
        </w:rPr>
        <w:t xml:space="preserve"> </w:t>
      </w:r>
      <w:r>
        <w:rPr>
          <w:rFonts w:ascii="Times New Roman;serif" w:hAnsi="Times New Roman;serif"/>
          <w:b w:val="false"/>
          <w:i/>
          <w:color w:val="000000"/>
          <w:sz w:val="24"/>
        </w:rPr>
        <w:t>should</w:t>
      </w:r>
      <w:r>
        <w:rPr>
          <w:color w:val="000000"/>
        </w:rPr>
        <w:t xml:space="preserve"> </w:t>
      </w:r>
      <w:r>
        <w:rPr>
          <w:rFonts w:ascii="Times New Roman;serif" w:hAnsi="Times New Roman;serif"/>
          <w:b w:val="false"/>
          <w:i/>
          <w:color w:val="000000"/>
          <w:sz w:val="24"/>
        </w:rPr>
        <w:t>be</w:t>
      </w:r>
      <w:r>
        <w:rPr>
          <w:color w:val="000000"/>
        </w:rPr>
        <w:t xml:space="preserve"> </w:t>
      </w:r>
      <w:r>
        <w:rPr>
          <w:rFonts w:ascii="Times New Roman;serif" w:hAnsi="Times New Roman;serif"/>
          <w:b w:val="false"/>
          <w:i/>
          <w:color w:val="000000"/>
          <w:sz w:val="24"/>
        </w:rPr>
        <w:t>included</w:t>
      </w:r>
      <w:r>
        <w:rPr>
          <w:color w:val="000000"/>
        </w:rPr>
        <w:t xml:space="preserve"> </w:t>
      </w:r>
      <w:r>
        <w:rPr>
          <w:rFonts w:ascii="Times New Roman;serif" w:hAnsi="Times New Roman;serif"/>
          <w:b w:val="false"/>
          <w:i/>
          <w:color w:val="000000"/>
          <w:sz w:val="24"/>
        </w:rPr>
        <w:t>only</w:t>
      </w:r>
      <w:r>
        <w:rPr>
          <w:color w:val="000000"/>
        </w:rPr>
        <w:t xml:space="preserve"> </w:t>
      </w:r>
      <w:r>
        <w:rPr>
          <w:rFonts w:ascii="Times New Roman;serif" w:hAnsi="Times New Roman;serif"/>
          <w:b w:val="false"/>
          <w:i/>
          <w:color w:val="000000"/>
          <w:sz w:val="24"/>
        </w:rPr>
        <w:t>if</w:t>
      </w:r>
      <w:r>
        <w:rPr>
          <w:color w:val="000000"/>
        </w:rPr>
        <w:t xml:space="preserve"> </w:t>
      </w:r>
      <w:r>
        <w:rPr>
          <w:rFonts w:ascii="Times New Roman;serif" w:hAnsi="Times New Roman;serif"/>
          <w:b w:val="false"/>
          <w:i/>
          <w:color w:val="000000"/>
          <w:sz w:val="24"/>
        </w:rPr>
        <w:t>the</w:t>
      </w:r>
      <w:r>
        <w:rPr>
          <w:color w:val="000000"/>
        </w:rPr>
        <w:t xml:space="preserve"> </w:t>
      </w:r>
      <w:r>
        <w:rPr>
          <w:rFonts w:ascii="Times New Roman;serif" w:hAnsi="Times New Roman;serif"/>
          <w:b w:val="false"/>
          <w:i/>
          <w:color w:val="000000"/>
          <w:sz w:val="24"/>
        </w:rPr>
        <w:t>Note</w:t>
      </w:r>
      <w:r>
        <w:rPr>
          <w:color w:val="000000"/>
        </w:rPr>
        <w:t xml:space="preserve"> </w:t>
      </w:r>
      <w:r>
        <w:rPr>
          <w:rFonts w:ascii="Times New Roman;serif" w:hAnsi="Times New Roman;serif"/>
          <w:b w:val="false"/>
          <w:i/>
          <w:color w:val="000000"/>
          <w:sz w:val="24"/>
        </w:rPr>
        <w:t>is</w:t>
      </w:r>
      <w:r>
        <w:rPr>
          <w:color w:val="000000"/>
        </w:rPr>
        <w:t xml:space="preserve"> </w:t>
      </w:r>
      <w:r>
        <w:rPr>
          <w:rFonts w:ascii="Times New Roman;serif" w:hAnsi="Times New Roman;serif"/>
          <w:b w:val="false"/>
          <w:i/>
          <w:color w:val="000000"/>
          <w:sz w:val="24"/>
        </w:rPr>
        <w:t>issued</w:t>
      </w:r>
      <w:r>
        <w:rPr>
          <w:color w:val="000000"/>
        </w:rPr>
        <w:t xml:space="preserve"> </w:t>
      </w:r>
      <w:r>
        <w:rPr>
          <w:rFonts w:ascii="Times New Roman;serif" w:hAnsi="Times New Roman;serif"/>
          <w:b w:val="false"/>
          <w:i/>
          <w:color w:val="000000"/>
          <w:sz w:val="24"/>
        </w:rPr>
        <w:t>in</w:t>
      </w:r>
      <w:r>
        <w:rPr>
          <w:color w:val="000000"/>
        </w:rPr>
        <w:t xml:space="preserve"> </w:t>
      </w:r>
      <w:r>
        <w:rPr>
          <w:rFonts w:ascii="Times New Roman;serif" w:hAnsi="Times New Roman;serif"/>
          <w:b w:val="false"/>
          <w:i/>
          <w:color w:val="000000"/>
          <w:sz w:val="24"/>
        </w:rPr>
        <w:t>global</w:t>
      </w:r>
      <w:r>
        <w:rPr>
          <w:color w:val="000000"/>
        </w:rPr>
        <w:t xml:space="preserve"> </w:t>
      </w:r>
      <w:r>
        <w:rPr>
          <w:rFonts w:ascii="Times New Roman;serif" w:hAnsi="Times New Roman;serif"/>
          <w:b w:val="false"/>
          <w:i/>
          <w:color w:val="000000"/>
          <w:sz w:val="24"/>
        </w:rPr>
        <w:t>form.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6480175" cy="175260"/>
                <wp:effectExtent l="0" t="0" r="0" b="0"/>
                <wp:wrapNone/>
                <wp:docPr id="154" name="Frame15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A-11</w:t>
                      </w:r>
                    </w:p>
                  </w:txbxContent>
                </v:textbox>
                <w10:wrap type="none"/>
              </v:rect>
            </w:pict>
          </mc:Fallback>
        </mc:AlternateContent>
      </w:r>
    </w:p>
    <w:p>
      <w:pPr>
        <w:pStyle w:val="TextBody"/>
        <w:bidi w:val="0"/>
        <w:spacing w:lineRule="auto" w:line="240" w:before="0" w:after="240"/>
        <w:jc w:val="center"/>
        <w:rPr/>
      </w:pPr>
      <w:r>
        <w:rPr>
          <w:rFonts w:ascii="Times New Roman;serif" w:hAnsi="Times New Roman;serif"/>
          <w:b/>
          <w:color w:val="000000"/>
          <w:sz w:val="24"/>
        </w:rPr>
        <w:t>Exhibit B</w:t>
      </w:r>
      <w:r>
        <w:rPr>
          <w:rFonts w:ascii="Times New Roman;serif" w:hAnsi="Times New Roman;serif"/>
          <w:b/>
          <w:color w:val="000000"/>
          <w:sz w:val="24"/>
        </w:rPr>
        <w:br/>
        <w:br/>
        <w:t>FORM</w:t>
      </w:r>
      <w:r>
        <w:rPr>
          <w:color w:val="000000"/>
        </w:rPr>
        <w:t xml:space="preserve"> </w:t>
      </w:r>
      <w:r>
        <w:rPr>
          <w:rFonts w:ascii="Times New Roman;serif" w:hAnsi="Times New Roman;serif"/>
          <w:b/>
          <w:color w:val="000000"/>
          <w:sz w:val="24"/>
        </w:rPr>
        <w:t>OF CERTIFICATE</w:t>
      </w:r>
      <w:r>
        <w:rPr>
          <w:color w:val="000000"/>
        </w:rPr>
        <w:t xml:space="preserve"> </w:t>
      </w:r>
      <w:r>
        <w:rPr>
          <w:rFonts w:ascii="Times New Roman;serif" w:hAnsi="Times New Roman;serif"/>
          <w:b/>
          <w:color w:val="000000"/>
          <w:sz w:val="24"/>
        </w:rPr>
        <w:t>OF</w:t>
      </w:r>
      <w:r>
        <w:rPr>
          <w:color w:val="000000"/>
        </w:rPr>
        <w:t xml:space="preserve"> </w:t>
      </w:r>
      <w:r>
        <w:rPr>
          <w:rFonts w:ascii="Times New Roman;serif" w:hAnsi="Times New Roman;serif"/>
          <w:b/>
          <w:color w:val="000000"/>
          <w:sz w:val="24"/>
        </w:rPr>
        <w:t>TRANSFER</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Talen Energy Supply, LLC</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2929 Allen Parkway, Suite 2200</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Houston, Texas 77019</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Attention: Treasurer</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E-mail: TalenTreasury@talenenergy.com</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Wilmington Savings Fund Society, FSB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Wilmington Savings Fund</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300 Bellevue Parkway, Suite 300</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Wilmington, Delaware 19809</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Attn: Anita Woolery</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E-Mail: awoolery@wsfsbank.com</w:t>
      </w:r>
    </w:p>
    <w:p>
      <w:pPr>
        <w:pStyle w:val="TextBody"/>
        <w:bidi w:val="0"/>
        <w:spacing w:before="0" w:after="0"/>
        <w:jc w:val="left"/>
        <w:rPr/>
      </w:pPr>
      <w:r>
        <w:rPr/>
      </w:r>
    </w:p>
    <w:p>
      <w:pPr>
        <w:pStyle w:val="TextBody"/>
        <w:bidi w:val="0"/>
        <w:spacing w:lineRule="auto" w:line="288" w:before="0" w:after="240"/>
        <w:ind w:left="0" w:right="0" w:firstLine="720"/>
        <w:jc w:val="both"/>
        <w:rPr/>
      </w:pPr>
      <w:r>
        <w:rPr>
          <w:rFonts w:ascii="Times New Roman;serif" w:hAnsi="Times New Roman;serif"/>
          <w:b w:val="false"/>
          <w:color w:val="000000"/>
          <w:sz w:val="24"/>
        </w:rPr>
        <w:t>Re:</w:t>
      </w:r>
      <w:r>
        <w:rPr>
          <w:color w:val="000000"/>
        </w:rPr>
        <w:t>    </w:t>
      </w:r>
      <w:r>
        <w:rPr>
          <w:rFonts w:ascii="Times New Roman;serif" w:hAnsi="Times New Roman;serif"/>
          <w:b w:val="false"/>
          <w:color w:val="000000"/>
          <w:sz w:val="24"/>
          <w:u w:val="single"/>
        </w:rPr>
        <w:t>6.125%</w:t>
      </w:r>
      <w:r>
        <w:rPr>
          <w:color w:val="000000"/>
          <w:u w:val="single"/>
        </w:rPr>
        <w:t xml:space="preserve"> </w:t>
      </w:r>
      <w:r>
        <w:rPr>
          <w:rFonts w:ascii="Times New Roman;serif" w:hAnsi="Times New Roman;serif"/>
          <w:b w:val="false"/>
          <w:color w:val="000000"/>
          <w:sz w:val="24"/>
          <w:u w:val="single"/>
        </w:rPr>
        <w:t>Senior</w:t>
      </w:r>
      <w:r>
        <w:rPr>
          <w:color w:val="000000"/>
          <w:u w:val="single"/>
        </w:rPr>
        <w:t xml:space="preserve"> </w:t>
      </w:r>
      <w:r>
        <w:rPr>
          <w:rFonts w:ascii="Times New Roman;serif" w:hAnsi="Times New Roman;serif"/>
          <w:b w:val="false"/>
          <w:color w:val="000000"/>
          <w:sz w:val="24"/>
          <w:u w:val="single"/>
        </w:rPr>
        <w:t>Notes</w:t>
      </w:r>
      <w:r>
        <w:rPr>
          <w:color w:val="000000"/>
          <w:u w:val="single"/>
        </w:rPr>
        <w:t xml:space="preserve"> </w:t>
      </w:r>
      <w:r>
        <w:rPr>
          <w:rFonts w:ascii="Times New Roman;serif" w:hAnsi="Times New Roman;serif"/>
          <w:b w:val="false"/>
          <w:color w:val="000000"/>
          <w:sz w:val="24"/>
          <w:u w:val="single"/>
        </w:rPr>
        <w:t>due</w:t>
      </w:r>
      <w:r>
        <w:rPr>
          <w:color w:val="000000"/>
          <w:u w:val="single"/>
        </w:rPr>
        <w:t xml:space="preserve"> </w:t>
      </w:r>
      <w:r>
        <w:rPr>
          <w:rFonts w:ascii="Times New Roman;serif" w:hAnsi="Times New Roman;serif"/>
          <w:b w:val="false"/>
          <w:color w:val="000000"/>
          <w:sz w:val="24"/>
          <w:u w:val="single"/>
        </w:rPr>
        <w:t>2031</w:t>
      </w:r>
    </w:p>
    <w:p>
      <w:pPr>
        <w:pStyle w:val="TextBody"/>
        <w:bidi w:val="0"/>
        <w:spacing w:lineRule="auto" w:line="288" w:before="0" w:after="240"/>
        <w:ind w:left="0" w:right="0" w:firstLine="720"/>
        <w:jc w:val="both"/>
        <w:rPr/>
      </w:pPr>
      <w:r>
        <w:rPr>
          <w:rFonts w:ascii="Times New Roman;serif" w:hAnsi="Times New Roman;serif"/>
          <w:b w:val="false"/>
          <w:color w:val="000000"/>
          <w:sz w:val="24"/>
        </w:rPr>
        <w:t>Reference is hereby made to the Indenture, dated as of April 29, 2026 (the “</w:t>
      </w:r>
      <w:r>
        <w:rPr>
          <w:rFonts w:ascii="Times New Roman;serif" w:hAnsi="Times New Roman;serif"/>
          <w:b/>
          <w:i/>
          <w:color w:val="000000"/>
          <w:sz w:val="24"/>
        </w:rPr>
        <w:t>Indenture</w:t>
      </w:r>
      <w:r>
        <w:rPr>
          <w:color w:val="000000"/>
        </w:rPr>
        <w:t>”</w:t>
      </w:r>
      <w:r>
        <w:rPr>
          <w:rFonts w:ascii="Times New Roman;serif" w:hAnsi="Times New Roman;serif"/>
          <w:b w:val="false"/>
          <w:color w:val="000000"/>
          <w:sz w:val="24"/>
        </w:rPr>
        <w:t>), among Talen Energy Supply, LLC, as issuer (the “</w:t>
      </w:r>
      <w:r>
        <w:rPr>
          <w:rFonts w:ascii="Times New Roman;serif" w:hAnsi="Times New Roman;serif"/>
          <w:b/>
          <w:i/>
          <w:color w:val="000000"/>
          <w:sz w:val="24"/>
        </w:rPr>
        <w:t>Issuer</w:t>
      </w:r>
      <w:r>
        <w:rPr>
          <w:color w:val="000000"/>
        </w:rPr>
        <w:t>”</w:t>
      </w:r>
      <w:r>
        <w:rPr>
          <w:rFonts w:ascii="Times New Roman;serif" w:hAnsi="Times New Roman;serif"/>
          <w:b w:val="false"/>
          <w:color w:val="000000"/>
          <w:sz w:val="24"/>
        </w:rPr>
        <w:t>), the Subsidiary Guarantors party thereto and Wilmington Savings Fund Society, FSB, as trustee. Capitalized</w:t>
      </w:r>
      <w:r>
        <w:rPr>
          <w:color w:val="000000"/>
        </w:rPr>
        <w:t xml:space="preserve"> </w:t>
      </w:r>
      <w:r>
        <w:rPr>
          <w:rFonts w:ascii="Times New Roman;serif" w:hAnsi="Times New Roman;serif"/>
          <w:b w:val="false"/>
          <w:color w:val="000000"/>
          <w:sz w:val="24"/>
        </w:rPr>
        <w:t>terms used but not defined herein shall have the meanings given to them in the Indenture.</w:t>
      </w:r>
    </w:p>
    <w:p>
      <w:pPr>
        <w:pStyle w:val="TextBody"/>
        <w:bidi w:val="0"/>
        <w:spacing w:lineRule="auto" w:line="288" w:before="0" w:after="240"/>
        <w:ind w:left="0" w:right="0" w:firstLine="720"/>
        <w:jc w:val="both"/>
        <w:rPr/>
      </w:pPr>
      <w:r>
        <w:rPr>
          <w:rFonts w:ascii="Times New Roman;serif" w:hAnsi="Times New Roman;serif"/>
          <w:b w:val="false"/>
          <w:color w:val="000000"/>
          <w:sz w:val="24"/>
        </w:rPr>
        <w:t>_________________, (the “</w:t>
      </w:r>
      <w:r>
        <w:rPr>
          <w:rFonts w:ascii="Times New Roman;serif" w:hAnsi="Times New Roman;serif"/>
          <w:b/>
          <w:i/>
          <w:color w:val="000000"/>
          <w:sz w:val="24"/>
        </w:rPr>
        <w:t>Transferor</w:t>
      </w:r>
      <w:r>
        <w:rPr>
          <w:color w:val="000000"/>
        </w:rPr>
        <w:t>”</w:t>
      </w:r>
      <w:r>
        <w:rPr>
          <w:rFonts w:ascii="Times New Roman;serif" w:hAnsi="Times New Roman;serif"/>
          <w:b w:val="false"/>
          <w:color w:val="000000"/>
          <w:sz w:val="24"/>
        </w:rPr>
        <w:t>) owns and proposes to transfer the Note[s] or interest in such Note[s] specified in Annex A hereto, in the principal</w:t>
      </w:r>
      <w:r>
        <w:rPr>
          <w:color w:val="000000"/>
        </w:rPr>
        <w:t xml:space="preserve"> </w:t>
      </w:r>
      <w:r>
        <w:rPr>
          <w:rFonts w:ascii="Times New Roman;serif" w:hAnsi="Times New Roman;serif"/>
          <w:b w:val="false"/>
          <w:color w:val="000000"/>
          <w:sz w:val="24"/>
        </w:rPr>
        <w:t>amount</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in such Note[s] or interests (the “</w:t>
      </w:r>
      <w:r>
        <w:rPr>
          <w:rFonts w:ascii="Times New Roman;serif" w:hAnsi="Times New Roman;serif"/>
          <w:b/>
          <w:i/>
          <w:color w:val="000000"/>
          <w:sz w:val="24"/>
        </w:rPr>
        <w:t>Transfer</w:t>
      </w:r>
      <w:r>
        <w:rPr>
          <w:color w:val="000000"/>
        </w:rPr>
        <w:t>”</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(the “</w:t>
      </w:r>
      <w:r>
        <w:rPr>
          <w:rFonts w:ascii="Times New Roman;serif" w:hAnsi="Times New Roman;serif"/>
          <w:b/>
          <w:i/>
          <w:color w:val="000000"/>
          <w:sz w:val="24"/>
        </w:rPr>
        <w:t>Transferee</w:t>
      </w:r>
      <w:r>
        <w:rPr>
          <w:color w:val="000000"/>
        </w:rPr>
        <w:t>”</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as</w:t>
      </w:r>
      <w:r>
        <w:rPr>
          <w:color w:val="000000"/>
        </w:rPr>
        <w:t xml:space="preserve"> </w:t>
      </w:r>
      <w:r>
        <w:rPr>
          <w:rFonts w:ascii="Times New Roman;serif" w:hAnsi="Times New Roman;serif"/>
          <w:b w:val="false"/>
          <w:color w:val="000000"/>
          <w:sz w:val="24"/>
        </w:rPr>
        <w:t>further specified in</w:t>
      </w:r>
      <w:r>
        <w:rPr>
          <w:color w:val="000000"/>
        </w:rPr>
        <w:t xml:space="preserve"> </w:t>
      </w:r>
      <w:r>
        <w:rPr>
          <w:rFonts w:ascii="Times New Roman;serif" w:hAnsi="Times New Roman;serif"/>
          <w:b w:val="false"/>
          <w:color w:val="000000"/>
          <w:sz w:val="24"/>
        </w:rPr>
        <w:t>Annex A hereto. In connection</w:t>
      </w:r>
      <w:r>
        <w:rPr>
          <w:color w:val="000000"/>
        </w:rPr>
        <w:t xml:space="preserve"> </w:t>
      </w:r>
      <w:r>
        <w:rPr>
          <w:rFonts w:ascii="Times New Roman;serif" w:hAnsi="Times New Roman;serif"/>
          <w:b w:val="false"/>
          <w:color w:val="000000"/>
          <w:sz w:val="24"/>
        </w:rPr>
        <w:t>with the</w:t>
      </w:r>
      <w:r>
        <w:rPr>
          <w:color w:val="000000"/>
        </w:rPr>
        <w:t xml:space="preserve"> </w:t>
      </w:r>
      <w:r>
        <w:rPr>
          <w:rFonts w:ascii="Times New Roman;serif" w:hAnsi="Times New Roman;serif"/>
          <w:b w:val="false"/>
          <w:color w:val="000000"/>
          <w:sz w:val="24"/>
        </w:rPr>
        <w:t>Transfer,</w:t>
      </w:r>
      <w:r>
        <w:rPr>
          <w:color w:val="000000"/>
        </w:rPr>
        <w:t xml:space="preserve"> </w:t>
      </w:r>
      <w:r>
        <w:rPr>
          <w:rFonts w:ascii="Times New Roman;serif" w:hAnsi="Times New Roman;serif"/>
          <w:b w:val="false"/>
          <w:color w:val="000000"/>
          <w:sz w:val="24"/>
        </w:rPr>
        <w:t>the Transferor hereby certifies that:</w:t>
      </w:r>
    </w:p>
    <w:p>
      <w:pPr>
        <w:pStyle w:val="TextBody"/>
        <w:bidi w:val="0"/>
        <w:spacing w:lineRule="auto" w:line="288" w:before="0" w:after="240"/>
        <w:jc w:val="center"/>
        <w:rPr/>
      </w:pPr>
      <w:r>
        <w:rPr>
          <w:rFonts w:ascii="Times New Roman;serif" w:hAnsi="Times New Roman;serif"/>
          <w:b/>
          <w:color w:val="000000"/>
          <w:sz w:val="24"/>
        </w:rPr>
        <w:t>[CHECK</w:t>
      </w:r>
      <w:r>
        <w:rPr>
          <w:color w:val="000000"/>
        </w:rPr>
        <w:t xml:space="preserve"> </w:t>
      </w:r>
      <w:r>
        <w:rPr>
          <w:rFonts w:ascii="Times New Roman;serif" w:hAnsi="Times New Roman;serif"/>
          <w:b/>
          <w:color w:val="000000"/>
          <w:sz w:val="24"/>
        </w:rPr>
        <w:t>ALL</w:t>
      </w:r>
      <w:r>
        <w:rPr>
          <w:color w:val="000000"/>
        </w:rPr>
        <w:t xml:space="preserve"> </w:t>
      </w:r>
      <w:r>
        <w:rPr>
          <w:rFonts w:ascii="Times New Roman;serif" w:hAnsi="Times New Roman;serif"/>
          <w:b/>
          <w:color w:val="000000"/>
          <w:sz w:val="24"/>
        </w:rPr>
        <w:t>THAT</w:t>
      </w:r>
      <w:r>
        <w:rPr>
          <w:color w:val="000000"/>
        </w:rPr>
        <w:t xml:space="preserve"> </w:t>
      </w:r>
      <w:r>
        <w:rPr>
          <w:rFonts w:ascii="Times New Roman;serif" w:hAnsi="Times New Roman;serif"/>
          <w:b/>
          <w:color w:val="000000"/>
          <w:sz w:val="24"/>
        </w:rPr>
        <w:t>APPLY]</w:t>
      </w:r>
    </w:p>
    <w:p>
      <w:pPr>
        <w:pStyle w:val="TextBody"/>
        <w:bidi w:val="0"/>
        <w:spacing w:lineRule="auto" w:line="240" w:before="0" w:after="240"/>
        <w:ind w:left="0" w:right="0" w:firstLine="720"/>
        <w:jc w:val="both"/>
        <w:rPr/>
      </w:pPr>
      <w:r>
        <w:rPr>
          <w:rFonts w:ascii="Times New Roman;serif" w:hAnsi="Times New Roman;serif"/>
          <w:b w:val="false"/>
          <w:color w:val="000000"/>
          <w:sz w:val="24"/>
        </w:rPr>
        <w:t>1.</w:t>
      </w:r>
      <w:r>
        <w:rPr>
          <w:color w:val="000000"/>
        </w:rPr>
        <w:t>☐</w:t>
      </w:r>
      <w:r>
        <w:rPr>
          <w:color w:val="000000"/>
        </w:rPr>
        <w:t xml:space="preserve">     </w:t>
      </w:r>
      <w:r>
        <w:rPr>
          <w:rFonts w:ascii="Times New Roman;serif" w:hAnsi="Times New Roman;serif"/>
          <w:b/>
          <w:color w:val="000000"/>
          <w:sz w:val="24"/>
        </w:rPr>
        <w:t>Check</w:t>
      </w:r>
      <w:r>
        <w:rPr>
          <w:color w:val="000000"/>
        </w:rPr>
        <w:t xml:space="preserve"> </w:t>
      </w:r>
      <w:r>
        <w:rPr>
          <w:rFonts w:ascii="Times New Roman;serif" w:hAnsi="Times New Roman;serif"/>
          <w:b/>
          <w:color w:val="000000"/>
          <w:sz w:val="24"/>
        </w:rPr>
        <w:t>if</w:t>
      </w:r>
      <w:r>
        <w:rPr>
          <w:color w:val="000000"/>
        </w:rPr>
        <w:t xml:space="preserve"> </w:t>
      </w:r>
      <w:r>
        <w:rPr>
          <w:rFonts w:ascii="Times New Roman;serif" w:hAnsi="Times New Roman;serif"/>
          <w:b/>
          <w:color w:val="000000"/>
          <w:sz w:val="24"/>
        </w:rPr>
        <w:t>Transferee</w:t>
      </w:r>
      <w:r>
        <w:rPr>
          <w:color w:val="000000"/>
        </w:rPr>
        <w:t xml:space="preserve"> </w:t>
      </w:r>
      <w:r>
        <w:rPr>
          <w:rFonts w:ascii="Times New Roman;serif" w:hAnsi="Times New Roman;serif"/>
          <w:b/>
          <w:color w:val="000000"/>
          <w:sz w:val="24"/>
        </w:rPr>
        <w:t>will</w:t>
      </w:r>
      <w:r>
        <w:rPr>
          <w:color w:val="000000"/>
        </w:rPr>
        <w:t xml:space="preserve"> </w:t>
      </w:r>
      <w:r>
        <w:rPr>
          <w:rFonts w:ascii="Times New Roman;serif" w:hAnsi="Times New Roman;serif"/>
          <w:b/>
          <w:color w:val="000000"/>
          <w:sz w:val="24"/>
        </w:rPr>
        <w:t>take</w:t>
      </w:r>
      <w:r>
        <w:rPr>
          <w:color w:val="000000"/>
        </w:rPr>
        <w:t xml:space="preserve"> </w:t>
      </w:r>
      <w:r>
        <w:rPr>
          <w:rFonts w:ascii="Times New Roman;serif" w:hAnsi="Times New Roman;serif"/>
          <w:b/>
          <w:color w:val="000000"/>
          <w:sz w:val="24"/>
        </w:rPr>
        <w:t>delivery</w:t>
      </w:r>
      <w:r>
        <w:rPr>
          <w:color w:val="000000"/>
        </w:rPr>
        <w:t xml:space="preserve"> </w:t>
      </w:r>
      <w:r>
        <w:rPr>
          <w:rFonts w:ascii="Times New Roman;serif" w:hAnsi="Times New Roman;serif"/>
          <w:b/>
          <w:color w:val="000000"/>
          <w:sz w:val="24"/>
        </w:rPr>
        <w:t>of</w:t>
      </w:r>
      <w:r>
        <w:rPr>
          <w:color w:val="000000"/>
        </w:rPr>
        <w:t xml:space="preserve"> </w:t>
      </w:r>
      <w:r>
        <w:rPr>
          <w:rFonts w:ascii="Times New Roman;serif" w:hAnsi="Times New Roman;serif"/>
          <w:b/>
          <w:color w:val="000000"/>
          <w:sz w:val="24"/>
        </w:rPr>
        <w:t>a</w:t>
      </w:r>
      <w:r>
        <w:rPr>
          <w:color w:val="000000"/>
        </w:rPr>
        <w:t xml:space="preserve"> </w:t>
      </w:r>
      <w:r>
        <w:rPr>
          <w:rFonts w:ascii="Times New Roman;serif" w:hAnsi="Times New Roman;serif"/>
          <w:b/>
          <w:color w:val="000000"/>
          <w:sz w:val="24"/>
        </w:rPr>
        <w:t>beneficial</w:t>
      </w:r>
      <w:r>
        <w:rPr>
          <w:color w:val="000000"/>
        </w:rPr>
        <w:t xml:space="preserve"> </w:t>
      </w:r>
      <w:r>
        <w:rPr>
          <w:rFonts w:ascii="Times New Roman;serif" w:hAnsi="Times New Roman;serif"/>
          <w:b/>
          <w:color w:val="000000"/>
          <w:sz w:val="24"/>
        </w:rPr>
        <w:t>interest</w:t>
      </w:r>
      <w:r>
        <w:rPr>
          <w:color w:val="000000"/>
        </w:rPr>
        <w:t xml:space="preserve"> </w:t>
      </w:r>
      <w:r>
        <w:rPr>
          <w:rFonts w:ascii="Times New Roman;serif" w:hAnsi="Times New Roman;serif"/>
          <w:b/>
          <w:color w:val="000000"/>
          <w:sz w:val="24"/>
        </w:rPr>
        <w:t>in</w:t>
      </w:r>
      <w:r>
        <w:rPr>
          <w:color w:val="000000"/>
        </w:rPr>
        <w:t xml:space="preserve"> </w:t>
      </w:r>
      <w:r>
        <w:rPr>
          <w:rFonts w:ascii="Times New Roman;serif" w:hAnsi="Times New Roman;serif"/>
          <w:b/>
          <w:color w:val="000000"/>
          <w:sz w:val="24"/>
        </w:rPr>
        <w:t>the</w:t>
      </w:r>
      <w:r>
        <w:rPr>
          <w:color w:val="000000"/>
        </w:rPr>
        <w:t xml:space="preserve"> </w:t>
      </w:r>
      <w:r>
        <w:rPr>
          <w:rFonts w:ascii="Times New Roman;serif" w:hAnsi="Times New Roman;serif"/>
          <w:b/>
          <w:color w:val="000000"/>
          <w:sz w:val="24"/>
        </w:rPr>
        <w:t>144A</w:t>
      </w:r>
      <w:r>
        <w:rPr>
          <w:color w:val="000000"/>
        </w:rPr>
        <w:t xml:space="preserve"> </w:t>
      </w:r>
      <w:r>
        <w:rPr>
          <w:rFonts w:ascii="Times New Roman;serif" w:hAnsi="Times New Roman;serif"/>
          <w:b/>
          <w:color w:val="000000"/>
          <w:sz w:val="24"/>
        </w:rPr>
        <w:t>Global</w:t>
      </w:r>
      <w:r>
        <w:rPr>
          <w:color w:val="000000"/>
        </w:rPr>
        <w:t xml:space="preserve"> </w:t>
      </w:r>
      <w:r>
        <w:rPr>
          <w:rFonts w:ascii="Times New Roman;serif" w:hAnsi="Times New Roman;serif"/>
          <w:b/>
          <w:color w:val="000000"/>
          <w:sz w:val="24"/>
        </w:rPr>
        <w:t>Note</w:t>
      </w:r>
      <w:r>
        <w:rPr>
          <w:color w:val="000000"/>
        </w:rPr>
        <w:t xml:space="preserve"> </w:t>
      </w:r>
      <w:r>
        <w:rPr>
          <w:rFonts w:ascii="Times New Roman;serif" w:hAnsi="Times New Roman;serif"/>
          <w:b/>
          <w:color w:val="000000"/>
          <w:sz w:val="24"/>
        </w:rPr>
        <w:t>or</w:t>
      </w:r>
      <w:r>
        <w:rPr>
          <w:color w:val="000000"/>
        </w:rPr>
        <w:t xml:space="preserve"> </w:t>
      </w:r>
      <w:r>
        <w:rPr>
          <w:rFonts w:ascii="Times New Roman;serif" w:hAnsi="Times New Roman;serif"/>
          <w:b/>
          <w:color w:val="000000"/>
          <w:sz w:val="24"/>
        </w:rPr>
        <w:t>a</w:t>
      </w:r>
      <w:r>
        <w:rPr>
          <w:color w:val="000000"/>
        </w:rPr>
        <w:t xml:space="preserve"> </w:t>
      </w:r>
      <w:r>
        <w:rPr>
          <w:rFonts w:ascii="Times New Roman;serif" w:hAnsi="Times New Roman;serif"/>
          <w:b/>
          <w:color w:val="000000"/>
          <w:sz w:val="24"/>
        </w:rPr>
        <w:t>Restricted</w:t>
      </w:r>
      <w:r>
        <w:rPr>
          <w:color w:val="000000"/>
        </w:rPr>
        <w:t xml:space="preserve"> </w:t>
      </w:r>
      <w:r>
        <w:rPr>
          <w:rFonts w:ascii="Times New Roman;serif" w:hAnsi="Times New Roman;serif"/>
          <w:b/>
          <w:color w:val="000000"/>
          <w:sz w:val="24"/>
        </w:rPr>
        <w:t>Definitive</w:t>
      </w:r>
      <w:r>
        <w:rPr>
          <w:color w:val="000000"/>
        </w:rPr>
        <w:t xml:space="preserve"> </w:t>
      </w:r>
      <w:r>
        <w:rPr>
          <w:rFonts w:ascii="Times New Roman;serif" w:hAnsi="Times New Roman;serif"/>
          <w:b/>
          <w:color w:val="000000"/>
          <w:sz w:val="24"/>
        </w:rPr>
        <w:t>Note</w:t>
      </w:r>
      <w:r>
        <w:rPr>
          <w:color w:val="000000"/>
        </w:rPr>
        <w:t xml:space="preserve"> </w:t>
      </w:r>
      <w:r>
        <w:rPr>
          <w:rFonts w:ascii="Times New Roman;serif" w:hAnsi="Times New Roman;serif"/>
          <w:b/>
          <w:color w:val="000000"/>
          <w:sz w:val="24"/>
        </w:rPr>
        <w:t>pursuant</w:t>
      </w:r>
      <w:r>
        <w:rPr>
          <w:color w:val="000000"/>
        </w:rPr>
        <w:t xml:space="preserve"> </w:t>
      </w:r>
      <w:r>
        <w:rPr>
          <w:rFonts w:ascii="Times New Roman;serif" w:hAnsi="Times New Roman;serif"/>
          <w:b/>
          <w:color w:val="000000"/>
          <w:sz w:val="24"/>
        </w:rPr>
        <w:t>to</w:t>
      </w:r>
      <w:r>
        <w:rPr>
          <w:color w:val="000000"/>
        </w:rPr>
        <w:t xml:space="preserve"> </w:t>
      </w:r>
      <w:r>
        <w:rPr>
          <w:rFonts w:ascii="Times New Roman;serif" w:hAnsi="Times New Roman;serif"/>
          <w:b/>
          <w:color w:val="000000"/>
          <w:sz w:val="24"/>
        </w:rPr>
        <w:t>Rule 144A</w:t>
      </w:r>
      <w:r>
        <w:rPr>
          <w:rFonts w:ascii="Times New Roman;serif" w:hAnsi="Times New Roman;serif"/>
          <w:b w:val="false"/>
          <w:color w:val="000000"/>
          <w:sz w:val="24"/>
        </w:rPr>
        <w:t>. The Transfer is being effected pursuant to and in accordance with Rule 144A under the United States Securities Act of 1933, as amended (the</w:t>
      </w:r>
      <w:r>
        <w:rPr>
          <w:color w:val="000000"/>
        </w:rPr>
        <w:t xml:space="preserve"> “</w:t>
      </w:r>
      <w:r>
        <w:rPr>
          <w:rFonts w:ascii="Times New Roman;serif" w:hAnsi="Times New Roman;serif"/>
          <w:b w:val="false"/>
          <w:i/>
          <w:color w:val="000000"/>
          <w:sz w:val="24"/>
        </w:rPr>
        <w:t>Securities</w:t>
      </w:r>
      <w:r>
        <w:rPr>
          <w:color w:val="000000"/>
        </w:rPr>
        <w:t xml:space="preserve"> </w:t>
      </w:r>
      <w:r>
        <w:rPr>
          <w:rFonts w:ascii="Times New Roman;serif" w:hAnsi="Times New Roman;serif"/>
          <w:b w:val="false"/>
          <w:i/>
          <w:color w:val="000000"/>
          <w:sz w:val="24"/>
        </w:rPr>
        <w:t>Act</w:t>
      </w:r>
      <w:r>
        <w:rPr>
          <w:color w:val="000000"/>
        </w:rPr>
        <w:t>”</w:t>
      </w:r>
      <w:r>
        <w:rPr>
          <w:rFonts w:ascii="Times New Roman;serif" w:hAnsi="Times New Roman;serif"/>
          <w:b w:val="false"/>
          <w:color w:val="000000"/>
          <w:sz w:val="24"/>
        </w:rPr>
        <w:t>), and, accordingly, the Transferor hereby further certifies that the beneficial interest or Definitive Note is being transferred to a Person</w:t>
      </w:r>
      <w:r>
        <w:rPr>
          <w:color w:val="000000"/>
        </w:rPr>
        <w:t xml:space="preserve"> </w:t>
      </w:r>
      <w:r>
        <w:rPr>
          <w:rFonts w:ascii="Times New Roman;serif" w:hAnsi="Times New Roman;serif"/>
          <w:b w:val="false"/>
          <w:color w:val="000000"/>
          <w:sz w:val="24"/>
        </w:rPr>
        <w:t>that the Transferor reasonably believed and believes is purchasing the beneficial interest or Definitive Note for its own account, or for one or more</w:t>
      </w:r>
      <w:r>
        <w:rPr>
          <w:color w:val="000000"/>
        </w:rPr>
        <w:t xml:space="preserve"> </w:t>
      </w:r>
      <w:r>
        <w:rPr>
          <w:rFonts w:ascii="Times New Roman;serif" w:hAnsi="Times New Roman;serif"/>
          <w:b w:val="false"/>
          <w:color w:val="000000"/>
          <w:sz w:val="24"/>
        </w:rPr>
        <w:t>accounts with respect to which such Person exercises sole investment discretion, and such Person and each such account is a “qualified institutional</w:t>
      </w:r>
      <w:r>
        <w:rPr>
          <w:color w:val="000000"/>
        </w:rPr>
        <w:t xml:space="preserve"> </w:t>
      </w:r>
      <w:r>
        <w:rPr>
          <w:rFonts w:ascii="Times New Roman;serif" w:hAnsi="Times New Roman;serif"/>
          <w:b w:val="false"/>
          <w:color w:val="000000"/>
          <w:sz w:val="24"/>
        </w:rPr>
        <w:t>buyer” within the meaning of Rule 144A in a transaction meeting the requirements of Rule 144A and such Transfer is in compliance with any applicable</w:t>
      </w:r>
      <w:r>
        <w:rPr>
          <w:color w:val="000000"/>
        </w:rPr>
        <w:t xml:space="preserve"> </w:t>
      </w:r>
      <w:r>
        <w:rPr>
          <w:rFonts w:ascii="Times New Roman;serif" w:hAnsi="Times New Roman;serif"/>
          <w:b w:val="false"/>
          <w:color w:val="000000"/>
          <w:sz w:val="24"/>
        </w:rPr>
        <w:t>blue</w:t>
      </w:r>
      <w:r>
        <w:rPr>
          <w:color w:val="000000"/>
        </w:rPr>
        <w:t xml:space="preserve"> </w:t>
      </w:r>
      <w:r>
        <w:rPr>
          <w:rFonts w:ascii="Times New Roman;serif" w:hAnsi="Times New Roman;serif"/>
          <w:b w:val="false"/>
          <w:color w:val="000000"/>
          <w:sz w:val="24"/>
        </w:rPr>
        <w:t>sky</w:t>
      </w:r>
      <w:r>
        <w:rPr>
          <w:color w:val="000000"/>
        </w:rPr>
        <w:t xml:space="preserve"> </w:t>
      </w:r>
      <w:r>
        <w:rPr>
          <w:rFonts w:ascii="Times New Roman;serif" w:hAnsi="Times New Roman;serif"/>
          <w:b w:val="false"/>
          <w:color w:val="000000"/>
          <w:sz w:val="24"/>
        </w:rPr>
        <w:t>securities</w:t>
      </w:r>
      <w:r>
        <w:rPr>
          <w:color w:val="000000"/>
        </w:rPr>
        <w:t xml:space="preserve"> </w:t>
      </w:r>
      <w:r>
        <w:rPr>
          <w:rFonts w:ascii="Times New Roman;serif" w:hAnsi="Times New Roman;serif"/>
          <w:b w:val="false"/>
          <w:color w:val="000000"/>
          <w:sz w:val="24"/>
        </w:rPr>
        <w:t>laws</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state</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United</w:t>
      </w:r>
      <w:r>
        <w:rPr>
          <w:color w:val="000000"/>
        </w:rPr>
        <w:t xml:space="preserve"> </w:t>
      </w:r>
      <w:r>
        <w:rPr>
          <w:rFonts w:ascii="Times New Roman;serif" w:hAnsi="Times New Roman;serif"/>
          <w:b w:val="false"/>
          <w:color w:val="000000"/>
          <w:sz w:val="24"/>
        </w:rPr>
        <w:t>States.</w:t>
      </w:r>
      <w:r>
        <w:rPr>
          <w:color w:val="000000"/>
        </w:rPr>
        <w:t xml:space="preserve"> </w:t>
      </w:r>
      <w:r>
        <w:rPr>
          <w:rFonts w:ascii="Times New Roman;serif" w:hAnsi="Times New Roman;serif"/>
          <w:b w:val="false"/>
          <w:color w:val="000000"/>
          <w:sz w:val="24"/>
        </w:rPr>
        <w:t>Upon</w:t>
      </w:r>
      <w:r>
        <w:rPr>
          <w:color w:val="000000"/>
        </w:rPr>
        <w:t xml:space="preserve"> </w:t>
      </w:r>
      <w:r>
        <w:rPr>
          <w:rFonts w:ascii="Times New Roman;serif" w:hAnsi="Times New Roman;serif"/>
          <w:b w:val="false"/>
          <w:color w:val="000000"/>
          <w:sz w:val="24"/>
        </w:rPr>
        <w:t>consummation</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proposed</w:t>
      </w:r>
      <w:r>
        <w:rPr>
          <w:color w:val="000000"/>
        </w:rPr>
        <w:t xml:space="preserve"> </w:t>
      </w:r>
      <w:r>
        <w:rPr>
          <w:rFonts w:ascii="Times New Roman;serif" w:hAnsi="Times New Roman;serif"/>
          <w:b w:val="false"/>
          <w:color w:val="000000"/>
          <w:sz w:val="24"/>
        </w:rPr>
        <w:t>Transfer</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accordance</w:t>
      </w:r>
      <w:r>
        <w:rPr>
          <w:color w:val="000000"/>
        </w:rPr>
        <w:t xml:space="preserve"> </w:t>
      </w:r>
      <w:r>
        <w:rPr>
          <w:rFonts w:ascii="Times New Roman;serif" w:hAnsi="Times New Roman;serif"/>
          <w:b w:val="false"/>
          <w:color w:val="000000"/>
          <w:sz w:val="24"/>
        </w:rPr>
        <w:t>with</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terms</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Indenture,</w:t>
      </w:r>
      <w:r>
        <w:rPr>
          <w:color w:val="000000"/>
        </w:rPr>
        <w:t xml:space="preserve"> </w:t>
      </w:r>
      <w:r>
        <w:rPr>
          <w:rFonts w:ascii="Times New Roman;serif" w:hAnsi="Times New Roman;serif"/>
          <w:b w:val="false"/>
          <w:color w:val="000000"/>
          <w:sz w:val="24"/>
        </w:rPr>
        <w:t>the transferred beneficial interest or Definitive Note will be subject to the restrictions on transfer enumerated in the Private Placement Legend printed on</w:t>
      </w:r>
      <w:r>
        <w:rPr>
          <w:color w:val="000000"/>
        </w:rPr>
        <w:t xml:space="preserve"> </w:t>
      </w:r>
      <w:r>
        <w:rPr>
          <w:rFonts w:ascii="Times New Roman;serif" w:hAnsi="Times New Roman;serif"/>
          <w:b w:val="false"/>
          <w:color w:val="000000"/>
          <w:sz w:val="24"/>
        </w:rPr>
        <w:t>the 144A Global Note and/or the Definitive Note and in the Indenture and the Securities Act.</w:t>
      </w:r>
    </w:p>
    <w:p>
      <w:pPr>
        <w:pStyle w:val="TextBody"/>
        <w:bidi w:val="0"/>
        <w:spacing w:lineRule="auto" w:line="240" w:before="0" w:after="240"/>
        <w:ind w:left="0" w:right="0" w:firstLine="720"/>
        <w:jc w:val="both"/>
        <w:rPr/>
      </w:pPr>
      <w:r>
        <w:rPr>
          <w:rFonts w:ascii="Times New Roman;serif" w:hAnsi="Times New Roman;serif"/>
          <w:b w:val="false"/>
          <w:color w:val="000000"/>
          <w:sz w:val="24"/>
        </w:rPr>
        <w:t>2.</w:t>
      </w:r>
      <w:r>
        <w:rPr>
          <w:color w:val="000000"/>
        </w:rPr>
        <w:t>☐</w:t>
      </w:r>
      <w:r>
        <w:rPr>
          <w:color w:val="000000"/>
        </w:rPr>
        <w:t xml:space="preserve">     </w:t>
      </w:r>
      <w:r>
        <w:rPr>
          <w:rFonts w:ascii="Times New Roman;serif" w:hAnsi="Times New Roman;serif"/>
          <w:b/>
          <w:color w:val="000000"/>
          <w:sz w:val="24"/>
        </w:rPr>
        <w:t>Check</w:t>
      </w:r>
      <w:r>
        <w:rPr>
          <w:color w:val="000000"/>
        </w:rPr>
        <w:t xml:space="preserve"> </w:t>
      </w:r>
      <w:r>
        <w:rPr>
          <w:rFonts w:ascii="Times New Roman;serif" w:hAnsi="Times New Roman;serif"/>
          <w:b/>
          <w:color w:val="000000"/>
          <w:sz w:val="24"/>
        </w:rPr>
        <w:t>if</w:t>
      </w:r>
      <w:r>
        <w:rPr>
          <w:color w:val="000000"/>
        </w:rPr>
        <w:t xml:space="preserve"> </w:t>
      </w:r>
      <w:r>
        <w:rPr>
          <w:rFonts w:ascii="Times New Roman;serif" w:hAnsi="Times New Roman;serif"/>
          <w:b/>
          <w:color w:val="000000"/>
          <w:sz w:val="24"/>
        </w:rPr>
        <w:t>Transferee</w:t>
      </w:r>
      <w:r>
        <w:rPr>
          <w:color w:val="000000"/>
        </w:rPr>
        <w:t xml:space="preserve"> </w:t>
      </w:r>
      <w:r>
        <w:rPr>
          <w:rFonts w:ascii="Times New Roman;serif" w:hAnsi="Times New Roman;serif"/>
          <w:b/>
          <w:color w:val="000000"/>
          <w:sz w:val="24"/>
        </w:rPr>
        <w:t>will</w:t>
      </w:r>
      <w:r>
        <w:rPr>
          <w:color w:val="000000"/>
        </w:rPr>
        <w:t xml:space="preserve"> </w:t>
      </w:r>
      <w:r>
        <w:rPr>
          <w:rFonts w:ascii="Times New Roman;serif" w:hAnsi="Times New Roman;serif"/>
          <w:b/>
          <w:color w:val="000000"/>
          <w:sz w:val="24"/>
        </w:rPr>
        <w:t>take</w:t>
      </w:r>
      <w:r>
        <w:rPr>
          <w:color w:val="000000"/>
        </w:rPr>
        <w:t xml:space="preserve"> </w:t>
      </w:r>
      <w:r>
        <w:rPr>
          <w:rFonts w:ascii="Times New Roman;serif" w:hAnsi="Times New Roman;serif"/>
          <w:b/>
          <w:color w:val="000000"/>
          <w:sz w:val="24"/>
        </w:rPr>
        <w:t>delivery</w:t>
      </w:r>
      <w:r>
        <w:rPr>
          <w:color w:val="000000"/>
        </w:rPr>
        <w:t xml:space="preserve"> </w:t>
      </w:r>
      <w:r>
        <w:rPr>
          <w:rFonts w:ascii="Times New Roman;serif" w:hAnsi="Times New Roman;serif"/>
          <w:b/>
          <w:color w:val="000000"/>
          <w:sz w:val="24"/>
        </w:rPr>
        <w:t>of</w:t>
      </w:r>
      <w:r>
        <w:rPr>
          <w:color w:val="000000"/>
        </w:rPr>
        <w:t xml:space="preserve"> </w:t>
      </w:r>
      <w:r>
        <w:rPr>
          <w:rFonts w:ascii="Times New Roman;serif" w:hAnsi="Times New Roman;serif"/>
          <w:b/>
          <w:color w:val="000000"/>
          <w:sz w:val="24"/>
        </w:rPr>
        <w:t>a</w:t>
      </w:r>
      <w:r>
        <w:rPr>
          <w:color w:val="000000"/>
        </w:rPr>
        <w:t xml:space="preserve"> </w:t>
      </w:r>
      <w:r>
        <w:rPr>
          <w:rFonts w:ascii="Times New Roman;serif" w:hAnsi="Times New Roman;serif"/>
          <w:b/>
          <w:color w:val="000000"/>
          <w:sz w:val="24"/>
        </w:rPr>
        <w:t>beneficial</w:t>
      </w:r>
      <w:r>
        <w:rPr>
          <w:color w:val="000000"/>
        </w:rPr>
        <w:t xml:space="preserve"> </w:t>
      </w:r>
      <w:r>
        <w:rPr>
          <w:rFonts w:ascii="Times New Roman;serif" w:hAnsi="Times New Roman;serif"/>
          <w:b/>
          <w:color w:val="000000"/>
          <w:sz w:val="24"/>
        </w:rPr>
        <w:t>interest</w:t>
      </w:r>
      <w:r>
        <w:rPr>
          <w:color w:val="000000"/>
        </w:rPr>
        <w:t xml:space="preserve"> </w:t>
      </w:r>
      <w:r>
        <w:rPr>
          <w:rFonts w:ascii="Times New Roman;serif" w:hAnsi="Times New Roman;serif"/>
          <w:b/>
          <w:color w:val="000000"/>
          <w:sz w:val="24"/>
        </w:rPr>
        <w:t>in</w:t>
      </w:r>
      <w:r>
        <w:rPr>
          <w:color w:val="000000"/>
        </w:rPr>
        <w:t xml:space="preserve"> </w:t>
      </w:r>
      <w:r>
        <w:rPr>
          <w:rFonts w:ascii="Times New Roman;serif" w:hAnsi="Times New Roman;serif"/>
          <w:b/>
          <w:color w:val="000000"/>
          <w:sz w:val="24"/>
        </w:rPr>
        <w:t>the</w:t>
      </w:r>
      <w:r>
        <w:rPr>
          <w:color w:val="000000"/>
        </w:rPr>
        <w:t xml:space="preserve"> </w:t>
      </w:r>
      <w:r>
        <w:rPr>
          <w:rFonts w:ascii="Times New Roman;serif" w:hAnsi="Times New Roman;serif"/>
          <w:b/>
          <w:color w:val="000000"/>
          <w:sz w:val="24"/>
        </w:rPr>
        <w:t>Regulation</w:t>
      </w:r>
      <w:r>
        <w:rPr>
          <w:color w:val="000000"/>
        </w:rPr>
        <w:t xml:space="preserve"> </w:t>
      </w:r>
      <w:r>
        <w:rPr>
          <w:rFonts w:ascii="Times New Roman;serif" w:hAnsi="Times New Roman;serif"/>
          <w:b/>
          <w:color w:val="000000"/>
          <w:sz w:val="24"/>
        </w:rPr>
        <w:t>S</w:t>
      </w:r>
      <w:r>
        <w:rPr>
          <w:color w:val="000000"/>
        </w:rPr>
        <w:t xml:space="preserve"> </w:t>
      </w:r>
      <w:r>
        <w:rPr>
          <w:rFonts w:ascii="Times New Roman;serif" w:hAnsi="Times New Roman;serif"/>
          <w:b/>
          <w:color w:val="000000"/>
          <w:sz w:val="24"/>
        </w:rPr>
        <w:t>Global</w:t>
      </w:r>
      <w:r>
        <w:rPr>
          <w:color w:val="000000"/>
        </w:rPr>
        <w:t xml:space="preserve"> </w:t>
      </w:r>
      <w:r>
        <w:rPr>
          <w:rFonts w:ascii="Times New Roman;serif" w:hAnsi="Times New Roman;serif"/>
          <w:b/>
          <w:color w:val="000000"/>
          <w:sz w:val="24"/>
        </w:rPr>
        <w:t>Note</w:t>
      </w:r>
      <w:r>
        <w:rPr>
          <w:color w:val="000000"/>
        </w:rPr>
        <w:t xml:space="preserve"> </w:t>
      </w:r>
      <w:r>
        <w:rPr>
          <w:rFonts w:ascii="Times New Roman;serif" w:hAnsi="Times New Roman;serif"/>
          <w:b/>
          <w:color w:val="000000"/>
          <w:sz w:val="24"/>
        </w:rPr>
        <w:t>or</w:t>
      </w:r>
      <w:r>
        <w:rPr>
          <w:color w:val="000000"/>
        </w:rPr>
        <w:t xml:space="preserve"> </w:t>
      </w:r>
      <w:r>
        <w:rPr>
          <w:rFonts w:ascii="Times New Roman;serif" w:hAnsi="Times New Roman;serif"/>
          <w:b/>
          <w:color w:val="000000"/>
          <w:sz w:val="24"/>
        </w:rPr>
        <w:t>a</w:t>
      </w:r>
      <w:r>
        <w:rPr>
          <w:color w:val="000000"/>
        </w:rPr>
        <w:t xml:space="preserve"> </w:t>
      </w:r>
      <w:r>
        <w:rPr>
          <w:rFonts w:ascii="Times New Roman;serif" w:hAnsi="Times New Roman;serif"/>
          <w:b/>
          <w:color w:val="000000"/>
          <w:sz w:val="24"/>
        </w:rPr>
        <w:t>Restricted</w:t>
      </w:r>
      <w:r>
        <w:rPr>
          <w:color w:val="000000"/>
        </w:rPr>
        <w:t xml:space="preserve"> </w:t>
      </w:r>
      <w:r>
        <w:rPr>
          <w:rFonts w:ascii="Times New Roman;serif" w:hAnsi="Times New Roman;serif"/>
          <w:b/>
          <w:color w:val="000000"/>
          <w:sz w:val="24"/>
        </w:rPr>
        <w:t>Definitive</w:t>
      </w:r>
      <w:r>
        <w:rPr>
          <w:color w:val="000000"/>
        </w:rPr>
        <w:t xml:space="preserve"> </w:t>
      </w:r>
      <w:r>
        <w:rPr>
          <w:rFonts w:ascii="Times New Roman;serif" w:hAnsi="Times New Roman;serif"/>
          <w:b/>
          <w:color w:val="000000"/>
          <w:sz w:val="24"/>
        </w:rPr>
        <w:t>Note</w:t>
      </w:r>
      <w:r>
        <w:rPr>
          <w:color w:val="000000"/>
        </w:rPr>
        <w:t xml:space="preserve"> </w:t>
      </w:r>
      <w:r>
        <w:rPr>
          <w:rFonts w:ascii="Times New Roman;serif" w:hAnsi="Times New Roman;serif"/>
          <w:b/>
          <w:color w:val="000000"/>
          <w:sz w:val="24"/>
        </w:rPr>
        <w:t>pursuant</w:t>
      </w:r>
      <w:r>
        <w:rPr>
          <w:color w:val="000000"/>
        </w:rPr>
        <w:t xml:space="preserve"> </w:t>
      </w:r>
      <w:r>
        <w:rPr>
          <w:rFonts w:ascii="Times New Roman;serif" w:hAnsi="Times New Roman;serif"/>
          <w:b/>
          <w:color w:val="000000"/>
          <w:sz w:val="24"/>
        </w:rPr>
        <w:t>to</w:t>
      </w:r>
      <w:r>
        <w:rPr>
          <w:color w:val="000000"/>
        </w:rPr>
        <w:t xml:space="preserve"> </w:t>
      </w:r>
      <w:r>
        <w:rPr>
          <w:rFonts w:ascii="Times New Roman;serif" w:hAnsi="Times New Roman;serif"/>
          <w:b/>
          <w:color w:val="000000"/>
          <w:sz w:val="24"/>
        </w:rPr>
        <w:t>Regulation</w:t>
      </w:r>
      <w:r>
        <w:rPr>
          <w:color w:val="000000"/>
        </w:rPr>
        <w:t xml:space="preserve"> </w:t>
      </w:r>
      <w:r>
        <w:rPr>
          <w:rFonts w:ascii="Times New Roman;serif" w:hAnsi="Times New Roman;serif"/>
          <w:b/>
          <w:color w:val="000000"/>
          <w:sz w:val="24"/>
        </w:rPr>
        <w:t>S</w:t>
      </w:r>
      <w:r>
        <w:rPr>
          <w:rFonts w:ascii="Times New Roman;serif" w:hAnsi="Times New Roman;serif"/>
          <w:b w:val="false"/>
          <w:color w:val="000000"/>
          <w:sz w:val="24"/>
        </w:rPr>
        <w:t xml:space="preserve">. The Transfer is being effected pursuant to and in accordance with Rule 903 or Rule 904 of </w:t>
      </w:r>
    </w:p>
    <w:p>
      <w:pPr>
        <w:pStyle w:val="TextBody"/>
        <w:bidi w:val="0"/>
        <w:spacing w:before="0" w:after="0"/>
        <w:jc w:val="left"/>
        <w:rPr/>
      </w:pPr>
      <w:r>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6480175" cy="175260"/>
                <wp:effectExtent l="0" t="0" r="0" b="0"/>
                <wp:wrapNone/>
                <wp:docPr id="155" name="Frame15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B-1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B-1</w:t>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rPr>
        <w:t>Regulation S under the Securities</w:t>
      </w:r>
      <w:r>
        <w:rPr>
          <w:color w:val="000000"/>
        </w:rPr>
        <w:t xml:space="preserve"> </w:t>
      </w:r>
      <w:r>
        <w:rPr>
          <w:rFonts w:ascii="Times New Roman;serif" w:hAnsi="Times New Roman;serif"/>
          <w:b w:val="false"/>
          <w:color w:val="000000"/>
          <w:sz w:val="24"/>
        </w:rPr>
        <w:t>Act and, accordingly, the Transferor hereby further certifies that (i) the Transfer is not being made to a Person in the United States and (x) at the time the</w:t>
      </w:r>
      <w:r>
        <w:rPr>
          <w:color w:val="000000"/>
        </w:rPr>
        <w:t xml:space="preserve"> </w:t>
      </w:r>
      <w:r>
        <w:rPr>
          <w:rFonts w:ascii="Times New Roman;serif" w:hAnsi="Times New Roman;serif"/>
          <w:b w:val="false"/>
          <w:color w:val="000000"/>
          <w:sz w:val="24"/>
        </w:rPr>
        <w:t>buy order was originated, the Transferee was outside the United States or such Transferor and any Person acting on its behalf reasonably believed and</w:t>
      </w:r>
      <w:r>
        <w:rPr>
          <w:color w:val="000000"/>
        </w:rPr>
        <w:t xml:space="preserve"> </w:t>
      </w:r>
      <w:r>
        <w:rPr>
          <w:rFonts w:ascii="Times New Roman;serif" w:hAnsi="Times New Roman;serif"/>
          <w:b w:val="false"/>
          <w:color w:val="000000"/>
          <w:sz w:val="24"/>
        </w:rPr>
        <w:t>believes that the Transferee was outside the United States or (y) the transaction was executed in, on or through the facilities of a designated offshore</w:t>
      </w:r>
      <w:r>
        <w:rPr>
          <w:color w:val="000000"/>
        </w:rPr>
        <w:t xml:space="preserve"> </w:t>
      </w:r>
      <w:r>
        <w:rPr>
          <w:rFonts w:ascii="Times New Roman;serif" w:hAnsi="Times New Roman;serif"/>
          <w:b w:val="false"/>
          <w:color w:val="000000"/>
          <w:sz w:val="24"/>
        </w:rPr>
        <w:t>securities market and neither such Transferor nor any Person acting on its behalf knows that the transaction was prearranged with a buyer in the United</w:t>
      </w:r>
      <w:r>
        <w:rPr>
          <w:color w:val="000000"/>
        </w:rPr>
        <w:t xml:space="preserve"> </w:t>
      </w:r>
      <w:r>
        <w:rPr>
          <w:rFonts w:ascii="Times New Roman;serif" w:hAnsi="Times New Roman;serif"/>
          <w:b w:val="false"/>
          <w:color w:val="000000"/>
          <w:sz w:val="24"/>
        </w:rPr>
        <w:t>States, (ii) no directed selling efforts have been made in contravention of the requirements of Rule 903(b) or Rule 904(a) of Regulation S under the</w:t>
      </w:r>
      <w:r>
        <w:rPr>
          <w:color w:val="000000"/>
        </w:rPr>
        <w:t xml:space="preserve"> </w:t>
      </w:r>
      <w:r>
        <w:rPr>
          <w:rFonts w:ascii="Times New Roman;serif" w:hAnsi="Times New Roman;serif"/>
          <w:b w:val="false"/>
          <w:color w:val="000000"/>
          <w:sz w:val="24"/>
        </w:rPr>
        <w:t>Securities Act, (iii) the transaction is not part of a plan or scheme to evade the registration requirements of the Securities Act and (iv) if the proposed</w:t>
      </w:r>
      <w:r>
        <w:rPr>
          <w:color w:val="000000"/>
        </w:rPr>
        <w:t xml:space="preserve"> </w:t>
      </w:r>
      <w:r>
        <w:rPr>
          <w:rFonts w:ascii="Times New Roman;serif" w:hAnsi="Times New Roman;serif"/>
          <w:b w:val="false"/>
          <w:color w:val="000000"/>
          <w:sz w:val="24"/>
        </w:rPr>
        <w:t>transfer is being made prior to the expiration of the Distribution Compliance Period, the transfer is not being made to a U.S. Person or for the account or</w:t>
      </w:r>
      <w:r>
        <w:rPr>
          <w:color w:val="000000"/>
        </w:rPr>
        <w:t xml:space="preserve"> </w:t>
      </w:r>
      <w:r>
        <w:rPr>
          <w:rFonts w:ascii="Times New Roman;serif" w:hAnsi="Times New Roman;serif"/>
          <w:b w:val="false"/>
          <w:color w:val="000000"/>
          <w:sz w:val="24"/>
        </w:rPr>
        <w:t>benefit of a U.S. Person (other than an initial purchaser). Upon consummation of the proposed transfer in accordance with the terms of the Indenture, the</w:t>
      </w:r>
      <w:r>
        <w:rPr>
          <w:color w:val="000000"/>
        </w:rPr>
        <w:t xml:space="preserve"> </w:t>
      </w:r>
      <w:r>
        <w:rPr>
          <w:rFonts w:ascii="Times New Roman;serif" w:hAnsi="Times New Roman;serif"/>
          <w:b w:val="false"/>
          <w:color w:val="000000"/>
          <w:sz w:val="24"/>
        </w:rPr>
        <w:t>transferred beneficial interest or Definitive Note will be subject to the restrictions on Transfer enumerated in the Private Placement Legend printed on the</w:t>
      </w:r>
      <w:r>
        <w:rPr>
          <w:color w:val="000000"/>
        </w:rPr>
        <w:t xml:space="preserve"> </w:t>
      </w:r>
      <w:r>
        <w:rPr>
          <w:rFonts w:ascii="Times New Roman;serif" w:hAnsi="Times New Roman;serif"/>
          <w:b w:val="false"/>
          <w:color w:val="000000"/>
          <w:sz w:val="24"/>
        </w:rPr>
        <w:t>Regulation S Global Note and/or the Definitive Note and in the Indenture and the Securities Act.</w:t>
      </w:r>
    </w:p>
    <w:p>
      <w:pPr>
        <w:pStyle w:val="TextBody"/>
        <w:bidi w:val="0"/>
        <w:spacing w:lineRule="auto" w:line="240" w:before="0" w:after="240"/>
        <w:ind w:left="0" w:right="0" w:firstLine="720"/>
        <w:jc w:val="both"/>
        <w:rPr/>
      </w:pPr>
      <w:r>
        <w:rPr>
          <w:rFonts w:ascii="Times New Roman;serif" w:hAnsi="Times New Roman;serif"/>
          <w:b w:val="false"/>
          <w:color w:val="000000"/>
          <w:sz w:val="24"/>
        </w:rPr>
        <w:t>3.</w:t>
      </w:r>
      <w:r>
        <w:rPr>
          <w:color w:val="000000"/>
        </w:rPr>
        <w:t>☐</w:t>
      </w:r>
      <w:r>
        <w:rPr>
          <w:color w:val="000000"/>
        </w:rPr>
        <w:t xml:space="preserve">     </w:t>
      </w:r>
      <w:r>
        <w:rPr>
          <w:rFonts w:ascii="Times New Roman;serif" w:hAnsi="Times New Roman;serif"/>
          <w:b/>
          <w:color w:val="000000"/>
          <w:sz w:val="24"/>
        </w:rPr>
        <w:t>Check</w:t>
      </w:r>
      <w:r>
        <w:rPr>
          <w:color w:val="000000"/>
        </w:rPr>
        <w:t xml:space="preserve"> </w:t>
      </w:r>
      <w:r>
        <w:rPr>
          <w:rFonts w:ascii="Times New Roman;serif" w:hAnsi="Times New Roman;serif"/>
          <w:b/>
          <w:color w:val="000000"/>
          <w:sz w:val="24"/>
        </w:rPr>
        <w:t>and</w:t>
      </w:r>
      <w:r>
        <w:rPr>
          <w:color w:val="000000"/>
        </w:rPr>
        <w:t xml:space="preserve"> </w:t>
      </w:r>
      <w:r>
        <w:rPr>
          <w:rFonts w:ascii="Times New Roman;serif" w:hAnsi="Times New Roman;serif"/>
          <w:b/>
          <w:color w:val="000000"/>
          <w:sz w:val="24"/>
        </w:rPr>
        <w:t>complete</w:t>
      </w:r>
      <w:r>
        <w:rPr>
          <w:color w:val="000000"/>
        </w:rPr>
        <w:t xml:space="preserve"> </w:t>
      </w:r>
      <w:r>
        <w:rPr>
          <w:rFonts w:ascii="Times New Roman;serif" w:hAnsi="Times New Roman;serif"/>
          <w:b/>
          <w:color w:val="000000"/>
          <w:sz w:val="24"/>
        </w:rPr>
        <w:t>if</w:t>
      </w:r>
      <w:r>
        <w:rPr>
          <w:color w:val="000000"/>
        </w:rPr>
        <w:t xml:space="preserve"> </w:t>
      </w:r>
      <w:r>
        <w:rPr>
          <w:rFonts w:ascii="Times New Roman;serif" w:hAnsi="Times New Roman;serif"/>
          <w:b/>
          <w:color w:val="000000"/>
          <w:sz w:val="24"/>
        </w:rPr>
        <w:t>Transferee</w:t>
      </w:r>
      <w:r>
        <w:rPr>
          <w:color w:val="000000"/>
        </w:rPr>
        <w:t xml:space="preserve"> </w:t>
      </w:r>
      <w:r>
        <w:rPr>
          <w:rFonts w:ascii="Times New Roman;serif" w:hAnsi="Times New Roman;serif"/>
          <w:b/>
          <w:color w:val="000000"/>
          <w:sz w:val="24"/>
        </w:rPr>
        <w:t>will</w:t>
      </w:r>
      <w:r>
        <w:rPr>
          <w:color w:val="000000"/>
        </w:rPr>
        <w:t xml:space="preserve"> </w:t>
      </w:r>
      <w:r>
        <w:rPr>
          <w:rFonts w:ascii="Times New Roman;serif" w:hAnsi="Times New Roman;serif"/>
          <w:b/>
          <w:color w:val="000000"/>
          <w:sz w:val="24"/>
        </w:rPr>
        <w:t>take</w:t>
      </w:r>
      <w:r>
        <w:rPr>
          <w:color w:val="000000"/>
        </w:rPr>
        <w:t xml:space="preserve"> </w:t>
      </w:r>
      <w:r>
        <w:rPr>
          <w:rFonts w:ascii="Times New Roman;serif" w:hAnsi="Times New Roman;serif"/>
          <w:b/>
          <w:color w:val="000000"/>
          <w:sz w:val="24"/>
        </w:rPr>
        <w:t>delivery</w:t>
      </w:r>
      <w:r>
        <w:rPr>
          <w:color w:val="000000"/>
        </w:rPr>
        <w:t xml:space="preserve"> </w:t>
      </w:r>
      <w:r>
        <w:rPr>
          <w:rFonts w:ascii="Times New Roman;serif" w:hAnsi="Times New Roman;serif"/>
          <w:b/>
          <w:color w:val="000000"/>
          <w:sz w:val="24"/>
        </w:rPr>
        <w:t>of</w:t>
      </w:r>
      <w:r>
        <w:rPr>
          <w:color w:val="000000"/>
        </w:rPr>
        <w:t xml:space="preserve"> </w:t>
      </w:r>
      <w:r>
        <w:rPr>
          <w:rFonts w:ascii="Times New Roman;serif" w:hAnsi="Times New Roman;serif"/>
          <w:b/>
          <w:color w:val="000000"/>
          <w:sz w:val="24"/>
        </w:rPr>
        <w:t>a</w:t>
      </w:r>
      <w:r>
        <w:rPr>
          <w:color w:val="000000"/>
        </w:rPr>
        <w:t xml:space="preserve"> </w:t>
      </w:r>
      <w:r>
        <w:rPr>
          <w:rFonts w:ascii="Times New Roman;serif" w:hAnsi="Times New Roman;serif"/>
          <w:b/>
          <w:color w:val="000000"/>
          <w:sz w:val="24"/>
        </w:rPr>
        <w:t>beneficial</w:t>
      </w:r>
      <w:r>
        <w:rPr>
          <w:color w:val="000000"/>
        </w:rPr>
        <w:t xml:space="preserve"> </w:t>
      </w:r>
      <w:r>
        <w:rPr>
          <w:rFonts w:ascii="Times New Roman;serif" w:hAnsi="Times New Roman;serif"/>
          <w:b/>
          <w:color w:val="000000"/>
          <w:sz w:val="24"/>
        </w:rPr>
        <w:t>interest</w:t>
      </w:r>
      <w:r>
        <w:rPr>
          <w:color w:val="000000"/>
        </w:rPr>
        <w:t xml:space="preserve"> </w:t>
      </w:r>
      <w:r>
        <w:rPr>
          <w:rFonts w:ascii="Times New Roman;serif" w:hAnsi="Times New Roman;serif"/>
          <w:b/>
          <w:color w:val="000000"/>
          <w:sz w:val="24"/>
        </w:rPr>
        <w:t>in</w:t>
      </w:r>
      <w:r>
        <w:rPr>
          <w:color w:val="000000"/>
        </w:rPr>
        <w:t xml:space="preserve"> </w:t>
      </w:r>
      <w:r>
        <w:rPr>
          <w:rFonts w:ascii="Times New Roman;serif" w:hAnsi="Times New Roman;serif"/>
          <w:b/>
          <w:color w:val="000000"/>
          <w:sz w:val="24"/>
        </w:rPr>
        <w:t>the IAI Global Note or</w:t>
      </w:r>
      <w:r>
        <w:rPr>
          <w:color w:val="000000"/>
        </w:rPr>
        <w:t xml:space="preserve"> </w:t>
      </w:r>
      <w:r>
        <w:rPr>
          <w:rFonts w:ascii="Times New Roman;serif" w:hAnsi="Times New Roman;serif"/>
          <w:b/>
          <w:color w:val="000000"/>
          <w:sz w:val="24"/>
        </w:rPr>
        <w:t>Restricted</w:t>
      </w:r>
      <w:r>
        <w:rPr>
          <w:color w:val="000000"/>
        </w:rPr>
        <w:t xml:space="preserve"> </w:t>
      </w:r>
      <w:r>
        <w:rPr>
          <w:rFonts w:ascii="Times New Roman;serif" w:hAnsi="Times New Roman;serif"/>
          <w:b/>
          <w:color w:val="000000"/>
          <w:sz w:val="24"/>
        </w:rPr>
        <w:t>Definitive</w:t>
      </w:r>
      <w:r>
        <w:rPr>
          <w:color w:val="000000"/>
        </w:rPr>
        <w:t xml:space="preserve"> </w:t>
      </w:r>
      <w:r>
        <w:rPr>
          <w:rFonts w:ascii="Times New Roman;serif" w:hAnsi="Times New Roman;serif"/>
          <w:b/>
          <w:color w:val="000000"/>
          <w:sz w:val="24"/>
        </w:rPr>
        <w:t>Note</w:t>
      </w:r>
      <w:r>
        <w:rPr>
          <w:color w:val="000000"/>
        </w:rPr>
        <w:t xml:space="preserve"> </w:t>
      </w:r>
      <w:r>
        <w:rPr>
          <w:rFonts w:ascii="Times New Roman;serif" w:hAnsi="Times New Roman;serif"/>
          <w:b/>
          <w:color w:val="000000"/>
          <w:sz w:val="24"/>
        </w:rPr>
        <w:t>pursuant</w:t>
      </w:r>
      <w:r>
        <w:rPr>
          <w:color w:val="000000"/>
        </w:rPr>
        <w:t xml:space="preserve"> </w:t>
      </w:r>
      <w:r>
        <w:rPr>
          <w:rFonts w:ascii="Times New Roman;serif" w:hAnsi="Times New Roman;serif"/>
          <w:b/>
          <w:color w:val="000000"/>
          <w:sz w:val="24"/>
        </w:rPr>
        <w:t>to</w:t>
      </w:r>
      <w:r>
        <w:rPr>
          <w:color w:val="000000"/>
        </w:rPr>
        <w:t xml:space="preserve"> </w:t>
      </w:r>
      <w:r>
        <w:rPr>
          <w:rFonts w:ascii="Times New Roman;serif" w:hAnsi="Times New Roman;serif"/>
          <w:b/>
          <w:color w:val="000000"/>
          <w:sz w:val="24"/>
        </w:rPr>
        <w:t>any</w:t>
      </w:r>
      <w:r>
        <w:rPr>
          <w:color w:val="000000"/>
        </w:rPr>
        <w:t xml:space="preserve"> </w:t>
      </w:r>
      <w:r>
        <w:rPr>
          <w:rFonts w:ascii="Times New Roman;serif" w:hAnsi="Times New Roman;serif"/>
          <w:b/>
          <w:color w:val="000000"/>
          <w:sz w:val="24"/>
        </w:rPr>
        <w:t>provision</w:t>
      </w:r>
      <w:r>
        <w:rPr>
          <w:color w:val="000000"/>
        </w:rPr>
        <w:t xml:space="preserve"> </w:t>
      </w:r>
      <w:r>
        <w:rPr>
          <w:rFonts w:ascii="Times New Roman;serif" w:hAnsi="Times New Roman;serif"/>
          <w:b/>
          <w:color w:val="000000"/>
          <w:sz w:val="24"/>
        </w:rPr>
        <w:t>of</w:t>
      </w:r>
      <w:r>
        <w:rPr>
          <w:color w:val="000000"/>
        </w:rPr>
        <w:t xml:space="preserve"> </w:t>
      </w:r>
      <w:r>
        <w:rPr>
          <w:rFonts w:ascii="Times New Roman;serif" w:hAnsi="Times New Roman;serif"/>
          <w:b/>
          <w:color w:val="000000"/>
          <w:sz w:val="24"/>
        </w:rPr>
        <w:t>the</w:t>
      </w:r>
      <w:r>
        <w:rPr>
          <w:color w:val="000000"/>
        </w:rPr>
        <w:t xml:space="preserve"> </w:t>
      </w:r>
      <w:r>
        <w:rPr>
          <w:rFonts w:ascii="Times New Roman;serif" w:hAnsi="Times New Roman;serif"/>
          <w:b/>
          <w:color w:val="000000"/>
          <w:sz w:val="24"/>
        </w:rPr>
        <w:t>Securities</w:t>
      </w:r>
      <w:r>
        <w:rPr>
          <w:color w:val="000000"/>
        </w:rPr>
        <w:t xml:space="preserve"> </w:t>
      </w:r>
      <w:r>
        <w:rPr>
          <w:rFonts w:ascii="Times New Roman;serif" w:hAnsi="Times New Roman;serif"/>
          <w:b/>
          <w:color w:val="000000"/>
          <w:sz w:val="24"/>
        </w:rPr>
        <w:t>Act</w:t>
      </w:r>
      <w:r>
        <w:rPr>
          <w:color w:val="000000"/>
        </w:rPr>
        <w:t xml:space="preserve"> </w:t>
      </w:r>
      <w:r>
        <w:rPr>
          <w:rFonts w:ascii="Times New Roman;serif" w:hAnsi="Times New Roman;serif"/>
          <w:b/>
          <w:color w:val="000000"/>
          <w:sz w:val="24"/>
        </w:rPr>
        <w:t>other</w:t>
      </w:r>
      <w:r>
        <w:rPr>
          <w:color w:val="000000"/>
        </w:rPr>
        <w:t xml:space="preserve"> </w:t>
      </w:r>
      <w:r>
        <w:rPr>
          <w:rFonts w:ascii="Times New Roman;serif" w:hAnsi="Times New Roman;serif"/>
          <w:b/>
          <w:color w:val="000000"/>
          <w:sz w:val="24"/>
        </w:rPr>
        <w:t>than</w:t>
      </w:r>
      <w:r>
        <w:rPr>
          <w:color w:val="000000"/>
        </w:rPr>
        <w:t xml:space="preserve"> </w:t>
      </w:r>
      <w:r>
        <w:rPr>
          <w:rFonts w:ascii="Times New Roman;serif" w:hAnsi="Times New Roman;serif"/>
          <w:b/>
          <w:color w:val="000000"/>
          <w:sz w:val="24"/>
        </w:rPr>
        <w:t>Rule</w:t>
      </w:r>
      <w:r>
        <w:rPr>
          <w:color w:val="000000"/>
        </w:rPr>
        <w:t xml:space="preserve"> </w:t>
      </w:r>
      <w:r>
        <w:rPr>
          <w:rFonts w:ascii="Times New Roman;serif" w:hAnsi="Times New Roman;serif"/>
          <w:b/>
          <w:color w:val="000000"/>
          <w:sz w:val="24"/>
        </w:rPr>
        <w:t>144A</w:t>
      </w:r>
      <w:r>
        <w:rPr>
          <w:color w:val="000000"/>
        </w:rPr>
        <w:t xml:space="preserve"> </w:t>
      </w:r>
      <w:r>
        <w:rPr>
          <w:rFonts w:ascii="Times New Roman;serif" w:hAnsi="Times New Roman;serif"/>
          <w:b/>
          <w:color w:val="000000"/>
          <w:sz w:val="24"/>
        </w:rPr>
        <w:t>or</w:t>
      </w:r>
      <w:r>
        <w:rPr>
          <w:color w:val="000000"/>
        </w:rPr>
        <w:t xml:space="preserve"> </w:t>
      </w:r>
      <w:r>
        <w:rPr>
          <w:rFonts w:ascii="Times New Roman;serif" w:hAnsi="Times New Roman;serif"/>
          <w:b/>
          <w:color w:val="000000"/>
          <w:sz w:val="24"/>
        </w:rPr>
        <w:t>Regulation</w:t>
      </w:r>
      <w:r>
        <w:rPr>
          <w:color w:val="000000"/>
        </w:rPr>
        <w:t xml:space="preserve"> </w:t>
      </w:r>
      <w:r>
        <w:rPr>
          <w:rFonts w:ascii="Times New Roman;serif" w:hAnsi="Times New Roman;serif"/>
          <w:b/>
          <w:color w:val="000000"/>
          <w:sz w:val="24"/>
        </w:rPr>
        <w:t>S</w:t>
      </w:r>
      <w:r>
        <w:rPr>
          <w:rFonts w:ascii="Times New Roman;serif" w:hAnsi="Times New Roman;serif"/>
          <w:b w:val="false"/>
          <w:color w:val="000000"/>
          <w:sz w:val="24"/>
        </w:rPr>
        <w:t>. The</w:t>
      </w:r>
      <w:r>
        <w:rPr>
          <w:color w:val="000000"/>
        </w:rPr>
        <w:t xml:space="preserve"> </w:t>
      </w:r>
      <w:r>
        <w:rPr>
          <w:rFonts w:ascii="Times New Roman;serif" w:hAnsi="Times New Roman;serif"/>
          <w:b w:val="false"/>
          <w:color w:val="000000"/>
          <w:sz w:val="24"/>
        </w:rPr>
        <w:t>Transfer</w:t>
      </w:r>
      <w:r>
        <w:rPr>
          <w:color w:val="000000"/>
        </w:rPr>
        <w:t xml:space="preserve"> </w:t>
      </w:r>
      <w:r>
        <w:rPr>
          <w:rFonts w:ascii="Times New Roman;serif" w:hAnsi="Times New Roman;serif"/>
          <w:b w:val="false"/>
          <w:color w:val="000000"/>
          <w:sz w:val="24"/>
        </w:rPr>
        <w:t>is</w:t>
      </w:r>
      <w:r>
        <w:rPr>
          <w:color w:val="000000"/>
        </w:rPr>
        <w:t xml:space="preserve"> </w:t>
      </w:r>
      <w:r>
        <w:rPr>
          <w:rFonts w:ascii="Times New Roman;serif" w:hAnsi="Times New Roman;serif"/>
          <w:b w:val="false"/>
          <w:color w:val="000000"/>
          <w:sz w:val="24"/>
        </w:rPr>
        <w:t>being effected</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compliance</w:t>
      </w:r>
      <w:r>
        <w:rPr>
          <w:color w:val="000000"/>
        </w:rPr>
        <w:t xml:space="preserve"> </w:t>
      </w:r>
      <w:r>
        <w:rPr>
          <w:rFonts w:ascii="Times New Roman;serif" w:hAnsi="Times New Roman;serif"/>
          <w:b w:val="false"/>
          <w:color w:val="000000"/>
          <w:sz w:val="24"/>
        </w:rPr>
        <w:t>with the</w:t>
      </w:r>
      <w:r>
        <w:rPr>
          <w:color w:val="000000"/>
        </w:rPr>
        <w:t xml:space="preserve"> </w:t>
      </w:r>
      <w:r>
        <w:rPr>
          <w:rFonts w:ascii="Times New Roman;serif" w:hAnsi="Times New Roman;serif"/>
          <w:b w:val="false"/>
          <w:color w:val="000000"/>
          <w:sz w:val="24"/>
        </w:rPr>
        <w:t>transfer</w:t>
      </w:r>
      <w:r>
        <w:rPr>
          <w:color w:val="000000"/>
        </w:rPr>
        <w:t xml:space="preserve"> </w:t>
      </w:r>
      <w:r>
        <w:rPr>
          <w:rFonts w:ascii="Times New Roman;serif" w:hAnsi="Times New Roman;serif"/>
          <w:b w:val="false"/>
          <w:color w:val="000000"/>
          <w:sz w:val="24"/>
        </w:rPr>
        <w:t>restrictions applicable to beneficial interests in Restricted Global Notes and Restricted Definitive Notes and pursuant to and in accordance with the</w:t>
      </w:r>
      <w:r>
        <w:rPr>
          <w:color w:val="000000"/>
        </w:rPr>
        <w:t xml:space="preserve"> </w:t>
      </w:r>
      <w:r>
        <w:rPr>
          <w:rFonts w:ascii="Times New Roman;serif" w:hAnsi="Times New Roman;serif"/>
          <w:b w:val="false"/>
          <w:color w:val="000000"/>
          <w:sz w:val="24"/>
        </w:rPr>
        <w:t>Securities Act and any applicable blue sky securities laws of any state of the United States, and accordingly the Transferor hereby further certifies that</w:t>
      </w:r>
      <w:r>
        <w:rPr>
          <w:color w:val="000000"/>
        </w:rPr>
        <w:t xml:space="preserve"> </w:t>
      </w:r>
      <w:r>
        <w:rPr>
          <w:rFonts w:ascii="Times New Roman;serif" w:hAnsi="Times New Roman;serif"/>
          <w:b w:val="false"/>
          <w:color w:val="000000"/>
          <w:sz w:val="24"/>
        </w:rPr>
        <w:t>(check</w:t>
      </w:r>
      <w:r>
        <w:rPr>
          <w:color w:val="000000"/>
        </w:rPr>
        <w:t xml:space="preserve"> </w:t>
      </w:r>
      <w:r>
        <w:rPr>
          <w:rFonts w:ascii="Times New Roman;serif" w:hAnsi="Times New Roman;serif"/>
          <w:b w:val="false"/>
          <w:color w:val="000000"/>
          <w:sz w:val="24"/>
        </w:rPr>
        <w:t>one):</w:t>
      </w:r>
    </w:p>
    <w:p>
      <w:pPr>
        <w:pStyle w:val="TextBody"/>
        <w:bidi w:val="0"/>
        <w:spacing w:lineRule="auto" w:line="240" w:before="0" w:after="240"/>
        <w:ind w:left="0" w:right="0" w:firstLine="1440"/>
        <w:jc w:val="both"/>
        <w:rPr/>
      </w:pPr>
      <w:r>
        <w:rPr>
          <w:rFonts w:ascii="Times New Roman;serif" w:hAnsi="Times New Roman;serif"/>
          <w:b w:val="false"/>
          <w:color w:val="000000"/>
          <w:sz w:val="24"/>
        </w:rPr>
        <w:t>(a)</w:t>
      </w:r>
      <w:r>
        <w:rPr>
          <w:color w:val="000000"/>
        </w:rPr>
        <w:t>☐</w:t>
      </w:r>
      <w:r>
        <w:rPr>
          <w:color w:val="000000"/>
        </w:rPr>
        <w:t xml:space="preserve">     </w:t>
      </w:r>
      <w:r>
        <w:rPr>
          <w:rFonts w:ascii="Times New Roman;serif" w:hAnsi="Times New Roman;serif"/>
          <w:b w:val="false"/>
          <w:color w:val="000000"/>
          <w:sz w:val="24"/>
        </w:rPr>
        <w:t>such</w:t>
      </w:r>
      <w:r>
        <w:rPr>
          <w:color w:val="000000"/>
        </w:rPr>
        <w:t xml:space="preserve"> </w:t>
      </w:r>
      <w:r>
        <w:rPr>
          <w:rFonts w:ascii="Times New Roman;serif" w:hAnsi="Times New Roman;serif"/>
          <w:b w:val="false"/>
          <w:color w:val="000000"/>
          <w:sz w:val="24"/>
        </w:rPr>
        <w:t>Transfer</w:t>
      </w:r>
      <w:r>
        <w:rPr>
          <w:color w:val="000000"/>
        </w:rPr>
        <w:t xml:space="preserve"> </w:t>
      </w:r>
      <w:r>
        <w:rPr>
          <w:rFonts w:ascii="Times New Roman;serif" w:hAnsi="Times New Roman;serif"/>
          <w:b w:val="false"/>
          <w:color w:val="000000"/>
          <w:sz w:val="24"/>
        </w:rPr>
        <w:t>is</w:t>
      </w:r>
      <w:r>
        <w:rPr>
          <w:color w:val="000000"/>
        </w:rPr>
        <w:t xml:space="preserve"> </w:t>
      </w:r>
      <w:r>
        <w:rPr>
          <w:rFonts w:ascii="Times New Roman;serif" w:hAnsi="Times New Roman;serif"/>
          <w:b w:val="false"/>
          <w:color w:val="000000"/>
          <w:sz w:val="24"/>
        </w:rPr>
        <w:t>being</w:t>
      </w:r>
      <w:r>
        <w:rPr>
          <w:color w:val="000000"/>
        </w:rPr>
        <w:t xml:space="preserve"> </w:t>
      </w:r>
      <w:r>
        <w:rPr>
          <w:rFonts w:ascii="Times New Roman;serif" w:hAnsi="Times New Roman;serif"/>
          <w:b w:val="false"/>
          <w:color w:val="000000"/>
          <w:sz w:val="24"/>
        </w:rPr>
        <w:t>effected</w:t>
      </w:r>
      <w:r>
        <w:rPr>
          <w:color w:val="000000"/>
        </w:rPr>
        <w:t xml:space="preserve"> </w:t>
      </w:r>
      <w:r>
        <w:rPr>
          <w:rFonts w:ascii="Times New Roman;serif" w:hAnsi="Times New Roman;serif"/>
          <w:b w:val="false"/>
          <w:color w:val="000000"/>
          <w:sz w:val="24"/>
        </w:rPr>
        <w:t>pursuant</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accordance</w:t>
      </w:r>
      <w:r>
        <w:rPr>
          <w:color w:val="000000"/>
        </w:rPr>
        <w:t xml:space="preserve"> </w:t>
      </w:r>
      <w:r>
        <w:rPr>
          <w:rFonts w:ascii="Times New Roman;serif" w:hAnsi="Times New Roman;serif"/>
          <w:b w:val="false"/>
          <w:color w:val="000000"/>
          <w:sz w:val="24"/>
        </w:rPr>
        <w:t>with</w:t>
      </w:r>
      <w:r>
        <w:rPr>
          <w:color w:val="000000"/>
        </w:rPr>
        <w:t xml:space="preserve"> </w:t>
      </w:r>
      <w:r>
        <w:rPr>
          <w:rFonts w:ascii="Times New Roman;serif" w:hAnsi="Times New Roman;serif"/>
          <w:b w:val="false"/>
          <w:color w:val="000000"/>
          <w:sz w:val="24"/>
        </w:rPr>
        <w:t>Rule</w:t>
      </w:r>
      <w:r>
        <w:rPr>
          <w:color w:val="000000"/>
        </w:rPr>
        <w:t xml:space="preserve"> </w:t>
      </w:r>
      <w:r>
        <w:rPr>
          <w:rFonts w:ascii="Times New Roman;serif" w:hAnsi="Times New Roman;serif"/>
          <w:b w:val="false"/>
          <w:color w:val="000000"/>
          <w:sz w:val="24"/>
        </w:rPr>
        <w:t>144</w:t>
      </w:r>
      <w:r>
        <w:rPr>
          <w:color w:val="000000"/>
        </w:rPr>
        <w:t xml:space="preserve"> </w:t>
      </w:r>
      <w:r>
        <w:rPr>
          <w:rFonts w:ascii="Times New Roman;serif" w:hAnsi="Times New Roman;serif"/>
          <w:b w:val="false"/>
          <w:color w:val="000000"/>
          <w:sz w:val="24"/>
        </w:rPr>
        <w:t>under</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Securities</w:t>
      </w:r>
      <w:r>
        <w:rPr>
          <w:color w:val="000000"/>
        </w:rPr>
        <w:t xml:space="preserve"> </w:t>
      </w:r>
      <w:r>
        <w:rPr>
          <w:rFonts w:ascii="Times New Roman;serif" w:hAnsi="Times New Roman;serif"/>
          <w:b w:val="false"/>
          <w:color w:val="000000"/>
          <w:sz w:val="24"/>
        </w:rPr>
        <w:t>Act;</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or</w:t>
      </w:r>
    </w:p>
    <w:p>
      <w:pPr>
        <w:pStyle w:val="TextBody"/>
        <w:bidi w:val="0"/>
        <w:spacing w:lineRule="auto" w:line="240" w:before="0" w:after="240"/>
        <w:ind w:left="0" w:right="0" w:firstLine="1440"/>
        <w:jc w:val="both"/>
        <w:rPr/>
      </w:pPr>
      <w:r>
        <w:rPr>
          <w:rFonts w:ascii="Times New Roman;serif" w:hAnsi="Times New Roman;serif"/>
          <w:b w:val="false"/>
          <w:color w:val="000000"/>
          <w:sz w:val="24"/>
        </w:rPr>
        <w:t>(b)</w:t>
      </w:r>
      <w:r>
        <w:rPr>
          <w:color w:val="000000"/>
        </w:rPr>
        <w:t>☐</w:t>
      </w:r>
      <w:r>
        <w:rPr>
          <w:color w:val="000000"/>
        </w:rPr>
        <w:t xml:space="preserve">     </w:t>
      </w:r>
      <w:r>
        <w:rPr>
          <w:rFonts w:ascii="Times New Roman;serif" w:hAnsi="Times New Roman;serif"/>
          <w:b w:val="false"/>
          <w:color w:val="000000"/>
          <w:sz w:val="24"/>
        </w:rPr>
        <w:t>such</w:t>
      </w:r>
      <w:r>
        <w:rPr>
          <w:color w:val="000000"/>
        </w:rPr>
        <w:t xml:space="preserve"> </w:t>
      </w:r>
      <w:r>
        <w:rPr>
          <w:rFonts w:ascii="Times New Roman;serif" w:hAnsi="Times New Roman;serif"/>
          <w:b w:val="false"/>
          <w:color w:val="000000"/>
          <w:sz w:val="24"/>
        </w:rPr>
        <w:t>Transfer</w:t>
      </w:r>
      <w:r>
        <w:rPr>
          <w:color w:val="000000"/>
        </w:rPr>
        <w:t xml:space="preserve"> </w:t>
      </w:r>
      <w:r>
        <w:rPr>
          <w:rFonts w:ascii="Times New Roman;serif" w:hAnsi="Times New Roman;serif"/>
          <w:b w:val="false"/>
          <w:color w:val="000000"/>
          <w:sz w:val="24"/>
        </w:rPr>
        <w:t>is</w:t>
      </w:r>
      <w:r>
        <w:rPr>
          <w:color w:val="000000"/>
        </w:rPr>
        <w:t xml:space="preserve"> </w:t>
      </w:r>
      <w:r>
        <w:rPr>
          <w:rFonts w:ascii="Times New Roman;serif" w:hAnsi="Times New Roman;serif"/>
          <w:b w:val="false"/>
          <w:color w:val="000000"/>
          <w:sz w:val="24"/>
        </w:rPr>
        <w:t>being</w:t>
      </w:r>
      <w:r>
        <w:rPr>
          <w:color w:val="000000"/>
        </w:rPr>
        <w:t xml:space="preserve"> </w:t>
      </w:r>
      <w:r>
        <w:rPr>
          <w:rFonts w:ascii="Times New Roman;serif" w:hAnsi="Times New Roman;serif"/>
          <w:b w:val="false"/>
          <w:color w:val="000000"/>
          <w:sz w:val="24"/>
        </w:rPr>
        <w:t>effected</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Issuer</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subsidiary</w:t>
      </w:r>
      <w:r>
        <w:rPr>
          <w:color w:val="000000"/>
        </w:rPr>
        <w:t xml:space="preserve"> </w:t>
      </w:r>
      <w:r>
        <w:rPr>
          <w:rFonts w:ascii="Times New Roman;serif" w:hAnsi="Times New Roman;serif"/>
          <w:b w:val="false"/>
          <w:color w:val="000000"/>
          <w:sz w:val="24"/>
        </w:rPr>
        <w:t>thereof;</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or</w:t>
      </w:r>
    </w:p>
    <w:p>
      <w:pPr>
        <w:pStyle w:val="TextBody"/>
        <w:bidi w:val="0"/>
        <w:spacing w:lineRule="auto" w:line="240" w:before="0" w:after="240"/>
        <w:ind w:left="0" w:right="0" w:firstLine="1440"/>
        <w:jc w:val="both"/>
        <w:rPr/>
      </w:pPr>
      <w:r>
        <w:rPr>
          <w:rFonts w:ascii="Times New Roman;serif" w:hAnsi="Times New Roman;serif"/>
          <w:b w:val="false"/>
          <w:color w:val="000000"/>
          <w:sz w:val="24"/>
        </w:rPr>
        <w:t>(c)</w:t>
      </w:r>
      <w:r>
        <w:rPr>
          <w:color w:val="000000"/>
        </w:rPr>
        <w:t>☐</w:t>
      </w:r>
      <w:r>
        <w:rPr>
          <w:color w:val="000000"/>
        </w:rPr>
        <w:t xml:space="preserve">     </w:t>
      </w:r>
      <w:r>
        <w:rPr>
          <w:rFonts w:ascii="Times New Roman;serif" w:hAnsi="Times New Roman;serif"/>
          <w:b w:val="false"/>
          <w:color w:val="000000"/>
          <w:sz w:val="24"/>
        </w:rPr>
        <w:t>such Transfer is being effected pursuant to an effective registration statement under the Securities Act in compliance with the</w:t>
      </w:r>
      <w:r>
        <w:rPr>
          <w:color w:val="000000"/>
        </w:rPr>
        <w:t xml:space="preserve"> </w:t>
      </w:r>
      <w:r>
        <w:rPr>
          <w:rFonts w:ascii="Times New Roman;serif" w:hAnsi="Times New Roman;serif"/>
          <w:b w:val="false"/>
          <w:color w:val="000000"/>
          <w:sz w:val="24"/>
        </w:rPr>
        <w:t>prospectus delivery requirements of the Securities Act;</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or</w:t>
      </w:r>
    </w:p>
    <w:p>
      <w:pPr>
        <w:pStyle w:val="TextBody"/>
        <w:bidi w:val="0"/>
        <w:spacing w:lineRule="auto" w:line="240" w:before="0" w:after="240"/>
        <w:ind w:left="0" w:right="0" w:firstLine="1440"/>
        <w:jc w:val="both"/>
        <w:rPr/>
      </w:pPr>
      <w:r>
        <w:rPr>
          <w:rFonts w:ascii="Times New Roman;serif" w:hAnsi="Times New Roman;serif"/>
          <w:b w:val="false"/>
          <w:color w:val="000000"/>
          <w:sz w:val="24"/>
        </w:rPr>
        <w:t>(d)</w:t>
      </w:r>
      <w:r>
        <w:rPr>
          <w:color w:val="000000"/>
        </w:rPr>
        <w:t>☐</w:t>
      </w:r>
      <w:r>
        <w:rPr>
          <w:color w:val="000000"/>
        </w:rPr>
        <w:t xml:space="preserve">     </w:t>
      </w:r>
      <w:r>
        <w:rPr>
          <w:rFonts w:ascii="Times New Roman;serif" w:hAnsi="Times New Roman;serif"/>
          <w:b w:val="false"/>
          <w:color w:val="000000"/>
          <w:sz w:val="24"/>
        </w:rPr>
        <w:t>such Transfer is being effected to an Institutional Accredited Investor pursuant to an exemption from the registration requirements of the Securities Act other than</w:t>
      </w:r>
      <w:r>
        <w:rPr>
          <w:color w:val="000000"/>
        </w:rPr>
        <w:t xml:space="preserve"> </w:t>
      </w:r>
      <w:r>
        <w:rPr>
          <w:rFonts w:ascii="Times New Roman;serif" w:hAnsi="Times New Roman;serif"/>
          <w:b w:val="false"/>
          <w:color w:val="000000"/>
          <w:sz w:val="24"/>
        </w:rPr>
        <w:t>Rule 144A, Rule 144, or Rule 903 or Rule 904 of Regulation S, and the Transferor hereby further certifies that it has not engaged in any general</w:t>
      </w:r>
      <w:r>
        <w:rPr>
          <w:color w:val="000000"/>
        </w:rPr>
        <w:t xml:space="preserve"> </w:t>
      </w:r>
      <w:r>
        <w:rPr>
          <w:rFonts w:ascii="Times New Roman;serif" w:hAnsi="Times New Roman;serif"/>
          <w:b w:val="false"/>
          <w:color w:val="000000"/>
          <w:sz w:val="24"/>
        </w:rPr>
        <w:t>solicitation within the meaning of Regulation D under the Securities Act and the Transfer complies with the transfer restrictions applicable to beneficial interests in a Restricted Global Note or Restricted</w:t>
      </w:r>
      <w:r>
        <w:rPr>
          <w:color w:val="000000"/>
        </w:rPr>
        <w:t xml:space="preserve"> </w:t>
      </w:r>
      <w:r>
        <w:rPr>
          <w:rFonts w:ascii="Times New Roman;serif" w:hAnsi="Times New Roman;serif"/>
          <w:b w:val="false"/>
          <w:color w:val="000000"/>
          <w:sz w:val="24"/>
        </w:rPr>
        <w:t xml:space="preserve">Definitive Notes and the requirements of the exemption claimed, which certification is supported by, (1) a certificate executed by the Transferee in the form of </w:t>
      </w:r>
      <w:r>
        <w:rPr>
          <w:rFonts w:ascii="Times New Roman;serif" w:hAnsi="Times New Roman;serif"/>
          <w:b w:val="false"/>
          <w:color w:val="000000"/>
          <w:sz w:val="24"/>
          <w:u w:val="single"/>
        </w:rPr>
        <w:t>Exhibit D</w:t>
      </w:r>
      <w:r>
        <w:rPr>
          <w:color w:val="000000"/>
        </w:rPr>
        <w:t xml:space="preserve"> </w:t>
      </w:r>
      <w:r>
        <w:rPr>
          <w:rFonts w:ascii="Times New Roman;serif" w:hAnsi="Times New Roman;serif"/>
          <w:b w:val="false"/>
          <w:color w:val="000000"/>
          <w:sz w:val="24"/>
        </w:rPr>
        <w:t>to the Indenture and (2) an Opinion of Counsel provided by the Transferor or the Transferee (a copy of which</w:t>
      </w:r>
      <w:r>
        <w:rPr>
          <w:color w:val="000000"/>
        </w:rPr>
        <w:t xml:space="preserve"> </w:t>
      </w:r>
      <w:r>
        <w:rPr>
          <w:rFonts w:ascii="Times New Roman;serif" w:hAnsi="Times New Roman;serif"/>
          <w:b w:val="false"/>
          <w:color w:val="000000"/>
          <w:sz w:val="24"/>
        </w:rPr>
        <w:t>the Transferor has attached to this certification), to the effect that such Transfer is in compliance with the Securities Act. Upon consummation of</w:t>
      </w:r>
      <w:r>
        <w:rPr>
          <w:color w:val="000000"/>
        </w:rPr>
        <w:t xml:space="preserve"> </w:t>
      </w:r>
      <w:r>
        <w:rPr>
          <w:rFonts w:ascii="Times New Roman;serif" w:hAnsi="Times New Roman;serif"/>
          <w:b w:val="false"/>
          <w:color w:val="000000"/>
          <w:sz w:val="24"/>
        </w:rPr>
        <w:t>the proposed transfer in accordance with the terms of the Indenture, the transferred beneficial interest or Definitive Note will be subject to the</w:t>
      </w:r>
      <w:r>
        <w:rPr>
          <w:color w:val="000000"/>
        </w:rPr>
        <w:t xml:space="preserve"> </w:t>
      </w:r>
      <w:r>
        <w:rPr>
          <w:rFonts w:ascii="Times New Roman;serif" w:hAnsi="Times New Roman;serif"/>
          <w:b w:val="false"/>
          <w:color w:val="000000"/>
          <w:sz w:val="24"/>
        </w:rPr>
        <w:t xml:space="preserve">restrictions on transfer </w:t>
      </w:r>
    </w:p>
    <w:p>
      <w:pPr>
        <w:pStyle w:val="TextBody"/>
        <w:bidi w:val="0"/>
        <w:spacing w:before="0" w:after="0"/>
        <w:jc w:val="left"/>
        <w:rPr/>
      </w:pPr>
      <w:r>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6480175" cy="175260"/>
                <wp:effectExtent l="0" t="0" r="0" b="0"/>
                <wp:wrapNone/>
                <wp:docPr id="156" name="Frame15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B-2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B-2</w:t>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rPr>
        <w:t>enumerated in the Private Placement Legend printed on the IAI Global Note and/or the Restricted Definitive Notes and in the Indenture</w:t>
      </w:r>
      <w:r>
        <w:rPr>
          <w:color w:val="000000"/>
        </w:rPr>
        <w:t xml:space="preserve"> </w:t>
      </w:r>
      <w:r>
        <w:rPr>
          <w:rFonts w:ascii="Times New Roman;serif" w:hAnsi="Times New Roman;serif"/>
          <w:b w:val="false"/>
          <w:color w:val="000000"/>
          <w:sz w:val="24"/>
        </w:rPr>
        <w:t>and the Securities Act.</w:t>
      </w:r>
    </w:p>
    <w:p>
      <w:pPr>
        <w:pStyle w:val="TextBody"/>
        <w:bidi w:val="0"/>
        <w:spacing w:lineRule="auto" w:line="240" w:before="0" w:after="240"/>
        <w:ind w:left="0" w:right="0" w:firstLine="720"/>
        <w:jc w:val="both"/>
        <w:rPr/>
      </w:pPr>
      <w:r>
        <w:rPr>
          <w:rFonts w:ascii="Times New Roman;serif" w:hAnsi="Times New Roman;serif"/>
          <w:b w:val="false"/>
          <w:color w:val="000000"/>
          <w:sz w:val="24"/>
        </w:rPr>
        <w:t>4.</w:t>
      </w:r>
      <w:r>
        <w:rPr>
          <w:color w:val="000000"/>
        </w:rPr>
        <w:t>☐</w:t>
      </w:r>
      <w:r>
        <w:rPr>
          <w:color w:val="000000"/>
        </w:rPr>
        <w:t xml:space="preserve">     </w:t>
      </w:r>
      <w:r>
        <w:rPr>
          <w:rFonts w:ascii="Times New Roman;serif" w:hAnsi="Times New Roman;serif"/>
          <w:b/>
          <w:color w:val="000000"/>
          <w:sz w:val="24"/>
        </w:rPr>
        <w:t>Check</w:t>
      </w:r>
      <w:r>
        <w:rPr>
          <w:color w:val="000000"/>
        </w:rPr>
        <w:t xml:space="preserve"> </w:t>
      </w:r>
      <w:r>
        <w:rPr>
          <w:rFonts w:ascii="Times New Roman;serif" w:hAnsi="Times New Roman;serif"/>
          <w:b/>
          <w:color w:val="000000"/>
          <w:sz w:val="24"/>
        </w:rPr>
        <w:t>if</w:t>
      </w:r>
      <w:r>
        <w:rPr>
          <w:color w:val="000000"/>
        </w:rPr>
        <w:t xml:space="preserve"> </w:t>
      </w:r>
      <w:r>
        <w:rPr>
          <w:rFonts w:ascii="Times New Roman;serif" w:hAnsi="Times New Roman;serif"/>
          <w:b/>
          <w:color w:val="000000"/>
          <w:sz w:val="24"/>
        </w:rPr>
        <w:t>Transferee</w:t>
      </w:r>
      <w:r>
        <w:rPr>
          <w:color w:val="000000"/>
        </w:rPr>
        <w:t xml:space="preserve"> </w:t>
      </w:r>
      <w:r>
        <w:rPr>
          <w:rFonts w:ascii="Times New Roman;serif" w:hAnsi="Times New Roman;serif"/>
          <w:b/>
          <w:color w:val="000000"/>
          <w:sz w:val="24"/>
        </w:rPr>
        <w:t>will</w:t>
      </w:r>
      <w:r>
        <w:rPr>
          <w:color w:val="000000"/>
        </w:rPr>
        <w:t xml:space="preserve"> </w:t>
      </w:r>
      <w:r>
        <w:rPr>
          <w:rFonts w:ascii="Times New Roman;serif" w:hAnsi="Times New Roman;serif"/>
          <w:b/>
          <w:color w:val="000000"/>
          <w:sz w:val="24"/>
        </w:rPr>
        <w:t>take</w:t>
      </w:r>
      <w:r>
        <w:rPr>
          <w:color w:val="000000"/>
        </w:rPr>
        <w:t xml:space="preserve"> </w:t>
      </w:r>
      <w:r>
        <w:rPr>
          <w:rFonts w:ascii="Times New Roman;serif" w:hAnsi="Times New Roman;serif"/>
          <w:b/>
          <w:color w:val="000000"/>
          <w:sz w:val="24"/>
        </w:rPr>
        <w:t>delivery</w:t>
      </w:r>
      <w:r>
        <w:rPr>
          <w:color w:val="000000"/>
        </w:rPr>
        <w:t xml:space="preserve"> </w:t>
      </w:r>
      <w:r>
        <w:rPr>
          <w:rFonts w:ascii="Times New Roman;serif" w:hAnsi="Times New Roman;serif"/>
          <w:b/>
          <w:color w:val="000000"/>
          <w:sz w:val="24"/>
        </w:rPr>
        <w:t>of</w:t>
      </w:r>
      <w:r>
        <w:rPr>
          <w:color w:val="000000"/>
        </w:rPr>
        <w:t xml:space="preserve"> </w:t>
      </w:r>
      <w:r>
        <w:rPr>
          <w:rFonts w:ascii="Times New Roman;serif" w:hAnsi="Times New Roman;serif"/>
          <w:b/>
          <w:color w:val="000000"/>
          <w:sz w:val="24"/>
        </w:rPr>
        <w:t>a</w:t>
      </w:r>
      <w:r>
        <w:rPr>
          <w:color w:val="000000"/>
        </w:rPr>
        <w:t xml:space="preserve"> </w:t>
      </w:r>
      <w:r>
        <w:rPr>
          <w:rFonts w:ascii="Times New Roman;serif" w:hAnsi="Times New Roman;serif"/>
          <w:b/>
          <w:color w:val="000000"/>
          <w:sz w:val="24"/>
        </w:rPr>
        <w:t>beneficial</w:t>
      </w:r>
      <w:r>
        <w:rPr>
          <w:color w:val="000000"/>
        </w:rPr>
        <w:t xml:space="preserve"> </w:t>
      </w:r>
      <w:r>
        <w:rPr>
          <w:rFonts w:ascii="Times New Roman;serif" w:hAnsi="Times New Roman;serif"/>
          <w:b/>
          <w:color w:val="000000"/>
          <w:sz w:val="24"/>
        </w:rPr>
        <w:t>interest</w:t>
      </w:r>
      <w:r>
        <w:rPr>
          <w:color w:val="000000"/>
        </w:rPr>
        <w:t xml:space="preserve"> </w:t>
      </w:r>
      <w:r>
        <w:rPr>
          <w:rFonts w:ascii="Times New Roman;serif" w:hAnsi="Times New Roman;serif"/>
          <w:b/>
          <w:color w:val="000000"/>
          <w:sz w:val="24"/>
        </w:rPr>
        <w:t>in</w:t>
      </w:r>
      <w:r>
        <w:rPr>
          <w:color w:val="000000"/>
        </w:rPr>
        <w:t xml:space="preserve"> </w:t>
      </w:r>
      <w:r>
        <w:rPr>
          <w:rFonts w:ascii="Times New Roman;serif" w:hAnsi="Times New Roman;serif"/>
          <w:b/>
          <w:color w:val="000000"/>
          <w:sz w:val="24"/>
        </w:rPr>
        <w:t>an</w:t>
      </w:r>
      <w:r>
        <w:rPr>
          <w:color w:val="000000"/>
        </w:rPr>
        <w:t xml:space="preserve"> </w:t>
      </w:r>
      <w:r>
        <w:rPr>
          <w:rFonts w:ascii="Times New Roman;serif" w:hAnsi="Times New Roman;serif"/>
          <w:b/>
          <w:color w:val="000000"/>
          <w:sz w:val="24"/>
        </w:rPr>
        <w:t>Unrestricted</w:t>
      </w:r>
      <w:r>
        <w:rPr>
          <w:color w:val="000000"/>
        </w:rPr>
        <w:t xml:space="preserve"> </w:t>
      </w:r>
      <w:r>
        <w:rPr>
          <w:rFonts w:ascii="Times New Roman;serif" w:hAnsi="Times New Roman;serif"/>
          <w:b/>
          <w:color w:val="000000"/>
          <w:sz w:val="24"/>
        </w:rPr>
        <w:t>Global</w:t>
      </w:r>
      <w:r>
        <w:rPr>
          <w:color w:val="000000"/>
        </w:rPr>
        <w:t xml:space="preserve"> </w:t>
      </w:r>
      <w:r>
        <w:rPr>
          <w:rFonts w:ascii="Times New Roman;serif" w:hAnsi="Times New Roman;serif"/>
          <w:b/>
          <w:color w:val="000000"/>
          <w:sz w:val="24"/>
        </w:rPr>
        <w:t>Note</w:t>
      </w:r>
      <w:r>
        <w:rPr>
          <w:color w:val="000000"/>
        </w:rPr>
        <w:t xml:space="preserve"> </w:t>
      </w:r>
      <w:r>
        <w:rPr>
          <w:rFonts w:ascii="Times New Roman;serif" w:hAnsi="Times New Roman;serif"/>
          <w:b/>
          <w:color w:val="000000"/>
          <w:sz w:val="24"/>
        </w:rPr>
        <w:t>or</w:t>
      </w:r>
      <w:r>
        <w:rPr>
          <w:color w:val="000000"/>
        </w:rPr>
        <w:t xml:space="preserve"> </w:t>
      </w:r>
      <w:r>
        <w:rPr>
          <w:rFonts w:ascii="Times New Roman;serif" w:hAnsi="Times New Roman;serif"/>
          <w:b/>
          <w:color w:val="000000"/>
          <w:sz w:val="24"/>
        </w:rPr>
        <w:t>of</w:t>
      </w:r>
      <w:r>
        <w:rPr>
          <w:color w:val="000000"/>
        </w:rPr>
        <w:t xml:space="preserve"> </w:t>
      </w:r>
      <w:r>
        <w:rPr>
          <w:rFonts w:ascii="Times New Roman;serif" w:hAnsi="Times New Roman;serif"/>
          <w:b/>
          <w:color w:val="000000"/>
          <w:sz w:val="24"/>
        </w:rPr>
        <w:t>an</w:t>
      </w:r>
      <w:r>
        <w:rPr>
          <w:color w:val="000000"/>
        </w:rPr>
        <w:t xml:space="preserve"> </w:t>
      </w:r>
      <w:r>
        <w:rPr>
          <w:rFonts w:ascii="Times New Roman;serif" w:hAnsi="Times New Roman;serif"/>
          <w:b/>
          <w:color w:val="000000"/>
          <w:sz w:val="24"/>
        </w:rPr>
        <w:t>Unrestricted</w:t>
      </w:r>
      <w:r>
        <w:rPr>
          <w:color w:val="000000"/>
        </w:rPr>
        <w:t xml:space="preserve"> </w:t>
      </w:r>
      <w:r>
        <w:rPr>
          <w:rFonts w:ascii="Times New Roman;serif" w:hAnsi="Times New Roman;serif"/>
          <w:b/>
          <w:color w:val="000000"/>
          <w:sz w:val="24"/>
        </w:rPr>
        <w:t>Definitive</w:t>
      </w:r>
      <w:r>
        <w:rPr>
          <w:color w:val="000000"/>
        </w:rPr>
        <w:t xml:space="preserve"> </w:t>
      </w:r>
      <w:r>
        <w:rPr>
          <w:rFonts w:ascii="Times New Roman;serif" w:hAnsi="Times New Roman;serif"/>
          <w:b/>
          <w:color w:val="000000"/>
          <w:sz w:val="24"/>
        </w:rPr>
        <w:t>Note.</w:t>
      </w:r>
    </w:p>
    <w:p>
      <w:pPr>
        <w:pStyle w:val="TextBody"/>
        <w:bidi w:val="0"/>
        <w:spacing w:lineRule="auto" w:line="240" w:before="0" w:after="240"/>
        <w:ind w:left="0" w:right="0" w:firstLine="1440"/>
        <w:jc w:val="both"/>
        <w:rPr/>
      </w:pPr>
      <w:r>
        <w:rPr>
          <w:rFonts w:ascii="Times New Roman;serif" w:hAnsi="Times New Roman;serif"/>
          <w:b w:val="false"/>
          <w:color w:val="000000"/>
          <w:sz w:val="24"/>
        </w:rPr>
        <w:t>(a)</w:t>
      </w:r>
      <w:r>
        <w:rPr>
          <w:color w:val="000000"/>
        </w:rPr>
        <w:t>☐</w:t>
      </w:r>
      <w:r>
        <w:rPr>
          <w:color w:val="000000"/>
        </w:rPr>
        <w:t xml:space="preserve">     </w:t>
      </w:r>
      <w:r>
        <w:rPr>
          <w:rFonts w:ascii="Times New Roman;serif" w:hAnsi="Times New Roman;serif"/>
          <w:b/>
          <w:color w:val="000000"/>
          <w:sz w:val="24"/>
        </w:rPr>
        <w:t>Check</w:t>
      </w:r>
      <w:r>
        <w:rPr>
          <w:color w:val="000000"/>
        </w:rPr>
        <w:t xml:space="preserve"> </w:t>
      </w:r>
      <w:r>
        <w:rPr>
          <w:rFonts w:ascii="Times New Roman;serif" w:hAnsi="Times New Roman;serif"/>
          <w:b/>
          <w:color w:val="000000"/>
          <w:sz w:val="24"/>
        </w:rPr>
        <w:t>if</w:t>
      </w:r>
      <w:r>
        <w:rPr>
          <w:color w:val="000000"/>
        </w:rPr>
        <w:t xml:space="preserve"> </w:t>
      </w:r>
      <w:r>
        <w:rPr>
          <w:rFonts w:ascii="Times New Roman;serif" w:hAnsi="Times New Roman;serif"/>
          <w:b/>
          <w:color w:val="000000"/>
          <w:sz w:val="24"/>
        </w:rPr>
        <w:t>Transfer</w:t>
      </w:r>
      <w:r>
        <w:rPr>
          <w:color w:val="000000"/>
        </w:rPr>
        <w:t xml:space="preserve"> </w:t>
      </w:r>
      <w:r>
        <w:rPr>
          <w:rFonts w:ascii="Times New Roman;serif" w:hAnsi="Times New Roman;serif"/>
          <w:b/>
          <w:color w:val="000000"/>
          <w:sz w:val="24"/>
        </w:rPr>
        <w:t>is</w:t>
      </w:r>
      <w:r>
        <w:rPr>
          <w:color w:val="000000"/>
        </w:rPr>
        <w:t xml:space="preserve"> </w:t>
      </w:r>
      <w:r>
        <w:rPr>
          <w:rFonts w:ascii="Times New Roman;serif" w:hAnsi="Times New Roman;serif"/>
          <w:b/>
          <w:color w:val="000000"/>
          <w:sz w:val="24"/>
        </w:rPr>
        <w:t>pursuant</w:t>
      </w:r>
      <w:r>
        <w:rPr>
          <w:color w:val="000000"/>
        </w:rPr>
        <w:t xml:space="preserve"> </w:t>
      </w:r>
      <w:r>
        <w:rPr>
          <w:rFonts w:ascii="Times New Roman;serif" w:hAnsi="Times New Roman;serif"/>
          <w:b/>
          <w:color w:val="000000"/>
          <w:sz w:val="24"/>
        </w:rPr>
        <w:t>to</w:t>
      </w:r>
      <w:r>
        <w:rPr>
          <w:color w:val="000000"/>
        </w:rPr>
        <w:t xml:space="preserve"> </w:t>
      </w:r>
      <w:r>
        <w:rPr>
          <w:rFonts w:ascii="Times New Roman;serif" w:hAnsi="Times New Roman;serif"/>
          <w:b/>
          <w:color w:val="000000"/>
          <w:sz w:val="24"/>
        </w:rPr>
        <w:t>Rule</w:t>
      </w:r>
      <w:r>
        <w:rPr>
          <w:color w:val="000000"/>
        </w:rPr>
        <w:t xml:space="preserve"> </w:t>
      </w:r>
      <w:r>
        <w:rPr>
          <w:rFonts w:ascii="Times New Roman;serif" w:hAnsi="Times New Roman;serif"/>
          <w:b/>
          <w:color w:val="000000"/>
          <w:sz w:val="24"/>
        </w:rPr>
        <w:t>144</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(i)</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Transfer</w:t>
      </w:r>
      <w:r>
        <w:rPr>
          <w:color w:val="000000"/>
        </w:rPr>
        <w:t xml:space="preserve"> </w:t>
      </w:r>
      <w:r>
        <w:rPr>
          <w:rFonts w:ascii="Times New Roman;serif" w:hAnsi="Times New Roman;serif"/>
          <w:b w:val="false"/>
          <w:color w:val="000000"/>
          <w:sz w:val="24"/>
        </w:rPr>
        <w:t>is</w:t>
      </w:r>
      <w:r>
        <w:rPr>
          <w:color w:val="000000"/>
        </w:rPr>
        <w:t xml:space="preserve"> </w:t>
      </w:r>
      <w:r>
        <w:rPr>
          <w:rFonts w:ascii="Times New Roman;serif" w:hAnsi="Times New Roman;serif"/>
          <w:b w:val="false"/>
          <w:color w:val="000000"/>
          <w:sz w:val="24"/>
        </w:rPr>
        <w:t>being</w:t>
      </w:r>
      <w:r>
        <w:rPr>
          <w:color w:val="000000"/>
        </w:rPr>
        <w:t xml:space="preserve"> </w:t>
      </w:r>
      <w:r>
        <w:rPr>
          <w:rFonts w:ascii="Times New Roman;serif" w:hAnsi="Times New Roman;serif"/>
          <w:b w:val="false"/>
          <w:color w:val="000000"/>
          <w:sz w:val="24"/>
        </w:rPr>
        <w:t>effected</w:t>
      </w:r>
      <w:r>
        <w:rPr>
          <w:color w:val="000000"/>
        </w:rPr>
        <w:t xml:space="preserve"> </w:t>
      </w:r>
      <w:r>
        <w:rPr>
          <w:rFonts w:ascii="Times New Roman;serif" w:hAnsi="Times New Roman;serif"/>
          <w:b w:val="false"/>
          <w:color w:val="000000"/>
          <w:sz w:val="24"/>
        </w:rPr>
        <w:t>pursuant</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accordance</w:t>
      </w:r>
      <w:r>
        <w:rPr>
          <w:color w:val="000000"/>
        </w:rPr>
        <w:t xml:space="preserve"> </w:t>
      </w:r>
      <w:r>
        <w:rPr>
          <w:rFonts w:ascii="Times New Roman;serif" w:hAnsi="Times New Roman;serif"/>
          <w:b w:val="false"/>
          <w:color w:val="000000"/>
          <w:sz w:val="24"/>
        </w:rPr>
        <w:t>with</w:t>
      </w:r>
      <w:r>
        <w:rPr>
          <w:color w:val="000000"/>
        </w:rPr>
        <w:t xml:space="preserve"> </w:t>
      </w:r>
      <w:r>
        <w:rPr>
          <w:rFonts w:ascii="Times New Roman;serif" w:hAnsi="Times New Roman;serif"/>
          <w:b w:val="false"/>
          <w:color w:val="000000"/>
          <w:sz w:val="24"/>
        </w:rPr>
        <w:t>Rule</w:t>
      </w:r>
      <w:r>
        <w:rPr>
          <w:color w:val="000000"/>
        </w:rPr>
        <w:t xml:space="preserve"> </w:t>
      </w:r>
      <w:r>
        <w:rPr>
          <w:rFonts w:ascii="Times New Roman;serif" w:hAnsi="Times New Roman;serif"/>
          <w:b w:val="false"/>
          <w:color w:val="000000"/>
          <w:sz w:val="24"/>
        </w:rPr>
        <w:t>144</w:t>
      </w:r>
      <w:r>
        <w:rPr>
          <w:color w:val="000000"/>
        </w:rPr>
        <w:t xml:space="preserve"> </w:t>
      </w:r>
      <w:r>
        <w:rPr>
          <w:rFonts w:ascii="Times New Roman;serif" w:hAnsi="Times New Roman;serif"/>
          <w:b w:val="false"/>
          <w:color w:val="000000"/>
          <w:sz w:val="24"/>
        </w:rPr>
        <w:t>under</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Securities Act and in compliance with the transfer restrictions contained in the Indenture and any applicable blue sky securities laws of any state of the</w:t>
      </w:r>
      <w:r>
        <w:rPr>
          <w:color w:val="000000"/>
        </w:rPr>
        <w:t xml:space="preserve"> </w:t>
      </w:r>
      <w:r>
        <w:rPr>
          <w:rFonts w:ascii="Times New Roman;serif" w:hAnsi="Times New Roman;serif"/>
          <w:b w:val="false"/>
          <w:color w:val="000000"/>
          <w:sz w:val="24"/>
        </w:rPr>
        <w:t>United States and (ii) the restrictions on transfer contained in the Indenture and the Private Placement Legend are not required in order to maintain</w:t>
      </w:r>
      <w:r>
        <w:rPr>
          <w:color w:val="000000"/>
        </w:rPr>
        <w:t xml:space="preserve"> </w:t>
      </w:r>
      <w:r>
        <w:rPr>
          <w:rFonts w:ascii="Times New Roman;serif" w:hAnsi="Times New Roman;serif"/>
          <w:b w:val="false"/>
          <w:color w:val="000000"/>
          <w:sz w:val="24"/>
        </w:rPr>
        <w:t>compliance with the Securities Act. Upon consummation of the proposed Transfer in accordance with the terms of the Indenture, the transferred</w:t>
      </w:r>
      <w:r>
        <w:rPr>
          <w:color w:val="000000"/>
        </w:rPr>
        <w:t xml:space="preserve"> </w:t>
      </w:r>
      <w:r>
        <w:rPr>
          <w:rFonts w:ascii="Times New Roman;serif" w:hAnsi="Times New Roman;serif"/>
          <w:b w:val="false"/>
          <w:color w:val="000000"/>
          <w:sz w:val="24"/>
        </w:rPr>
        <w:t>beneficial interest or Definitive Note will no longer be subject to the restrictions on transfer enumerated in the Private Placement Legend printed on the</w:t>
      </w:r>
      <w:r>
        <w:rPr>
          <w:color w:val="000000"/>
        </w:rPr>
        <w:t xml:space="preserve"> </w:t>
      </w:r>
      <w:r>
        <w:rPr>
          <w:rFonts w:ascii="Times New Roman;serif" w:hAnsi="Times New Roman;serif"/>
          <w:b w:val="false"/>
          <w:color w:val="000000"/>
          <w:sz w:val="24"/>
        </w:rPr>
        <w:t>Restricted Global Notes, on Restricted Definitive Notes and in the Indenture.</w:t>
      </w:r>
    </w:p>
    <w:p>
      <w:pPr>
        <w:pStyle w:val="TextBody"/>
        <w:bidi w:val="0"/>
        <w:spacing w:lineRule="auto" w:line="240" w:before="0" w:after="240"/>
        <w:ind w:left="0" w:right="0" w:firstLine="1440"/>
        <w:jc w:val="both"/>
        <w:rPr/>
      </w:pPr>
      <w:r>
        <w:rPr>
          <w:rFonts w:ascii="Times New Roman;serif" w:hAnsi="Times New Roman;serif"/>
          <w:b w:val="false"/>
          <w:color w:val="000000"/>
          <w:sz w:val="24"/>
        </w:rPr>
        <w:t>(b)</w:t>
      </w:r>
      <w:r>
        <w:rPr>
          <w:color w:val="000000"/>
        </w:rPr>
        <w:t>☐</w:t>
      </w:r>
      <w:r>
        <w:rPr>
          <w:color w:val="000000"/>
        </w:rPr>
        <w:t xml:space="preserve">     </w:t>
      </w:r>
      <w:r>
        <w:rPr>
          <w:rFonts w:ascii="Times New Roman;serif" w:hAnsi="Times New Roman;serif"/>
          <w:b/>
          <w:color w:val="000000"/>
          <w:sz w:val="24"/>
        </w:rPr>
        <w:t>Check if Transfer is Pursuant to Regulation S</w:t>
      </w:r>
      <w:r>
        <w:rPr>
          <w:rFonts w:ascii="Times New Roman;serif" w:hAnsi="Times New Roman;serif"/>
          <w:b w:val="false"/>
          <w:color w:val="000000"/>
          <w:sz w:val="24"/>
        </w:rPr>
        <w:t>. (i) The Transfer is being effected pursuant to and in accordance with Rule 903 or</w:t>
      </w:r>
      <w:r>
        <w:rPr>
          <w:color w:val="000000"/>
        </w:rPr>
        <w:t xml:space="preserve"> </w:t>
      </w:r>
      <w:r>
        <w:rPr>
          <w:rFonts w:ascii="Times New Roman;serif" w:hAnsi="Times New Roman;serif"/>
          <w:b w:val="false"/>
          <w:color w:val="000000"/>
          <w:sz w:val="24"/>
        </w:rPr>
        <w:t>Rule 904 of Regulation S under the Securities Act and in compliance with the transfer restrictions contained in the Indenture and any applicable blue sky</w:t>
      </w:r>
      <w:r>
        <w:rPr>
          <w:color w:val="000000"/>
        </w:rPr>
        <w:t xml:space="preserve"> </w:t>
      </w:r>
      <w:r>
        <w:rPr>
          <w:rFonts w:ascii="Times New Roman;serif" w:hAnsi="Times New Roman;serif"/>
          <w:b w:val="false"/>
          <w:color w:val="000000"/>
          <w:sz w:val="24"/>
        </w:rPr>
        <w:t>securities laws of any state of the United States and (ii) the restrictions on transfer contained in the Indenture and the Private Placement Legend are not</w:t>
      </w:r>
      <w:r>
        <w:rPr>
          <w:color w:val="000000"/>
        </w:rPr>
        <w:t xml:space="preserve"> </w:t>
      </w:r>
      <w:r>
        <w:rPr>
          <w:rFonts w:ascii="Times New Roman;serif" w:hAnsi="Times New Roman;serif"/>
          <w:b w:val="false"/>
          <w:color w:val="000000"/>
          <w:sz w:val="24"/>
        </w:rPr>
        <w:t>required in order to maintain compliance with the Securities Act. Upon consummation of the proposed Transfer in accordance with the terms of the</w:t>
      </w:r>
      <w:r>
        <w:rPr>
          <w:color w:val="000000"/>
        </w:rPr>
        <w:t xml:space="preserve"> </w:t>
      </w:r>
      <w:r>
        <w:rPr>
          <w:rFonts w:ascii="Times New Roman;serif" w:hAnsi="Times New Roman;serif"/>
          <w:b w:val="false"/>
          <w:color w:val="000000"/>
          <w:sz w:val="24"/>
        </w:rPr>
        <w:t>Indenture, the transferred beneficial interest or Definitive Note will no longer be subject to the restrictions on transfer enumerated in the Private</w:t>
      </w:r>
      <w:r>
        <w:rPr>
          <w:color w:val="000000"/>
        </w:rPr>
        <w:t xml:space="preserve"> </w:t>
      </w:r>
      <w:r>
        <w:rPr>
          <w:rFonts w:ascii="Times New Roman;serif" w:hAnsi="Times New Roman;serif"/>
          <w:b w:val="false"/>
          <w:color w:val="000000"/>
          <w:sz w:val="24"/>
        </w:rPr>
        <w:t>Placement Legend printed on the Restricted Global Notes, on Restricted Definitive Notes and in the Indenture.</w:t>
      </w:r>
    </w:p>
    <w:p>
      <w:pPr>
        <w:pStyle w:val="TextBody"/>
        <w:bidi w:val="0"/>
        <w:spacing w:lineRule="auto" w:line="240" w:before="0" w:after="240"/>
        <w:ind w:left="0" w:right="0" w:firstLine="1440"/>
        <w:jc w:val="both"/>
        <w:rPr/>
      </w:pPr>
      <w:r>
        <w:rPr>
          <w:rFonts w:ascii="Times New Roman;serif" w:hAnsi="Times New Roman;serif"/>
          <w:b w:val="false"/>
          <w:color w:val="000000"/>
          <w:sz w:val="24"/>
        </w:rPr>
        <w:t>(c)</w:t>
      </w:r>
      <w:r>
        <w:rPr>
          <w:color w:val="000000"/>
        </w:rPr>
        <w:t>☐</w:t>
      </w:r>
      <w:r>
        <w:rPr>
          <w:color w:val="000000"/>
        </w:rPr>
        <w:t xml:space="preserve">     </w:t>
      </w:r>
      <w:r>
        <w:rPr>
          <w:rFonts w:ascii="Times New Roman;serif" w:hAnsi="Times New Roman;serif"/>
          <w:b/>
          <w:color w:val="000000"/>
          <w:sz w:val="24"/>
        </w:rPr>
        <w:t>Check</w:t>
      </w:r>
      <w:r>
        <w:rPr>
          <w:color w:val="000000"/>
        </w:rPr>
        <w:t xml:space="preserve"> </w:t>
      </w:r>
      <w:r>
        <w:rPr>
          <w:rFonts w:ascii="Times New Roman;serif" w:hAnsi="Times New Roman;serif"/>
          <w:b/>
          <w:color w:val="000000"/>
          <w:sz w:val="24"/>
        </w:rPr>
        <w:t>if</w:t>
      </w:r>
      <w:r>
        <w:rPr>
          <w:color w:val="000000"/>
        </w:rPr>
        <w:t xml:space="preserve"> </w:t>
      </w:r>
      <w:r>
        <w:rPr>
          <w:rFonts w:ascii="Times New Roman;serif" w:hAnsi="Times New Roman;serif"/>
          <w:b/>
          <w:color w:val="000000"/>
          <w:sz w:val="24"/>
        </w:rPr>
        <w:t>Transfer</w:t>
      </w:r>
      <w:r>
        <w:rPr>
          <w:color w:val="000000"/>
        </w:rPr>
        <w:t xml:space="preserve"> </w:t>
      </w:r>
      <w:r>
        <w:rPr>
          <w:rFonts w:ascii="Times New Roman;serif" w:hAnsi="Times New Roman;serif"/>
          <w:b/>
          <w:color w:val="000000"/>
          <w:sz w:val="24"/>
        </w:rPr>
        <w:t>is</w:t>
      </w:r>
      <w:r>
        <w:rPr>
          <w:color w:val="000000"/>
        </w:rPr>
        <w:t xml:space="preserve"> </w:t>
      </w:r>
      <w:r>
        <w:rPr>
          <w:rFonts w:ascii="Times New Roman;serif" w:hAnsi="Times New Roman;serif"/>
          <w:b/>
          <w:color w:val="000000"/>
          <w:sz w:val="24"/>
        </w:rPr>
        <w:t>Pursuant</w:t>
      </w:r>
      <w:r>
        <w:rPr>
          <w:color w:val="000000"/>
        </w:rPr>
        <w:t xml:space="preserve"> </w:t>
      </w:r>
      <w:r>
        <w:rPr>
          <w:rFonts w:ascii="Times New Roman;serif" w:hAnsi="Times New Roman;serif"/>
          <w:b/>
          <w:color w:val="000000"/>
          <w:sz w:val="24"/>
        </w:rPr>
        <w:t>to</w:t>
      </w:r>
      <w:r>
        <w:rPr>
          <w:color w:val="000000"/>
        </w:rPr>
        <w:t xml:space="preserve"> </w:t>
      </w:r>
      <w:r>
        <w:rPr>
          <w:rFonts w:ascii="Times New Roman;serif" w:hAnsi="Times New Roman;serif"/>
          <w:b/>
          <w:color w:val="000000"/>
          <w:sz w:val="24"/>
        </w:rPr>
        <w:t>Other</w:t>
      </w:r>
      <w:r>
        <w:rPr>
          <w:color w:val="000000"/>
        </w:rPr>
        <w:t xml:space="preserve"> </w:t>
      </w:r>
      <w:r>
        <w:rPr>
          <w:rFonts w:ascii="Times New Roman;serif" w:hAnsi="Times New Roman;serif"/>
          <w:b/>
          <w:color w:val="000000"/>
          <w:sz w:val="24"/>
        </w:rPr>
        <w:t>Exemption</w:t>
      </w:r>
      <w:r>
        <w:rPr>
          <w:rFonts w:ascii="Times New Roman;serif" w:hAnsi="Times New Roman;serif"/>
          <w:b w:val="false"/>
          <w:color w:val="000000"/>
          <w:sz w:val="24"/>
        </w:rPr>
        <w:t>. (i) The Transfer is being effected pursuant to and in compliance with an</w:t>
      </w:r>
      <w:r>
        <w:rPr>
          <w:color w:val="000000"/>
        </w:rPr>
        <w:t xml:space="preserve"> </w:t>
      </w:r>
      <w:r>
        <w:rPr>
          <w:rFonts w:ascii="Times New Roman;serif" w:hAnsi="Times New Roman;serif"/>
          <w:b w:val="false"/>
          <w:color w:val="000000"/>
          <w:sz w:val="24"/>
        </w:rPr>
        <w:t>exemption</w:t>
      </w:r>
      <w:r>
        <w:rPr>
          <w:color w:val="000000"/>
        </w:rPr>
        <w:t xml:space="preserve"> </w:t>
      </w:r>
      <w:r>
        <w:rPr>
          <w:rFonts w:ascii="Times New Roman;serif" w:hAnsi="Times New Roman;serif"/>
          <w:b w:val="false"/>
          <w:color w:val="000000"/>
          <w:sz w:val="24"/>
        </w:rPr>
        <w:t>from</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registration</w:t>
      </w:r>
      <w:r>
        <w:rPr>
          <w:color w:val="000000"/>
        </w:rPr>
        <w:t xml:space="preserve"> </w:t>
      </w:r>
      <w:r>
        <w:rPr>
          <w:rFonts w:ascii="Times New Roman;serif" w:hAnsi="Times New Roman;serif"/>
          <w:b w:val="false"/>
          <w:color w:val="000000"/>
          <w:sz w:val="24"/>
        </w:rPr>
        <w:t>requirements</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Securities</w:t>
      </w:r>
      <w:r>
        <w:rPr>
          <w:color w:val="000000"/>
        </w:rPr>
        <w:t xml:space="preserve"> </w:t>
      </w:r>
      <w:r>
        <w:rPr>
          <w:rFonts w:ascii="Times New Roman;serif" w:hAnsi="Times New Roman;serif"/>
          <w:b w:val="false"/>
          <w:color w:val="000000"/>
          <w:sz w:val="24"/>
        </w:rPr>
        <w:t>Act</w:t>
      </w:r>
      <w:r>
        <w:rPr>
          <w:color w:val="000000"/>
        </w:rPr>
        <w:t xml:space="preserve"> </w:t>
      </w:r>
      <w:r>
        <w:rPr>
          <w:rFonts w:ascii="Times New Roman;serif" w:hAnsi="Times New Roman;serif"/>
          <w:b w:val="false"/>
          <w:color w:val="000000"/>
          <w:sz w:val="24"/>
        </w:rPr>
        <w:t>other</w:t>
      </w:r>
      <w:r>
        <w:rPr>
          <w:color w:val="000000"/>
        </w:rPr>
        <w:t xml:space="preserve"> </w:t>
      </w:r>
      <w:r>
        <w:rPr>
          <w:rFonts w:ascii="Times New Roman;serif" w:hAnsi="Times New Roman;serif"/>
          <w:b w:val="false"/>
          <w:color w:val="000000"/>
          <w:sz w:val="24"/>
        </w:rPr>
        <w:t>than</w:t>
      </w:r>
      <w:r>
        <w:rPr>
          <w:color w:val="000000"/>
        </w:rPr>
        <w:t xml:space="preserve"> </w:t>
      </w:r>
      <w:r>
        <w:rPr>
          <w:rFonts w:ascii="Times New Roman;serif" w:hAnsi="Times New Roman;serif"/>
          <w:b w:val="false"/>
          <w:color w:val="000000"/>
          <w:sz w:val="24"/>
        </w:rPr>
        <w:t>Rule</w:t>
      </w:r>
      <w:r>
        <w:rPr>
          <w:color w:val="000000"/>
        </w:rPr>
        <w:t xml:space="preserve"> </w:t>
      </w:r>
      <w:r>
        <w:rPr>
          <w:rFonts w:ascii="Times New Roman;serif" w:hAnsi="Times New Roman;serif"/>
          <w:b w:val="false"/>
          <w:color w:val="000000"/>
          <w:sz w:val="24"/>
        </w:rPr>
        <w:t>144,</w:t>
      </w:r>
      <w:r>
        <w:rPr>
          <w:color w:val="000000"/>
        </w:rPr>
        <w:t xml:space="preserve"> </w:t>
      </w:r>
      <w:r>
        <w:rPr>
          <w:rFonts w:ascii="Times New Roman;serif" w:hAnsi="Times New Roman;serif"/>
          <w:b w:val="false"/>
          <w:color w:val="000000"/>
          <w:sz w:val="24"/>
        </w:rPr>
        <w:t>Rule</w:t>
      </w:r>
      <w:r>
        <w:rPr>
          <w:color w:val="000000"/>
        </w:rPr>
        <w:t xml:space="preserve"> </w:t>
      </w:r>
      <w:r>
        <w:rPr>
          <w:rFonts w:ascii="Times New Roman;serif" w:hAnsi="Times New Roman;serif"/>
          <w:b w:val="false"/>
          <w:color w:val="000000"/>
          <w:sz w:val="24"/>
        </w:rPr>
        <w:t>903</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Rule</w:t>
      </w:r>
      <w:r>
        <w:rPr>
          <w:color w:val="000000"/>
        </w:rPr>
        <w:t xml:space="preserve"> </w:t>
      </w:r>
      <w:r>
        <w:rPr>
          <w:rFonts w:ascii="Times New Roman;serif" w:hAnsi="Times New Roman;serif"/>
          <w:b w:val="false"/>
          <w:color w:val="000000"/>
          <w:sz w:val="24"/>
        </w:rPr>
        <w:t>904</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Regulation</w:t>
      </w:r>
      <w:r>
        <w:rPr>
          <w:color w:val="000000"/>
        </w:rPr>
        <w:t xml:space="preserve"> </w:t>
      </w:r>
      <w:r>
        <w:rPr>
          <w:rFonts w:ascii="Times New Roman;serif" w:hAnsi="Times New Roman;serif"/>
          <w:b w:val="false"/>
          <w:color w:val="000000"/>
          <w:sz w:val="24"/>
        </w:rPr>
        <w:t>S</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compliance</w:t>
      </w:r>
      <w:r>
        <w:rPr>
          <w:color w:val="000000"/>
        </w:rPr>
        <w:t xml:space="preserve"> </w:t>
      </w:r>
      <w:r>
        <w:rPr>
          <w:rFonts w:ascii="Times New Roman;serif" w:hAnsi="Times New Roman;serif"/>
          <w:b w:val="false"/>
          <w:color w:val="000000"/>
          <w:sz w:val="24"/>
        </w:rPr>
        <w:t>with</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transfer restrictions contained in the Indenture and any applicable blue sky securities laws of any State of the United States and (ii) the restrictions on</w:t>
      </w:r>
      <w:r>
        <w:rPr>
          <w:color w:val="000000"/>
        </w:rPr>
        <w:t xml:space="preserve"> </w:t>
      </w:r>
      <w:r>
        <w:rPr>
          <w:rFonts w:ascii="Times New Roman;serif" w:hAnsi="Times New Roman;serif"/>
          <w:b w:val="false"/>
          <w:color w:val="000000"/>
          <w:sz w:val="24"/>
        </w:rPr>
        <w:t>transfer contained in the Indenture and the Private Placement Legend are not required in order to maintain compliance with the Securities Act. Upon</w:t>
      </w:r>
      <w:r>
        <w:rPr>
          <w:color w:val="000000"/>
        </w:rPr>
        <w:t xml:space="preserve"> </w:t>
      </w:r>
      <w:r>
        <w:rPr>
          <w:rFonts w:ascii="Times New Roman;serif" w:hAnsi="Times New Roman;serif"/>
          <w:b w:val="false"/>
          <w:color w:val="000000"/>
          <w:sz w:val="24"/>
        </w:rPr>
        <w:t>consummation of the proposed Transfer in accordance with the terms of the Indenture, the transferred beneficial interest or Definitive Note will not be</w:t>
      </w:r>
      <w:r>
        <w:rPr>
          <w:color w:val="000000"/>
        </w:rPr>
        <w:t xml:space="preserve"> </w:t>
      </w:r>
      <w:r>
        <w:rPr>
          <w:rFonts w:ascii="Times New Roman;serif" w:hAnsi="Times New Roman;serif"/>
          <w:b w:val="false"/>
          <w:color w:val="000000"/>
          <w:sz w:val="24"/>
        </w:rPr>
        <w:t>subject to the restrictions on transfer enumerated in the Private Placement Legend printed on the Restricted Global Notes or Restricted Definitive Notes</w:t>
      </w:r>
      <w:r>
        <w:rPr>
          <w:color w:val="000000"/>
        </w:rPr>
        <w:t xml:space="preserve"> </w:t>
      </w:r>
      <w:r>
        <w:rPr>
          <w:rFonts w:ascii="Times New Roman;serif" w:hAnsi="Times New Roman;serif"/>
          <w:b w:val="false"/>
          <w:color w:val="000000"/>
          <w:sz w:val="24"/>
        </w:rPr>
        <w:t>and in the Indenture.</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6480175" cy="175260"/>
                <wp:effectExtent l="0" t="0" r="0" b="0"/>
                <wp:wrapNone/>
                <wp:docPr id="157" name="Frame15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B-3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B-3</w:t>
                      </w:r>
                    </w:p>
                  </w:txbxContent>
                </v:textbox>
                <w10:wrap type="none"/>
              </v:rect>
            </w:pict>
          </mc:Fallback>
        </mc:AlternateContent>
      </w:r>
    </w:p>
    <w:p>
      <w:pPr>
        <w:pStyle w:val="TextBody"/>
        <w:bidi w:val="0"/>
        <w:spacing w:lineRule="auto" w:line="288" w:before="0" w:after="0"/>
        <w:jc w:val="left"/>
        <w:rPr/>
      </w:pPr>
      <w:r>
        <w:rPr>
          <w:rFonts w:ascii="Times New Roman;serif" w:hAnsi="Times New Roman;serif"/>
          <w:b w:val="false"/>
          <w:color w:val="000000"/>
          <w:sz w:val="24"/>
        </w:rPr>
        <w:t>This</w:t>
      </w:r>
      <w:r>
        <w:rPr>
          <w:color w:val="000000"/>
        </w:rPr>
        <w:t xml:space="preserve"> </w:t>
      </w:r>
      <w:r>
        <w:rPr>
          <w:rFonts w:ascii="Times New Roman;serif" w:hAnsi="Times New Roman;serif"/>
          <w:b w:val="false"/>
          <w:color w:val="000000"/>
          <w:sz w:val="24"/>
        </w:rPr>
        <w:t>certificate</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statements</w:t>
      </w:r>
      <w:r>
        <w:rPr>
          <w:color w:val="000000"/>
        </w:rPr>
        <w:t xml:space="preserve"> </w:t>
      </w:r>
      <w:r>
        <w:rPr>
          <w:rFonts w:ascii="Times New Roman;serif" w:hAnsi="Times New Roman;serif"/>
          <w:b w:val="false"/>
          <w:color w:val="000000"/>
          <w:sz w:val="24"/>
        </w:rPr>
        <w:t>contained</w:t>
      </w:r>
      <w:r>
        <w:rPr>
          <w:color w:val="000000"/>
        </w:rPr>
        <w:t xml:space="preserve"> </w:t>
      </w:r>
      <w:r>
        <w:rPr>
          <w:rFonts w:ascii="Times New Roman;serif" w:hAnsi="Times New Roman;serif"/>
          <w:b w:val="false"/>
          <w:color w:val="000000"/>
          <w:sz w:val="24"/>
        </w:rPr>
        <w:t>herein</w:t>
      </w:r>
      <w:r>
        <w:rPr>
          <w:color w:val="000000"/>
        </w:rPr>
        <w:t xml:space="preserve"> </w:t>
      </w:r>
      <w:r>
        <w:rPr>
          <w:rFonts w:ascii="Times New Roman;serif" w:hAnsi="Times New Roman;serif"/>
          <w:b w:val="false"/>
          <w:color w:val="000000"/>
          <w:sz w:val="24"/>
        </w:rPr>
        <w:t>are</w:t>
      </w:r>
      <w:r>
        <w:rPr>
          <w:color w:val="000000"/>
        </w:rPr>
        <w:t xml:space="preserve"> </w:t>
      </w:r>
      <w:r>
        <w:rPr>
          <w:rFonts w:ascii="Times New Roman;serif" w:hAnsi="Times New Roman;serif"/>
          <w:b w:val="false"/>
          <w:color w:val="000000"/>
          <w:sz w:val="24"/>
        </w:rPr>
        <w:t>made</w:t>
      </w:r>
      <w:r>
        <w:rPr>
          <w:color w:val="000000"/>
        </w:rPr>
        <w:t xml:space="preserve"> </w:t>
      </w:r>
      <w:r>
        <w:rPr>
          <w:rFonts w:ascii="Times New Roman;serif" w:hAnsi="Times New Roman;serif"/>
          <w:b w:val="false"/>
          <w:color w:val="000000"/>
          <w:sz w:val="24"/>
        </w:rPr>
        <w:t>for</w:t>
      </w:r>
      <w:r>
        <w:rPr>
          <w:color w:val="000000"/>
        </w:rPr>
        <w:t xml:space="preserve"> </w:t>
      </w:r>
      <w:r>
        <w:rPr>
          <w:rFonts w:ascii="Times New Roman;serif" w:hAnsi="Times New Roman;serif"/>
          <w:b w:val="false"/>
          <w:color w:val="000000"/>
          <w:sz w:val="24"/>
        </w:rPr>
        <w:t>your</w:t>
      </w:r>
      <w:r>
        <w:rPr>
          <w:color w:val="000000"/>
        </w:rPr>
        <w:t xml:space="preserve"> </w:t>
      </w:r>
      <w:r>
        <w:rPr>
          <w:rFonts w:ascii="Times New Roman;serif" w:hAnsi="Times New Roman;serif"/>
          <w:b w:val="false"/>
          <w:color w:val="000000"/>
          <w:sz w:val="24"/>
        </w:rPr>
        <w:t>benefit</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benefit</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Issuer.</w:t>
      </w:r>
    </w:p>
    <w:p>
      <w:pPr>
        <w:pStyle w:val="TextBody"/>
        <w:bidi w:val="0"/>
        <w:spacing w:lineRule="auto" w:line="288" w:before="0" w:after="0"/>
        <w:jc w:val="left"/>
        <w:rPr>
          <w:color w:val="000000"/>
          <w:u w:val="single"/>
        </w:rPr>
      </w:pPr>
      <w:r>
        <w:rPr>
          <w:color w:val="000000"/>
          <w:u w:val="single"/>
        </w:rPr>
        <w:t>             </w:t>
      </w:r>
    </w:p>
    <w:p>
      <w:pPr>
        <w:pStyle w:val="TextBody"/>
        <w:bidi w:val="0"/>
        <w:spacing w:lineRule="auto" w:line="288" w:before="0" w:after="0"/>
        <w:jc w:val="left"/>
        <w:rPr/>
      </w:pPr>
      <w:r>
        <w:rPr>
          <w:rFonts w:ascii="Times New Roman;serif" w:hAnsi="Times New Roman;serif"/>
          <w:b w:val="false"/>
          <w:color w:val="000000"/>
          <w:sz w:val="24"/>
          <w:u w:val="single"/>
        </w:rPr>
        <w:t>[Insert</w:t>
      </w:r>
      <w:r>
        <w:rPr>
          <w:color w:val="000000"/>
          <w:u w:val="single"/>
        </w:rPr>
        <w:t xml:space="preserve"> </w:t>
      </w:r>
      <w:r>
        <w:rPr>
          <w:rFonts w:ascii="Times New Roman;serif" w:hAnsi="Times New Roman;serif"/>
          <w:b w:val="false"/>
          <w:color w:val="000000"/>
          <w:sz w:val="24"/>
          <w:u w:val="single"/>
        </w:rPr>
        <w:t>Name</w:t>
      </w:r>
      <w:r>
        <w:rPr>
          <w:color w:val="000000"/>
          <w:u w:val="single"/>
        </w:rPr>
        <w:t xml:space="preserve"> </w:t>
      </w:r>
      <w:r>
        <w:rPr>
          <w:rFonts w:ascii="Times New Roman;serif" w:hAnsi="Times New Roman;serif"/>
          <w:b w:val="false"/>
          <w:color w:val="000000"/>
          <w:sz w:val="24"/>
          <w:u w:val="single"/>
        </w:rPr>
        <w:t>of</w:t>
      </w:r>
      <w:r>
        <w:rPr>
          <w:color w:val="000000"/>
          <w:u w:val="single"/>
        </w:rPr>
        <w:t xml:space="preserve"> </w:t>
      </w:r>
      <w:r>
        <w:rPr>
          <w:rFonts w:ascii="Times New Roman;serif" w:hAnsi="Times New Roman;serif"/>
          <w:b w:val="false"/>
          <w:color w:val="000000"/>
          <w:sz w:val="24"/>
          <w:u w:val="single"/>
        </w:rPr>
        <w:t>Transferor]</w:t>
      </w:r>
    </w:p>
    <w:p>
      <w:pPr>
        <w:pStyle w:val="TextBody"/>
        <w:bidi w:val="0"/>
        <w:spacing w:before="0" w:after="0"/>
        <w:jc w:val="left"/>
        <w:rPr/>
      </w:pPr>
      <w:r>
        <w:rPr/>
      </w:r>
    </w:p>
    <w:p>
      <w:pPr>
        <w:pStyle w:val="TextBody"/>
        <w:bidi w:val="0"/>
        <w:spacing w:lineRule="auto" w:line="288" w:before="0" w:after="240"/>
        <w:jc w:val="left"/>
        <w:rPr/>
      </w:pPr>
      <w:r>
        <w:rPr>
          <w:rFonts w:ascii="Times New Roman;serif" w:hAnsi="Times New Roman;serif"/>
          <w:b w:val="false"/>
          <w:color w:val="000000"/>
          <w:sz w:val="24"/>
        </w:rPr>
        <w:t>By:    </w:t>
      </w:r>
      <w:r>
        <w:rPr>
          <w:color w:val="000000"/>
          <w:u w:val="single"/>
        </w:rPr>
        <w:t>        </w:t>
      </w:r>
      <w:r>
        <w:rPr>
          <w:rFonts w:ascii="Times New Roman;serif" w:hAnsi="Times New Roman;serif"/>
          <w:b w:val="false"/>
          <w:color w:val="000000"/>
          <w:sz w:val="24"/>
          <w:u w:val="single"/>
        </w:rPr>
        <w:br/>
      </w:r>
      <w:r>
        <w:rPr>
          <w:color w:val="000000"/>
        </w:rPr>
        <w:t>    </w:t>
      </w:r>
      <w:r>
        <w:rPr>
          <w:rFonts w:ascii="Times New Roman;serif" w:hAnsi="Times New Roman;serif"/>
          <w:b w:val="false"/>
          <w:color w:val="000000"/>
          <w:sz w:val="24"/>
        </w:rPr>
        <w:t>Name:    </w:t>
        <w:br/>
        <w:t>    Title:    </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Dated:    </w:t>
      </w:r>
    </w:p>
    <w:p>
      <w:pPr>
        <w:pStyle w:val="TextBody"/>
        <w:bidi w:val="0"/>
        <w:spacing w:before="0" w:after="0"/>
        <w:jc w:val="left"/>
        <w:rPr/>
      </w:pPr>
      <w:r>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6480175" cy="175260"/>
                <wp:effectExtent l="0" t="0" r="0" b="0"/>
                <wp:wrapNone/>
                <wp:docPr id="158" name="Frame15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B-4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B-4</w:t>
                      </w:r>
                    </w:p>
                  </w:txbxContent>
                </v:textbox>
                <w10:wrap type="none"/>
              </v:rect>
            </w:pict>
          </mc:Fallback>
        </mc:AlternateContent>
      </w:r>
    </w:p>
    <w:p>
      <w:pPr>
        <w:pStyle w:val="TextBody"/>
        <w:bidi w:val="0"/>
        <w:spacing w:lineRule="auto" w:line="240" w:before="0" w:after="240"/>
        <w:jc w:val="center"/>
        <w:rPr/>
      </w:pPr>
      <w:r>
        <w:rPr>
          <w:rFonts w:ascii="Times New Roman;serif" w:hAnsi="Times New Roman;serif"/>
          <w:b/>
          <w:color w:val="000000"/>
          <w:sz w:val="24"/>
        </w:rPr>
        <w:t>Annex A to</w:t>
      </w:r>
      <w:r>
        <w:rPr>
          <w:color w:val="000000"/>
        </w:rPr>
        <w:t xml:space="preserve"> </w:t>
      </w:r>
      <w:r>
        <w:rPr>
          <w:rFonts w:ascii="Times New Roman;serif" w:hAnsi="Times New Roman;serif"/>
          <w:b/>
          <w:color w:val="000000"/>
          <w:sz w:val="24"/>
        </w:rPr>
        <w:t>Certificate</w:t>
      </w:r>
      <w:r>
        <w:rPr>
          <w:color w:val="000000"/>
        </w:rPr>
        <w:t xml:space="preserve"> </w:t>
      </w:r>
      <w:r>
        <w:rPr>
          <w:rFonts w:ascii="Times New Roman;serif" w:hAnsi="Times New Roman;serif"/>
          <w:b/>
          <w:color w:val="000000"/>
          <w:sz w:val="24"/>
        </w:rPr>
        <w:t>of</w:t>
      </w:r>
      <w:r>
        <w:rPr>
          <w:color w:val="000000"/>
        </w:rPr>
        <w:t xml:space="preserve"> </w:t>
      </w:r>
      <w:r>
        <w:rPr>
          <w:rFonts w:ascii="Times New Roman;serif" w:hAnsi="Times New Roman;serif"/>
          <w:b/>
          <w:color w:val="000000"/>
          <w:sz w:val="24"/>
        </w:rPr>
        <w:t>Transfer</w:t>
      </w:r>
    </w:p>
    <w:p>
      <w:pPr>
        <w:pStyle w:val="TextBody"/>
        <w:bidi w:val="0"/>
        <w:spacing w:lineRule="auto" w:line="240" w:before="0" w:after="240"/>
        <w:ind w:left="0" w:right="0" w:firstLine="720"/>
        <w:jc w:val="both"/>
        <w:rPr/>
      </w:pPr>
      <w:r>
        <w:rPr>
          <w:rFonts w:ascii="Times New Roman;serif" w:hAnsi="Times New Roman;serif"/>
          <w:b w:val="false"/>
          <w:color w:val="000000"/>
          <w:sz w:val="24"/>
        </w:rPr>
        <w:t>1.</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Transferor</w:t>
      </w:r>
      <w:r>
        <w:rPr>
          <w:color w:val="000000"/>
        </w:rPr>
        <w:t xml:space="preserve"> </w:t>
      </w:r>
      <w:r>
        <w:rPr>
          <w:rFonts w:ascii="Times New Roman;serif" w:hAnsi="Times New Roman;serif"/>
          <w:b w:val="false"/>
          <w:color w:val="000000"/>
          <w:sz w:val="24"/>
        </w:rPr>
        <w:t>owns</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proposes</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transfer</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following:</w:t>
      </w:r>
    </w:p>
    <w:p>
      <w:pPr>
        <w:pStyle w:val="TextBody"/>
        <w:bidi w:val="0"/>
        <w:spacing w:lineRule="auto" w:line="556" w:before="0" w:after="0"/>
        <w:jc w:val="left"/>
        <w:rPr/>
      </w:pPr>
      <w:r>
        <w:rPr>
          <w:rFonts w:ascii="Times New Roman;serif" w:hAnsi="Times New Roman;serif"/>
          <w:b/>
          <w:color w:val="000000"/>
          <w:sz w:val="24"/>
        </w:rPr>
        <w:t>[CHECK</w:t>
      </w:r>
      <w:r>
        <w:rPr>
          <w:color w:val="000000"/>
        </w:rPr>
        <w:t xml:space="preserve"> </w:t>
      </w:r>
      <w:r>
        <w:rPr>
          <w:rFonts w:ascii="Times New Roman;serif" w:hAnsi="Times New Roman;serif"/>
          <w:b/>
          <w:color w:val="000000"/>
          <w:sz w:val="24"/>
        </w:rPr>
        <w:t>ONE</w:t>
      </w:r>
      <w:r>
        <w:rPr>
          <w:color w:val="000000"/>
        </w:rPr>
        <w:t xml:space="preserve"> </w:t>
      </w:r>
      <w:r>
        <w:rPr>
          <w:rFonts w:ascii="Times New Roman;serif" w:hAnsi="Times New Roman;serif"/>
          <w:b/>
          <w:color w:val="000000"/>
          <w:sz w:val="24"/>
        </w:rPr>
        <w:t>OF</w:t>
      </w:r>
      <w:r>
        <w:rPr>
          <w:color w:val="000000"/>
        </w:rPr>
        <w:t xml:space="preserve"> </w:t>
      </w:r>
      <w:r>
        <w:rPr>
          <w:rFonts w:ascii="Times New Roman;serif" w:hAnsi="Times New Roman;serif"/>
          <w:b/>
          <w:color w:val="000000"/>
          <w:sz w:val="24"/>
        </w:rPr>
        <w:t>(a)</w:t>
      </w:r>
      <w:r>
        <w:rPr>
          <w:color w:val="000000"/>
        </w:rPr>
        <w:t xml:space="preserve"> </w:t>
      </w:r>
      <w:r>
        <w:rPr>
          <w:rFonts w:ascii="Times New Roman;serif" w:hAnsi="Times New Roman;serif"/>
          <w:b/>
          <w:color w:val="000000"/>
          <w:sz w:val="24"/>
        </w:rPr>
        <w:t>OR</w:t>
      </w:r>
      <w:r>
        <w:rPr>
          <w:color w:val="000000"/>
        </w:rPr>
        <w:t xml:space="preserve"> </w:t>
      </w:r>
      <w:r>
        <w:rPr>
          <w:rFonts w:ascii="Times New Roman;serif" w:hAnsi="Times New Roman;serif"/>
          <w:b/>
          <w:color w:val="000000"/>
          <w:sz w:val="24"/>
        </w:rPr>
        <w:t>(b)]</w:t>
      </w:r>
    </w:p>
    <w:p>
      <w:pPr>
        <w:pStyle w:val="TextBody"/>
        <w:bidi w:val="0"/>
        <w:spacing w:lineRule="auto" w:line="240" w:before="0" w:after="240"/>
        <w:ind w:left="0" w:right="0" w:firstLine="1440"/>
        <w:jc w:val="both"/>
        <w:rPr/>
      </w:pPr>
      <w:r>
        <w:rPr>
          <w:rFonts w:ascii="Times New Roman;serif" w:hAnsi="Times New Roman;serif"/>
          <w:b w:val="false"/>
          <w:color w:val="000000"/>
          <w:sz w:val="24"/>
        </w:rPr>
        <w:t>(a)</w:t>
      </w:r>
      <w:r>
        <w:rPr>
          <w:color w:val="000000"/>
        </w:rPr>
        <w:t>☐</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beneficial</w:t>
      </w:r>
      <w:r>
        <w:rPr>
          <w:color w:val="000000"/>
        </w:rPr>
        <w:t xml:space="preserve"> </w:t>
      </w:r>
      <w:r>
        <w:rPr>
          <w:rFonts w:ascii="Times New Roman;serif" w:hAnsi="Times New Roman;serif"/>
          <w:b w:val="false"/>
          <w:color w:val="000000"/>
          <w:sz w:val="24"/>
        </w:rPr>
        <w:t>interest</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the:</w:t>
      </w:r>
    </w:p>
    <w:p>
      <w:pPr>
        <w:pStyle w:val="TextBody"/>
        <w:bidi w:val="0"/>
        <w:spacing w:lineRule="auto" w:line="240" w:before="0" w:after="240"/>
        <w:ind w:left="0" w:right="0" w:firstLine="1440"/>
        <w:jc w:val="both"/>
        <w:rPr/>
      </w:pPr>
      <w:r>
        <w:rPr>
          <w:rFonts w:ascii="Times New Roman;serif" w:hAnsi="Times New Roman;serif"/>
          <w:b w:val="false"/>
          <w:color w:val="000000"/>
          <w:sz w:val="24"/>
        </w:rPr>
        <w:t>(i)</w:t>
      </w:r>
      <w:r>
        <w:rPr>
          <w:color w:val="000000"/>
        </w:rPr>
        <w:t>☐     </w:t>
      </w:r>
      <w:r>
        <w:rPr>
          <w:rFonts w:ascii="Times New Roman;serif" w:hAnsi="Times New Roman;serif"/>
          <w:b w:val="false"/>
          <w:color w:val="000000"/>
          <w:sz w:val="24"/>
        </w:rPr>
        <w:t>144A</w:t>
      </w:r>
      <w:r>
        <w:rPr>
          <w:color w:val="000000"/>
        </w:rPr>
        <w:t xml:space="preserve"> </w:t>
      </w:r>
      <w:r>
        <w:rPr>
          <w:rFonts w:ascii="Times New Roman;serif" w:hAnsi="Times New Roman;serif"/>
          <w:b w:val="false"/>
          <w:color w:val="000000"/>
          <w:sz w:val="24"/>
        </w:rPr>
        <w:t>Global Note</w:t>
      </w:r>
      <w:r>
        <w:rPr>
          <w:color w:val="000000"/>
        </w:rPr>
        <w:t xml:space="preserve"> </w:t>
      </w:r>
      <w:r>
        <w:rPr>
          <w:rFonts w:ascii="Times New Roman;serif" w:hAnsi="Times New Roman;serif"/>
          <w:b w:val="false"/>
          <w:color w:val="000000"/>
          <w:sz w:val="24"/>
        </w:rPr>
        <w:t>(CUSIP</w:t>
      </w:r>
      <w:r>
        <w:rPr>
          <w:color w:val="000000"/>
        </w:rPr>
        <w:t xml:space="preserve"> </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or</w:t>
      </w:r>
    </w:p>
    <w:p>
      <w:pPr>
        <w:pStyle w:val="TextBody"/>
        <w:bidi w:val="0"/>
        <w:spacing w:lineRule="auto" w:line="240" w:before="0" w:after="240"/>
        <w:ind w:left="0" w:right="0" w:firstLine="1440"/>
        <w:jc w:val="both"/>
        <w:rPr/>
      </w:pPr>
      <w:r>
        <w:rPr>
          <w:rFonts w:ascii="Times New Roman;serif" w:hAnsi="Times New Roman;serif"/>
          <w:b w:val="false"/>
          <w:color w:val="000000"/>
          <w:sz w:val="24"/>
        </w:rPr>
        <w:t>(ii)</w:t>
      </w:r>
      <w:r>
        <w:rPr>
          <w:color w:val="000000"/>
        </w:rPr>
        <w:t>☐     </w:t>
      </w:r>
      <w:r>
        <w:rPr>
          <w:rFonts w:ascii="Times New Roman;serif" w:hAnsi="Times New Roman;serif"/>
          <w:b w:val="false"/>
          <w:color w:val="000000"/>
          <w:sz w:val="24"/>
        </w:rPr>
        <w:t>Regulation</w:t>
      </w:r>
      <w:r>
        <w:rPr>
          <w:color w:val="000000"/>
        </w:rPr>
        <w:t xml:space="preserve"> </w:t>
      </w:r>
      <w:r>
        <w:rPr>
          <w:rFonts w:ascii="Times New Roman;serif" w:hAnsi="Times New Roman;serif"/>
          <w:b w:val="false"/>
          <w:color w:val="000000"/>
          <w:sz w:val="24"/>
        </w:rPr>
        <w:t>S</w:t>
      </w:r>
      <w:r>
        <w:rPr>
          <w:color w:val="000000"/>
        </w:rPr>
        <w:t xml:space="preserve"> </w:t>
      </w:r>
      <w:r>
        <w:rPr>
          <w:rFonts w:ascii="Times New Roman;serif" w:hAnsi="Times New Roman;serif"/>
          <w:b w:val="false"/>
          <w:color w:val="000000"/>
          <w:sz w:val="24"/>
        </w:rPr>
        <w:t>Global</w:t>
      </w:r>
      <w:r>
        <w:rPr>
          <w:color w:val="000000"/>
        </w:rPr>
        <w:t xml:space="preserve"> </w:t>
      </w:r>
      <w:r>
        <w:rPr>
          <w:rFonts w:ascii="Times New Roman;serif" w:hAnsi="Times New Roman;serif"/>
          <w:b w:val="false"/>
          <w:color w:val="000000"/>
          <w:sz w:val="24"/>
        </w:rPr>
        <w:t>Note</w:t>
      </w:r>
      <w:r>
        <w:rPr>
          <w:color w:val="000000"/>
        </w:rPr>
        <w:t xml:space="preserve"> </w:t>
      </w:r>
      <w:r>
        <w:rPr>
          <w:rFonts w:ascii="Times New Roman;serif" w:hAnsi="Times New Roman;serif"/>
          <w:b w:val="false"/>
          <w:color w:val="000000"/>
          <w:sz w:val="24"/>
        </w:rPr>
        <w:t>(CUSIP</w:t>
      </w:r>
      <w:r>
        <w:rPr>
          <w:color w:val="000000"/>
        </w:rPr>
        <w:t xml:space="preserve"> </w:t>
      </w:r>
      <w:r>
        <w:rPr>
          <w:rFonts w:ascii="Times New Roman;serif" w:hAnsi="Times New Roman;serif"/>
          <w:b w:val="false"/>
          <w:color w:val="000000"/>
          <w:sz w:val="24"/>
        </w:rPr>
        <w:t>), or</w:t>
      </w:r>
    </w:p>
    <w:p>
      <w:pPr>
        <w:pStyle w:val="TextBody"/>
        <w:bidi w:val="0"/>
        <w:spacing w:lineRule="auto" w:line="240" w:before="0" w:after="240"/>
        <w:ind w:left="0" w:right="0" w:firstLine="1440"/>
        <w:jc w:val="both"/>
        <w:rPr/>
      </w:pPr>
      <w:r>
        <w:rPr>
          <w:rFonts w:ascii="Times New Roman;serif" w:hAnsi="Times New Roman;serif"/>
          <w:b w:val="false"/>
          <w:color w:val="000000"/>
          <w:sz w:val="24"/>
        </w:rPr>
        <w:t>(iii)</w:t>
      </w:r>
      <w:r>
        <w:rPr>
          <w:color w:val="000000"/>
        </w:rPr>
        <w:t>☐     </w:t>
      </w:r>
      <w:r>
        <w:rPr>
          <w:rFonts w:ascii="Times New Roman;serif" w:hAnsi="Times New Roman;serif"/>
          <w:b w:val="false"/>
          <w:color w:val="000000"/>
          <w:sz w:val="24"/>
        </w:rPr>
        <w:t>IAI</w:t>
      </w:r>
      <w:r>
        <w:rPr>
          <w:color w:val="000000"/>
        </w:rPr>
        <w:t xml:space="preserve"> </w:t>
      </w:r>
      <w:r>
        <w:rPr>
          <w:rFonts w:ascii="Times New Roman;serif" w:hAnsi="Times New Roman;serif"/>
          <w:b w:val="false"/>
          <w:color w:val="000000"/>
          <w:sz w:val="24"/>
        </w:rPr>
        <w:t>Global</w:t>
      </w:r>
      <w:r>
        <w:rPr>
          <w:color w:val="000000"/>
        </w:rPr>
        <w:t xml:space="preserve"> </w:t>
      </w:r>
      <w:r>
        <w:rPr>
          <w:rFonts w:ascii="Times New Roman;serif" w:hAnsi="Times New Roman;serif"/>
          <w:b w:val="false"/>
          <w:color w:val="000000"/>
          <w:sz w:val="24"/>
        </w:rPr>
        <w:t>Note</w:t>
      </w:r>
      <w:r>
        <w:rPr>
          <w:color w:val="000000"/>
        </w:rPr>
        <w:t xml:space="preserve"> </w:t>
      </w:r>
      <w:r>
        <w:rPr>
          <w:rFonts w:ascii="Times New Roman;serif" w:hAnsi="Times New Roman;serif"/>
          <w:b w:val="false"/>
          <w:color w:val="000000"/>
          <w:sz w:val="24"/>
        </w:rPr>
        <w:t>(CUSIP</w:t>
      </w:r>
      <w:r>
        <w:rPr>
          <w:color w:val="000000"/>
        </w:rPr>
        <w:t xml:space="preserve"> </w:t>
      </w:r>
      <w:r>
        <w:rPr>
          <w:rFonts w:ascii="Times New Roman;serif" w:hAnsi="Times New Roman;serif"/>
          <w:b w:val="false"/>
          <w:color w:val="000000"/>
          <w:sz w:val="24"/>
        </w:rPr>
        <w:t>); or</w:t>
      </w:r>
    </w:p>
    <w:p>
      <w:pPr>
        <w:pStyle w:val="TextBody"/>
        <w:bidi w:val="0"/>
        <w:spacing w:lineRule="auto" w:line="240" w:before="0" w:after="240"/>
        <w:ind w:left="0" w:right="0" w:firstLine="1440"/>
        <w:jc w:val="both"/>
        <w:rPr/>
      </w:pPr>
      <w:r>
        <w:rPr>
          <w:rFonts w:ascii="Times New Roman;serif" w:hAnsi="Times New Roman;serif"/>
          <w:b w:val="false"/>
          <w:color w:val="000000"/>
          <w:sz w:val="24"/>
        </w:rPr>
        <w:t>(b)</w:t>
      </w:r>
      <w:r>
        <w:rPr>
          <w:color w:val="000000"/>
        </w:rPr>
        <w:t>☐</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Restricted</w:t>
      </w:r>
      <w:r>
        <w:rPr>
          <w:color w:val="000000"/>
        </w:rPr>
        <w:t xml:space="preserve"> </w:t>
      </w:r>
      <w:r>
        <w:rPr>
          <w:rFonts w:ascii="Times New Roman;serif" w:hAnsi="Times New Roman;serif"/>
          <w:b w:val="false"/>
          <w:color w:val="000000"/>
          <w:sz w:val="24"/>
        </w:rPr>
        <w:t>Definitive</w:t>
      </w:r>
      <w:r>
        <w:rPr>
          <w:color w:val="000000"/>
        </w:rPr>
        <w:t xml:space="preserve"> </w:t>
      </w:r>
      <w:r>
        <w:rPr>
          <w:rFonts w:ascii="Times New Roman;serif" w:hAnsi="Times New Roman;serif"/>
          <w:b w:val="false"/>
          <w:color w:val="000000"/>
          <w:sz w:val="24"/>
        </w:rPr>
        <w:t>Note.</w:t>
      </w:r>
    </w:p>
    <w:p>
      <w:pPr>
        <w:pStyle w:val="TextBody"/>
        <w:bidi w:val="0"/>
        <w:spacing w:lineRule="auto" w:line="240" w:before="0" w:after="240"/>
        <w:ind w:left="0" w:right="0" w:firstLine="720"/>
        <w:jc w:val="both"/>
        <w:rPr/>
      </w:pPr>
      <w:r>
        <w:rPr>
          <w:rFonts w:ascii="Times New Roman;serif" w:hAnsi="Times New Roman;serif"/>
          <w:b w:val="false"/>
          <w:color w:val="000000"/>
          <w:sz w:val="24"/>
        </w:rPr>
        <w:t>2.</w:t>
      </w:r>
      <w:r>
        <w:rPr>
          <w:rFonts w:ascii="Times New Roman;serif" w:hAnsi="Times New Roman;serif"/>
          <w:b w:val="false"/>
          <w:color w:val="000000"/>
          <w:sz w:val="24"/>
        </w:rPr>
        <w:t>After</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Transfer</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Transferee</w:t>
      </w:r>
      <w:r>
        <w:rPr>
          <w:color w:val="000000"/>
        </w:rPr>
        <w:t xml:space="preserve"> </w:t>
      </w:r>
      <w:r>
        <w:rPr>
          <w:rFonts w:ascii="Times New Roman;serif" w:hAnsi="Times New Roman;serif"/>
          <w:b w:val="false"/>
          <w:color w:val="000000"/>
          <w:sz w:val="24"/>
        </w:rPr>
        <w:t>will</w:t>
      </w:r>
      <w:r>
        <w:rPr>
          <w:color w:val="000000"/>
        </w:rPr>
        <w:t xml:space="preserve"> </w:t>
      </w:r>
      <w:r>
        <w:rPr>
          <w:rFonts w:ascii="Times New Roman;serif" w:hAnsi="Times New Roman;serif"/>
          <w:b w:val="false"/>
          <w:color w:val="000000"/>
          <w:sz w:val="24"/>
        </w:rPr>
        <w:t>hold:</w:t>
      </w:r>
    </w:p>
    <w:p>
      <w:pPr>
        <w:pStyle w:val="TextBody"/>
        <w:bidi w:val="0"/>
        <w:spacing w:lineRule="auto" w:line="556" w:before="0" w:after="0"/>
        <w:jc w:val="left"/>
        <w:rPr/>
      </w:pPr>
      <w:r>
        <w:rPr>
          <w:rFonts w:ascii="Times New Roman;serif" w:hAnsi="Times New Roman;serif"/>
          <w:b/>
          <w:color w:val="000000"/>
          <w:sz w:val="24"/>
        </w:rPr>
        <w:t>[CHECK</w:t>
      </w:r>
      <w:r>
        <w:rPr>
          <w:color w:val="000000"/>
        </w:rPr>
        <w:t xml:space="preserve"> </w:t>
      </w:r>
      <w:r>
        <w:rPr>
          <w:rFonts w:ascii="Times New Roman;serif" w:hAnsi="Times New Roman;serif"/>
          <w:b/>
          <w:color w:val="000000"/>
          <w:sz w:val="24"/>
        </w:rPr>
        <w:t>ONE</w:t>
      </w:r>
      <w:r>
        <w:rPr>
          <w:color w:val="000000"/>
        </w:rPr>
        <w:t xml:space="preserve"> </w:t>
      </w:r>
      <w:r>
        <w:rPr>
          <w:rFonts w:ascii="Times New Roman;serif" w:hAnsi="Times New Roman;serif"/>
          <w:b/>
          <w:color w:val="000000"/>
          <w:sz w:val="24"/>
        </w:rPr>
        <w:t>OF</w:t>
      </w:r>
      <w:r>
        <w:rPr>
          <w:color w:val="000000"/>
        </w:rPr>
        <w:t xml:space="preserve"> </w:t>
      </w:r>
      <w:r>
        <w:rPr>
          <w:rFonts w:ascii="Times New Roman;serif" w:hAnsi="Times New Roman;serif"/>
          <w:b/>
          <w:color w:val="000000"/>
          <w:sz w:val="24"/>
        </w:rPr>
        <w:t>(a),</w:t>
      </w:r>
      <w:r>
        <w:rPr>
          <w:color w:val="000000"/>
        </w:rPr>
        <w:t xml:space="preserve"> </w:t>
      </w:r>
      <w:r>
        <w:rPr>
          <w:rFonts w:ascii="Times New Roman;serif" w:hAnsi="Times New Roman;serif"/>
          <w:b/>
          <w:color w:val="000000"/>
          <w:sz w:val="24"/>
        </w:rPr>
        <w:t>(b)</w:t>
      </w:r>
      <w:r>
        <w:rPr>
          <w:color w:val="000000"/>
        </w:rPr>
        <w:t xml:space="preserve"> </w:t>
      </w:r>
      <w:r>
        <w:rPr>
          <w:rFonts w:ascii="Times New Roman;serif" w:hAnsi="Times New Roman;serif"/>
          <w:b/>
          <w:color w:val="000000"/>
          <w:sz w:val="24"/>
        </w:rPr>
        <w:t>OR</w:t>
      </w:r>
      <w:r>
        <w:rPr>
          <w:color w:val="000000"/>
        </w:rPr>
        <w:t xml:space="preserve"> </w:t>
      </w:r>
      <w:r>
        <w:rPr>
          <w:rFonts w:ascii="Times New Roman;serif" w:hAnsi="Times New Roman;serif"/>
          <w:b/>
          <w:color w:val="000000"/>
          <w:sz w:val="24"/>
        </w:rPr>
        <w:t>(c)]</w:t>
      </w:r>
    </w:p>
    <w:p>
      <w:pPr>
        <w:pStyle w:val="TextBody"/>
        <w:bidi w:val="0"/>
        <w:spacing w:lineRule="auto" w:line="240" w:before="0" w:after="240"/>
        <w:ind w:left="0" w:right="0" w:firstLine="1440"/>
        <w:jc w:val="both"/>
        <w:rPr/>
      </w:pPr>
      <w:r>
        <w:rPr>
          <w:rFonts w:ascii="Times New Roman;serif" w:hAnsi="Times New Roman;serif"/>
          <w:b w:val="false"/>
          <w:color w:val="000000"/>
          <w:sz w:val="24"/>
        </w:rPr>
        <w:t>(a)</w:t>
      </w:r>
      <w:r>
        <w:rPr>
          <w:color w:val="000000"/>
        </w:rPr>
        <w:t>☐</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beneficial</w:t>
      </w:r>
      <w:r>
        <w:rPr>
          <w:color w:val="000000"/>
        </w:rPr>
        <w:t xml:space="preserve"> </w:t>
      </w:r>
      <w:r>
        <w:rPr>
          <w:rFonts w:ascii="Times New Roman;serif" w:hAnsi="Times New Roman;serif"/>
          <w:b w:val="false"/>
          <w:color w:val="000000"/>
          <w:sz w:val="24"/>
        </w:rPr>
        <w:t>interest</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the:</w:t>
      </w:r>
    </w:p>
    <w:p>
      <w:pPr>
        <w:pStyle w:val="TextBody"/>
        <w:bidi w:val="0"/>
        <w:spacing w:lineRule="auto" w:line="240" w:before="0" w:after="240"/>
        <w:ind w:left="0" w:right="0" w:firstLine="1440"/>
        <w:jc w:val="both"/>
        <w:rPr/>
      </w:pPr>
      <w:r>
        <w:rPr>
          <w:rFonts w:ascii="Times New Roman;serif" w:hAnsi="Times New Roman;serif"/>
          <w:b w:val="false"/>
          <w:color w:val="000000"/>
          <w:sz w:val="24"/>
        </w:rPr>
        <w:t>(i)</w:t>
      </w:r>
      <w:r>
        <w:rPr>
          <w:color w:val="000000"/>
        </w:rPr>
        <w:t>☐     </w:t>
      </w:r>
      <w:r>
        <w:rPr>
          <w:rFonts w:ascii="Times New Roman;serif" w:hAnsi="Times New Roman;serif"/>
          <w:b w:val="false"/>
          <w:color w:val="000000"/>
          <w:sz w:val="24"/>
        </w:rPr>
        <w:t>144A</w:t>
      </w:r>
      <w:r>
        <w:rPr>
          <w:color w:val="000000"/>
        </w:rPr>
        <w:t xml:space="preserve"> </w:t>
      </w:r>
      <w:r>
        <w:rPr>
          <w:rFonts w:ascii="Times New Roman;serif" w:hAnsi="Times New Roman;serif"/>
          <w:b w:val="false"/>
          <w:color w:val="000000"/>
          <w:sz w:val="24"/>
        </w:rPr>
        <w:t>Global Note</w:t>
      </w:r>
      <w:r>
        <w:rPr>
          <w:color w:val="000000"/>
        </w:rPr>
        <w:t xml:space="preserve"> </w:t>
      </w:r>
      <w:r>
        <w:rPr>
          <w:rFonts w:ascii="Times New Roman;serif" w:hAnsi="Times New Roman;serif"/>
          <w:b w:val="false"/>
          <w:color w:val="000000"/>
          <w:sz w:val="24"/>
        </w:rPr>
        <w:t>(CUSIP</w:t>
      </w:r>
      <w:r>
        <w:rPr>
          <w:color w:val="000000"/>
        </w:rPr>
        <w:t xml:space="preserve"> </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or</w:t>
      </w:r>
    </w:p>
    <w:p>
      <w:pPr>
        <w:pStyle w:val="TextBody"/>
        <w:bidi w:val="0"/>
        <w:spacing w:lineRule="auto" w:line="240" w:before="0" w:after="240"/>
        <w:ind w:left="0" w:right="0" w:firstLine="1440"/>
        <w:jc w:val="both"/>
        <w:rPr/>
      </w:pPr>
      <w:r>
        <w:rPr>
          <w:rFonts w:ascii="Times New Roman;serif" w:hAnsi="Times New Roman;serif"/>
          <w:b w:val="false"/>
          <w:color w:val="000000"/>
          <w:sz w:val="24"/>
        </w:rPr>
        <w:t>(ii)</w:t>
      </w:r>
      <w:r>
        <w:rPr>
          <w:color w:val="000000"/>
        </w:rPr>
        <w:t>☐     </w:t>
      </w:r>
      <w:r>
        <w:rPr>
          <w:rFonts w:ascii="Times New Roman;serif" w:hAnsi="Times New Roman;serif"/>
          <w:b w:val="false"/>
          <w:color w:val="000000"/>
          <w:sz w:val="24"/>
        </w:rPr>
        <w:t>Regulation</w:t>
      </w:r>
      <w:r>
        <w:rPr>
          <w:color w:val="000000"/>
        </w:rPr>
        <w:t xml:space="preserve"> </w:t>
      </w:r>
      <w:r>
        <w:rPr>
          <w:rFonts w:ascii="Times New Roman;serif" w:hAnsi="Times New Roman;serif"/>
          <w:b w:val="false"/>
          <w:color w:val="000000"/>
          <w:sz w:val="24"/>
        </w:rPr>
        <w:t>S</w:t>
      </w:r>
      <w:r>
        <w:rPr>
          <w:color w:val="000000"/>
        </w:rPr>
        <w:t xml:space="preserve"> </w:t>
      </w:r>
      <w:r>
        <w:rPr>
          <w:rFonts w:ascii="Times New Roman;serif" w:hAnsi="Times New Roman;serif"/>
          <w:b w:val="false"/>
          <w:color w:val="000000"/>
          <w:sz w:val="24"/>
        </w:rPr>
        <w:t>Global</w:t>
      </w:r>
      <w:r>
        <w:rPr>
          <w:color w:val="000000"/>
        </w:rPr>
        <w:t xml:space="preserve"> </w:t>
      </w:r>
      <w:r>
        <w:rPr>
          <w:rFonts w:ascii="Times New Roman;serif" w:hAnsi="Times New Roman;serif"/>
          <w:b w:val="false"/>
          <w:color w:val="000000"/>
          <w:sz w:val="24"/>
        </w:rPr>
        <w:t>Note</w:t>
      </w:r>
      <w:r>
        <w:rPr>
          <w:color w:val="000000"/>
        </w:rPr>
        <w:t xml:space="preserve"> </w:t>
      </w:r>
      <w:r>
        <w:rPr>
          <w:rFonts w:ascii="Times New Roman;serif" w:hAnsi="Times New Roman;serif"/>
          <w:b w:val="false"/>
          <w:color w:val="000000"/>
          <w:sz w:val="24"/>
        </w:rPr>
        <w:t>(CUSIP</w:t>
      </w:r>
      <w:r>
        <w:rPr>
          <w:color w:val="000000"/>
        </w:rPr>
        <w:t xml:space="preserve"> </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or</w:t>
      </w:r>
    </w:p>
    <w:p>
      <w:pPr>
        <w:pStyle w:val="TextBody"/>
        <w:bidi w:val="0"/>
        <w:spacing w:lineRule="auto" w:line="240" w:before="0" w:after="240"/>
        <w:ind w:left="0" w:right="0" w:firstLine="1440"/>
        <w:jc w:val="both"/>
        <w:rPr/>
      </w:pPr>
      <w:r>
        <w:rPr>
          <w:rFonts w:ascii="Times New Roman;serif" w:hAnsi="Times New Roman;serif"/>
          <w:b w:val="false"/>
          <w:color w:val="000000"/>
          <w:sz w:val="24"/>
        </w:rPr>
        <w:t>(iii)</w:t>
      </w:r>
      <w:r>
        <w:rPr>
          <w:color w:val="000000"/>
        </w:rPr>
        <w:t>☐    </w:t>
      </w:r>
      <w:r>
        <w:rPr>
          <w:rFonts w:ascii="Times New Roman;serif" w:hAnsi="Times New Roman;serif"/>
          <w:b w:val="false"/>
          <w:color w:val="000000"/>
          <w:sz w:val="24"/>
        </w:rPr>
        <w:t>IAI</w:t>
      </w:r>
      <w:r>
        <w:rPr>
          <w:color w:val="000000"/>
        </w:rPr>
        <w:t xml:space="preserve"> </w:t>
      </w:r>
      <w:r>
        <w:rPr>
          <w:rFonts w:ascii="Times New Roman;serif" w:hAnsi="Times New Roman;serif"/>
          <w:b w:val="false"/>
          <w:color w:val="000000"/>
          <w:sz w:val="24"/>
        </w:rPr>
        <w:t>Global</w:t>
      </w:r>
      <w:r>
        <w:rPr>
          <w:color w:val="000000"/>
        </w:rPr>
        <w:t xml:space="preserve"> </w:t>
      </w:r>
      <w:r>
        <w:rPr>
          <w:rFonts w:ascii="Times New Roman;serif" w:hAnsi="Times New Roman;serif"/>
          <w:b w:val="false"/>
          <w:color w:val="000000"/>
          <w:sz w:val="24"/>
        </w:rPr>
        <w:t>Note</w:t>
      </w:r>
      <w:r>
        <w:rPr>
          <w:color w:val="000000"/>
        </w:rPr>
        <w:t xml:space="preserve"> </w:t>
      </w:r>
      <w:r>
        <w:rPr>
          <w:rFonts w:ascii="Times New Roman;serif" w:hAnsi="Times New Roman;serif"/>
          <w:b w:val="false"/>
          <w:color w:val="000000"/>
          <w:sz w:val="24"/>
        </w:rPr>
        <w:t>(CUSIP</w:t>
      </w:r>
      <w:r>
        <w:rPr>
          <w:color w:val="000000"/>
        </w:rPr>
        <w:t xml:space="preserve"> </w:t>
      </w:r>
      <w:r>
        <w:rPr>
          <w:rFonts w:ascii="Times New Roman;serif" w:hAnsi="Times New Roman;serif"/>
          <w:b w:val="false"/>
          <w:color w:val="000000"/>
          <w:sz w:val="24"/>
        </w:rPr>
        <w:t>), or</w:t>
      </w:r>
    </w:p>
    <w:p>
      <w:pPr>
        <w:pStyle w:val="TextBody"/>
        <w:bidi w:val="0"/>
        <w:spacing w:lineRule="auto" w:line="240" w:before="0" w:after="240"/>
        <w:ind w:left="0" w:right="0" w:firstLine="1440"/>
        <w:jc w:val="both"/>
        <w:rPr/>
      </w:pPr>
      <w:r>
        <w:rPr>
          <w:rFonts w:ascii="Times New Roman;serif" w:hAnsi="Times New Roman;serif"/>
          <w:b w:val="false"/>
          <w:color w:val="000000"/>
          <w:sz w:val="24"/>
        </w:rPr>
        <w:t>(iv)</w:t>
      </w:r>
      <w:r>
        <w:rPr>
          <w:color w:val="000000"/>
        </w:rPr>
        <w:t>☐    </w:t>
      </w:r>
      <w:r>
        <w:rPr>
          <w:rFonts w:ascii="Times New Roman;serif" w:hAnsi="Times New Roman;serif"/>
          <w:b w:val="false"/>
          <w:color w:val="000000"/>
          <w:sz w:val="24"/>
        </w:rPr>
        <w:t>Unrestricted Global</w:t>
      </w:r>
      <w:r>
        <w:rPr>
          <w:color w:val="000000"/>
        </w:rPr>
        <w:t xml:space="preserve"> </w:t>
      </w:r>
      <w:r>
        <w:rPr>
          <w:rFonts w:ascii="Times New Roman;serif" w:hAnsi="Times New Roman;serif"/>
          <w:b w:val="false"/>
          <w:color w:val="000000"/>
          <w:sz w:val="24"/>
        </w:rPr>
        <w:t>Note (CUSIP );</w:t>
      </w:r>
      <w:r>
        <w:rPr>
          <w:color w:val="000000"/>
        </w:rPr>
        <w:t xml:space="preserve"> </w:t>
      </w:r>
      <w:r>
        <w:rPr>
          <w:rFonts w:ascii="Times New Roman;serif" w:hAnsi="Times New Roman;serif"/>
          <w:b w:val="false"/>
          <w:color w:val="000000"/>
          <w:sz w:val="24"/>
        </w:rPr>
        <w:t>or</w:t>
      </w:r>
    </w:p>
    <w:p>
      <w:pPr>
        <w:pStyle w:val="TextBody"/>
        <w:bidi w:val="0"/>
        <w:spacing w:lineRule="auto" w:line="240" w:before="0" w:after="240"/>
        <w:ind w:left="0" w:right="0" w:firstLine="1440"/>
        <w:jc w:val="both"/>
        <w:rPr/>
      </w:pPr>
      <w:r>
        <w:rPr>
          <w:rFonts w:ascii="Times New Roman;serif" w:hAnsi="Times New Roman;serif"/>
          <w:b w:val="false"/>
          <w:color w:val="000000"/>
          <w:sz w:val="24"/>
        </w:rPr>
        <w:t>(b)</w:t>
      </w:r>
      <w:r>
        <w:rPr>
          <w:color w:val="000000"/>
        </w:rPr>
        <w:t>☐</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Restricted</w:t>
      </w:r>
      <w:r>
        <w:rPr>
          <w:color w:val="000000"/>
        </w:rPr>
        <w:t xml:space="preserve"> </w:t>
      </w:r>
      <w:r>
        <w:rPr>
          <w:rFonts w:ascii="Times New Roman;serif" w:hAnsi="Times New Roman;serif"/>
          <w:b w:val="false"/>
          <w:color w:val="000000"/>
          <w:sz w:val="24"/>
        </w:rPr>
        <w:t>Definitive</w:t>
      </w:r>
      <w:r>
        <w:rPr>
          <w:color w:val="000000"/>
        </w:rPr>
        <w:t xml:space="preserve"> </w:t>
      </w:r>
      <w:r>
        <w:rPr>
          <w:rFonts w:ascii="Times New Roman;serif" w:hAnsi="Times New Roman;serif"/>
          <w:b w:val="false"/>
          <w:color w:val="000000"/>
          <w:sz w:val="24"/>
        </w:rPr>
        <w:t>Note;</w:t>
      </w:r>
      <w:r>
        <w:rPr>
          <w:color w:val="000000"/>
        </w:rPr>
        <w:t xml:space="preserve"> </w:t>
      </w:r>
      <w:r>
        <w:rPr>
          <w:rFonts w:ascii="Times New Roman;serif" w:hAnsi="Times New Roman;serif"/>
          <w:b w:val="false"/>
          <w:color w:val="000000"/>
          <w:sz w:val="24"/>
        </w:rPr>
        <w:t>or</w:t>
      </w:r>
    </w:p>
    <w:p>
      <w:pPr>
        <w:pStyle w:val="TextBody"/>
        <w:bidi w:val="0"/>
        <w:spacing w:lineRule="auto" w:line="240" w:before="0" w:after="240"/>
        <w:ind w:left="0" w:right="0" w:firstLine="1440"/>
        <w:jc w:val="both"/>
        <w:rPr/>
      </w:pPr>
      <w:r>
        <w:rPr>
          <w:rFonts w:ascii="Times New Roman;serif" w:hAnsi="Times New Roman;serif"/>
          <w:b w:val="false"/>
          <w:color w:val="000000"/>
          <w:sz w:val="24"/>
        </w:rPr>
        <w:t>(c)</w:t>
      </w:r>
      <w:r>
        <w:rPr>
          <w:color w:val="000000"/>
        </w:rPr>
        <w:t>☐</w:t>
      </w:r>
      <w:r>
        <w:rPr>
          <w:color w:val="000000"/>
        </w:rPr>
        <w:t xml:space="preserve">     </w:t>
      </w:r>
      <w:r>
        <w:rPr>
          <w:rFonts w:ascii="Times New Roman;serif" w:hAnsi="Times New Roman;serif"/>
          <w:b w:val="false"/>
          <w:color w:val="000000"/>
          <w:sz w:val="24"/>
        </w:rPr>
        <w:t>an</w:t>
      </w:r>
      <w:r>
        <w:rPr>
          <w:color w:val="000000"/>
        </w:rPr>
        <w:t xml:space="preserve"> </w:t>
      </w:r>
      <w:r>
        <w:rPr>
          <w:rFonts w:ascii="Times New Roman;serif" w:hAnsi="Times New Roman;serif"/>
          <w:b w:val="false"/>
          <w:color w:val="000000"/>
          <w:sz w:val="24"/>
        </w:rPr>
        <w:t>Unrestricted</w:t>
      </w:r>
      <w:r>
        <w:rPr>
          <w:color w:val="000000"/>
        </w:rPr>
        <w:t xml:space="preserve"> </w:t>
      </w:r>
      <w:r>
        <w:rPr>
          <w:rFonts w:ascii="Times New Roman;serif" w:hAnsi="Times New Roman;serif"/>
          <w:b w:val="false"/>
          <w:color w:val="000000"/>
          <w:sz w:val="24"/>
        </w:rPr>
        <w:t>Definitive</w:t>
      </w:r>
      <w:r>
        <w:rPr>
          <w:color w:val="000000"/>
        </w:rPr>
        <w:t xml:space="preserve"> </w:t>
      </w:r>
      <w:r>
        <w:rPr>
          <w:rFonts w:ascii="Times New Roman;serif" w:hAnsi="Times New Roman;serif"/>
          <w:b w:val="false"/>
          <w:color w:val="000000"/>
          <w:sz w:val="24"/>
        </w:rPr>
        <w:t>Note,</w:t>
      </w:r>
    </w:p>
    <w:p>
      <w:pPr>
        <w:pStyle w:val="TextBody"/>
        <w:bidi w:val="0"/>
        <w:spacing w:lineRule="auto" w:line="556" w:before="0" w:after="0"/>
        <w:jc w:val="left"/>
        <w:rPr/>
      </w:pP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accordance</w:t>
      </w:r>
      <w:r>
        <w:rPr>
          <w:color w:val="000000"/>
        </w:rPr>
        <w:t xml:space="preserve"> </w:t>
      </w:r>
      <w:r>
        <w:rPr>
          <w:rFonts w:ascii="Times New Roman;serif" w:hAnsi="Times New Roman;serif"/>
          <w:b w:val="false"/>
          <w:color w:val="000000"/>
          <w:sz w:val="24"/>
        </w:rPr>
        <w:t>with</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terms</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Indenture.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6480175" cy="175260"/>
                <wp:effectExtent l="0" t="0" r="0" b="0"/>
                <wp:wrapNone/>
                <wp:docPr id="159" name="Frame15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B-5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B-5</w:t>
                      </w:r>
                    </w:p>
                  </w:txbxContent>
                </v:textbox>
                <w10:wrap type="none"/>
              </v:rect>
            </w:pict>
          </mc:Fallback>
        </mc:AlternateContent>
      </w:r>
    </w:p>
    <w:p>
      <w:pPr>
        <w:pStyle w:val="TextBody"/>
        <w:bidi w:val="0"/>
        <w:spacing w:lineRule="auto" w:line="240" w:before="0" w:after="240"/>
        <w:jc w:val="center"/>
        <w:rPr/>
      </w:pPr>
      <w:r>
        <w:rPr>
          <w:rFonts w:ascii="Times New Roman;serif" w:hAnsi="Times New Roman;serif"/>
          <w:b/>
          <w:color w:val="000000"/>
          <w:sz w:val="24"/>
        </w:rPr>
        <w:t>Exhibit C</w:t>
      </w:r>
      <w:r>
        <w:rPr>
          <w:rFonts w:ascii="Times New Roman;serif" w:hAnsi="Times New Roman;serif"/>
          <w:b/>
          <w:color w:val="000000"/>
          <w:sz w:val="24"/>
        </w:rPr>
        <w:br/>
        <w:br/>
        <w:t>FORM</w:t>
      </w:r>
      <w:r>
        <w:rPr>
          <w:color w:val="000000"/>
        </w:rPr>
        <w:t xml:space="preserve"> </w:t>
      </w:r>
      <w:r>
        <w:rPr>
          <w:rFonts w:ascii="Times New Roman;serif" w:hAnsi="Times New Roman;serif"/>
          <w:b/>
          <w:color w:val="000000"/>
          <w:sz w:val="24"/>
        </w:rPr>
        <w:t>OF</w:t>
      </w:r>
      <w:r>
        <w:rPr>
          <w:color w:val="000000"/>
        </w:rPr>
        <w:t xml:space="preserve"> </w:t>
      </w:r>
      <w:r>
        <w:rPr>
          <w:rFonts w:ascii="Times New Roman;serif" w:hAnsi="Times New Roman;serif"/>
          <w:b/>
          <w:color w:val="000000"/>
          <w:sz w:val="24"/>
        </w:rPr>
        <w:t>CERTIFICATE</w:t>
      </w:r>
      <w:r>
        <w:rPr>
          <w:color w:val="000000"/>
        </w:rPr>
        <w:t xml:space="preserve"> </w:t>
      </w:r>
      <w:r>
        <w:rPr>
          <w:rFonts w:ascii="Times New Roman;serif" w:hAnsi="Times New Roman;serif"/>
          <w:b/>
          <w:color w:val="000000"/>
          <w:sz w:val="24"/>
        </w:rPr>
        <w:t>OF</w:t>
      </w:r>
      <w:r>
        <w:rPr>
          <w:color w:val="000000"/>
        </w:rPr>
        <w:t xml:space="preserve"> </w:t>
      </w:r>
      <w:r>
        <w:rPr>
          <w:rFonts w:ascii="Times New Roman;serif" w:hAnsi="Times New Roman;serif"/>
          <w:b/>
          <w:color w:val="000000"/>
          <w:sz w:val="24"/>
        </w:rPr>
        <w:t>EXCHANGE</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Talen Energy Supply, LLC</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2929 Allen Parkway, Suite 2200</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Houston, Texas 77019</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Attention: Treasurer</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E-mail: TalenTreasury@talenenergy.com</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Wilmington Savings Fund Society, FSB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Wilmington Savings Fund</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300 Bellevue Parkway, Suite 300</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Wilmington, Delaware 19809</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Attn: Anita Woolery</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E-Mail: awoolery@wsfsbank.com</w:t>
      </w:r>
    </w:p>
    <w:p>
      <w:pPr>
        <w:pStyle w:val="TextBody"/>
        <w:bidi w:val="0"/>
        <w:spacing w:before="0" w:after="0"/>
        <w:jc w:val="left"/>
        <w:rPr/>
      </w:pPr>
      <w:r>
        <w:rPr/>
      </w:r>
    </w:p>
    <w:p>
      <w:pPr>
        <w:pStyle w:val="TextBody"/>
        <w:bidi w:val="0"/>
        <w:spacing w:lineRule="auto" w:line="288" w:before="0" w:after="240"/>
        <w:ind w:left="0" w:right="0" w:firstLine="720"/>
        <w:jc w:val="both"/>
        <w:rPr/>
      </w:pPr>
      <w:r>
        <w:rPr>
          <w:rFonts w:ascii="Times New Roman;serif" w:hAnsi="Times New Roman;serif"/>
          <w:b w:val="false"/>
          <w:color w:val="000000"/>
          <w:sz w:val="24"/>
        </w:rPr>
        <w:t>Re:</w:t>
      </w:r>
      <w:r>
        <w:rPr>
          <w:color w:val="000000"/>
        </w:rPr>
        <w:t>    </w:t>
      </w:r>
      <w:r>
        <w:rPr>
          <w:rFonts w:ascii="Times New Roman;serif" w:hAnsi="Times New Roman;serif"/>
          <w:b w:val="false"/>
          <w:color w:val="000000"/>
          <w:sz w:val="24"/>
          <w:u w:val="single"/>
        </w:rPr>
        <w:t>6.125%</w:t>
      </w:r>
      <w:r>
        <w:rPr>
          <w:color w:val="000000"/>
          <w:u w:val="single"/>
        </w:rPr>
        <w:t xml:space="preserve"> </w:t>
      </w:r>
      <w:r>
        <w:rPr>
          <w:rFonts w:ascii="Times New Roman;serif" w:hAnsi="Times New Roman;serif"/>
          <w:b w:val="false"/>
          <w:color w:val="000000"/>
          <w:sz w:val="24"/>
          <w:u w:val="single"/>
        </w:rPr>
        <w:t>Senior</w:t>
      </w:r>
      <w:r>
        <w:rPr>
          <w:color w:val="000000"/>
          <w:u w:val="single"/>
        </w:rPr>
        <w:t xml:space="preserve"> </w:t>
      </w:r>
      <w:r>
        <w:rPr>
          <w:rFonts w:ascii="Times New Roman;serif" w:hAnsi="Times New Roman;serif"/>
          <w:b w:val="false"/>
          <w:color w:val="000000"/>
          <w:sz w:val="24"/>
          <w:u w:val="single"/>
        </w:rPr>
        <w:t>Notes</w:t>
      </w:r>
      <w:r>
        <w:rPr>
          <w:color w:val="000000"/>
          <w:u w:val="single"/>
        </w:rPr>
        <w:t xml:space="preserve"> </w:t>
      </w:r>
      <w:r>
        <w:rPr>
          <w:rFonts w:ascii="Times New Roman;serif" w:hAnsi="Times New Roman;serif"/>
          <w:b w:val="false"/>
          <w:color w:val="000000"/>
          <w:sz w:val="24"/>
          <w:u w:val="single"/>
        </w:rPr>
        <w:t>due</w:t>
      </w:r>
      <w:r>
        <w:rPr>
          <w:color w:val="000000"/>
          <w:u w:val="single"/>
        </w:rPr>
        <w:t xml:space="preserve"> </w:t>
      </w:r>
      <w:r>
        <w:rPr>
          <w:rFonts w:ascii="Times New Roman;serif" w:hAnsi="Times New Roman;serif"/>
          <w:b w:val="false"/>
          <w:color w:val="000000"/>
          <w:sz w:val="24"/>
          <w:u w:val="single"/>
        </w:rPr>
        <w:t>2031</w:t>
      </w:r>
    </w:p>
    <w:p>
      <w:pPr>
        <w:pStyle w:val="TextBody"/>
        <w:bidi w:val="0"/>
        <w:spacing w:lineRule="auto" w:line="288" w:before="0" w:after="240"/>
        <w:ind w:left="0" w:right="0" w:firstLine="720"/>
        <w:jc w:val="both"/>
        <w:rPr/>
      </w:pPr>
      <w:r>
        <w:rPr>
          <w:rFonts w:ascii="Times New Roman;serif" w:hAnsi="Times New Roman;serif"/>
          <w:b w:val="false"/>
          <w:color w:val="000000"/>
          <w:sz w:val="24"/>
        </w:rPr>
        <w:t>Reference is hereby made to the Indenture, dated as of April 29, 2026 (the “</w:t>
      </w:r>
      <w:r>
        <w:rPr>
          <w:rFonts w:ascii="Times New Roman;serif" w:hAnsi="Times New Roman;serif"/>
          <w:b/>
          <w:i/>
          <w:color w:val="000000"/>
          <w:sz w:val="24"/>
        </w:rPr>
        <w:t>Indenture</w:t>
      </w:r>
      <w:r>
        <w:rPr>
          <w:color w:val="000000"/>
        </w:rPr>
        <w:t>”</w:t>
      </w:r>
      <w:r>
        <w:rPr>
          <w:rFonts w:ascii="Times New Roman;serif" w:hAnsi="Times New Roman;serif"/>
          <w:b w:val="false"/>
          <w:color w:val="000000"/>
          <w:sz w:val="24"/>
        </w:rPr>
        <w:t>), among Talen Energy Supply, LLC, as issuer (the “</w:t>
      </w:r>
      <w:r>
        <w:rPr>
          <w:rFonts w:ascii="Times New Roman;serif" w:hAnsi="Times New Roman;serif"/>
          <w:b/>
          <w:i/>
          <w:color w:val="000000"/>
          <w:sz w:val="24"/>
        </w:rPr>
        <w:t>Issuer</w:t>
      </w:r>
      <w:r>
        <w:rPr>
          <w:color w:val="000000"/>
        </w:rPr>
        <w:t>”</w:t>
      </w:r>
      <w:r>
        <w:rPr>
          <w:rFonts w:ascii="Times New Roman;serif" w:hAnsi="Times New Roman;serif"/>
          <w:b w:val="false"/>
          <w:color w:val="000000"/>
          <w:sz w:val="24"/>
        </w:rPr>
        <w:t>), the Subsidiary Guarantors party thereto and Wilmington Savings Fund Society, FSB, as trustee. Capitalized</w:t>
      </w:r>
      <w:r>
        <w:rPr>
          <w:color w:val="000000"/>
        </w:rPr>
        <w:t xml:space="preserve"> </w:t>
      </w:r>
      <w:r>
        <w:rPr>
          <w:rFonts w:ascii="Times New Roman;serif" w:hAnsi="Times New Roman;serif"/>
          <w:b w:val="false"/>
          <w:color w:val="000000"/>
          <w:sz w:val="24"/>
        </w:rPr>
        <w:t>terms used but not defined herein shall have the meanings given to them in the Indenture.</w:t>
      </w:r>
    </w:p>
    <w:p>
      <w:pPr>
        <w:pStyle w:val="TextBody"/>
        <w:bidi w:val="0"/>
        <w:spacing w:lineRule="auto" w:line="288" w:before="0" w:after="240"/>
        <w:ind w:left="0" w:right="0" w:firstLine="720"/>
        <w:jc w:val="both"/>
        <w:rPr/>
      </w:pPr>
      <w:r>
        <w:rPr>
          <w:rFonts w:ascii="Times New Roman;serif" w:hAnsi="Times New Roman;serif"/>
          <w:b w:val="false"/>
          <w:color w:val="000000"/>
          <w:sz w:val="24"/>
        </w:rPr>
        <w:t>_________________, (the “</w:t>
      </w:r>
      <w:r>
        <w:rPr>
          <w:rFonts w:ascii="Times New Roman;serif" w:hAnsi="Times New Roman;serif"/>
          <w:b/>
          <w:i/>
          <w:color w:val="000000"/>
          <w:sz w:val="24"/>
        </w:rPr>
        <w:t>Owner</w:t>
      </w:r>
      <w:r>
        <w:rPr>
          <w:color w:val="000000"/>
        </w:rPr>
        <w:t>”</w:t>
      </w:r>
      <w:r>
        <w:rPr>
          <w:rFonts w:ascii="Times New Roman;serif" w:hAnsi="Times New Roman;serif"/>
          <w:b w:val="false"/>
          <w:color w:val="000000"/>
          <w:sz w:val="24"/>
        </w:rPr>
        <w:t>) owns and proposes to exchange the Note[s] or interest in such Note[s] specified herein, in the principal amount of $ in such</w:t>
      </w:r>
      <w:r>
        <w:rPr>
          <w:color w:val="000000"/>
        </w:rPr>
        <w:t xml:space="preserve"> </w:t>
      </w:r>
      <w:r>
        <w:rPr>
          <w:rFonts w:ascii="Times New Roman;serif" w:hAnsi="Times New Roman;serif"/>
          <w:b w:val="false"/>
          <w:color w:val="000000"/>
          <w:sz w:val="24"/>
        </w:rPr>
        <w:t>Note[s] or interests (the “</w:t>
      </w:r>
      <w:r>
        <w:rPr>
          <w:rFonts w:ascii="Times New Roman;serif" w:hAnsi="Times New Roman;serif"/>
          <w:b/>
          <w:i/>
          <w:color w:val="000000"/>
          <w:sz w:val="24"/>
        </w:rPr>
        <w:t>Exchange</w:t>
      </w:r>
      <w:r>
        <w:rPr>
          <w:color w:val="000000"/>
        </w:rPr>
        <w:t>”</w:t>
      </w:r>
      <w:r>
        <w:rPr>
          <w:rFonts w:ascii="Times New Roman;serif" w:hAnsi="Times New Roman;serif"/>
          <w:b w:val="false"/>
          <w:color w:val="000000"/>
          <w:sz w:val="24"/>
        </w:rPr>
        <w:t>). In connection with the Exchange, the Owner hereby certifies that:</w:t>
      </w:r>
    </w:p>
    <w:p>
      <w:pPr>
        <w:pStyle w:val="TextBody"/>
        <w:bidi w:val="0"/>
        <w:spacing w:lineRule="auto" w:line="240" w:before="0" w:after="240"/>
        <w:ind w:left="0" w:right="0" w:firstLine="720"/>
        <w:jc w:val="both"/>
        <w:rPr/>
      </w:pPr>
      <w:r>
        <w:rPr>
          <w:rFonts w:ascii="Times New Roman;serif" w:hAnsi="Times New Roman;serif"/>
          <w:b w:val="false"/>
          <w:color w:val="000000"/>
          <w:sz w:val="24"/>
        </w:rPr>
        <w:t>1.</w:t>
      </w:r>
      <w:r>
        <w:rPr>
          <w:rFonts w:ascii="Times New Roman;serif" w:hAnsi="Times New Roman;serif"/>
          <w:b/>
          <w:color w:val="000000"/>
          <w:sz w:val="24"/>
          <w:u w:val="single"/>
        </w:rPr>
        <w:t>Exchange</w:t>
      </w:r>
      <w:r>
        <w:rPr>
          <w:color w:val="000000"/>
          <w:u w:val="single"/>
        </w:rPr>
        <w:t xml:space="preserve"> </w:t>
      </w:r>
      <w:r>
        <w:rPr>
          <w:rFonts w:ascii="Times New Roman;serif" w:hAnsi="Times New Roman;serif"/>
          <w:b/>
          <w:color w:val="000000"/>
          <w:sz w:val="24"/>
          <w:u w:val="single"/>
        </w:rPr>
        <w:t>of Restricted Definitive Notes or Beneficial</w:t>
      </w:r>
      <w:r>
        <w:rPr>
          <w:color w:val="000000"/>
          <w:u w:val="single"/>
        </w:rPr>
        <w:t xml:space="preserve"> </w:t>
      </w:r>
      <w:r>
        <w:rPr>
          <w:rFonts w:ascii="Times New Roman;serif" w:hAnsi="Times New Roman;serif"/>
          <w:b/>
          <w:color w:val="000000"/>
          <w:sz w:val="24"/>
          <w:u w:val="single"/>
        </w:rPr>
        <w:t>Interests in</w:t>
      </w:r>
      <w:r>
        <w:rPr>
          <w:color w:val="000000"/>
          <w:u w:val="single"/>
        </w:rPr>
        <w:t xml:space="preserve"> </w:t>
      </w:r>
      <w:r>
        <w:rPr>
          <w:rFonts w:ascii="Times New Roman;serif" w:hAnsi="Times New Roman;serif"/>
          <w:b/>
          <w:color w:val="000000"/>
          <w:sz w:val="24"/>
          <w:u w:val="single"/>
        </w:rPr>
        <w:t>a Restricted Global</w:t>
      </w:r>
      <w:r>
        <w:rPr>
          <w:color w:val="000000"/>
          <w:u w:val="single"/>
        </w:rPr>
        <w:t xml:space="preserve"> </w:t>
      </w:r>
      <w:r>
        <w:rPr>
          <w:rFonts w:ascii="Times New Roman;serif" w:hAnsi="Times New Roman;serif"/>
          <w:b/>
          <w:color w:val="000000"/>
          <w:sz w:val="24"/>
          <w:u w:val="single"/>
        </w:rPr>
        <w:t>Note for Unrestricted Definitive Notes or</w:t>
      </w:r>
      <w:r>
        <w:rPr>
          <w:color w:val="000000"/>
          <w:u w:val="single"/>
        </w:rPr>
        <w:t xml:space="preserve"> </w:t>
      </w:r>
      <w:r>
        <w:rPr>
          <w:rFonts w:ascii="Times New Roman;serif" w:hAnsi="Times New Roman;serif"/>
          <w:b/>
          <w:color w:val="000000"/>
          <w:sz w:val="24"/>
          <w:u w:val="single"/>
        </w:rPr>
        <w:t>Beneficial Interests in an Unrestricted Global Note</w:t>
      </w:r>
    </w:p>
    <w:p>
      <w:pPr>
        <w:pStyle w:val="TextBody"/>
        <w:bidi w:val="0"/>
        <w:spacing w:lineRule="auto" w:line="240" w:before="0" w:after="240"/>
        <w:ind w:left="0" w:right="0" w:firstLine="1440"/>
        <w:jc w:val="both"/>
        <w:rPr/>
      </w:pPr>
      <w:r>
        <w:rPr>
          <w:rFonts w:ascii="Times New Roman;serif" w:hAnsi="Times New Roman;serif"/>
          <w:b w:val="false"/>
          <w:color w:val="000000"/>
          <w:sz w:val="24"/>
        </w:rPr>
        <w:t>(a)</w:t>
      </w:r>
      <w:r>
        <w:rPr>
          <w:color w:val="000000"/>
        </w:rPr>
        <w:t>☐</w:t>
      </w:r>
      <w:r>
        <w:rPr>
          <w:color w:val="000000"/>
        </w:rPr>
        <w:t xml:space="preserve">     </w:t>
      </w:r>
      <w:r>
        <w:rPr>
          <w:rFonts w:ascii="Times New Roman;serif" w:hAnsi="Times New Roman;serif"/>
          <w:b/>
          <w:color w:val="000000"/>
          <w:sz w:val="24"/>
        </w:rPr>
        <w:t>Check</w:t>
      </w:r>
      <w:r>
        <w:rPr>
          <w:color w:val="000000"/>
        </w:rPr>
        <w:t xml:space="preserve"> </w:t>
      </w:r>
      <w:r>
        <w:rPr>
          <w:rFonts w:ascii="Times New Roman;serif" w:hAnsi="Times New Roman;serif"/>
          <w:b/>
          <w:color w:val="000000"/>
          <w:sz w:val="24"/>
        </w:rPr>
        <w:t>if</w:t>
      </w:r>
      <w:r>
        <w:rPr>
          <w:color w:val="000000"/>
        </w:rPr>
        <w:t xml:space="preserve"> </w:t>
      </w:r>
      <w:r>
        <w:rPr>
          <w:rFonts w:ascii="Times New Roman;serif" w:hAnsi="Times New Roman;serif"/>
          <w:b/>
          <w:color w:val="000000"/>
          <w:sz w:val="24"/>
        </w:rPr>
        <w:t>Exchange</w:t>
      </w:r>
      <w:r>
        <w:rPr>
          <w:color w:val="000000"/>
        </w:rPr>
        <w:t xml:space="preserve"> </w:t>
      </w:r>
      <w:r>
        <w:rPr>
          <w:rFonts w:ascii="Times New Roman;serif" w:hAnsi="Times New Roman;serif"/>
          <w:b/>
          <w:color w:val="000000"/>
          <w:sz w:val="24"/>
        </w:rPr>
        <w:t>is</w:t>
      </w:r>
      <w:r>
        <w:rPr>
          <w:color w:val="000000"/>
        </w:rPr>
        <w:t xml:space="preserve"> </w:t>
      </w:r>
      <w:r>
        <w:rPr>
          <w:rFonts w:ascii="Times New Roman;serif" w:hAnsi="Times New Roman;serif"/>
          <w:b/>
          <w:color w:val="000000"/>
          <w:sz w:val="24"/>
        </w:rPr>
        <w:t>from</w:t>
      </w:r>
      <w:r>
        <w:rPr>
          <w:color w:val="000000"/>
        </w:rPr>
        <w:t xml:space="preserve"> </w:t>
      </w:r>
      <w:r>
        <w:rPr>
          <w:rFonts w:ascii="Times New Roman;serif" w:hAnsi="Times New Roman;serif"/>
          <w:b/>
          <w:color w:val="000000"/>
          <w:sz w:val="24"/>
        </w:rPr>
        <w:t>beneficial</w:t>
      </w:r>
      <w:r>
        <w:rPr>
          <w:color w:val="000000"/>
        </w:rPr>
        <w:t xml:space="preserve"> </w:t>
      </w:r>
      <w:r>
        <w:rPr>
          <w:rFonts w:ascii="Times New Roman;serif" w:hAnsi="Times New Roman;serif"/>
          <w:b/>
          <w:color w:val="000000"/>
          <w:sz w:val="24"/>
        </w:rPr>
        <w:t>interest</w:t>
      </w:r>
      <w:r>
        <w:rPr>
          <w:color w:val="000000"/>
        </w:rPr>
        <w:t xml:space="preserve"> </w:t>
      </w:r>
      <w:r>
        <w:rPr>
          <w:rFonts w:ascii="Times New Roman;serif" w:hAnsi="Times New Roman;serif"/>
          <w:b/>
          <w:color w:val="000000"/>
          <w:sz w:val="24"/>
        </w:rPr>
        <w:t>in</w:t>
      </w:r>
      <w:r>
        <w:rPr>
          <w:color w:val="000000"/>
        </w:rPr>
        <w:t xml:space="preserve"> </w:t>
      </w:r>
      <w:r>
        <w:rPr>
          <w:rFonts w:ascii="Times New Roman;serif" w:hAnsi="Times New Roman;serif"/>
          <w:b/>
          <w:color w:val="000000"/>
          <w:sz w:val="24"/>
        </w:rPr>
        <w:t>a</w:t>
      </w:r>
      <w:r>
        <w:rPr>
          <w:color w:val="000000"/>
        </w:rPr>
        <w:t xml:space="preserve"> </w:t>
      </w:r>
      <w:r>
        <w:rPr>
          <w:rFonts w:ascii="Times New Roman;serif" w:hAnsi="Times New Roman;serif"/>
          <w:b/>
          <w:color w:val="000000"/>
          <w:sz w:val="24"/>
        </w:rPr>
        <w:t>Restricted</w:t>
      </w:r>
      <w:r>
        <w:rPr>
          <w:color w:val="000000"/>
        </w:rPr>
        <w:t xml:space="preserve"> </w:t>
      </w:r>
      <w:r>
        <w:rPr>
          <w:rFonts w:ascii="Times New Roman;serif" w:hAnsi="Times New Roman;serif"/>
          <w:b/>
          <w:color w:val="000000"/>
          <w:sz w:val="24"/>
        </w:rPr>
        <w:t>Global</w:t>
      </w:r>
      <w:r>
        <w:rPr>
          <w:color w:val="000000"/>
        </w:rPr>
        <w:t xml:space="preserve"> </w:t>
      </w:r>
      <w:r>
        <w:rPr>
          <w:rFonts w:ascii="Times New Roman;serif" w:hAnsi="Times New Roman;serif"/>
          <w:b/>
          <w:color w:val="000000"/>
          <w:sz w:val="24"/>
        </w:rPr>
        <w:t>Note</w:t>
      </w:r>
      <w:r>
        <w:rPr>
          <w:color w:val="000000"/>
        </w:rPr>
        <w:t xml:space="preserve"> </w:t>
      </w:r>
      <w:r>
        <w:rPr>
          <w:rFonts w:ascii="Times New Roman;serif" w:hAnsi="Times New Roman;serif"/>
          <w:b/>
          <w:color w:val="000000"/>
          <w:sz w:val="24"/>
        </w:rPr>
        <w:t>to</w:t>
      </w:r>
      <w:r>
        <w:rPr>
          <w:color w:val="000000"/>
        </w:rPr>
        <w:t xml:space="preserve"> </w:t>
      </w:r>
      <w:r>
        <w:rPr>
          <w:rFonts w:ascii="Times New Roman;serif" w:hAnsi="Times New Roman;serif"/>
          <w:b/>
          <w:color w:val="000000"/>
          <w:sz w:val="24"/>
        </w:rPr>
        <w:t>beneficial</w:t>
      </w:r>
      <w:r>
        <w:rPr>
          <w:color w:val="000000"/>
        </w:rPr>
        <w:t xml:space="preserve"> </w:t>
      </w:r>
      <w:r>
        <w:rPr>
          <w:rFonts w:ascii="Times New Roman;serif" w:hAnsi="Times New Roman;serif"/>
          <w:b/>
          <w:color w:val="000000"/>
          <w:sz w:val="24"/>
        </w:rPr>
        <w:t>interest</w:t>
      </w:r>
      <w:r>
        <w:rPr>
          <w:color w:val="000000"/>
        </w:rPr>
        <w:t xml:space="preserve"> </w:t>
      </w:r>
      <w:r>
        <w:rPr>
          <w:rFonts w:ascii="Times New Roman;serif" w:hAnsi="Times New Roman;serif"/>
          <w:b/>
          <w:color w:val="000000"/>
          <w:sz w:val="24"/>
        </w:rPr>
        <w:t>in</w:t>
      </w:r>
      <w:r>
        <w:rPr>
          <w:color w:val="000000"/>
        </w:rPr>
        <w:t xml:space="preserve"> </w:t>
      </w:r>
      <w:r>
        <w:rPr>
          <w:rFonts w:ascii="Times New Roman;serif" w:hAnsi="Times New Roman;serif"/>
          <w:b/>
          <w:color w:val="000000"/>
          <w:sz w:val="24"/>
        </w:rPr>
        <w:t>an</w:t>
      </w:r>
      <w:r>
        <w:rPr>
          <w:color w:val="000000"/>
        </w:rPr>
        <w:t xml:space="preserve"> </w:t>
      </w:r>
      <w:r>
        <w:rPr>
          <w:rFonts w:ascii="Times New Roman;serif" w:hAnsi="Times New Roman;serif"/>
          <w:b/>
          <w:color w:val="000000"/>
          <w:sz w:val="24"/>
        </w:rPr>
        <w:t>Unrestricted</w:t>
      </w:r>
      <w:r>
        <w:rPr>
          <w:color w:val="000000"/>
        </w:rPr>
        <w:t xml:space="preserve"> </w:t>
      </w:r>
      <w:r>
        <w:rPr>
          <w:rFonts w:ascii="Times New Roman;serif" w:hAnsi="Times New Roman;serif"/>
          <w:b/>
          <w:color w:val="000000"/>
          <w:sz w:val="24"/>
        </w:rPr>
        <w:t>Global</w:t>
      </w:r>
      <w:r>
        <w:rPr>
          <w:color w:val="000000"/>
        </w:rPr>
        <w:t xml:space="preserve"> </w:t>
      </w:r>
      <w:r>
        <w:rPr>
          <w:rFonts w:ascii="Times New Roman;serif" w:hAnsi="Times New Roman;serif"/>
          <w:b/>
          <w:color w:val="000000"/>
          <w:sz w:val="24"/>
        </w:rPr>
        <w:t>Note</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connection with the Exchange of the Owner’s beneficial interest in a Restricted Global Note for a beneficial interest in an Unrestricted Global Note in an</w:t>
      </w:r>
      <w:r>
        <w:rPr>
          <w:color w:val="000000"/>
        </w:rPr>
        <w:t xml:space="preserve"> </w:t>
      </w:r>
      <w:r>
        <w:rPr>
          <w:rFonts w:ascii="Times New Roman;serif" w:hAnsi="Times New Roman;serif"/>
          <w:b w:val="false"/>
          <w:color w:val="000000"/>
          <w:sz w:val="24"/>
        </w:rPr>
        <w:t>equal principal amount, the Owner hereby certifies (i) the beneficial interest is being acquired for the Owner’s own account without transfer, (ii) such</w:t>
      </w:r>
      <w:r>
        <w:rPr>
          <w:color w:val="000000"/>
        </w:rPr>
        <w:t xml:space="preserve"> </w:t>
      </w:r>
      <w:r>
        <w:rPr>
          <w:rFonts w:ascii="Times New Roman;serif" w:hAnsi="Times New Roman;serif"/>
          <w:b w:val="false"/>
          <w:color w:val="000000"/>
          <w:sz w:val="24"/>
        </w:rPr>
        <w:t>Exchange has been effected in compliance with the transfer restrictions applicable to the Restricted Global Note and pursuant to and in accordance with</w:t>
      </w:r>
      <w:r>
        <w:rPr>
          <w:color w:val="000000"/>
        </w:rPr>
        <w:t xml:space="preserve"> </w:t>
      </w:r>
      <w:r>
        <w:rPr>
          <w:rFonts w:ascii="Times New Roman;serif" w:hAnsi="Times New Roman;serif"/>
          <w:b w:val="false"/>
          <w:color w:val="000000"/>
          <w:sz w:val="24"/>
        </w:rPr>
        <w:t>the United States Securities Act of 1933, as amended (the “</w:t>
      </w:r>
      <w:r>
        <w:rPr>
          <w:rFonts w:ascii="Times New Roman;serif" w:hAnsi="Times New Roman;serif"/>
          <w:b/>
          <w:i/>
          <w:color w:val="000000"/>
          <w:sz w:val="24"/>
        </w:rPr>
        <w:t>Securities Act</w:t>
      </w:r>
      <w:r>
        <w:rPr>
          <w:color w:val="000000"/>
        </w:rPr>
        <w:t>”</w:t>
      </w:r>
      <w:r>
        <w:rPr>
          <w:rFonts w:ascii="Times New Roman;serif" w:hAnsi="Times New Roman;serif"/>
          <w:b w:val="false"/>
          <w:color w:val="000000"/>
          <w:sz w:val="24"/>
        </w:rPr>
        <w:t>), (iii) the restrictions on transfer contained in the Indenture and the Private</w:t>
      </w:r>
      <w:r>
        <w:rPr>
          <w:color w:val="000000"/>
        </w:rPr>
        <w:t xml:space="preserve"> </w:t>
      </w:r>
      <w:r>
        <w:rPr>
          <w:rFonts w:ascii="Times New Roman;serif" w:hAnsi="Times New Roman;serif"/>
          <w:b w:val="false"/>
          <w:color w:val="000000"/>
          <w:sz w:val="24"/>
        </w:rPr>
        <w:t>Placement</w:t>
      </w:r>
      <w:r>
        <w:rPr>
          <w:color w:val="000000"/>
        </w:rPr>
        <w:t xml:space="preserve"> </w:t>
      </w:r>
      <w:r>
        <w:rPr>
          <w:rFonts w:ascii="Times New Roman;serif" w:hAnsi="Times New Roman;serif"/>
          <w:b w:val="false"/>
          <w:color w:val="000000"/>
          <w:sz w:val="24"/>
        </w:rPr>
        <w:t>Legend</w:t>
      </w:r>
      <w:r>
        <w:rPr>
          <w:color w:val="000000"/>
        </w:rPr>
        <w:t xml:space="preserve"> </w:t>
      </w:r>
      <w:r>
        <w:rPr>
          <w:rFonts w:ascii="Times New Roman;serif" w:hAnsi="Times New Roman;serif"/>
          <w:b w:val="false"/>
          <w:color w:val="000000"/>
          <w:sz w:val="24"/>
        </w:rPr>
        <w:t>are</w:t>
      </w:r>
      <w:r>
        <w:rPr>
          <w:color w:val="000000"/>
        </w:rPr>
        <w:t xml:space="preserve"> </w:t>
      </w:r>
      <w:r>
        <w:rPr>
          <w:rFonts w:ascii="Times New Roman;serif" w:hAnsi="Times New Roman;serif"/>
          <w:b w:val="false"/>
          <w:color w:val="000000"/>
          <w:sz w:val="24"/>
        </w:rPr>
        <w:t>not</w:t>
      </w:r>
      <w:r>
        <w:rPr>
          <w:color w:val="000000"/>
        </w:rPr>
        <w:t xml:space="preserve"> </w:t>
      </w:r>
      <w:r>
        <w:rPr>
          <w:rFonts w:ascii="Times New Roman;serif" w:hAnsi="Times New Roman;serif"/>
          <w:b w:val="false"/>
          <w:color w:val="000000"/>
          <w:sz w:val="24"/>
        </w:rPr>
        <w:t>required</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order</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maintain</w:t>
      </w:r>
      <w:r>
        <w:rPr>
          <w:color w:val="000000"/>
        </w:rPr>
        <w:t xml:space="preserve"> </w:t>
      </w:r>
      <w:r>
        <w:rPr>
          <w:rFonts w:ascii="Times New Roman;serif" w:hAnsi="Times New Roman;serif"/>
          <w:b w:val="false"/>
          <w:color w:val="000000"/>
          <w:sz w:val="24"/>
        </w:rPr>
        <w:t>compliance</w:t>
      </w:r>
      <w:r>
        <w:rPr>
          <w:color w:val="000000"/>
        </w:rPr>
        <w:t xml:space="preserve"> </w:t>
      </w:r>
      <w:r>
        <w:rPr>
          <w:rFonts w:ascii="Times New Roman;serif" w:hAnsi="Times New Roman;serif"/>
          <w:b w:val="false"/>
          <w:color w:val="000000"/>
          <w:sz w:val="24"/>
        </w:rPr>
        <w:t>with</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Securities</w:t>
      </w:r>
      <w:r>
        <w:rPr>
          <w:color w:val="000000"/>
        </w:rPr>
        <w:t xml:space="preserve"> </w:t>
      </w:r>
      <w:r>
        <w:rPr>
          <w:rFonts w:ascii="Times New Roman;serif" w:hAnsi="Times New Roman;serif"/>
          <w:b w:val="false"/>
          <w:color w:val="000000"/>
          <w:sz w:val="24"/>
        </w:rPr>
        <w:t>Act</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(iv)</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beneficial</w:t>
      </w:r>
      <w:r>
        <w:rPr>
          <w:color w:val="000000"/>
        </w:rPr>
        <w:t xml:space="preserve"> </w:t>
      </w:r>
      <w:r>
        <w:rPr>
          <w:rFonts w:ascii="Times New Roman;serif" w:hAnsi="Times New Roman;serif"/>
          <w:b w:val="false"/>
          <w:color w:val="000000"/>
          <w:sz w:val="24"/>
        </w:rPr>
        <w:t>interest</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an</w:t>
      </w:r>
      <w:r>
        <w:rPr>
          <w:color w:val="000000"/>
        </w:rPr>
        <w:t xml:space="preserve"> </w:t>
      </w:r>
      <w:r>
        <w:rPr>
          <w:rFonts w:ascii="Times New Roman;serif" w:hAnsi="Times New Roman;serif"/>
          <w:b w:val="false"/>
          <w:color w:val="000000"/>
          <w:sz w:val="24"/>
        </w:rPr>
        <w:t>Unrestricted</w:t>
      </w:r>
      <w:r>
        <w:rPr>
          <w:color w:val="000000"/>
        </w:rPr>
        <w:t xml:space="preserve"> </w:t>
      </w:r>
      <w:r>
        <w:rPr>
          <w:rFonts w:ascii="Times New Roman;serif" w:hAnsi="Times New Roman;serif"/>
          <w:b w:val="false"/>
          <w:color w:val="000000"/>
          <w:sz w:val="24"/>
        </w:rPr>
        <w:t>Global</w:t>
      </w:r>
      <w:r>
        <w:rPr>
          <w:color w:val="000000"/>
        </w:rPr>
        <w:t xml:space="preserve"> </w:t>
      </w:r>
      <w:r>
        <w:rPr>
          <w:rFonts w:ascii="Times New Roman;serif" w:hAnsi="Times New Roman;serif"/>
          <w:b w:val="false"/>
          <w:color w:val="000000"/>
          <w:sz w:val="24"/>
        </w:rPr>
        <w:t>Note</w:t>
      </w:r>
      <w:r>
        <w:rPr>
          <w:color w:val="000000"/>
        </w:rPr>
        <w:t xml:space="preserve"> </w:t>
      </w:r>
      <w:r>
        <w:rPr>
          <w:rFonts w:ascii="Times New Roman;serif" w:hAnsi="Times New Roman;serif"/>
          <w:b w:val="false"/>
          <w:color w:val="000000"/>
          <w:sz w:val="24"/>
        </w:rPr>
        <w:t>is</w:t>
      </w:r>
      <w:r>
        <w:rPr>
          <w:color w:val="000000"/>
        </w:rPr>
        <w:t xml:space="preserve"> </w:t>
      </w:r>
      <w:r>
        <w:rPr>
          <w:rFonts w:ascii="Times New Roman;serif" w:hAnsi="Times New Roman;serif"/>
          <w:b w:val="false"/>
          <w:color w:val="000000"/>
          <w:sz w:val="24"/>
        </w:rPr>
        <w:t>being acquired in compliance with any applicable blue sky securities laws of any state of the United States.</w:t>
      </w:r>
    </w:p>
    <w:p>
      <w:pPr>
        <w:pStyle w:val="TextBody"/>
        <w:bidi w:val="0"/>
        <w:spacing w:lineRule="auto" w:line="240" w:before="0" w:after="240"/>
        <w:ind w:left="0" w:right="0" w:firstLine="1440"/>
        <w:jc w:val="both"/>
        <w:rPr/>
      </w:pPr>
      <w:r>
        <w:rPr>
          <w:rFonts w:ascii="Times New Roman;serif" w:hAnsi="Times New Roman;serif"/>
          <w:b w:val="false"/>
          <w:color w:val="000000"/>
          <w:sz w:val="24"/>
        </w:rPr>
        <w:t>(b)</w:t>
      </w:r>
      <w:r>
        <w:rPr>
          <w:color w:val="000000"/>
        </w:rPr>
        <w:t>☐</w:t>
      </w:r>
      <w:r>
        <w:rPr>
          <w:color w:val="000000"/>
        </w:rPr>
        <w:t xml:space="preserve">     </w:t>
      </w:r>
      <w:r>
        <w:rPr>
          <w:rFonts w:ascii="Times New Roman;serif" w:hAnsi="Times New Roman;serif"/>
          <w:b/>
          <w:color w:val="000000"/>
          <w:sz w:val="24"/>
        </w:rPr>
        <w:t>Check</w:t>
      </w:r>
      <w:r>
        <w:rPr>
          <w:color w:val="000000"/>
        </w:rPr>
        <w:t xml:space="preserve"> </w:t>
      </w:r>
      <w:r>
        <w:rPr>
          <w:rFonts w:ascii="Times New Roman;serif" w:hAnsi="Times New Roman;serif"/>
          <w:b/>
          <w:color w:val="000000"/>
          <w:sz w:val="24"/>
        </w:rPr>
        <w:t>if</w:t>
      </w:r>
      <w:r>
        <w:rPr>
          <w:color w:val="000000"/>
        </w:rPr>
        <w:t xml:space="preserve"> </w:t>
      </w:r>
      <w:r>
        <w:rPr>
          <w:rFonts w:ascii="Times New Roman;serif" w:hAnsi="Times New Roman;serif"/>
          <w:b/>
          <w:color w:val="000000"/>
          <w:sz w:val="24"/>
        </w:rPr>
        <w:t>Exchange</w:t>
      </w:r>
      <w:r>
        <w:rPr>
          <w:color w:val="000000"/>
        </w:rPr>
        <w:t xml:space="preserve"> </w:t>
      </w:r>
      <w:r>
        <w:rPr>
          <w:rFonts w:ascii="Times New Roman;serif" w:hAnsi="Times New Roman;serif"/>
          <w:b/>
          <w:color w:val="000000"/>
          <w:sz w:val="24"/>
        </w:rPr>
        <w:t>is</w:t>
      </w:r>
      <w:r>
        <w:rPr>
          <w:color w:val="000000"/>
        </w:rPr>
        <w:t xml:space="preserve"> </w:t>
      </w:r>
      <w:r>
        <w:rPr>
          <w:rFonts w:ascii="Times New Roman;serif" w:hAnsi="Times New Roman;serif"/>
          <w:b/>
          <w:color w:val="000000"/>
          <w:sz w:val="24"/>
        </w:rPr>
        <w:t>from</w:t>
      </w:r>
      <w:r>
        <w:rPr>
          <w:color w:val="000000"/>
        </w:rPr>
        <w:t xml:space="preserve"> </w:t>
      </w:r>
      <w:r>
        <w:rPr>
          <w:rFonts w:ascii="Times New Roman;serif" w:hAnsi="Times New Roman;serif"/>
          <w:b/>
          <w:color w:val="000000"/>
          <w:sz w:val="24"/>
        </w:rPr>
        <w:t>beneficial</w:t>
      </w:r>
      <w:r>
        <w:rPr>
          <w:color w:val="000000"/>
        </w:rPr>
        <w:t xml:space="preserve"> </w:t>
      </w:r>
      <w:r>
        <w:rPr>
          <w:rFonts w:ascii="Times New Roman;serif" w:hAnsi="Times New Roman;serif"/>
          <w:b/>
          <w:color w:val="000000"/>
          <w:sz w:val="24"/>
        </w:rPr>
        <w:t>interest</w:t>
      </w:r>
      <w:r>
        <w:rPr>
          <w:color w:val="000000"/>
        </w:rPr>
        <w:t xml:space="preserve"> </w:t>
      </w:r>
      <w:r>
        <w:rPr>
          <w:rFonts w:ascii="Times New Roman;serif" w:hAnsi="Times New Roman;serif"/>
          <w:b/>
          <w:color w:val="000000"/>
          <w:sz w:val="24"/>
        </w:rPr>
        <w:t>in</w:t>
      </w:r>
      <w:r>
        <w:rPr>
          <w:color w:val="000000"/>
        </w:rPr>
        <w:t xml:space="preserve"> </w:t>
      </w:r>
      <w:r>
        <w:rPr>
          <w:rFonts w:ascii="Times New Roman;serif" w:hAnsi="Times New Roman;serif"/>
          <w:b/>
          <w:color w:val="000000"/>
          <w:sz w:val="24"/>
        </w:rPr>
        <w:t>a</w:t>
      </w:r>
      <w:r>
        <w:rPr>
          <w:color w:val="000000"/>
        </w:rPr>
        <w:t xml:space="preserve"> </w:t>
      </w:r>
      <w:r>
        <w:rPr>
          <w:rFonts w:ascii="Times New Roman;serif" w:hAnsi="Times New Roman;serif"/>
          <w:b/>
          <w:color w:val="000000"/>
          <w:sz w:val="24"/>
        </w:rPr>
        <w:t>Restricted</w:t>
      </w:r>
      <w:r>
        <w:rPr>
          <w:color w:val="000000"/>
        </w:rPr>
        <w:t xml:space="preserve"> </w:t>
      </w:r>
      <w:r>
        <w:rPr>
          <w:rFonts w:ascii="Times New Roman;serif" w:hAnsi="Times New Roman;serif"/>
          <w:b/>
          <w:color w:val="000000"/>
          <w:sz w:val="24"/>
        </w:rPr>
        <w:t>Global</w:t>
      </w:r>
      <w:r>
        <w:rPr>
          <w:color w:val="000000"/>
        </w:rPr>
        <w:t xml:space="preserve"> </w:t>
      </w:r>
      <w:r>
        <w:rPr>
          <w:rFonts w:ascii="Times New Roman;serif" w:hAnsi="Times New Roman;serif"/>
          <w:b/>
          <w:color w:val="000000"/>
          <w:sz w:val="24"/>
        </w:rPr>
        <w:t>Note</w:t>
      </w:r>
      <w:r>
        <w:rPr>
          <w:color w:val="000000"/>
        </w:rPr>
        <w:t xml:space="preserve"> </w:t>
      </w:r>
      <w:r>
        <w:rPr>
          <w:rFonts w:ascii="Times New Roman;serif" w:hAnsi="Times New Roman;serif"/>
          <w:b/>
          <w:color w:val="000000"/>
          <w:sz w:val="24"/>
        </w:rPr>
        <w:t>to</w:t>
      </w:r>
      <w:r>
        <w:rPr>
          <w:color w:val="000000"/>
        </w:rPr>
        <w:t xml:space="preserve"> </w:t>
      </w:r>
      <w:r>
        <w:rPr>
          <w:rFonts w:ascii="Times New Roman;serif" w:hAnsi="Times New Roman;serif"/>
          <w:b/>
          <w:color w:val="000000"/>
          <w:sz w:val="24"/>
        </w:rPr>
        <w:t>Unrestricted</w:t>
      </w:r>
      <w:r>
        <w:rPr>
          <w:color w:val="000000"/>
        </w:rPr>
        <w:t xml:space="preserve"> </w:t>
      </w:r>
      <w:r>
        <w:rPr>
          <w:rFonts w:ascii="Times New Roman;serif" w:hAnsi="Times New Roman;serif"/>
          <w:b/>
          <w:color w:val="000000"/>
          <w:sz w:val="24"/>
        </w:rPr>
        <w:t>Definitive</w:t>
      </w:r>
      <w:r>
        <w:rPr>
          <w:color w:val="000000"/>
        </w:rPr>
        <w:t xml:space="preserve"> </w:t>
      </w:r>
      <w:r>
        <w:rPr>
          <w:rFonts w:ascii="Times New Roman;serif" w:hAnsi="Times New Roman;serif"/>
          <w:b/>
          <w:color w:val="000000"/>
          <w:sz w:val="24"/>
        </w:rPr>
        <w:t>Note</w:t>
      </w:r>
      <w:r>
        <w:rPr>
          <w:rFonts w:ascii="Times New Roman;serif" w:hAnsi="Times New Roman;serif"/>
          <w:b w:val="false"/>
          <w:color w:val="000000"/>
          <w:sz w:val="24"/>
        </w:rPr>
        <w:t>. In connection with the</w:t>
      </w:r>
      <w:r>
        <w:rPr>
          <w:color w:val="000000"/>
        </w:rPr>
        <w:t xml:space="preserve"> </w:t>
      </w:r>
      <w:r>
        <w:rPr>
          <w:rFonts w:ascii="Times New Roman;serif" w:hAnsi="Times New Roman;serif"/>
          <w:b w:val="false"/>
          <w:color w:val="000000"/>
          <w:sz w:val="24"/>
        </w:rPr>
        <w:t>Exchange</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Owner’s</w:t>
      </w:r>
      <w:r>
        <w:rPr>
          <w:color w:val="000000"/>
        </w:rPr>
        <w:t xml:space="preserve"> </w:t>
      </w:r>
      <w:r>
        <w:rPr>
          <w:rFonts w:ascii="Times New Roman;serif" w:hAnsi="Times New Roman;serif"/>
          <w:b w:val="false"/>
          <w:color w:val="000000"/>
          <w:sz w:val="24"/>
        </w:rPr>
        <w:t>beneficial</w:t>
      </w:r>
      <w:r>
        <w:rPr>
          <w:color w:val="000000"/>
        </w:rPr>
        <w:t xml:space="preserve"> </w:t>
      </w:r>
      <w:r>
        <w:rPr>
          <w:rFonts w:ascii="Times New Roman;serif" w:hAnsi="Times New Roman;serif"/>
          <w:b w:val="false"/>
          <w:color w:val="000000"/>
          <w:sz w:val="24"/>
        </w:rPr>
        <w:t>interest</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Restricted</w:t>
      </w:r>
      <w:r>
        <w:rPr>
          <w:color w:val="000000"/>
        </w:rPr>
        <w:t xml:space="preserve"> </w:t>
      </w:r>
      <w:r>
        <w:rPr>
          <w:rFonts w:ascii="Times New Roman;serif" w:hAnsi="Times New Roman;serif"/>
          <w:b w:val="false"/>
          <w:color w:val="000000"/>
          <w:sz w:val="24"/>
        </w:rPr>
        <w:t>Global</w:t>
      </w:r>
      <w:r>
        <w:rPr>
          <w:color w:val="000000"/>
        </w:rPr>
        <w:t xml:space="preserve"> </w:t>
      </w:r>
      <w:r>
        <w:rPr>
          <w:rFonts w:ascii="Times New Roman;serif" w:hAnsi="Times New Roman;serif"/>
          <w:b w:val="false"/>
          <w:color w:val="000000"/>
          <w:sz w:val="24"/>
        </w:rPr>
        <w:t>Note</w:t>
      </w:r>
      <w:r>
        <w:rPr>
          <w:color w:val="000000"/>
        </w:rPr>
        <w:t xml:space="preserve"> </w:t>
      </w:r>
      <w:r>
        <w:rPr>
          <w:rFonts w:ascii="Times New Roman;serif" w:hAnsi="Times New Roman;serif"/>
          <w:b w:val="false"/>
          <w:color w:val="000000"/>
          <w:sz w:val="24"/>
        </w:rPr>
        <w:t>for</w:t>
      </w:r>
      <w:r>
        <w:rPr>
          <w:color w:val="000000"/>
        </w:rPr>
        <w:t xml:space="preserve"> </w:t>
      </w:r>
      <w:r>
        <w:rPr>
          <w:rFonts w:ascii="Times New Roman;serif" w:hAnsi="Times New Roman;serif"/>
          <w:b w:val="false"/>
          <w:color w:val="000000"/>
          <w:sz w:val="24"/>
        </w:rPr>
        <w:t>an</w:t>
      </w:r>
      <w:r>
        <w:rPr>
          <w:color w:val="000000"/>
        </w:rPr>
        <w:t xml:space="preserve"> </w:t>
      </w:r>
      <w:r>
        <w:rPr>
          <w:rFonts w:ascii="Times New Roman;serif" w:hAnsi="Times New Roman;serif"/>
          <w:b w:val="false"/>
          <w:color w:val="000000"/>
          <w:sz w:val="24"/>
        </w:rPr>
        <w:t>Unrestricted</w:t>
      </w:r>
      <w:r>
        <w:rPr>
          <w:color w:val="000000"/>
        </w:rPr>
        <w:t xml:space="preserve"> </w:t>
      </w:r>
      <w:r>
        <w:rPr>
          <w:rFonts w:ascii="Times New Roman;serif" w:hAnsi="Times New Roman;serif"/>
          <w:b w:val="false"/>
          <w:color w:val="000000"/>
          <w:sz w:val="24"/>
        </w:rPr>
        <w:t>Definitive</w:t>
      </w:r>
      <w:r>
        <w:rPr>
          <w:color w:val="000000"/>
        </w:rPr>
        <w:t xml:space="preserve"> </w:t>
      </w:r>
      <w:r>
        <w:rPr>
          <w:rFonts w:ascii="Times New Roman;serif" w:hAnsi="Times New Roman;serif"/>
          <w:b w:val="false"/>
          <w:color w:val="000000"/>
          <w:sz w:val="24"/>
        </w:rPr>
        <w:t>Note,</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Owner</w:t>
      </w:r>
      <w:r>
        <w:rPr>
          <w:color w:val="000000"/>
        </w:rPr>
        <w:t xml:space="preserve"> </w:t>
      </w:r>
      <w:r>
        <w:rPr>
          <w:rFonts w:ascii="Times New Roman;serif" w:hAnsi="Times New Roman;serif"/>
          <w:b w:val="false"/>
          <w:color w:val="000000"/>
          <w:sz w:val="24"/>
        </w:rPr>
        <w:t>hereby</w:t>
      </w:r>
      <w:r>
        <w:rPr>
          <w:color w:val="000000"/>
        </w:rPr>
        <w:t xml:space="preserve"> </w:t>
      </w:r>
      <w:r>
        <w:rPr>
          <w:rFonts w:ascii="Times New Roman;serif" w:hAnsi="Times New Roman;serif"/>
          <w:b w:val="false"/>
          <w:color w:val="000000"/>
          <w:sz w:val="24"/>
        </w:rPr>
        <w:t>certifies</w:t>
      </w:r>
      <w:r>
        <w:rPr>
          <w:color w:val="000000"/>
        </w:rPr>
        <w:t xml:space="preserve"> </w:t>
      </w:r>
      <w:r>
        <w:rPr>
          <w:rFonts w:ascii="Times New Roman;serif" w:hAnsi="Times New Roman;serif"/>
          <w:b w:val="false"/>
          <w:color w:val="000000"/>
          <w:sz w:val="24"/>
        </w:rPr>
        <w:t>(i)</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Unrestricted</w:t>
      </w:r>
      <w:r>
        <w:rPr>
          <w:color w:val="000000"/>
        </w:rPr>
        <w:t xml:space="preserve"> </w:t>
      </w:r>
      <w:r>
        <w:rPr>
          <w:rFonts w:ascii="Times New Roman;serif" w:hAnsi="Times New Roman;serif"/>
          <w:b w:val="false"/>
          <w:color w:val="000000"/>
          <w:sz w:val="24"/>
        </w:rPr>
        <w:t xml:space="preserve">Definitive Note is being acquired for the Owner’s own </w:t>
      </w:r>
    </w:p>
    <w:p>
      <w:pPr>
        <w:pStyle w:val="TextBody"/>
        <w:bidi w:val="0"/>
        <w:spacing w:before="0" w:after="0"/>
        <w:jc w:val="left"/>
        <w:rPr/>
      </w:pPr>
      <w:r>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6480175" cy="175260"/>
                <wp:effectExtent l="0" t="0" r="0" b="0"/>
                <wp:wrapNone/>
                <wp:docPr id="160" name="Frame16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C-1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C-1</w:t>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rPr>
        <w:t>account without transfer, (ii) such Exchange has been effected in compliance with the transfer</w:t>
      </w:r>
      <w:r>
        <w:rPr>
          <w:color w:val="000000"/>
        </w:rPr>
        <w:t xml:space="preserve"> </w:t>
      </w:r>
      <w:r>
        <w:rPr>
          <w:rFonts w:ascii="Times New Roman;serif" w:hAnsi="Times New Roman;serif"/>
          <w:b w:val="false"/>
          <w:color w:val="000000"/>
          <w:sz w:val="24"/>
        </w:rPr>
        <w:t>restrictions applicable to the Restricted Global Note and pursuant to and in accordance with the Securities Act, (iii) the restrictions on transfer contained</w:t>
      </w:r>
      <w:r>
        <w:rPr>
          <w:color w:val="000000"/>
        </w:rPr>
        <w:t xml:space="preserve"> </w:t>
      </w:r>
      <w:r>
        <w:rPr>
          <w:rFonts w:ascii="Times New Roman;serif" w:hAnsi="Times New Roman;serif"/>
          <w:b w:val="false"/>
          <w:color w:val="000000"/>
          <w:sz w:val="24"/>
        </w:rPr>
        <w:t>in the Indenture and the Private Placement Legend are not required in order to maintain compliance with the Securities Act and (iv) the Unrestricted</w:t>
      </w:r>
      <w:r>
        <w:rPr>
          <w:color w:val="000000"/>
        </w:rPr>
        <w:t xml:space="preserve"> </w:t>
      </w:r>
      <w:r>
        <w:rPr>
          <w:rFonts w:ascii="Times New Roman;serif" w:hAnsi="Times New Roman;serif"/>
          <w:b w:val="false"/>
          <w:color w:val="000000"/>
          <w:sz w:val="24"/>
        </w:rPr>
        <w:t>Definitive Note is being acquired in compliance with any applicable blue sky securities laws of any state of the United States.</w:t>
      </w:r>
    </w:p>
    <w:p>
      <w:pPr>
        <w:pStyle w:val="TextBody"/>
        <w:bidi w:val="0"/>
        <w:spacing w:lineRule="auto" w:line="240" w:before="0" w:after="240"/>
        <w:ind w:left="0" w:right="0" w:firstLine="1440"/>
        <w:jc w:val="both"/>
        <w:rPr/>
      </w:pPr>
      <w:r>
        <w:rPr>
          <w:rFonts w:ascii="Times New Roman;serif" w:hAnsi="Times New Roman;serif"/>
          <w:b w:val="false"/>
          <w:color w:val="000000"/>
          <w:sz w:val="24"/>
        </w:rPr>
        <w:t>(c)</w:t>
      </w:r>
      <w:r>
        <w:rPr>
          <w:color w:val="000000"/>
        </w:rPr>
        <w:t>☐</w:t>
      </w:r>
      <w:r>
        <w:rPr>
          <w:color w:val="000000"/>
        </w:rPr>
        <w:t xml:space="preserve">     </w:t>
      </w:r>
      <w:r>
        <w:rPr>
          <w:rFonts w:ascii="Times New Roman;serif" w:hAnsi="Times New Roman;serif"/>
          <w:b/>
          <w:color w:val="000000"/>
          <w:sz w:val="24"/>
        </w:rPr>
        <w:t>Check</w:t>
      </w:r>
      <w:r>
        <w:rPr>
          <w:color w:val="000000"/>
        </w:rPr>
        <w:t xml:space="preserve"> </w:t>
      </w:r>
      <w:r>
        <w:rPr>
          <w:rFonts w:ascii="Times New Roman;serif" w:hAnsi="Times New Roman;serif"/>
          <w:b/>
          <w:color w:val="000000"/>
          <w:sz w:val="24"/>
        </w:rPr>
        <w:t>if</w:t>
      </w:r>
      <w:r>
        <w:rPr>
          <w:color w:val="000000"/>
        </w:rPr>
        <w:t xml:space="preserve"> </w:t>
      </w:r>
      <w:r>
        <w:rPr>
          <w:rFonts w:ascii="Times New Roman;serif" w:hAnsi="Times New Roman;serif"/>
          <w:b/>
          <w:color w:val="000000"/>
          <w:sz w:val="24"/>
        </w:rPr>
        <w:t>Exchange</w:t>
      </w:r>
      <w:r>
        <w:rPr>
          <w:color w:val="000000"/>
        </w:rPr>
        <w:t xml:space="preserve"> </w:t>
      </w:r>
      <w:r>
        <w:rPr>
          <w:rFonts w:ascii="Times New Roman;serif" w:hAnsi="Times New Roman;serif"/>
          <w:b/>
          <w:color w:val="000000"/>
          <w:sz w:val="24"/>
        </w:rPr>
        <w:t>is</w:t>
      </w:r>
      <w:r>
        <w:rPr>
          <w:color w:val="000000"/>
        </w:rPr>
        <w:t xml:space="preserve"> </w:t>
      </w:r>
      <w:r>
        <w:rPr>
          <w:rFonts w:ascii="Times New Roman;serif" w:hAnsi="Times New Roman;serif"/>
          <w:b/>
          <w:color w:val="000000"/>
          <w:sz w:val="24"/>
        </w:rPr>
        <w:t>from</w:t>
      </w:r>
      <w:r>
        <w:rPr>
          <w:color w:val="000000"/>
        </w:rPr>
        <w:t xml:space="preserve"> </w:t>
      </w:r>
      <w:r>
        <w:rPr>
          <w:rFonts w:ascii="Times New Roman;serif" w:hAnsi="Times New Roman;serif"/>
          <w:b/>
          <w:color w:val="000000"/>
          <w:sz w:val="24"/>
        </w:rPr>
        <w:t>Restricted</w:t>
      </w:r>
      <w:r>
        <w:rPr>
          <w:color w:val="000000"/>
        </w:rPr>
        <w:t xml:space="preserve"> </w:t>
      </w:r>
      <w:r>
        <w:rPr>
          <w:rFonts w:ascii="Times New Roman;serif" w:hAnsi="Times New Roman;serif"/>
          <w:b/>
          <w:color w:val="000000"/>
          <w:sz w:val="24"/>
        </w:rPr>
        <w:t>Definitive</w:t>
      </w:r>
      <w:r>
        <w:rPr>
          <w:color w:val="000000"/>
        </w:rPr>
        <w:t xml:space="preserve"> </w:t>
      </w:r>
      <w:r>
        <w:rPr>
          <w:rFonts w:ascii="Times New Roman;serif" w:hAnsi="Times New Roman;serif"/>
          <w:b/>
          <w:color w:val="000000"/>
          <w:sz w:val="24"/>
        </w:rPr>
        <w:t>Note</w:t>
      </w:r>
      <w:r>
        <w:rPr>
          <w:color w:val="000000"/>
        </w:rPr>
        <w:t xml:space="preserve"> </w:t>
      </w:r>
      <w:r>
        <w:rPr>
          <w:rFonts w:ascii="Times New Roman;serif" w:hAnsi="Times New Roman;serif"/>
          <w:b/>
          <w:color w:val="000000"/>
          <w:sz w:val="24"/>
        </w:rPr>
        <w:t>to</w:t>
      </w:r>
      <w:r>
        <w:rPr>
          <w:color w:val="000000"/>
        </w:rPr>
        <w:t xml:space="preserve"> </w:t>
      </w:r>
      <w:r>
        <w:rPr>
          <w:rFonts w:ascii="Times New Roman;serif" w:hAnsi="Times New Roman;serif"/>
          <w:b/>
          <w:color w:val="000000"/>
          <w:sz w:val="24"/>
        </w:rPr>
        <w:t>beneficial</w:t>
      </w:r>
      <w:r>
        <w:rPr>
          <w:color w:val="000000"/>
        </w:rPr>
        <w:t xml:space="preserve"> </w:t>
      </w:r>
      <w:r>
        <w:rPr>
          <w:rFonts w:ascii="Times New Roman;serif" w:hAnsi="Times New Roman;serif"/>
          <w:b/>
          <w:color w:val="000000"/>
          <w:sz w:val="24"/>
        </w:rPr>
        <w:t>interest</w:t>
      </w:r>
      <w:r>
        <w:rPr>
          <w:color w:val="000000"/>
        </w:rPr>
        <w:t xml:space="preserve"> </w:t>
      </w:r>
      <w:r>
        <w:rPr>
          <w:rFonts w:ascii="Times New Roman;serif" w:hAnsi="Times New Roman;serif"/>
          <w:b/>
          <w:color w:val="000000"/>
          <w:sz w:val="24"/>
        </w:rPr>
        <w:t>in</w:t>
      </w:r>
      <w:r>
        <w:rPr>
          <w:color w:val="000000"/>
        </w:rPr>
        <w:t xml:space="preserve"> </w:t>
      </w:r>
      <w:r>
        <w:rPr>
          <w:rFonts w:ascii="Times New Roman;serif" w:hAnsi="Times New Roman;serif"/>
          <w:b/>
          <w:color w:val="000000"/>
          <w:sz w:val="24"/>
        </w:rPr>
        <w:t>an</w:t>
      </w:r>
      <w:r>
        <w:rPr>
          <w:color w:val="000000"/>
        </w:rPr>
        <w:t xml:space="preserve"> </w:t>
      </w:r>
      <w:r>
        <w:rPr>
          <w:rFonts w:ascii="Times New Roman;serif" w:hAnsi="Times New Roman;serif"/>
          <w:b/>
          <w:color w:val="000000"/>
          <w:sz w:val="24"/>
        </w:rPr>
        <w:t>Unrestricted</w:t>
      </w:r>
      <w:r>
        <w:rPr>
          <w:color w:val="000000"/>
        </w:rPr>
        <w:t xml:space="preserve"> </w:t>
      </w:r>
      <w:r>
        <w:rPr>
          <w:rFonts w:ascii="Times New Roman;serif" w:hAnsi="Times New Roman;serif"/>
          <w:b/>
          <w:color w:val="000000"/>
          <w:sz w:val="24"/>
        </w:rPr>
        <w:t>Global</w:t>
      </w:r>
      <w:r>
        <w:rPr>
          <w:color w:val="000000"/>
        </w:rPr>
        <w:t xml:space="preserve"> </w:t>
      </w:r>
      <w:r>
        <w:rPr>
          <w:rFonts w:ascii="Times New Roman;serif" w:hAnsi="Times New Roman;serif"/>
          <w:b/>
          <w:color w:val="000000"/>
          <w:sz w:val="24"/>
        </w:rPr>
        <w:t>Note</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connection</w:t>
      </w:r>
      <w:r>
        <w:rPr>
          <w:color w:val="000000"/>
        </w:rPr>
        <w:t xml:space="preserve"> </w:t>
      </w:r>
      <w:r>
        <w:rPr>
          <w:rFonts w:ascii="Times New Roman;serif" w:hAnsi="Times New Roman;serif"/>
          <w:b w:val="false"/>
          <w:color w:val="000000"/>
          <w:sz w:val="24"/>
        </w:rPr>
        <w:t>with</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Owner’s Exchange of a Restricted Definitive Note for a beneficial interest in an Unrestricted Global Note, the Owner hereby certifies (i) the beneficial</w:t>
      </w:r>
      <w:r>
        <w:rPr>
          <w:color w:val="000000"/>
        </w:rPr>
        <w:t xml:space="preserve"> </w:t>
      </w:r>
      <w:r>
        <w:rPr>
          <w:rFonts w:ascii="Times New Roman;serif" w:hAnsi="Times New Roman;serif"/>
          <w:b w:val="false"/>
          <w:color w:val="000000"/>
          <w:sz w:val="24"/>
        </w:rPr>
        <w:t>interest is being acquired for the Owner’s own account without transfer, (ii) such Exchange has been effected in compliance with the transfer restrictions</w:t>
      </w:r>
      <w:r>
        <w:rPr>
          <w:color w:val="000000"/>
        </w:rPr>
        <w:t xml:space="preserve"> </w:t>
      </w:r>
      <w:r>
        <w:rPr>
          <w:rFonts w:ascii="Times New Roman;serif" w:hAnsi="Times New Roman;serif"/>
          <w:b w:val="false"/>
          <w:color w:val="000000"/>
          <w:sz w:val="24"/>
        </w:rPr>
        <w:t>applicable to Restricted Definitive Notes and pursuant to and in accordance with the Securities Act, (iii) the restrictions on transfer contained in the</w:t>
      </w:r>
      <w:r>
        <w:rPr>
          <w:color w:val="000000"/>
        </w:rPr>
        <w:t xml:space="preserve"> </w:t>
      </w:r>
      <w:r>
        <w:rPr>
          <w:rFonts w:ascii="Times New Roman;serif" w:hAnsi="Times New Roman;serif"/>
          <w:b w:val="false"/>
          <w:color w:val="000000"/>
          <w:sz w:val="24"/>
        </w:rPr>
        <w:t>Indenture and the Private Placement Legend are not required in order to maintain compliance with the Securities Act and (iv) the beneficial interest is</w:t>
      </w:r>
      <w:r>
        <w:rPr>
          <w:color w:val="000000"/>
        </w:rPr>
        <w:t xml:space="preserve"> </w:t>
      </w:r>
      <w:r>
        <w:rPr>
          <w:rFonts w:ascii="Times New Roman;serif" w:hAnsi="Times New Roman;serif"/>
          <w:b w:val="false"/>
          <w:color w:val="000000"/>
          <w:sz w:val="24"/>
        </w:rPr>
        <w:t>being acquired in compliance with any applicable blue sky securities laws of any state of the United States.</w:t>
      </w:r>
    </w:p>
    <w:p>
      <w:pPr>
        <w:pStyle w:val="TextBody"/>
        <w:bidi w:val="0"/>
        <w:spacing w:lineRule="auto" w:line="240" w:before="0" w:after="240"/>
        <w:ind w:left="0" w:right="0" w:firstLine="1440"/>
        <w:jc w:val="both"/>
        <w:rPr/>
      </w:pPr>
      <w:r>
        <w:rPr>
          <w:rFonts w:ascii="Times New Roman;serif" w:hAnsi="Times New Roman;serif"/>
          <w:b w:val="false"/>
          <w:color w:val="000000"/>
          <w:sz w:val="24"/>
        </w:rPr>
        <w:t>(d)</w:t>
      </w:r>
      <w:r>
        <w:rPr>
          <w:color w:val="000000"/>
        </w:rPr>
        <w:t>☐</w:t>
      </w:r>
      <w:r>
        <w:rPr>
          <w:color w:val="000000"/>
        </w:rPr>
        <w:t xml:space="preserve">     </w:t>
      </w:r>
      <w:r>
        <w:rPr>
          <w:rFonts w:ascii="Times New Roman;serif" w:hAnsi="Times New Roman;serif"/>
          <w:b/>
          <w:color w:val="000000"/>
          <w:sz w:val="24"/>
        </w:rPr>
        <w:t>Check</w:t>
      </w:r>
      <w:r>
        <w:rPr>
          <w:color w:val="000000"/>
        </w:rPr>
        <w:t xml:space="preserve"> </w:t>
      </w:r>
      <w:r>
        <w:rPr>
          <w:rFonts w:ascii="Times New Roman;serif" w:hAnsi="Times New Roman;serif"/>
          <w:b/>
          <w:color w:val="000000"/>
          <w:sz w:val="24"/>
        </w:rPr>
        <w:t>if</w:t>
      </w:r>
      <w:r>
        <w:rPr>
          <w:color w:val="000000"/>
        </w:rPr>
        <w:t xml:space="preserve"> </w:t>
      </w:r>
      <w:r>
        <w:rPr>
          <w:rFonts w:ascii="Times New Roman;serif" w:hAnsi="Times New Roman;serif"/>
          <w:b/>
          <w:color w:val="000000"/>
          <w:sz w:val="24"/>
        </w:rPr>
        <w:t>Exchange</w:t>
      </w:r>
      <w:r>
        <w:rPr>
          <w:color w:val="000000"/>
        </w:rPr>
        <w:t xml:space="preserve"> </w:t>
      </w:r>
      <w:r>
        <w:rPr>
          <w:rFonts w:ascii="Times New Roman;serif" w:hAnsi="Times New Roman;serif"/>
          <w:b/>
          <w:color w:val="000000"/>
          <w:sz w:val="24"/>
        </w:rPr>
        <w:t>is</w:t>
      </w:r>
      <w:r>
        <w:rPr>
          <w:color w:val="000000"/>
        </w:rPr>
        <w:t xml:space="preserve"> </w:t>
      </w:r>
      <w:r>
        <w:rPr>
          <w:rFonts w:ascii="Times New Roman;serif" w:hAnsi="Times New Roman;serif"/>
          <w:b/>
          <w:color w:val="000000"/>
          <w:sz w:val="24"/>
        </w:rPr>
        <w:t>from</w:t>
      </w:r>
      <w:r>
        <w:rPr>
          <w:color w:val="000000"/>
        </w:rPr>
        <w:t xml:space="preserve"> </w:t>
      </w:r>
      <w:r>
        <w:rPr>
          <w:rFonts w:ascii="Times New Roman;serif" w:hAnsi="Times New Roman;serif"/>
          <w:b/>
          <w:color w:val="000000"/>
          <w:sz w:val="24"/>
        </w:rPr>
        <w:t>Restricted</w:t>
      </w:r>
      <w:r>
        <w:rPr>
          <w:color w:val="000000"/>
        </w:rPr>
        <w:t xml:space="preserve"> </w:t>
      </w:r>
      <w:r>
        <w:rPr>
          <w:rFonts w:ascii="Times New Roman;serif" w:hAnsi="Times New Roman;serif"/>
          <w:b/>
          <w:color w:val="000000"/>
          <w:sz w:val="24"/>
        </w:rPr>
        <w:t>Definitive</w:t>
      </w:r>
      <w:r>
        <w:rPr>
          <w:color w:val="000000"/>
        </w:rPr>
        <w:t xml:space="preserve"> </w:t>
      </w:r>
      <w:r>
        <w:rPr>
          <w:rFonts w:ascii="Times New Roman;serif" w:hAnsi="Times New Roman;serif"/>
          <w:b/>
          <w:color w:val="000000"/>
          <w:sz w:val="24"/>
        </w:rPr>
        <w:t>Note</w:t>
      </w:r>
      <w:r>
        <w:rPr>
          <w:color w:val="000000"/>
        </w:rPr>
        <w:t xml:space="preserve"> </w:t>
      </w:r>
      <w:r>
        <w:rPr>
          <w:rFonts w:ascii="Times New Roman;serif" w:hAnsi="Times New Roman;serif"/>
          <w:b/>
          <w:color w:val="000000"/>
          <w:sz w:val="24"/>
        </w:rPr>
        <w:t>to</w:t>
      </w:r>
      <w:r>
        <w:rPr>
          <w:color w:val="000000"/>
        </w:rPr>
        <w:t xml:space="preserve"> </w:t>
      </w:r>
      <w:r>
        <w:rPr>
          <w:rFonts w:ascii="Times New Roman;serif" w:hAnsi="Times New Roman;serif"/>
          <w:b/>
          <w:color w:val="000000"/>
          <w:sz w:val="24"/>
        </w:rPr>
        <w:t>Unrestricted</w:t>
      </w:r>
      <w:r>
        <w:rPr>
          <w:color w:val="000000"/>
        </w:rPr>
        <w:t xml:space="preserve"> </w:t>
      </w:r>
      <w:r>
        <w:rPr>
          <w:rFonts w:ascii="Times New Roman;serif" w:hAnsi="Times New Roman;serif"/>
          <w:b/>
          <w:color w:val="000000"/>
          <w:sz w:val="24"/>
        </w:rPr>
        <w:t>Definitive</w:t>
      </w:r>
      <w:r>
        <w:rPr>
          <w:color w:val="000000"/>
        </w:rPr>
        <w:t xml:space="preserve"> </w:t>
      </w:r>
      <w:r>
        <w:rPr>
          <w:rFonts w:ascii="Times New Roman;serif" w:hAnsi="Times New Roman;serif"/>
          <w:b/>
          <w:color w:val="000000"/>
          <w:sz w:val="24"/>
        </w:rPr>
        <w:t>Note</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connection</w:t>
      </w:r>
      <w:r>
        <w:rPr>
          <w:color w:val="000000"/>
        </w:rPr>
        <w:t xml:space="preserve"> </w:t>
      </w:r>
      <w:r>
        <w:rPr>
          <w:rFonts w:ascii="Times New Roman;serif" w:hAnsi="Times New Roman;serif"/>
          <w:b w:val="false"/>
          <w:color w:val="000000"/>
          <w:sz w:val="24"/>
        </w:rPr>
        <w:t>with</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Owner’s</w:t>
      </w:r>
      <w:r>
        <w:rPr>
          <w:color w:val="000000"/>
        </w:rPr>
        <w:t xml:space="preserve"> </w:t>
      </w:r>
      <w:r>
        <w:rPr>
          <w:rFonts w:ascii="Times New Roman;serif" w:hAnsi="Times New Roman;serif"/>
          <w:b w:val="false"/>
          <w:color w:val="000000"/>
          <w:sz w:val="24"/>
        </w:rPr>
        <w:t>Exchange</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Restricted Definitive Note for an Unrestricted Definitive Note, the Owner hereby certifies (i) the Unrestricted Definitive Note is being acquired for the</w:t>
      </w:r>
      <w:r>
        <w:rPr>
          <w:color w:val="000000"/>
        </w:rPr>
        <w:t xml:space="preserve"> </w:t>
      </w:r>
      <w:r>
        <w:rPr>
          <w:rFonts w:ascii="Times New Roman;serif" w:hAnsi="Times New Roman;serif"/>
          <w:b w:val="false"/>
          <w:color w:val="000000"/>
          <w:sz w:val="24"/>
        </w:rPr>
        <w:t>Owner’s own account without transfer, (ii) such Exchange has been effected in compliance with the transfer restrictions applicable to Restricted Definitive</w:t>
      </w:r>
      <w:r>
        <w:rPr>
          <w:color w:val="000000"/>
        </w:rPr>
        <w:t xml:space="preserve"> </w:t>
      </w:r>
      <w:r>
        <w:rPr>
          <w:rFonts w:ascii="Times New Roman;serif" w:hAnsi="Times New Roman;serif"/>
          <w:b w:val="false"/>
          <w:color w:val="000000"/>
          <w:sz w:val="24"/>
        </w:rPr>
        <w:t>Notes and pursuant to and in accordance with the Securities Act, (iii) the restrictions on transfer contained in the Indenture and the Private Placement</w:t>
      </w:r>
      <w:r>
        <w:rPr>
          <w:color w:val="000000"/>
        </w:rPr>
        <w:t xml:space="preserve"> </w:t>
      </w:r>
      <w:r>
        <w:rPr>
          <w:rFonts w:ascii="Times New Roman;serif" w:hAnsi="Times New Roman;serif"/>
          <w:b w:val="false"/>
          <w:color w:val="000000"/>
          <w:sz w:val="24"/>
        </w:rPr>
        <w:t>Legend are not required in order to maintain compliance with the Securities Act and (iv) the Unrestricted Definitive Note is being acquired in compliance</w:t>
      </w:r>
      <w:r>
        <w:rPr>
          <w:color w:val="000000"/>
        </w:rPr>
        <w:t xml:space="preserve"> </w:t>
      </w:r>
      <w:r>
        <w:rPr>
          <w:rFonts w:ascii="Times New Roman;serif" w:hAnsi="Times New Roman;serif"/>
          <w:b w:val="false"/>
          <w:color w:val="000000"/>
          <w:sz w:val="24"/>
        </w:rPr>
        <w:t>with any applicable blue sky securities laws of any state of the United States.</w:t>
      </w:r>
    </w:p>
    <w:p>
      <w:pPr>
        <w:pStyle w:val="TextBody"/>
        <w:bidi w:val="0"/>
        <w:spacing w:lineRule="auto" w:line="240" w:before="0" w:after="240"/>
        <w:ind w:left="0" w:right="0" w:firstLine="720"/>
        <w:jc w:val="both"/>
        <w:rPr/>
      </w:pPr>
      <w:r>
        <w:rPr>
          <w:rFonts w:ascii="Times New Roman;serif" w:hAnsi="Times New Roman;serif"/>
          <w:b w:val="false"/>
          <w:color w:val="000000"/>
          <w:sz w:val="24"/>
        </w:rPr>
        <w:t>2.</w:t>
      </w:r>
      <w:r>
        <w:rPr>
          <w:rFonts w:ascii="Times New Roman;serif" w:hAnsi="Times New Roman;serif"/>
          <w:b/>
          <w:color w:val="000000"/>
          <w:sz w:val="24"/>
          <w:u w:val="single"/>
        </w:rPr>
        <w:t>Exchange of Restricted Definitive Notes or Beneficial Interests in Restricted Global Notes for Restricted Definitive Notes or</w:t>
      </w:r>
      <w:r>
        <w:rPr>
          <w:color w:val="000000"/>
          <w:u w:val="single"/>
        </w:rPr>
        <w:t xml:space="preserve"> </w:t>
      </w:r>
      <w:r>
        <w:rPr>
          <w:rFonts w:ascii="Times New Roman;serif" w:hAnsi="Times New Roman;serif"/>
          <w:b/>
          <w:color w:val="000000"/>
          <w:sz w:val="24"/>
          <w:u w:val="single"/>
        </w:rPr>
        <w:t>Beneficial Interests in Restricted Global Notes</w:t>
      </w:r>
    </w:p>
    <w:p>
      <w:pPr>
        <w:pStyle w:val="TextBody"/>
        <w:bidi w:val="0"/>
        <w:spacing w:lineRule="auto" w:line="240" w:before="0" w:after="240"/>
        <w:ind w:left="0" w:right="0" w:firstLine="1440"/>
        <w:jc w:val="both"/>
        <w:rPr/>
      </w:pPr>
      <w:r>
        <w:rPr>
          <w:rFonts w:ascii="Times New Roman;serif" w:hAnsi="Times New Roman;serif"/>
          <w:b w:val="false"/>
          <w:color w:val="000000"/>
          <w:sz w:val="24"/>
        </w:rPr>
        <w:t>(a)</w:t>
      </w:r>
      <w:r>
        <w:rPr>
          <w:color w:val="000000"/>
        </w:rPr>
        <w:t>☐</w:t>
      </w:r>
      <w:r>
        <w:rPr>
          <w:color w:val="000000"/>
        </w:rPr>
        <w:t xml:space="preserve">     </w:t>
      </w:r>
      <w:r>
        <w:rPr>
          <w:rFonts w:ascii="Times New Roman;serif" w:hAnsi="Times New Roman;serif"/>
          <w:b/>
          <w:color w:val="000000"/>
          <w:sz w:val="24"/>
        </w:rPr>
        <w:t>Check</w:t>
      </w:r>
      <w:r>
        <w:rPr>
          <w:color w:val="000000"/>
        </w:rPr>
        <w:t xml:space="preserve"> </w:t>
      </w:r>
      <w:r>
        <w:rPr>
          <w:rFonts w:ascii="Times New Roman;serif" w:hAnsi="Times New Roman;serif"/>
          <w:b/>
          <w:color w:val="000000"/>
          <w:sz w:val="24"/>
        </w:rPr>
        <w:t>if</w:t>
      </w:r>
      <w:r>
        <w:rPr>
          <w:color w:val="000000"/>
        </w:rPr>
        <w:t xml:space="preserve"> </w:t>
      </w:r>
      <w:r>
        <w:rPr>
          <w:rFonts w:ascii="Times New Roman;serif" w:hAnsi="Times New Roman;serif"/>
          <w:b/>
          <w:color w:val="000000"/>
          <w:sz w:val="24"/>
        </w:rPr>
        <w:t>Exchange</w:t>
      </w:r>
      <w:r>
        <w:rPr>
          <w:color w:val="000000"/>
        </w:rPr>
        <w:t xml:space="preserve"> </w:t>
      </w:r>
      <w:r>
        <w:rPr>
          <w:rFonts w:ascii="Times New Roman;serif" w:hAnsi="Times New Roman;serif"/>
          <w:b/>
          <w:color w:val="000000"/>
          <w:sz w:val="24"/>
        </w:rPr>
        <w:t>is</w:t>
      </w:r>
      <w:r>
        <w:rPr>
          <w:color w:val="000000"/>
        </w:rPr>
        <w:t xml:space="preserve"> </w:t>
      </w:r>
      <w:r>
        <w:rPr>
          <w:rFonts w:ascii="Times New Roman;serif" w:hAnsi="Times New Roman;serif"/>
          <w:b/>
          <w:color w:val="000000"/>
          <w:sz w:val="24"/>
        </w:rPr>
        <w:t>from</w:t>
      </w:r>
      <w:r>
        <w:rPr>
          <w:color w:val="000000"/>
        </w:rPr>
        <w:t xml:space="preserve"> </w:t>
      </w:r>
      <w:r>
        <w:rPr>
          <w:rFonts w:ascii="Times New Roman;serif" w:hAnsi="Times New Roman;serif"/>
          <w:b/>
          <w:color w:val="000000"/>
          <w:sz w:val="24"/>
        </w:rPr>
        <w:t>beneficial</w:t>
      </w:r>
      <w:r>
        <w:rPr>
          <w:color w:val="000000"/>
        </w:rPr>
        <w:t xml:space="preserve"> </w:t>
      </w:r>
      <w:r>
        <w:rPr>
          <w:rFonts w:ascii="Times New Roman;serif" w:hAnsi="Times New Roman;serif"/>
          <w:b/>
          <w:color w:val="000000"/>
          <w:sz w:val="24"/>
        </w:rPr>
        <w:t>interest</w:t>
      </w:r>
      <w:r>
        <w:rPr>
          <w:color w:val="000000"/>
        </w:rPr>
        <w:t xml:space="preserve"> </w:t>
      </w:r>
      <w:r>
        <w:rPr>
          <w:rFonts w:ascii="Times New Roman;serif" w:hAnsi="Times New Roman;serif"/>
          <w:b/>
          <w:color w:val="000000"/>
          <w:sz w:val="24"/>
        </w:rPr>
        <w:t>in</w:t>
      </w:r>
      <w:r>
        <w:rPr>
          <w:color w:val="000000"/>
        </w:rPr>
        <w:t xml:space="preserve"> </w:t>
      </w:r>
      <w:r>
        <w:rPr>
          <w:rFonts w:ascii="Times New Roman;serif" w:hAnsi="Times New Roman;serif"/>
          <w:b/>
          <w:color w:val="000000"/>
          <w:sz w:val="24"/>
        </w:rPr>
        <w:t>a</w:t>
      </w:r>
      <w:r>
        <w:rPr>
          <w:color w:val="000000"/>
        </w:rPr>
        <w:t xml:space="preserve"> </w:t>
      </w:r>
      <w:r>
        <w:rPr>
          <w:rFonts w:ascii="Times New Roman;serif" w:hAnsi="Times New Roman;serif"/>
          <w:b/>
          <w:color w:val="000000"/>
          <w:sz w:val="24"/>
        </w:rPr>
        <w:t>Restricted</w:t>
      </w:r>
      <w:r>
        <w:rPr>
          <w:color w:val="000000"/>
        </w:rPr>
        <w:t xml:space="preserve"> </w:t>
      </w:r>
      <w:r>
        <w:rPr>
          <w:rFonts w:ascii="Times New Roman;serif" w:hAnsi="Times New Roman;serif"/>
          <w:b/>
          <w:color w:val="000000"/>
          <w:sz w:val="24"/>
        </w:rPr>
        <w:t>Global</w:t>
      </w:r>
      <w:r>
        <w:rPr>
          <w:color w:val="000000"/>
        </w:rPr>
        <w:t xml:space="preserve"> </w:t>
      </w:r>
      <w:r>
        <w:rPr>
          <w:rFonts w:ascii="Times New Roman;serif" w:hAnsi="Times New Roman;serif"/>
          <w:b/>
          <w:color w:val="000000"/>
          <w:sz w:val="24"/>
        </w:rPr>
        <w:t>Note</w:t>
      </w:r>
      <w:r>
        <w:rPr>
          <w:color w:val="000000"/>
        </w:rPr>
        <w:t xml:space="preserve"> </w:t>
      </w:r>
      <w:r>
        <w:rPr>
          <w:rFonts w:ascii="Times New Roman;serif" w:hAnsi="Times New Roman;serif"/>
          <w:b/>
          <w:color w:val="000000"/>
          <w:sz w:val="24"/>
        </w:rPr>
        <w:t>to</w:t>
      </w:r>
      <w:r>
        <w:rPr>
          <w:color w:val="000000"/>
        </w:rPr>
        <w:t xml:space="preserve"> </w:t>
      </w:r>
      <w:r>
        <w:rPr>
          <w:rFonts w:ascii="Times New Roman;serif" w:hAnsi="Times New Roman;serif"/>
          <w:b/>
          <w:color w:val="000000"/>
          <w:sz w:val="24"/>
        </w:rPr>
        <w:t>Restricted</w:t>
      </w:r>
      <w:r>
        <w:rPr>
          <w:color w:val="000000"/>
        </w:rPr>
        <w:t xml:space="preserve"> </w:t>
      </w:r>
      <w:r>
        <w:rPr>
          <w:rFonts w:ascii="Times New Roman;serif" w:hAnsi="Times New Roman;serif"/>
          <w:b/>
          <w:color w:val="000000"/>
          <w:sz w:val="24"/>
        </w:rPr>
        <w:t>Definitive</w:t>
      </w:r>
      <w:r>
        <w:rPr>
          <w:color w:val="000000"/>
        </w:rPr>
        <w:t xml:space="preserve"> </w:t>
      </w:r>
      <w:r>
        <w:rPr>
          <w:rFonts w:ascii="Times New Roman;serif" w:hAnsi="Times New Roman;serif"/>
          <w:b/>
          <w:color w:val="000000"/>
          <w:sz w:val="24"/>
        </w:rPr>
        <w:t>Note</w:t>
      </w:r>
      <w:r>
        <w:rPr>
          <w:rFonts w:ascii="Times New Roman;serif" w:hAnsi="Times New Roman;serif"/>
          <w:b w:val="false"/>
          <w:color w:val="000000"/>
          <w:sz w:val="24"/>
        </w:rPr>
        <w:t>. In connection with the</w:t>
      </w:r>
      <w:r>
        <w:rPr>
          <w:color w:val="000000"/>
        </w:rPr>
        <w:t xml:space="preserve"> </w:t>
      </w:r>
      <w:r>
        <w:rPr>
          <w:rFonts w:ascii="Times New Roman;serif" w:hAnsi="Times New Roman;serif"/>
          <w:b w:val="false"/>
          <w:color w:val="000000"/>
          <w:sz w:val="24"/>
        </w:rPr>
        <w:t>Exchange</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Owner’s</w:t>
      </w:r>
      <w:r>
        <w:rPr>
          <w:color w:val="000000"/>
        </w:rPr>
        <w:t xml:space="preserve"> </w:t>
      </w:r>
      <w:r>
        <w:rPr>
          <w:rFonts w:ascii="Times New Roman;serif" w:hAnsi="Times New Roman;serif"/>
          <w:b w:val="false"/>
          <w:color w:val="000000"/>
          <w:sz w:val="24"/>
        </w:rPr>
        <w:t>beneficial</w:t>
      </w:r>
      <w:r>
        <w:rPr>
          <w:color w:val="000000"/>
        </w:rPr>
        <w:t xml:space="preserve"> </w:t>
      </w:r>
      <w:r>
        <w:rPr>
          <w:rFonts w:ascii="Times New Roman;serif" w:hAnsi="Times New Roman;serif"/>
          <w:b w:val="false"/>
          <w:color w:val="000000"/>
          <w:sz w:val="24"/>
        </w:rPr>
        <w:t>interest</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Restricted</w:t>
      </w:r>
      <w:r>
        <w:rPr>
          <w:color w:val="000000"/>
        </w:rPr>
        <w:t xml:space="preserve"> </w:t>
      </w:r>
      <w:r>
        <w:rPr>
          <w:rFonts w:ascii="Times New Roman;serif" w:hAnsi="Times New Roman;serif"/>
          <w:b w:val="false"/>
          <w:color w:val="000000"/>
          <w:sz w:val="24"/>
        </w:rPr>
        <w:t>Global</w:t>
      </w:r>
      <w:r>
        <w:rPr>
          <w:color w:val="000000"/>
        </w:rPr>
        <w:t xml:space="preserve"> </w:t>
      </w:r>
      <w:r>
        <w:rPr>
          <w:rFonts w:ascii="Times New Roman;serif" w:hAnsi="Times New Roman;serif"/>
          <w:b w:val="false"/>
          <w:color w:val="000000"/>
          <w:sz w:val="24"/>
        </w:rPr>
        <w:t>Note</w:t>
      </w:r>
      <w:r>
        <w:rPr>
          <w:color w:val="000000"/>
        </w:rPr>
        <w:t xml:space="preserve"> </w:t>
      </w:r>
      <w:r>
        <w:rPr>
          <w:rFonts w:ascii="Times New Roman;serif" w:hAnsi="Times New Roman;serif"/>
          <w:b w:val="false"/>
          <w:color w:val="000000"/>
          <w:sz w:val="24"/>
        </w:rPr>
        <w:t>for</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Restricted</w:t>
      </w:r>
      <w:r>
        <w:rPr>
          <w:color w:val="000000"/>
        </w:rPr>
        <w:t xml:space="preserve"> </w:t>
      </w:r>
      <w:r>
        <w:rPr>
          <w:rFonts w:ascii="Times New Roman;serif" w:hAnsi="Times New Roman;serif"/>
          <w:b w:val="false"/>
          <w:color w:val="000000"/>
          <w:sz w:val="24"/>
        </w:rPr>
        <w:t>Definitive</w:t>
      </w:r>
      <w:r>
        <w:rPr>
          <w:color w:val="000000"/>
        </w:rPr>
        <w:t xml:space="preserve"> </w:t>
      </w:r>
      <w:r>
        <w:rPr>
          <w:rFonts w:ascii="Times New Roman;serif" w:hAnsi="Times New Roman;serif"/>
          <w:b w:val="false"/>
          <w:color w:val="000000"/>
          <w:sz w:val="24"/>
        </w:rPr>
        <w:t>Note</w:t>
      </w:r>
      <w:r>
        <w:rPr>
          <w:color w:val="000000"/>
        </w:rPr>
        <w:t xml:space="preserve"> </w:t>
      </w:r>
      <w:r>
        <w:rPr>
          <w:rFonts w:ascii="Times New Roman;serif" w:hAnsi="Times New Roman;serif"/>
          <w:b w:val="false"/>
          <w:color w:val="000000"/>
          <w:sz w:val="24"/>
        </w:rPr>
        <w:t>with</w:t>
      </w:r>
      <w:r>
        <w:rPr>
          <w:color w:val="000000"/>
        </w:rPr>
        <w:t xml:space="preserve"> </w:t>
      </w:r>
      <w:r>
        <w:rPr>
          <w:rFonts w:ascii="Times New Roman;serif" w:hAnsi="Times New Roman;serif"/>
          <w:b w:val="false"/>
          <w:color w:val="000000"/>
          <w:sz w:val="24"/>
        </w:rPr>
        <w:t>an</w:t>
      </w:r>
      <w:r>
        <w:rPr>
          <w:color w:val="000000"/>
        </w:rPr>
        <w:t xml:space="preserve"> </w:t>
      </w:r>
      <w:r>
        <w:rPr>
          <w:rFonts w:ascii="Times New Roman;serif" w:hAnsi="Times New Roman;serif"/>
          <w:b w:val="false"/>
          <w:color w:val="000000"/>
          <w:sz w:val="24"/>
        </w:rPr>
        <w:t>equal</w:t>
      </w:r>
      <w:r>
        <w:rPr>
          <w:color w:val="000000"/>
        </w:rPr>
        <w:t xml:space="preserve"> </w:t>
      </w:r>
      <w:r>
        <w:rPr>
          <w:rFonts w:ascii="Times New Roman;serif" w:hAnsi="Times New Roman;serif"/>
          <w:b w:val="false"/>
          <w:color w:val="000000"/>
          <w:sz w:val="24"/>
        </w:rPr>
        <w:t>principal</w:t>
      </w:r>
      <w:r>
        <w:rPr>
          <w:color w:val="000000"/>
        </w:rPr>
        <w:t xml:space="preserve"> </w:t>
      </w:r>
      <w:r>
        <w:rPr>
          <w:rFonts w:ascii="Times New Roman;serif" w:hAnsi="Times New Roman;serif"/>
          <w:b w:val="false"/>
          <w:color w:val="000000"/>
          <w:sz w:val="24"/>
        </w:rPr>
        <w:t>amount,</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Owner</w:t>
      </w:r>
      <w:r>
        <w:rPr>
          <w:color w:val="000000"/>
        </w:rPr>
        <w:t xml:space="preserve"> </w:t>
      </w:r>
      <w:r>
        <w:rPr>
          <w:rFonts w:ascii="Times New Roman;serif" w:hAnsi="Times New Roman;serif"/>
          <w:b w:val="false"/>
          <w:color w:val="000000"/>
          <w:sz w:val="24"/>
        </w:rPr>
        <w:t>hereby</w:t>
      </w:r>
      <w:r>
        <w:rPr>
          <w:color w:val="000000"/>
        </w:rPr>
        <w:t xml:space="preserve"> </w:t>
      </w:r>
      <w:r>
        <w:rPr>
          <w:rFonts w:ascii="Times New Roman;serif" w:hAnsi="Times New Roman;serif"/>
          <w:b w:val="false"/>
          <w:color w:val="000000"/>
          <w:sz w:val="24"/>
        </w:rPr>
        <w:t>certifies that the Restricted Definitive Note is being acquired for the Owner’s own account without transfer. Upon consummation of the proposed</w:t>
      </w:r>
      <w:r>
        <w:rPr>
          <w:color w:val="000000"/>
        </w:rPr>
        <w:t xml:space="preserve"> </w:t>
      </w:r>
      <w:r>
        <w:rPr>
          <w:rFonts w:ascii="Times New Roman;serif" w:hAnsi="Times New Roman;serif"/>
          <w:b w:val="false"/>
          <w:color w:val="000000"/>
          <w:sz w:val="24"/>
        </w:rPr>
        <w:t>Exchange in accordance with the terms of the Indenture, the Restricted Definitive Note issued will continue to be subject to the restrictions on transfer</w:t>
      </w:r>
      <w:r>
        <w:rPr>
          <w:color w:val="000000"/>
        </w:rPr>
        <w:t xml:space="preserve"> </w:t>
      </w:r>
      <w:r>
        <w:rPr>
          <w:rFonts w:ascii="Times New Roman;serif" w:hAnsi="Times New Roman;serif"/>
          <w:b w:val="false"/>
          <w:color w:val="000000"/>
          <w:sz w:val="24"/>
        </w:rPr>
        <w:t>enumerated in the Private Placement Legend printed on the Restricted Definitive Note and in the Indenture and the Securities Act.</w:t>
      </w:r>
    </w:p>
    <w:p>
      <w:pPr>
        <w:pStyle w:val="TextBody"/>
        <w:bidi w:val="0"/>
        <w:spacing w:lineRule="auto" w:line="240" w:before="0" w:after="240"/>
        <w:ind w:left="0" w:right="0" w:firstLine="1440"/>
        <w:jc w:val="both"/>
        <w:rPr/>
      </w:pPr>
      <w:r>
        <w:rPr>
          <w:rFonts w:ascii="Times New Roman;serif" w:hAnsi="Times New Roman;serif"/>
          <w:b w:val="false"/>
          <w:color w:val="000000"/>
          <w:sz w:val="24"/>
        </w:rPr>
        <w:t>(b)</w:t>
      </w:r>
      <w:r>
        <w:rPr>
          <w:color w:val="000000"/>
        </w:rPr>
        <w:t>☐     </w:t>
      </w:r>
      <w:r>
        <w:rPr>
          <w:rFonts w:ascii="Times New Roman;serif" w:hAnsi="Times New Roman;serif"/>
          <w:b w:val="false"/>
          <w:color w:val="000000"/>
          <w:sz w:val="24"/>
        </w:rPr>
        <w:t xml:space="preserve">Check if Exchange is from Restricted Definitive Note to beneficial interest in a Restricted Global Note. In connection with the Exchange of the Owner’s Restricted Definitive Note for a beneficial interest in the [CHECK ONE] ☐ 144A Global Note, ☐ Regulation S Global Note, ☐ IAI Global Note with an equal principal amount, the Owner hereby certifies (i) the beneficial interest is being acquired for the Owner’s own account without transfer and (ii) such Exchange has been effected in compliance with the transfer restrictions applicable to the Restricted Definitive Note and pursuant to and in accordance with the Securities Act, and in compliance with any applicable blue sky securities laws of any state of the United States. Upon consummation of the proposed Exchange in accordance with the terms of the Indenture, the beneficial interest issued will be subject to the restrictions on transfer enumerated in the </w:t>
      </w:r>
    </w:p>
    <w:p>
      <w:pPr>
        <w:pStyle w:val="TextBody"/>
        <w:bidi w:val="0"/>
        <w:spacing w:before="0" w:after="0"/>
        <w:jc w:val="left"/>
        <w:rPr/>
      </w:pPr>
      <w:r>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6480175" cy="175260"/>
                <wp:effectExtent l="0" t="0" r="0" b="0"/>
                <wp:wrapNone/>
                <wp:docPr id="161" name="Frame16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C-2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C-2</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Private Placement Legend printed on the relevant Restricted Global Note and in the Indenture and the Securities Act.</w:t>
      </w:r>
    </w:p>
    <w:p>
      <w:pPr>
        <w:pStyle w:val="TextBody"/>
        <w:bidi w:val="0"/>
        <w:spacing w:before="0" w:after="0"/>
        <w:jc w:val="left"/>
        <w:rPr/>
      </w:pPr>
      <w:r>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6480175" cy="175260"/>
                <wp:effectExtent l="0" t="0" r="0" b="0"/>
                <wp:wrapNone/>
                <wp:docPr id="162" name="Frame16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C-3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C-3</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4"/>
        </w:rPr>
        <w:t>This</w:t>
      </w:r>
      <w:r>
        <w:rPr>
          <w:color w:val="000000"/>
        </w:rPr>
        <w:t xml:space="preserve"> </w:t>
      </w:r>
      <w:r>
        <w:rPr>
          <w:rFonts w:ascii="Times New Roman;serif" w:hAnsi="Times New Roman;serif"/>
          <w:b w:val="false"/>
          <w:color w:val="000000"/>
          <w:sz w:val="24"/>
        </w:rPr>
        <w:t>certificate</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statements</w:t>
      </w:r>
      <w:r>
        <w:rPr>
          <w:color w:val="000000"/>
        </w:rPr>
        <w:t xml:space="preserve"> </w:t>
      </w:r>
      <w:r>
        <w:rPr>
          <w:rFonts w:ascii="Times New Roman;serif" w:hAnsi="Times New Roman;serif"/>
          <w:b w:val="false"/>
          <w:color w:val="000000"/>
          <w:sz w:val="24"/>
        </w:rPr>
        <w:t>contained</w:t>
      </w:r>
      <w:r>
        <w:rPr>
          <w:color w:val="000000"/>
        </w:rPr>
        <w:t xml:space="preserve"> </w:t>
      </w:r>
      <w:r>
        <w:rPr>
          <w:rFonts w:ascii="Times New Roman;serif" w:hAnsi="Times New Roman;serif"/>
          <w:b w:val="false"/>
          <w:color w:val="000000"/>
          <w:sz w:val="24"/>
        </w:rPr>
        <w:t>herein</w:t>
      </w:r>
      <w:r>
        <w:rPr>
          <w:color w:val="000000"/>
        </w:rPr>
        <w:t xml:space="preserve"> </w:t>
      </w:r>
      <w:r>
        <w:rPr>
          <w:rFonts w:ascii="Times New Roman;serif" w:hAnsi="Times New Roman;serif"/>
          <w:b w:val="false"/>
          <w:color w:val="000000"/>
          <w:sz w:val="24"/>
        </w:rPr>
        <w:t>are</w:t>
      </w:r>
      <w:r>
        <w:rPr>
          <w:color w:val="000000"/>
        </w:rPr>
        <w:t xml:space="preserve"> </w:t>
      </w:r>
      <w:r>
        <w:rPr>
          <w:rFonts w:ascii="Times New Roman;serif" w:hAnsi="Times New Roman;serif"/>
          <w:b w:val="false"/>
          <w:color w:val="000000"/>
          <w:sz w:val="24"/>
        </w:rPr>
        <w:t>made</w:t>
      </w:r>
      <w:r>
        <w:rPr>
          <w:color w:val="000000"/>
        </w:rPr>
        <w:t xml:space="preserve"> </w:t>
      </w:r>
      <w:r>
        <w:rPr>
          <w:rFonts w:ascii="Times New Roman;serif" w:hAnsi="Times New Roman;serif"/>
          <w:b w:val="false"/>
          <w:color w:val="000000"/>
          <w:sz w:val="24"/>
        </w:rPr>
        <w:t>for</w:t>
      </w:r>
      <w:r>
        <w:rPr>
          <w:color w:val="000000"/>
        </w:rPr>
        <w:t xml:space="preserve"> </w:t>
      </w:r>
      <w:r>
        <w:rPr>
          <w:rFonts w:ascii="Times New Roman;serif" w:hAnsi="Times New Roman;serif"/>
          <w:b w:val="false"/>
          <w:color w:val="000000"/>
          <w:sz w:val="24"/>
        </w:rPr>
        <w:t>your</w:t>
      </w:r>
      <w:r>
        <w:rPr>
          <w:color w:val="000000"/>
        </w:rPr>
        <w:t xml:space="preserve"> </w:t>
      </w:r>
      <w:r>
        <w:rPr>
          <w:rFonts w:ascii="Times New Roman;serif" w:hAnsi="Times New Roman;serif"/>
          <w:b w:val="false"/>
          <w:color w:val="000000"/>
          <w:sz w:val="24"/>
        </w:rPr>
        <w:t>benefit</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benefit</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Issuer.</w:t>
      </w:r>
    </w:p>
    <w:p>
      <w:pPr>
        <w:pStyle w:val="TextBody"/>
        <w:bidi w:val="0"/>
        <w:spacing w:lineRule="auto" w:line="288" w:before="0" w:after="0"/>
        <w:jc w:val="left"/>
        <w:rPr>
          <w:color w:val="000000"/>
          <w:u w:val="single"/>
        </w:rPr>
      </w:pPr>
      <w:r>
        <w:rPr>
          <w:color w:val="000000"/>
          <w:u w:val="single"/>
        </w:rPr>
        <w:t>             </w:t>
      </w:r>
    </w:p>
    <w:p>
      <w:pPr>
        <w:pStyle w:val="TextBody"/>
        <w:bidi w:val="0"/>
        <w:spacing w:lineRule="auto" w:line="288" w:before="0" w:after="0"/>
        <w:jc w:val="left"/>
        <w:rPr/>
      </w:pPr>
      <w:r>
        <w:rPr>
          <w:rFonts w:ascii="Times New Roman;serif" w:hAnsi="Times New Roman;serif"/>
          <w:b w:val="false"/>
          <w:color w:val="000000"/>
          <w:sz w:val="24"/>
          <w:u w:val="single"/>
        </w:rPr>
        <w:t>[Insert</w:t>
      </w:r>
      <w:r>
        <w:rPr>
          <w:color w:val="000000"/>
          <w:u w:val="single"/>
        </w:rPr>
        <w:t xml:space="preserve"> </w:t>
      </w:r>
      <w:r>
        <w:rPr>
          <w:rFonts w:ascii="Times New Roman;serif" w:hAnsi="Times New Roman;serif"/>
          <w:b w:val="false"/>
          <w:color w:val="000000"/>
          <w:sz w:val="24"/>
          <w:u w:val="single"/>
        </w:rPr>
        <w:t>Name</w:t>
      </w:r>
      <w:r>
        <w:rPr>
          <w:color w:val="000000"/>
          <w:u w:val="single"/>
        </w:rPr>
        <w:t xml:space="preserve"> </w:t>
      </w:r>
      <w:r>
        <w:rPr>
          <w:rFonts w:ascii="Times New Roman;serif" w:hAnsi="Times New Roman;serif"/>
          <w:b w:val="false"/>
          <w:color w:val="000000"/>
          <w:sz w:val="24"/>
          <w:u w:val="single"/>
        </w:rPr>
        <w:t>of</w:t>
      </w:r>
      <w:r>
        <w:rPr>
          <w:color w:val="000000"/>
          <w:u w:val="single"/>
        </w:rPr>
        <w:t xml:space="preserve"> </w:t>
      </w:r>
      <w:r>
        <w:rPr>
          <w:rFonts w:ascii="Times New Roman;serif" w:hAnsi="Times New Roman;serif"/>
          <w:b w:val="false"/>
          <w:color w:val="000000"/>
          <w:sz w:val="24"/>
          <w:u w:val="single"/>
        </w:rPr>
        <w:t>Transferor]</w:t>
      </w:r>
    </w:p>
    <w:p>
      <w:pPr>
        <w:pStyle w:val="TextBody"/>
        <w:bidi w:val="0"/>
        <w:spacing w:before="0" w:after="0"/>
        <w:jc w:val="left"/>
        <w:rPr/>
      </w:pPr>
      <w:r>
        <w:rPr/>
      </w:r>
    </w:p>
    <w:p>
      <w:pPr>
        <w:pStyle w:val="TextBody"/>
        <w:bidi w:val="0"/>
        <w:spacing w:lineRule="auto" w:line="288" w:before="0" w:after="240"/>
        <w:jc w:val="left"/>
        <w:rPr/>
      </w:pPr>
      <w:r>
        <w:rPr>
          <w:rFonts w:ascii="Times New Roman;serif" w:hAnsi="Times New Roman;serif"/>
          <w:b w:val="false"/>
          <w:color w:val="000000"/>
          <w:sz w:val="24"/>
        </w:rPr>
        <w:t>By:    </w:t>
      </w:r>
      <w:r>
        <w:rPr>
          <w:color w:val="000000"/>
          <w:u w:val="single"/>
        </w:rPr>
        <w:t>        </w:t>
      </w:r>
      <w:r>
        <w:rPr>
          <w:rFonts w:ascii="Times New Roman;serif" w:hAnsi="Times New Roman;serif"/>
          <w:b w:val="false"/>
          <w:color w:val="000000"/>
          <w:sz w:val="24"/>
          <w:u w:val="single"/>
        </w:rPr>
        <w:br/>
      </w:r>
      <w:r>
        <w:rPr>
          <w:color w:val="000000"/>
        </w:rPr>
        <w:t>    </w:t>
      </w:r>
      <w:r>
        <w:rPr>
          <w:rFonts w:ascii="Times New Roman;serif" w:hAnsi="Times New Roman;serif"/>
          <w:b w:val="false"/>
          <w:color w:val="000000"/>
          <w:sz w:val="24"/>
        </w:rPr>
        <w:t>Name:    </w:t>
        <w:br/>
        <w:t>    Title:    </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Dated: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6480175" cy="175260"/>
                <wp:effectExtent l="0" t="0" r="0" b="0"/>
                <wp:wrapNone/>
                <wp:docPr id="163" name="Frame16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C-4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C-4</w:t>
                      </w:r>
                    </w:p>
                  </w:txbxContent>
                </v:textbox>
                <w10:wrap type="none"/>
              </v:rect>
            </w:pict>
          </mc:Fallback>
        </mc:AlternateContent>
      </w:r>
    </w:p>
    <w:p>
      <w:pPr>
        <w:pStyle w:val="TextBody"/>
        <w:bidi w:val="0"/>
        <w:spacing w:lineRule="auto" w:line="240" w:before="0" w:after="240"/>
        <w:jc w:val="center"/>
        <w:rPr/>
      </w:pPr>
      <w:r>
        <w:rPr>
          <w:rFonts w:ascii="Times New Roman;serif" w:hAnsi="Times New Roman;serif"/>
          <w:b/>
          <w:color w:val="000000"/>
          <w:sz w:val="24"/>
        </w:rPr>
        <w:t>Exhibit D</w:t>
      </w:r>
      <w:r>
        <w:rPr>
          <w:rFonts w:ascii="Times New Roman;serif" w:hAnsi="Times New Roman;serif"/>
          <w:b/>
          <w:color w:val="000000"/>
          <w:sz w:val="24"/>
        </w:rPr>
        <w:br/>
        <w:br/>
        <w:t>FORM OF CERTIFICATE FROM ACQUIRING INSTITUTIONAL ACCREDITED INVESTOR</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Talen Energy Supply, LLC</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2929 Allen Parkway, Suite 2200</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Houston, Texas 77019</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Attention: Treasurer</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E-mail: TalenTreasury@talenenergy.com</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Wilmington Savings Fund Society, FSB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Wilmington Savings Fund</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300 Bellevue Parkway, Suite 300</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Wilmington, Delaware 19809</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Attn: Anita Woolery</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E-Mail: awoolery@wsfsbank.com</w:t>
      </w:r>
    </w:p>
    <w:p>
      <w:pPr>
        <w:pStyle w:val="TextBody"/>
        <w:bidi w:val="0"/>
        <w:spacing w:before="0" w:after="0"/>
        <w:jc w:val="left"/>
        <w:rPr/>
      </w:pPr>
      <w:r>
        <w:rPr/>
      </w:r>
    </w:p>
    <w:p>
      <w:pPr>
        <w:pStyle w:val="TextBody"/>
        <w:bidi w:val="0"/>
        <w:spacing w:lineRule="auto" w:line="288" w:before="0" w:after="240"/>
        <w:ind w:left="0" w:right="0" w:firstLine="720"/>
        <w:jc w:val="both"/>
        <w:rPr/>
      </w:pPr>
      <w:r>
        <w:rPr>
          <w:rFonts w:ascii="Times New Roman;serif" w:hAnsi="Times New Roman;serif"/>
          <w:b w:val="false"/>
          <w:color w:val="000000"/>
          <w:sz w:val="24"/>
        </w:rPr>
        <w:t>Re:</w:t>
      </w:r>
      <w:r>
        <w:rPr>
          <w:color w:val="000000"/>
        </w:rPr>
        <w:t>    </w:t>
      </w:r>
      <w:r>
        <w:rPr>
          <w:rFonts w:ascii="Times New Roman;serif" w:hAnsi="Times New Roman;serif"/>
          <w:b w:val="false"/>
          <w:color w:val="000000"/>
          <w:sz w:val="24"/>
          <w:u w:val="single"/>
        </w:rPr>
        <w:t>6.125%</w:t>
      </w:r>
      <w:r>
        <w:rPr>
          <w:color w:val="000000"/>
          <w:u w:val="single"/>
        </w:rPr>
        <w:t xml:space="preserve"> </w:t>
      </w:r>
      <w:r>
        <w:rPr>
          <w:rFonts w:ascii="Times New Roman;serif" w:hAnsi="Times New Roman;serif"/>
          <w:b w:val="false"/>
          <w:color w:val="000000"/>
          <w:sz w:val="24"/>
          <w:u w:val="single"/>
        </w:rPr>
        <w:t>Senior</w:t>
      </w:r>
      <w:r>
        <w:rPr>
          <w:color w:val="000000"/>
          <w:u w:val="single"/>
        </w:rPr>
        <w:t xml:space="preserve"> </w:t>
      </w:r>
      <w:r>
        <w:rPr>
          <w:rFonts w:ascii="Times New Roman;serif" w:hAnsi="Times New Roman;serif"/>
          <w:b w:val="false"/>
          <w:color w:val="000000"/>
          <w:sz w:val="24"/>
          <w:u w:val="single"/>
        </w:rPr>
        <w:t>Notes</w:t>
      </w:r>
      <w:r>
        <w:rPr>
          <w:color w:val="000000"/>
          <w:u w:val="single"/>
        </w:rPr>
        <w:t xml:space="preserve"> </w:t>
      </w:r>
      <w:r>
        <w:rPr>
          <w:rFonts w:ascii="Times New Roman;serif" w:hAnsi="Times New Roman;serif"/>
          <w:b w:val="false"/>
          <w:color w:val="000000"/>
          <w:sz w:val="24"/>
          <w:u w:val="single"/>
        </w:rPr>
        <w:t>due</w:t>
      </w:r>
      <w:r>
        <w:rPr>
          <w:color w:val="000000"/>
          <w:u w:val="single"/>
        </w:rPr>
        <w:t xml:space="preserve"> </w:t>
      </w:r>
      <w:r>
        <w:rPr>
          <w:rFonts w:ascii="Times New Roman;serif" w:hAnsi="Times New Roman;serif"/>
          <w:b w:val="false"/>
          <w:color w:val="000000"/>
          <w:sz w:val="24"/>
          <w:u w:val="single"/>
        </w:rPr>
        <w:t>2031</w:t>
      </w:r>
    </w:p>
    <w:p>
      <w:pPr>
        <w:pStyle w:val="TextBody"/>
        <w:bidi w:val="0"/>
        <w:spacing w:lineRule="auto" w:line="288" w:before="0" w:after="240"/>
        <w:ind w:left="0" w:right="0" w:firstLine="720"/>
        <w:jc w:val="both"/>
        <w:rPr/>
      </w:pPr>
      <w:r>
        <w:rPr>
          <w:rFonts w:ascii="Times New Roman;serif" w:hAnsi="Times New Roman;serif"/>
          <w:b w:val="false"/>
          <w:color w:val="000000"/>
          <w:sz w:val="24"/>
        </w:rPr>
        <w:t>Reference is hereby made to the Indenture, dated as of April 29, 2026 (the “</w:t>
      </w:r>
      <w:r>
        <w:rPr>
          <w:rFonts w:ascii="Times New Roman;serif" w:hAnsi="Times New Roman;serif"/>
          <w:b/>
          <w:i/>
          <w:color w:val="000000"/>
          <w:sz w:val="24"/>
        </w:rPr>
        <w:t>Indenture</w:t>
      </w:r>
      <w:r>
        <w:rPr>
          <w:color w:val="000000"/>
        </w:rPr>
        <w:t>”</w:t>
      </w:r>
      <w:r>
        <w:rPr>
          <w:rFonts w:ascii="Times New Roman;serif" w:hAnsi="Times New Roman;serif"/>
          <w:b w:val="false"/>
          <w:color w:val="000000"/>
          <w:sz w:val="24"/>
        </w:rPr>
        <w:t>), among Talen Energy Supply, LLC, as issuer (the “</w:t>
      </w:r>
      <w:r>
        <w:rPr>
          <w:rFonts w:ascii="Times New Roman;serif" w:hAnsi="Times New Roman;serif"/>
          <w:b/>
          <w:i/>
          <w:color w:val="000000"/>
          <w:sz w:val="24"/>
        </w:rPr>
        <w:t>Issuer</w:t>
      </w:r>
      <w:r>
        <w:rPr>
          <w:color w:val="000000"/>
        </w:rPr>
        <w:t>”</w:t>
      </w:r>
      <w:r>
        <w:rPr>
          <w:rFonts w:ascii="Times New Roman;serif" w:hAnsi="Times New Roman;serif"/>
          <w:b w:val="false"/>
          <w:color w:val="000000"/>
          <w:sz w:val="24"/>
        </w:rPr>
        <w:t>), the Subsidiary Guarantors party thereto and Wilmington Savings Fund Society, FSB, as trustee. Capitalized</w:t>
      </w:r>
      <w:r>
        <w:rPr>
          <w:color w:val="000000"/>
        </w:rPr>
        <w:t xml:space="preserve"> </w:t>
      </w:r>
      <w:r>
        <w:rPr>
          <w:rFonts w:ascii="Times New Roman;serif" w:hAnsi="Times New Roman;serif"/>
          <w:b w:val="false"/>
          <w:color w:val="000000"/>
          <w:sz w:val="24"/>
        </w:rPr>
        <w:t>terms used but not defined herein shall have the meanings given to them in the Indenture.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In connection with our proposed purchase of $____________ aggregate principal amount of:</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     a beneficial interest in a Global Note, or</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(b)     a Definitive Note,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we confirm that:</w:t>
      </w:r>
    </w:p>
    <w:p>
      <w:pPr>
        <w:pStyle w:val="TextBody"/>
        <w:bidi w:val="0"/>
        <w:spacing w:lineRule="auto" w:line="288" w:before="0" w:after="240"/>
        <w:ind w:left="0" w:right="0" w:firstLine="720"/>
        <w:jc w:val="both"/>
        <w:rPr/>
      </w:pPr>
      <w:r>
        <w:rPr>
          <w:rFonts w:ascii="Times New Roman;serif" w:hAnsi="Times New Roman;serif"/>
          <w:b w:val="false"/>
          <w:color w:val="000000"/>
          <w:sz w:val="24"/>
        </w:rPr>
        <w:t>1.    We understand that any subsequent transfer of the Notes or any interest therein is subject to certain restrictions and conditions set forth in the Indenture and the undersigned agrees to be bound by, and not to resell, pledge or otherwise transfer the Notes or any interest therein except in compliance with, such restrictions and conditions and the Securities Act of 1933, as amended (the “</w:t>
      </w:r>
      <w:r>
        <w:rPr>
          <w:rFonts w:ascii="Times New Roman;serif" w:hAnsi="Times New Roman;serif"/>
          <w:b/>
          <w:i/>
          <w:color w:val="000000"/>
          <w:sz w:val="24"/>
        </w:rPr>
        <w:t>Securities Act</w:t>
      </w:r>
      <w:r>
        <w:rPr>
          <w:color w:val="000000"/>
        </w:rPr>
        <w:t>”</w:t>
      </w:r>
      <w:r>
        <w:rPr>
          <w:rFonts w:ascii="Times New Roman;serif" w:hAnsi="Times New Roman;serif"/>
          <w:b w:val="false"/>
          <w:color w:val="000000"/>
          <w:sz w:val="24"/>
        </w:rPr>
        <w: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2.    We understand that the offer and sale of the Notes have not been registered under the Securities Act, and that the Notes and any interest therein may not be offered or sold except as permitted in the following sentence. We agree, on our own behalf and on behalf of any accounts for which we are acting as hereinafter stated, that if we should sell the Notes or any interest therein, we will do so only (A) to the Company or any subsidiary thereof, (B) in accordance with Rule 144A under the Securities Act to a “qualified institutional buyer” (as defined therein), (C) </w:t>
      </w:r>
    </w:p>
    <w:p>
      <w:pPr>
        <w:pStyle w:val="TextBody"/>
        <w:bidi w:val="0"/>
        <w:spacing w:before="0" w:after="0"/>
        <w:jc w:val="left"/>
        <w:rPr/>
      </w:pPr>
      <w:r>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6480175" cy="175260"/>
                <wp:effectExtent l="0" t="0" r="0" b="0"/>
                <wp:wrapNone/>
                <wp:docPr id="164" name="Frame16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D-1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D-1</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to an institutional “accredited investor” (as defined below) that, prior to such transfer, furnishes (or has furnished on its behalf by a U.S. broker-dealer) to you and to the Company a signed letter substantially in the form of this letter and an Opinion of Counsel in form reasonably acceptable to the Company to the effect that such transfer is in compliance with the Securities Act, (D) outside the United States in accordance with Rule 904 of Regulation S under the Securities Act, (E) pursuant to the provisions of Rule 144(k) under the Securities Act or (F) pursuant to an effective registration statement under the Securities Act, and we further agree to provide to any Person purchasing the Definitive Note or beneficial interest in a Global Note from us in a transaction meeting the requirements of clauses (A) through (E) of this paragraph a notice advising such purchaser that resales thereof are restricted as stated herein.</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3.    We understand that, on any proposed resale of the Notes or beneficial interest therein, we will be required to furnish to you and the Company such certifications, legal opinions and other information as you and the Company may reasonably require to confirm that the proposed sale complies with the foregoing restrictions. We further understand that the Notes purchased by us will bear a legend to the foregoing effect.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4.    We are an institutional “accredited investor” (as defined in Rule 501(a)(1), (2), (3) or (7) of Regulation D under the Securities Act) and have such knowledge and experience in financial and business matters as to be capable of evaluating the merits and risks of our investment in the Notes, and we and any accounts for which we are acting are each able to bear the economic risk of our or its investment.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5.    We are acquiring the Notes or beneficial interest therein purchased by us for our own account or for one or more accounts (each of which is an institutional “accredited investor”) as to each of which we exercise sole investment discretion.</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You and the Company are entitled to rely upon this letter and are irrevocably authorized to produce this letter or a copy hereof to any interested party in any administrative or legal proceedings or official inquiry with respect to the matters covered hereby.</w:t>
      </w:r>
    </w:p>
    <w:tbl>
      <w:tblPr>
        <w:tblW w:w="3645" w:type="dxa"/>
        <w:jc w:val="left"/>
        <w:tblInd w:w="0" w:type="dxa"/>
        <w:tblLayout w:type="fixed"/>
        <w:tblCellMar>
          <w:top w:w="28" w:type="dxa"/>
          <w:left w:w="28" w:type="dxa"/>
          <w:bottom w:w="28" w:type="dxa"/>
          <w:right w:w="28" w:type="dxa"/>
        </w:tblCellMar>
      </w:tblPr>
      <w:tblGrid>
        <w:gridCol w:w="1165"/>
        <w:gridCol w:w="1026"/>
        <w:gridCol w:w="1454"/>
      </w:tblGrid>
      <w:tr>
        <w:trPr/>
        <w:tc>
          <w:tcPr>
            <w:tcW w:w="1165"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1454" w:type="dxa"/>
            <w:tcBorders/>
            <w:vAlign w:val="center"/>
          </w:tcPr>
          <w:p>
            <w:pPr>
              <w:pStyle w:val="TableContents"/>
              <w:bidi w:val="0"/>
              <w:spacing w:before="0" w:after="283"/>
              <w:jc w:val="left"/>
              <w:rPr>
                <w:sz w:val="4"/>
                <w:szCs w:val="4"/>
              </w:rPr>
            </w:pPr>
            <w:r>
              <w:rPr>
                <w:sz w:val="4"/>
                <w:szCs w:val="4"/>
              </w:rPr>
            </w:r>
          </w:p>
        </w:tc>
      </w:tr>
      <w:tr>
        <w:trPr/>
        <w:tc>
          <w:tcPr>
            <w:tcW w:w="3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[Insert Name of Accredited Investor]</w:t>
            </w:r>
          </w:p>
        </w:tc>
      </w:tr>
    </w:tbl>
    <w:p>
      <w:pPr>
        <w:pStyle w:val="TextBody"/>
        <w:bidi w:val="0"/>
        <w:spacing w:before="0" w:after="240"/>
        <w:ind w:left="0" w:right="0" w:firstLine="9180"/>
        <w:jc w:val="left"/>
        <w:rPr/>
      </w:pPr>
      <w:r>
        <w:rPr/>
      </w:r>
    </w:p>
    <w:tbl>
      <w:tblPr>
        <w:tblW w:w="1244" w:type="dxa"/>
        <w:jc w:val="left"/>
        <w:tblInd w:w="0" w:type="dxa"/>
        <w:tblLayout w:type="fixed"/>
        <w:tblCellMar>
          <w:top w:w="28" w:type="dxa"/>
          <w:left w:w="28" w:type="dxa"/>
          <w:bottom w:w="28" w:type="dxa"/>
          <w:right w:w="28" w:type="dxa"/>
        </w:tblCellMar>
      </w:tblPr>
      <w:tblGrid>
        <w:gridCol w:w="168"/>
        <w:gridCol w:w="148"/>
        <w:gridCol w:w="149"/>
        <w:gridCol w:w="228"/>
        <w:gridCol w:w="228"/>
        <w:gridCol w:w="323"/>
      </w:tblGrid>
      <w:tr>
        <w:trPr/>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r>
      <w:tr>
        <w:trPr/>
        <w:tc>
          <w:tcPr>
            <w:tcW w:w="4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By:</w:t>
            </w:r>
          </w:p>
        </w:tc>
        <w:tc>
          <w:tcPr>
            <w:tcW w:w="7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Name:</w:t>
            </w:r>
          </w:p>
        </w:tc>
      </w:tr>
      <w:tr>
        <w:trPr/>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Title:</w:t>
            </w:r>
          </w:p>
        </w:tc>
      </w:tr>
    </w:tbl>
    <w:p>
      <w:pPr>
        <w:pStyle w:val="TextBody"/>
        <w:bidi w:val="0"/>
        <w:spacing w:lineRule="auto" w:line="307" w:before="0" w:after="240"/>
        <w:ind w:left="0" w:right="0" w:firstLine="9180"/>
        <w:jc w:val="left"/>
        <w:rPr>
          <w:rFonts w:ascii="Times New Roman;serif" w:hAnsi="Times New Roman;serif"/>
          <w:b w:val="false"/>
          <w:color w:val="000000"/>
          <w:sz w:val="24"/>
        </w:rPr>
      </w:pPr>
      <w:r>
        <w:rPr>
          <w:rFonts w:ascii="Times New Roman;serif" w:hAnsi="Times New Roman;serif"/>
          <w:b w:val="false"/>
          <w:color w:val="000000"/>
          <w:sz w:val="24"/>
        </w:rPr>
      </w:r>
    </w:p>
    <w:p>
      <w:pPr>
        <w:pStyle w:val="TextBody"/>
        <w:bidi w:val="0"/>
        <w:spacing w:lineRule="auto" w:line="307" w:before="0" w:after="0"/>
        <w:jc w:val="left"/>
        <w:rPr>
          <w:rFonts w:ascii="Times New Roman;serif" w:hAnsi="Times New Roman;serif"/>
          <w:b w:val="false"/>
          <w:color w:val="000000"/>
          <w:sz w:val="24"/>
        </w:rPr>
      </w:pPr>
      <w:r>
        <w:rPr>
          <w:rFonts w:ascii="Times New Roman;serif" w:hAnsi="Times New Roman;serif"/>
          <w:b w:val="false"/>
          <w:color w:val="000000"/>
          <w:sz w:val="24"/>
        </w:rPr>
        <w:t>Dated: _______________________</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6480175" cy="175260"/>
                <wp:effectExtent l="0" t="0" r="0" b="0"/>
                <wp:wrapNone/>
                <wp:docPr id="165" name="Frame16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D-2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D-2</w:t>
                      </w:r>
                    </w:p>
                  </w:txbxContent>
                </v:textbox>
                <w10:wrap type="none"/>
              </v:rect>
            </w:pict>
          </mc:Fallback>
        </mc:AlternateContent>
      </w:r>
    </w:p>
    <w:p>
      <w:pPr>
        <w:pStyle w:val="TextBody"/>
        <w:bidi w:val="0"/>
        <w:spacing w:lineRule="auto" w:line="240" w:before="0" w:after="240"/>
        <w:jc w:val="center"/>
        <w:rPr/>
      </w:pPr>
      <w:r>
        <w:rPr>
          <w:rFonts w:ascii="Times New Roman;serif" w:hAnsi="Times New Roman;serif"/>
          <w:b/>
          <w:color w:val="000000"/>
          <w:sz w:val="24"/>
        </w:rPr>
        <w:t>Exhibit E</w:t>
      </w:r>
      <w:r>
        <w:rPr>
          <w:rFonts w:ascii="Times New Roman;serif" w:hAnsi="Times New Roman;serif"/>
          <w:b/>
          <w:color w:val="000000"/>
          <w:sz w:val="24"/>
        </w:rPr>
        <w:br/>
        <w:br/>
        <w:t>FORM</w:t>
      </w:r>
      <w:r>
        <w:rPr>
          <w:color w:val="000000"/>
        </w:rPr>
        <w:t xml:space="preserve"> </w:t>
      </w:r>
      <w:r>
        <w:rPr>
          <w:rFonts w:ascii="Times New Roman;serif" w:hAnsi="Times New Roman;serif"/>
          <w:b/>
          <w:color w:val="000000"/>
          <w:sz w:val="24"/>
        </w:rPr>
        <w:t>OF</w:t>
      </w:r>
      <w:r>
        <w:rPr>
          <w:color w:val="000000"/>
        </w:rPr>
        <w:t xml:space="preserve"> </w:t>
      </w:r>
      <w:r>
        <w:rPr>
          <w:rFonts w:ascii="Times New Roman;serif" w:hAnsi="Times New Roman;serif"/>
          <w:b/>
          <w:color w:val="000000"/>
          <w:sz w:val="24"/>
        </w:rPr>
        <w:t>SUPPLEMENTAL</w:t>
      </w:r>
      <w:r>
        <w:rPr>
          <w:color w:val="000000"/>
        </w:rPr>
        <w:t xml:space="preserve"> </w:t>
      </w:r>
      <w:r>
        <w:rPr>
          <w:rFonts w:ascii="Times New Roman;serif" w:hAnsi="Times New Roman;serif"/>
          <w:b/>
          <w:color w:val="000000"/>
          <w:sz w:val="24"/>
        </w:rPr>
        <w:t>INDENTURE –</w:t>
        <w:br/>
        <w:t>ADDITIONAL</w:t>
      </w:r>
      <w:r>
        <w:rPr>
          <w:color w:val="000000"/>
        </w:rPr>
        <w:t xml:space="preserve"> </w:t>
      </w:r>
      <w:r>
        <w:rPr>
          <w:rFonts w:ascii="Times New Roman;serif" w:hAnsi="Times New Roman;serif"/>
          <w:b/>
          <w:color w:val="000000"/>
          <w:sz w:val="24"/>
        </w:rPr>
        <w:t>SUBSIDIARY</w:t>
      </w:r>
      <w:r>
        <w:rPr>
          <w:color w:val="000000"/>
        </w:rPr>
        <w:t xml:space="preserve"> </w:t>
      </w:r>
      <w:r>
        <w:rPr>
          <w:rFonts w:ascii="Times New Roman;serif" w:hAnsi="Times New Roman;serif"/>
          <w:b/>
          <w:color w:val="000000"/>
          <w:sz w:val="24"/>
        </w:rPr>
        <w:t>GUARANTEES</w:t>
      </w:r>
    </w:p>
    <w:p>
      <w:pPr>
        <w:pStyle w:val="TextBody"/>
        <w:bidi w:val="0"/>
        <w:spacing w:lineRule="auto" w:line="288" w:before="0" w:after="240"/>
        <w:ind w:left="0" w:right="0" w:firstLine="720"/>
        <w:jc w:val="both"/>
        <w:rPr/>
      </w:pPr>
      <w:r>
        <w:rPr>
          <w:rFonts w:ascii="Times New Roman;serif" w:hAnsi="Times New Roman;serif"/>
          <w:b w:val="false"/>
          <w:color w:val="000000"/>
          <w:sz w:val="24"/>
        </w:rPr>
        <w:t>THIS</w:t>
      </w:r>
      <w:r>
        <w:rPr>
          <w:color w:val="000000"/>
        </w:rPr>
        <w:t xml:space="preserve"> </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SUPPLEMENTAL</w:t>
      </w:r>
      <w:r>
        <w:rPr>
          <w:color w:val="000000"/>
        </w:rPr>
        <w:t xml:space="preserve"> </w:t>
      </w:r>
      <w:r>
        <w:rPr>
          <w:rFonts w:ascii="Times New Roman;serif" w:hAnsi="Times New Roman;serif"/>
          <w:b w:val="false"/>
          <w:color w:val="000000"/>
          <w:sz w:val="24"/>
        </w:rPr>
        <w:t>INDENTURE</w:t>
      </w:r>
      <w:r>
        <w:rPr>
          <w:color w:val="000000"/>
        </w:rPr>
        <w:t xml:space="preserve"> </w:t>
      </w:r>
      <w:r>
        <w:rPr>
          <w:rFonts w:ascii="Times New Roman;serif" w:hAnsi="Times New Roman;serif"/>
          <w:b w:val="false"/>
          <w:color w:val="000000"/>
          <w:sz w:val="24"/>
        </w:rPr>
        <w:t>(this</w:t>
      </w:r>
      <w:r>
        <w:rPr>
          <w:color w:val="000000"/>
        </w:rPr>
        <w:t xml:space="preserve"> “</w:t>
      </w:r>
      <w:r>
        <w:rPr>
          <w:rFonts w:ascii="Times New Roman;serif" w:hAnsi="Times New Roman;serif"/>
          <w:b w:val="false"/>
          <w:i/>
          <w:color w:val="000000"/>
          <w:sz w:val="24"/>
        </w:rPr>
        <w:t>Supplemental Indenture</w:t>
      </w:r>
      <w:r>
        <w:rPr>
          <w:color w:val="000000"/>
        </w:rPr>
        <w:t>”</w:t>
      </w:r>
      <w:r>
        <w:rPr>
          <w:rFonts w:ascii="Times New Roman;serif" w:hAnsi="Times New Roman;serif"/>
          <w:b w:val="false"/>
          <w:color w:val="000000"/>
          <w:sz w:val="24"/>
        </w:rPr>
        <w:t>), dated as of,</w:t>
      </w:r>
      <w:r>
        <w:rPr>
          <w:color w:val="000000"/>
        </w:rPr>
        <w:t xml:space="preserve"> </w:t>
      </w:r>
      <w:r>
        <w:rPr>
          <w:rFonts w:ascii="Times New Roman;serif" w:hAnsi="Times New Roman;serif"/>
          <w:b w:val="false"/>
          <w:color w:val="000000"/>
          <w:sz w:val="24"/>
        </w:rPr>
        <w:t>20</w:t>
      </w:r>
      <w:r>
        <w:rPr>
          <w:color w:val="000000"/>
        </w:rPr>
        <w:t xml:space="preserve"> </w:t>
      </w:r>
      <w:r>
        <w:rPr>
          <w:rFonts w:ascii="Times New Roman;serif" w:hAnsi="Times New Roman;serif"/>
          <w:b w:val="false"/>
          <w:color w:val="000000"/>
          <w:sz w:val="24"/>
        </w:rPr>
        <w:t>, among the subsidiary guarantors listed on Schedule I</w:t>
      </w:r>
      <w:r>
        <w:rPr>
          <w:color w:val="000000"/>
        </w:rPr>
        <w:t xml:space="preserve"> </w:t>
      </w:r>
      <w:r>
        <w:rPr>
          <w:rFonts w:ascii="Times New Roman;serif" w:hAnsi="Times New Roman;serif"/>
          <w:b w:val="false"/>
          <w:color w:val="000000"/>
          <w:sz w:val="24"/>
        </w:rPr>
        <w:t>hereto (the “</w:t>
      </w:r>
      <w:r>
        <w:rPr>
          <w:rFonts w:ascii="Times New Roman;serif" w:hAnsi="Times New Roman;serif"/>
          <w:b w:val="false"/>
          <w:i/>
          <w:color w:val="000000"/>
          <w:sz w:val="24"/>
        </w:rPr>
        <w:t>Guaranteeing Subsidiaries</w:t>
      </w:r>
      <w:r>
        <w:rPr>
          <w:color w:val="000000"/>
        </w:rPr>
        <w:t>”</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Talen Energy Supply, LLC,</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Delaware</w:t>
      </w:r>
      <w:r>
        <w:rPr>
          <w:color w:val="000000"/>
        </w:rPr>
        <w:t xml:space="preserve"> </w:t>
      </w:r>
      <w:r>
        <w:rPr>
          <w:rFonts w:ascii="Times New Roman;serif" w:hAnsi="Times New Roman;serif"/>
          <w:b w:val="false"/>
          <w:color w:val="000000"/>
          <w:sz w:val="24"/>
        </w:rPr>
        <w:t>limited</w:t>
      </w:r>
      <w:r>
        <w:rPr>
          <w:color w:val="000000"/>
        </w:rPr>
        <w:t xml:space="preserve"> </w:t>
      </w:r>
      <w:r>
        <w:rPr>
          <w:rFonts w:ascii="Times New Roman;serif" w:hAnsi="Times New Roman;serif"/>
          <w:b w:val="false"/>
          <w:color w:val="000000"/>
          <w:sz w:val="24"/>
        </w:rPr>
        <w:t>liability</w:t>
      </w:r>
      <w:r>
        <w:rPr>
          <w:color w:val="000000"/>
        </w:rPr>
        <w:t xml:space="preserve"> </w:t>
      </w:r>
      <w:r>
        <w:rPr>
          <w:rFonts w:ascii="Times New Roman;serif" w:hAnsi="Times New Roman;serif"/>
          <w:b w:val="false"/>
          <w:color w:val="000000"/>
          <w:sz w:val="24"/>
        </w:rPr>
        <w:t>company</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i/>
          <w:color w:val="000000"/>
          <w:sz w:val="24"/>
        </w:rPr>
        <w:t>Issuer</w:t>
      </w:r>
      <w:r>
        <w:rPr>
          <w:color w:val="000000"/>
        </w:rPr>
        <w:t xml:space="preserve">” </w:t>
      </w:r>
      <w:r>
        <w:rPr>
          <w:rFonts w:ascii="Times New Roman;serif" w:hAnsi="Times New Roman;serif"/>
          <w:b w:val="false"/>
          <w:color w:val="000000"/>
          <w:sz w:val="24"/>
        </w:rPr>
        <w:t>), the other Subsidiary</w:t>
      </w:r>
      <w:r>
        <w:rPr>
          <w:color w:val="000000"/>
        </w:rPr>
        <w:t xml:space="preserve"> </w:t>
      </w:r>
      <w:r>
        <w:rPr>
          <w:rFonts w:ascii="Times New Roman;serif" w:hAnsi="Times New Roman;serif"/>
          <w:b w:val="false"/>
          <w:color w:val="000000"/>
          <w:sz w:val="24"/>
        </w:rPr>
        <w:t>Guarantors (as defined in the Indenture, as defined below) and Wilmington Savings Fund Society, FSB, as trustee under the Indenture (the “</w:t>
      </w:r>
      <w:r>
        <w:rPr>
          <w:rFonts w:ascii="Times New Roman;serif" w:hAnsi="Times New Roman;serif"/>
          <w:b w:val="false"/>
          <w:i/>
          <w:color w:val="000000"/>
          <w:sz w:val="24"/>
        </w:rPr>
        <w:t>Trustee</w:t>
      </w:r>
      <w:r>
        <w:rPr>
          <w:color w:val="000000"/>
        </w:rPr>
        <w:t>”</w:t>
      </w:r>
      <w:r>
        <w:rPr>
          <w:rFonts w:ascii="Times New Roman;serif" w:hAnsi="Times New Roman;serif"/>
          <w:b w:val="false"/>
          <w:color w:val="000000"/>
          <w:sz w:val="24"/>
        </w:rPr>
        <w:t>).</w:t>
      </w:r>
    </w:p>
    <w:p>
      <w:pPr>
        <w:pStyle w:val="TextBody"/>
        <w:bidi w:val="0"/>
        <w:spacing w:lineRule="auto" w:line="288" w:before="0" w:after="240"/>
        <w:jc w:val="center"/>
        <w:rPr/>
      </w:pPr>
      <w:r>
        <w:rPr>
          <w:rFonts w:ascii="Times New Roman;serif" w:hAnsi="Times New Roman;serif"/>
          <w:b w:val="false"/>
          <w:color w:val="000000"/>
          <w:sz w:val="24"/>
        </w:rPr>
        <w:t>W</w:t>
      </w:r>
      <w:r>
        <w:rPr>
          <w:color w:val="000000"/>
        </w:rPr>
        <w:t xml:space="preserve"> </w:t>
      </w:r>
      <w:r>
        <w:rPr>
          <w:rFonts w:ascii="Times New Roman;serif" w:hAnsi="Times New Roman;serif"/>
          <w:b w:val="false"/>
          <w:color w:val="000000"/>
          <w:sz w:val="24"/>
        </w:rPr>
        <w:t>I</w:t>
      </w:r>
      <w:r>
        <w:rPr>
          <w:color w:val="000000"/>
        </w:rPr>
        <w:t xml:space="preserve"> </w:t>
      </w:r>
      <w:r>
        <w:rPr>
          <w:rFonts w:ascii="Times New Roman;serif" w:hAnsi="Times New Roman;serif"/>
          <w:b w:val="false"/>
          <w:color w:val="000000"/>
          <w:sz w:val="24"/>
        </w:rPr>
        <w:t>T</w:t>
      </w:r>
      <w:r>
        <w:rPr>
          <w:color w:val="000000"/>
        </w:rPr>
        <w:t xml:space="preserve"> </w:t>
      </w:r>
      <w:r>
        <w:rPr>
          <w:rFonts w:ascii="Times New Roman;serif" w:hAnsi="Times New Roman;serif"/>
          <w:b w:val="false"/>
          <w:color w:val="000000"/>
          <w:sz w:val="24"/>
        </w:rPr>
        <w:t>N</w:t>
      </w:r>
      <w:r>
        <w:rPr>
          <w:color w:val="000000"/>
        </w:rPr>
        <w:t xml:space="preserve"> </w:t>
      </w:r>
      <w:r>
        <w:rPr>
          <w:rFonts w:ascii="Times New Roman;serif" w:hAnsi="Times New Roman;serif"/>
          <w:b w:val="false"/>
          <w:color w:val="000000"/>
          <w:sz w:val="24"/>
        </w:rPr>
        <w:t>E</w:t>
      </w:r>
      <w:r>
        <w:rPr>
          <w:color w:val="000000"/>
        </w:rPr>
        <w:t xml:space="preserve"> </w:t>
      </w:r>
      <w:r>
        <w:rPr>
          <w:rFonts w:ascii="Times New Roman;serif" w:hAnsi="Times New Roman;serif"/>
          <w:b w:val="false"/>
          <w:color w:val="000000"/>
          <w:sz w:val="24"/>
        </w:rPr>
        <w:t>S</w:t>
      </w:r>
      <w:r>
        <w:rPr>
          <w:color w:val="000000"/>
        </w:rPr>
        <w:t xml:space="preserve"> </w:t>
      </w:r>
      <w:r>
        <w:rPr>
          <w:rFonts w:ascii="Times New Roman;serif" w:hAnsi="Times New Roman;serif"/>
          <w:b w:val="false"/>
          <w:color w:val="000000"/>
          <w:sz w:val="24"/>
        </w:rPr>
        <w:t>S</w:t>
      </w:r>
      <w:r>
        <w:rPr>
          <w:color w:val="000000"/>
        </w:rPr>
        <w:t xml:space="preserve"> </w:t>
      </w:r>
      <w:r>
        <w:rPr>
          <w:rFonts w:ascii="Times New Roman;serif" w:hAnsi="Times New Roman;serif"/>
          <w:b w:val="false"/>
          <w:color w:val="000000"/>
          <w:sz w:val="24"/>
        </w:rPr>
        <w:t>E</w:t>
      </w:r>
      <w:r>
        <w:rPr>
          <w:color w:val="000000"/>
        </w:rPr>
        <w:t xml:space="preserve"> </w:t>
      </w:r>
      <w:r>
        <w:rPr>
          <w:rFonts w:ascii="Times New Roman;serif" w:hAnsi="Times New Roman;serif"/>
          <w:b w:val="false"/>
          <w:color w:val="000000"/>
          <w:sz w:val="24"/>
        </w:rPr>
        <w:t>T</w:t>
      </w:r>
      <w:r>
        <w:rPr>
          <w:color w:val="000000"/>
        </w:rPr>
        <w:t xml:space="preserve"> </w:t>
      </w:r>
      <w:r>
        <w:rPr>
          <w:rFonts w:ascii="Times New Roman;serif" w:hAnsi="Times New Roman;serif"/>
          <w:b w:val="false"/>
          <w:color w:val="000000"/>
          <w:sz w:val="24"/>
        </w:rPr>
        <w:t>H</w:t>
      </w:r>
    </w:p>
    <w:p>
      <w:pPr>
        <w:pStyle w:val="TextBody"/>
        <w:bidi w:val="0"/>
        <w:spacing w:lineRule="auto" w:line="288" w:before="0" w:after="240"/>
        <w:ind w:left="0" w:right="0" w:firstLine="720"/>
        <w:jc w:val="both"/>
        <w:rPr/>
      </w:pPr>
      <w:r>
        <w:rPr>
          <w:rFonts w:ascii="Times New Roman;serif" w:hAnsi="Times New Roman;serif"/>
          <w:b w:val="false"/>
          <w:color w:val="000000"/>
          <w:sz w:val="24"/>
        </w:rPr>
        <w:t>WHEREAS, the Issuer has heretofore executed and delivered to the Trustee that certain indenture (the “</w:t>
      </w:r>
      <w:r>
        <w:rPr>
          <w:rFonts w:ascii="Times New Roman;serif" w:hAnsi="Times New Roman;serif"/>
          <w:b w:val="false"/>
          <w:i/>
          <w:color w:val="000000"/>
          <w:sz w:val="24"/>
        </w:rPr>
        <w:t>Indenture</w:t>
      </w:r>
      <w:r>
        <w:rPr>
          <w:color w:val="000000"/>
        </w:rPr>
        <w:t>”</w:t>
      </w:r>
      <w:r>
        <w:rPr>
          <w:rFonts w:ascii="Times New Roman;serif" w:hAnsi="Times New Roman;serif"/>
          <w:b w:val="false"/>
          <w:color w:val="000000"/>
          <w:sz w:val="24"/>
        </w:rPr>
        <w:t>), dated as of April 29, 2026, among the Issuer, the Subsidiary Guarantors party thereto and the Trustee, providing for the original issuance of an aggregate principal amount of $1,500,000,000 of 6.125% Senior Notes due 2031 (the “</w:t>
      </w:r>
      <w:r>
        <w:rPr>
          <w:rFonts w:ascii="Times New Roman;serif" w:hAnsi="Times New Roman;serif"/>
          <w:b w:val="false"/>
          <w:i/>
          <w:color w:val="000000"/>
          <w:sz w:val="24"/>
        </w:rPr>
        <w:t>Initial Notes</w:t>
      </w:r>
      <w:r>
        <w:rPr>
          <w:color w:val="000000"/>
        </w:rPr>
        <w:t>”</w:t>
      </w:r>
      <w:r>
        <w:rPr>
          <w:rFonts w:ascii="Times New Roman;serif" w:hAnsi="Times New Roman;serif"/>
          <w:b w:val="false"/>
          <w:color w:val="000000"/>
          <w:sz w:val="24"/>
        </w:rPr>
        <w:t>) and, subject to the terms of the Indenture, future issuances of 6.125% Senior Notes due 2031 (each such issuance, the “</w:t>
      </w:r>
      <w:r>
        <w:rPr>
          <w:rFonts w:ascii="Times New Roman;serif" w:hAnsi="Times New Roman;serif"/>
          <w:b w:val="false"/>
          <w:i/>
          <w:color w:val="000000"/>
          <w:sz w:val="24"/>
        </w:rPr>
        <w:t>Additional Notes</w:t>
      </w:r>
      <w:r>
        <w:rPr>
          <w:color w:val="000000"/>
        </w:rPr>
        <w:t xml:space="preserve">” </w:t>
      </w:r>
      <w:r>
        <w:rPr>
          <w:rFonts w:ascii="Times New Roman;serif" w:hAnsi="Times New Roman;serif"/>
          <w:b w:val="false"/>
          <w:color w:val="000000"/>
          <w:sz w:val="24"/>
        </w:rPr>
        <w:t>and, together with the Initial Notes, the “</w:t>
      </w:r>
      <w:r>
        <w:rPr>
          <w:rFonts w:ascii="Times New Roman;serif" w:hAnsi="Times New Roman;serif"/>
          <w:b w:val="false"/>
          <w:i/>
          <w:color w:val="000000"/>
          <w:sz w:val="24"/>
        </w:rPr>
        <w:t>Notes</w:t>
      </w:r>
      <w:r>
        <w:rPr>
          <w:color w:val="000000"/>
        </w:rPr>
        <w:t>”</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rFonts w:ascii="Times New Roman;serif" w:hAnsi="Times New Roman;serif"/>
          <w:b w:val="false"/>
          <w:color w:val="000000"/>
          <w:sz w:val="24"/>
        </w:rPr>
        <w:t>WHEREAS, the Indenture provides that under certain circumstances the Guaranteeing Subsidiaries shall execute and deliver to the Trustee a</w:t>
      </w:r>
      <w:r>
        <w:rPr>
          <w:color w:val="000000"/>
        </w:rPr>
        <w:t xml:space="preserve"> </w:t>
      </w:r>
      <w:r>
        <w:rPr>
          <w:rFonts w:ascii="Times New Roman;serif" w:hAnsi="Times New Roman;serif"/>
          <w:b w:val="false"/>
          <w:color w:val="000000"/>
          <w:sz w:val="24"/>
        </w:rPr>
        <w:t>supplemental indenture pursuant to which the Guaranteeing Subsidiaries shall unconditionally guarantee all of the Issuer’s Obligations under the</w:t>
      </w:r>
      <w:r>
        <w:rPr>
          <w:color w:val="000000"/>
        </w:rPr>
        <w:t xml:space="preserve"> </w:t>
      </w:r>
      <w:r>
        <w:rPr>
          <w:rFonts w:ascii="Times New Roman;serif" w:hAnsi="Times New Roman;serif"/>
          <w:b w:val="false"/>
          <w:color w:val="000000"/>
          <w:sz w:val="24"/>
        </w:rPr>
        <w:t>Notes and the Indenture (the “</w:t>
      </w:r>
      <w:r>
        <w:rPr>
          <w:rFonts w:ascii="Times New Roman;serif" w:hAnsi="Times New Roman;serif"/>
          <w:b w:val="false"/>
          <w:i/>
          <w:color w:val="000000"/>
          <w:sz w:val="24"/>
        </w:rPr>
        <w:t>Subsidiary Guarantees</w:t>
      </w:r>
      <w:r>
        <w:rPr>
          <w:color w:val="000000"/>
        </w:rPr>
        <w:t>”</w:t>
      </w:r>
      <w:r>
        <w:rPr>
          <w:rFonts w:ascii="Times New Roman;serif" w:hAnsi="Times New Roman;serif"/>
          <w:b w:val="false"/>
          <w:color w:val="000000"/>
          <w:sz w:val="24"/>
        </w:rPr>
        <w:t>); and</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WHEREAS, pursuant to </w:t>
      </w:r>
      <w:r>
        <w:rPr>
          <w:rFonts w:ascii="Times New Roman;serif" w:hAnsi="Times New Roman;serif"/>
          <w:b w:val="false"/>
          <w:color w:val="000000"/>
          <w:sz w:val="24"/>
          <w:u w:val="single"/>
        </w:rPr>
        <w:t>Section 4.06</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Section 9.01</w:t>
      </w:r>
      <w:r>
        <w:rPr>
          <w:color w:val="000000"/>
        </w:rPr>
        <w:t xml:space="preserve"> </w:t>
      </w:r>
      <w:r>
        <w:rPr>
          <w:rFonts w:ascii="Times New Roman;serif" w:hAnsi="Times New Roman;serif"/>
          <w:b w:val="false"/>
          <w:color w:val="000000"/>
          <w:sz w:val="24"/>
        </w:rPr>
        <w:t>of the Indenture, the Trustee,</w:t>
      </w:r>
      <w:r>
        <w:rPr>
          <w:color w:val="000000"/>
        </w:rPr>
        <w:t xml:space="preserve"> </w:t>
      </w:r>
      <w:r>
        <w:rPr>
          <w:rFonts w:ascii="Times New Roman;serif" w:hAnsi="Times New Roman;serif"/>
          <w:b w:val="false"/>
          <w:color w:val="000000"/>
          <w:sz w:val="24"/>
        </w:rPr>
        <w:t>the Issuer and the Guaranteeing Subsidiaries are authorized and required to execute and deliver this Supplemental Indenture.</w:t>
      </w:r>
    </w:p>
    <w:p>
      <w:pPr>
        <w:pStyle w:val="TextBody"/>
        <w:bidi w:val="0"/>
        <w:spacing w:lineRule="auto" w:line="288" w:before="0" w:after="240"/>
        <w:ind w:left="0" w:right="0" w:firstLine="720"/>
        <w:jc w:val="both"/>
        <w:rPr/>
      </w:pPr>
      <w:r>
        <w:rPr>
          <w:rFonts w:ascii="Times New Roman;serif" w:hAnsi="Times New Roman;serif"/>
          <w:b w:val="false"/>
          <w:color w:val="000000"/>
          <w:sz w:val="24"/>
        </w:rPr>
        <w:t>NOW, THEREFORE, in consideration of the foregoing and for good and valuable consideration, the receipt of which is hereby acknowledged, the</w:t>
      </w:r>
      <w:r>
        <w:rPr>
          <w:color w:val="000000"/>
        </w:rPr>
        <w:t xml:space="preserve"> </w:t>
      </w:r>
      <w:r>
        <w:rPr>
          <w:rFonts w:ascii="Times New Roman;serif" w:hAnsi="Times New Roman;serif"/>
          <w:b w:val="false"/>
          <w:color w:val="000000"/>
          <w:sz w:val="24"/>
        </w:rPr>
        <w:t>Guaranteeing Subsidiary, the Trustee and the Issuer mutually covenant and agree for the equal and ratable benefit of</w:t>
      </w:r>
      <w:r>
        <w:rPr>
          <w:color w:val="000000"/>
        </w:rPr>
        <w:t xml:space="preserve"> </w:t>
      </w:r>
      <w:r>
        <w:rPr>
          <w:rFonts w:ascii="Times New Roman;serif" w:hAnsi="Times New Roman;serif"/>
          <w:b w:val="false"/>
          <w:color w:val="000000"/>
          <w:sz w:val="24"/>
        </w:rPr>
        <w:t>the Holders as follows:</w:t>
      </w:r>
    </w:p>
    <w:p>
      <w:pPr>
        <w:pStyle w:val="TextBody"/>
        <w:bidi w:val="0"/>
        <w:spacing w:lineRule="auto" w:line="240" w:before="0" w:after="240"/>
        <w:ind w:left="0" w:right="0" w:firstLine="720"/>
        <w:jc w:val="both"/>
        <w:rPr/>
      </w:pPr>
      <w:r>
        <w:rPr>
          <w:rFonts w:ascii="Times New Roman;serif" w:hAnsi="Times New Roman;serif"/>
          <w:b w:val="false"/>
          <w:color w:val="000000"/>
          <w:sz w:val="24"/>
        </w:rPr>
        <w:t>1.</w:t>
      </w:r>
      <w:r>
        <w:rPr>
          <w:rFonts w:ascii="Times New Roman;serif" w:hAnsi="Times New Roman;serif"/>
          <w:b w:val="false"/>
          <w:i/>
          <w:color w:val="000000"/>
          <w:sz w:val="24"/>
        </w:rPr>
        <w:t>Capitalized Terms</w:t>
      </w:r>
      <w:r>
        <w:rPr>
          <w:rFonts w:ascii="Times New Roman;serif" w:hAnsi="Times New Roman;serif"/>
          <w:b w:val="false"/>
          <w:color w:val="000000"/>
          <w:sz w:val="24"/>
        </w:rPr>
        <w:t>. Unless otherwise defined in this Supplemental Indenture, capitalized terms used herein without definition shall have the</w:t>
      </w:r>
      <w:r>
        <w:rPr>
          <w:color w:val="000000"/>
        </w:rPr>
        <w:t xml:space="preserve"> </w:t>
      </w:r>
      <w:r>
        <w:rPr>
          <w:rFonts w:ascii="Times New Roman;serif" w:hAnsi="Times New Roman;serif"/>
          <w:b w:val="false"/>
          <w:color w:val="000000"/>
          <w:sz w:val="24"/>
        </w:rPr>
        <w:t>meanings assigned to them in the Indenture.</w:t>
      </w:r>
    </w:p>
    <w:p>
      <w:pPr>
        <w:pStyle w:val="TextBody"/>
        <w:bidi w:val="0"/>
        <w:spacing w:lineRule="auto" w:line="240" w:before="0" w:after="240"/>
        <w:ind w:left="0" w:right="0" w:firstLine="720"/>
        <w:jc w:val="both"/>
        <w:rPr/>
      </w:pPr>
      <w:r>
        <w:rPr>
          <w:rFonts w:ascii="Times New Roman;serif" w:hAnsi="Times New Roman;serif"/>
          <w:b w:val="false"/>
          <w:color w:val="000000"/>
          <w:sz w:val="24"/>
        </w:rPr>
        <w:t>2.</w:t>
      </w:r>
      <w:r>
        <w:rPr>
          <w:rFonts w:ascii="Times New Roman;serif" w:hAnsi="Times New Roman;serif"/>
          <w:b w:val="false"/>
          <w:i/>
          <w:color w:val="000000"/>
          <w:sz w:val="24"/>
        </w:rPr>
        <w:t>Agreement to be Bound; Guarantee</w:t>
      </w:r>
      <w:r>
        <w:rPr>
          <w:rFonts w:ascii="Times New Roman;serif" w:hAnsi="Times New Roman;serif"/>
          <w:b w:val="false"/>
          <w:color w:val="000000"/>
          <w:sz w:val="24"/>
        </w:rPr>
        <w:t>. Each of the Guaranteeing Subsidiaries hereby becomes a party to the Indenture as a Subsidiary</w:t>
      </w:r>
      <w:r>
        <w:rPr>
          <w:color w:val="000000"/>
        </w:rPr>
        <w:t xml:space="preserve"> </w:t>
      </w:r>
      <w:r>
        <w:rPr>
          <w:rFonts w:ascii="Times New Roman;serif" w:hAnsi="Times New Roman;serif"/>
          <w:b w:val="false"/>
          <w:color w:val="000000"/>
          <w:sz w:val="24"/>
        </w:rPr>
        <w:t>Guarantor and as such will have all of the rights and be subject to all of the Obligations and agreements of a Subsidiary Guarantor under the Indenture.</w:t>
      </w:r>
      <w:r>
        <w:rPr>
          <w:color w:val="000000"/>
        </w:rPr>
        <w:t xml:space="preserve"> </w:t>
      </w:r>
      <w:r>
        <w:rPr>
          <w:rFonts w:ascii="Times New Roman;serif" w:hAnsi="Times New Roman;serif"/>
          <w:b w:val="false"/>
          <w:color w:val="000000"/>
          <w:sz w:val="24"/>
        </w:rPr>
        <w:t>Each of the Guaranteeing Subsidiaries hereby agrees to be bound by all of the provisions of the Indenture applicable to a Subsidiary Guarantor and to perform all of the Obligations and agreements of a Subsidiary Guarantor under the Indenture. In furtherance of the foregoing,</w:t>
      </w:r>
      <w:r>
        <w:rPr>
          <w:color w:val="000000"/>
        </w:rPr>
        <w:t xml:space="preserve"> </w:t>
      </w:r>
      <w:r>
        <w:rPr>
          <w:rFonts w:ascii="Times New Roman;serif" w:hAnsi="Times New Roman;serif"/>
          <w:b w:val="false"/>
          <w:color w:val="000000"/>
          <w:sz w:val="24"/>
        </w:rPr>
        <w:t xml:space="preserve">each of the Guaranteeing Subsidiaries shall be deemed a Subsidiary Guarantor for purposes of </w:t>
      </w:r>
      <w:r>
        <w:rPr>
          <w:rFonts w:ascii="Times New Roman;serif" w:hAnsi="Times New Roman;serif"/>
          <w:b w:val="false"/>
          <w:color w:val="000000"/>
          <w:sz w:val="24"/>
          <w:u w:val="single"/>
        </w:rPr>
        <w:t>Article 11</w:t>
      </w:r>
      <w:r>
        <w:rPr>
          <w:color w:val="000000"/>
        </w:rPr>
        <w:t xml:space="preserve"> </w:t>
      </w:r>
      <w:r>
        <w:rPr>
          <w:rFonts w:ascii="Times New Roman;serif" w:hAnsi="Times New Roman;serif"/>
          <w:b w:val="false"/>
          <w:color w:val="000000"/>
          <w:sz w:val="24"/>
        </w:rPr>
        <w:t>of the Indenture,</w:t>
      </w:r>
      <w:r>
        <w:rPr>
          <w:color w:val="000000"/>
        </w:rPr>
        <w:t xml:space="preserve"> </w:t>
      </w:r>
      <w:r>
        <w:rPr>
          <w:rFonts w:ascii="Times New Roman;serif" w:hAnsi="Times New Roman;serif"/>
          <w:b w:val="false"/>
          <w:color w:val="000000"/>
          <w:sz w:val="24"/>
        </w:rPr>
        <w:t xml:space="preserve">including, without limitation, </w:t>
      </w:r>
      <w:r>
        <w:rPr>
          <w:rFonts w:ascii="Times New Roman;serif" w:hAnsi="Times New Roman;serif"/>
          <w:b w:val="false"/>
          <w:color w:val="000000"/>
          <w:sz w:val="24"/>
          <w:u w:val="single"/>
        </w:rPr>
        <w:t>Section 11.02</w:t>
      </w:r>
      <w:r>
        <w:rPr>
          <w:color w:val="000000"/>
        </w:rPr>
        <w:t xml:space="preserve"> </w:t>
      </w:r>
      <w:r>
        <w:rPr>
          <w:rFonts w:ascii="Times New Roman;serif" w:hAnsi="Times New Roman;serif"/>
          <w:b w:val="false"/>
          <w:color w:val="000000"/>
          <w:sz w:val="24"/>
        </w:rPr>
        <w:t>thereof.</w:t>
      </w:r>
    </w:p>
    <w:p>
      <w:pPr>
        <w:pStyle w:val="TextBody"/>
        <w:bidi w:val="0"/>
        <w:spacing w:before="0" w:after="0"/>
        <w:jc w:val="left"/>
        <w:rPr/>
      </w:pPr>
      <w:r>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6480175" cy="385445"/>
                <wp:effectExtent l="0" t="0" r="0" b="0"/>
                <wp:wrapNone/>
                <wp:docPr id="166" name="Frame166"/>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E-1</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00000"/>
          <w:sz w:val="24"/>
        </w:rPr>
        <w:t>3.</w:t>
      </w:r>
      <w:r>
        <w:rPr>
          <w:rFonts w:ascii="Times New Roman;serif" w:hAnsi="Times New Roman;serif"/>
          <w:b w:val="false"/>
          <w:i/>
          <w:color w:val="000000"/>
          <w:sz w:val="24"/>
        </w:rPr>
        <w:t>NEW YORK LAW TO</w:t>
      </w:r>
      <w:r>
        <w:rPr>
          <w:color w:val="000000"/>
        </w:rPr>
        <w:t xml:space="preserve"> </w:t>
      </w:r>
      <w:r>
        <w:rPr>
          <w:rFonts w:ascii="Times New Roman;serif" w:hAnsi="Times New Roman;serif"/>
          <w:b w:val="false"/>
          <w:i/>
          <w:color w:val="000000"/>
          <w:sz w:val="24"/>
        </w:rPr>
        <w:t>GOVERN</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THIS</w:t>
      </w:r>
      <w:r>
        <w:rPr>
          <w:color w:val="000000"/>
        </w:rPr>
        <w:t xml:space="preserve"> </w:t>
      </w:r>
      <w:r>
        <w:rPr>
          <w:rFonts w:ascii="Times New Roman;serif" w:hAnsi="Times New Roman;serif"/>
          <w:b w:val="false"/>
          <w:color w:val="000000"/>
          <w:sz w:val="24"/>
        </w:rPr>
        <w:t>SUPPLEMENTAL</w:t>
      </w:r>
      <w:r>
        <w:rPr>
          <w:color w:val="000000"/>
        </w:rPr>
        <w:t xml:space="preserve"> </w:t>
      </w:r>
      <w:r>
        <w:rPr>
          <w:rFonts w:ascii="Times New Roman;serif" w:hAnsi="Times New Roman;serif"/>
          <w:b w:val="false"/>
          <w:color w:val="000000"/>
          <w:sz w:val="24"/>
        </w:rPr>
        <w:t>INDENTURE</w:t>
      </w:r>
      <w:r>
        <w:rPr>
          <w:color w:val="000000"/>
        </w:rPr>
        <w:t xml:space="preserve"> </w:t>
      </w:r>
      <w:r>
        <w:rPr>
          <w:rFonts w:ascii="Times New Roman;serif" w:hAnsi="Times New Roman;serif"/>
          <w:b w:val="false"/>
          <w:color w:val="000000"/>
          <w:sz w:val="24"/>
        </w:rPr>
        <w:t>SHALL</w:t>
      </w:r>
      <w:r>
        <w:rPr>
          <w:color w:val="000000"/>
        </w:rPr>
        <w:t xml:space="preserve"> </w:t>
      </w:r>
      <w:r>
        <w:rPr>
          <w:rFonts w:ascii="Times New Roman;serif" w:hAnsi="Times New Roman;serif"/>
          <w:b w:val="false"/>
          <w:color w:val="000000"/>
          <w:sz w:val="24"/>
        </w:rPr>
        <w:t>BE</w:t>
      </w:r>
      <w:r>
        <w:rPr>
          <w:color w:val="000000"/>
        </w:rPr>
        <w:t xml:space="preserve"> </w:t>
      </w:r>
      <w:r>
        <w:rPr>
          <w:rFonts w:ascii="Times New Roman;serif" w:hAnsi="Times New Roman;serif"/>
          <w:b w:val="false"/>
          <w:color w:val="000000"/>
          <w:sz w:val="24"/>
        </w:rPr>
        <w:t>GOVERNED</w:t>
      </w:r>
      <w:r>
        <w:rPr>
          <w:color w:val="000000"/>
        </w:rPr>
        <w:t xml:space="preserve"> </w:t>
      </w:r>
      <w:r>
        <w:rPr>
          <w:rFonts w:ascii="Times New Roman;serif" w:hAnsi="Times New Roman;serif"/>
          <w:b w:val="false"/>
          <w:color w:val="000000"/>
          <w:sz w:val="24"/>
        </w:rPr>
        <w:t>BY</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CONSTRUED</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ACCORDANCE</w:t>
      </w:r>
      <w:r>
        <w:rPr>
          <w:color w:val="000000"/>
        </w:rPr>
        <w:t xml:space="preserve"> </w:t>
      </w:r>
      <w:r>
        <w:rPr>
          <w:rFonts w:ascii="Times New Roman;serif" w:hAnsi="Times New Roman;serif"/>
          <w:b w:val="false"/>
          <w:color w:val="000000"/>
          <w:sz w:val="24"/>
        </w:rPr>
        <w:t>WITH</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LAWS</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STATE</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NEW</w:t>
      </w:r>
      <w:r>
        <w:rPr>
          <w:color w:val="000000"/>
        </w:rPr>
        <w:t xml:space="preserve"> </w:t>
      </w:r>
      <w:r>
        <w:rPr>
          <w:rFonts w:ascii="Times New Roman;serif" w:hAnsi="Times New Roman;serif"/>
          <w:b w:val="false"/>
          <w:color w:val="000000"/>
          <w:sz w:val="24"/>
        </w:rPr>
        <w:t>YORK.</w:t>
      </w:r>
    </w:p>
    <w:p>
      <w:pPr>
        <w:pStyle w:val="TextBody"/>
        <w:bidi w:val="0"/>
        <w:spacing w:lineRule="auto" w:line="240" w:before="0" w:after="240"/>
        <w:ind w:left="0" w:right="0" w:firstLine="720"/>
        <w:jc w:val="both"/>
        <w:rPr/>
      </w:pPr>
      <w:r>
        <w:rPr>
          <w:rFonts w:ascii="Times New Roman;serif" w:hAnsi="Times New Roman;serif"/>
          <w:b w:val="false"/>
          <w:color w:val="000000"/>
          <w:sz w:val="24"/>
        </w:rPr>
        <w:t>4.</w:t>
      </w:r>
      <w:r>
        <w:rPr>
          <w:rFonts w:ascii="Times New Roman;serif" w:hAnsi="Times New Roman;serif"/>
          <w:b w:val="false"/>
          <w:i/>
          <w:color w:val="000000"/>
          <w:sz w:val="24"/>
        </w:rPr>
        <w:t>Counterparts</w:t>
      </w:r>
      <w:r>
        <w:rPr>
          <w:rFonts w:ascii="Times New Roman;serif" w:hAnsi="Times New Roman;serif"/>
          <w:b w:val="false"/>
          <w:color w:val="000000"/>
          <w:sz w:val="24"/>
        </w:rPr>
        <w:t>. The parties may sign any number of copies of this Supplemental Indenture. Each signed copy shall be an original, but all</w:t>
      </w:r>
      <w:r>
        <w:rPr>
          <w:color w:val="000000"/>
        </w:rPr>
        <w:t xml:space="preserve"> </w:t>
      </w:r>
      <w:r>
        <w:rPr>
          <w:rFonts w:ascii="Times New Roman;serif" w:hAnsi="Times New Roman;serif"/>
          <w:b w:val="false"/>
          <w:color w:val="000000"/>
          <w:sz w:val="24"/>
        </w:rPr>
        <w:t>of them together represent the same agreement.</w:t>
      </w:r>
    </w:p>
    <w:p>
      <w:pPr>
        <w:pStyle w:val="TextBody"/>
        <w:bidi w:val="0"/>
        <w:spacing w:lineRule="auto" w:line="240" w:before="0" w:after="240"/>
        <w:ind w:left="0" w:right="0" w:firstLine="720"/>
        <w:jc w:val="both"/>
        <w:rPr/>
      </w:pPr>
      <w:r>
        <w:rPr>
          <w:rFonts w:ascii="Times New Roman;serif" w:hAnsi="Times New Roman;serif"/>
          <w:b w:val="false"/>
          <w:color w:val="000000"/>
          <w:sz w:val="24"/>
        </w:rPr>
        <w:t>5.</w:t>
      </w:r>
      <w:r>
        <w:rPr>
          <w:rFonts w:ascii="Times New Roman;serif" w:hAnsi="Times New Roman;serif"/>
          <w:b w:val="false"/>
          <w:i/>
          <w:color w:val="000000"/>
          <w:sz w:val="24"/>
        </w:rPr>
        <w:t>Effect of</w:t>
      </w:r>
      <w:r>
        <w:rPr>
          <w:color w:val="000000"/>
        </w:rPr>
        <w:t xml:space="preserve"> </w:t>
      </w:r>
      <w:r>
        <w:rPr>
          <w:rFonts w:ascii="Times New Roman;serif" w:hAnsi="Times New Roman;serif"/>
          <w:b w:val="false"/>
          <w:i/>
          <w:color w:val="000000"/>
          <w:sz w:val="24"/>
        </w:rPr>
        <w:t>Headings</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Section</w:t>
      </w:r>
      <w:r>
        <w:rPr>
          <w:color w:val="000000"/>
        </w:rPr>
        <w:t xml:space="preserve"> </w:t>
      </w:r>
      <w:r>
        <w:rPr>
          <w:rFonts w:ascii="Times New Roman;serif" w:hAnsi="Times New Roman;serif"/>
          <w:b w:val="false"/>
          <w:color w:val="000000"/>
          <w:sz w:val="24"/>
        </w:rPr>
        <w:t>headings</w:t>
      </w:r>
      <w:r>
        <w:rPr>
          <w:color w:val="000000"/>
        </w:rPr>
        <w:t xml:space="preserve"> </w:t>
      </w:r>
      <w:r>
        <w:rPr>
          <w:rFonts w:ascii="Times New Roman;serif" w:hAnsi="Times New Roman;serif"/>
          <w:b w:val="false"/>
          <w:color w:val="000000"/>
          <w:sz w:val="24"/>
        </w:rPr>
        <w:t>herein</w:t>
      </w:r>
      <w:r>
        <w:rPr>
          <w:color w:val="000000"/>
        </w:rPr>
        <w:t xml:space="preserve"> </w:t>
      </w:r>
      <w:r>
        <w:rPr>
          <w:rFonts w:ascii="Times New Roman;serif" w:hAnsi="Times New Roman;serif"/>
          <w:b w:val="false"/>
          <w:color w:val="000000"/>
          <w:sz w:val="24"/>
        </w:rPr>
        <w:t>are</w:t>
      </w:r>
      <w:r>
        <w:rPr>
          <w:color w:val="000000"/>
        </w:rPr>
        <w:t xml:space="preserve"> </w:t>
      </w:r>
      <w:r>
        <w:rPr>
          <w:rFonts w:ascii="Times New Roman;serif" w:hAnsi="Times New Roman;serif"/>
          <w:b w:val="false"/>
          <w:color w:val="000000"/>
          <w:sz w:val="24"/>
        </w:rPr>
        <w:t>for</w:t>
      </w:r>
      <w:r>
        <w:rPr>
          <w:color w:val="000000"/>
        </w:rPr>
        <w:t xml:space="preserve"> </w:t>
      </w:r>
      <w:r>
        <w:rPr>
          <w:rFonts w:ascii="Times New Roman;serif" w:hAnsi="Times New Roman;serif"/>
          <w:b w:val="false"/>
          <w:color w:val="000000"/>
          <w:sz w:val="24"/>
        </w:rPr>
        <w:t>convenience</w:t>
      </w:r>
      <w:r>
        <w:rPr>
          <w:color w:val="000000"/>
        </w:rPr>
        <w:t xml:space="preserve"> </w:t>
      </w:r>
      <w:r>
        <w:rPr>
          <w:rFonts w:ascii="Times New Roman;serif" w:hAnsi="Times New Roman;serif"/>
          <w:b w:val="false"/>
          <w:color w:val="000000"/>
          <w:sz w:val="24"/>
        </w:rPr>
        <w:t>only</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shall</w:t>
      </w:r>
      <w:r>
        <w:rPr>
          <w:color w:val="000000"/>
        </w:rPr>
        <w:t xml:space="preserve"> </w:t>
      </w:r>
      <w:r>
        <w:rPr>
          <w:rFonts w:ascii="Times New Roman;serif" w:hAnsi="Times New Roman;serif"/>
          <w:b w:val="false"/>
          <w:color w:val="000000"/>
          <w:sz w:val="24"/>
        </w:rPr>
        <w:t>not</w:t>
      </w:r>
      <w:r>
        <w:rPr>
          <w:color w:val="000000"/>
        </w:rPr>
        <w:t xml:space="preserve"> </w:t>
      </w:r>
      <w:r>
        <w:rPr>
          <w:rFonts w:ascii="Times New Roman;serif" w:hAnsi="Times New Roman;serif"/>
          <w:b w:val="false"/>
          <w:color w:val="000000"/>
          <w:sz w:val="24"/>
        </w:rPr>
        <w:t>affect</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construction</w:t>
      </w:r>
      <w:r>
        <w:rPr>
          <w:color w:val="000000"/>
        </w:rPr>
        <w:t xml:space="preserve"> </w:t>
      </w:r>
      <w:r>
        <w:rPr>
          <w:rFonts w:ascii="Times New Roman;serif" w:hAnsi="Times New Roman;serif"/>
          <w:b w:val="false"/>
          <w:color w:val="000000"/>
          <w:sz w:val="24"/>
        </w:rPr>
        <w:t>hereof.</w:t>
      </w:r>
    </w:p>
    <w:p>
      <w:pPr>
        <w:pStyle w:val="TextBody"/>
        <w:bidi w:val="0"/>
        <w:spacing w:lineRule="auto" w:line="240" w:before="0" w:after="240"/>
        <w:ind w:left="0" w:right="0" w:firstLine="720"/>
        <w:jc w:val="both"/>
        <w:rPr/>
      </w:pPr>
      <w:r>
        <w:rPr>
          <w:rFonts w:ascii="Times New Roman;serif" w:hAnsi="Times New Roman;serif"/>
          <w:b w:val="false"/>
          <w:color w:val="000000"/>
          <w:sz w:val="24"/>
        </w:rPr>
        <w:t>6.</w:t>
      </w:r>
      <w:r>
        <w:rPr>
          <w:rFonts w:ascii="Times New Roman;serif" w:hAnsi="Times New Roman;serif"/>
          <w:b w:val="false"/>
          <w:i/>
          <w:color w:val="000000"/>
          <w:sz w:val="24"/>
        </w:rPr>
        <w:t>The Trustee</w:t>
      </w:r>
      <w:r>
        <w:rPr>
          <w:rFonts w:ascii="Times New Roman;serif" w:hAnsi="Times New Roman;serif"/>
          <w:b w:val="false"/>
          <w:color w:val="000000"/>
          <w:sz w:val="24"/>
        </w:rPr>
        <w:t>. The Trustee shall not be responsible in any manner whatsoever for or in respect of the validity or sufficiency of this</w:t>
      </w:r>
      <w:r>
        <w:rPr>
          <w:color w:val="000000"/>
        </w:rPr>
        <w:t xml:space="preserve"> </w:t>
      </w:r>
      <w:r>
        <w:rPr>
          <w:rFonts w:ascii="Times New Roman;serif" w:hAnsi="Times New Roman;serif"/>
          <w:b w:val="false"/>
          <w:color w:val="000000"/>
          <w:sz w:val="24"/>
        </w:rPr>
        <w:t>Supplemental Indenture or for or in respect of the recitals contained herein, all of which recitals are made solely by the Guaranteeing Subsidiaries and the</w:t>
      </w:r>
      <w:r>
        <w:rPr>
          <w:color w:val="000000"/>
        </w:rPr>
        <w:t xml:space="preserve"> </w:t>
      </w:r>
      <w:r>
        <w:rPr>
          <w:rFonts w:ascii="Times New Roman;serif" w:hAnsi="Times New Roman;serif"/>
          <w:b w:val="false"/>
          <w:color w:val="000000"/>
          <w:sz w:val="24"/>
        </w:rPr>
        <w:t>Issuer.</w:t>
      </w:r>
    </w:p>
    <w:p>
      <w:pPr>
        <w:pStyle w:val="TextBody"/>
        <w:bidi w:val="0"/>
        <w:spacing w:lineRule="auto" w:line="240" w:before="0" w:after="240"/>
        <w:ind w:left="0" w:right="0" w:firstLine="720"/>
        <w:jc w:val="both"/>
        <w:rPr/>
      </w:pPr>
      <w:r>
        <w:rPr>
          <w:rFonts w:ascii="Times New Roman;serif" w:hAnsi="Times New Roman;serif"/>
          <w:b w:val="false"/>
          <w:color w:val="000000"/>
          <w:sz w:val="24"/>
        </w:rPr>
        <w:t>7.</w:t>
      </w:r>
      <w:r>
        <w:rPr>
          <w:rFonts w:ascii="Times New Roman;serif" w:hAnsi="Times New Roman;serif"/>
          <w:b w:val="false"/>
          <w:i/>
          <w:color w:val="000000"/>
          <w:sz w:val="24"/>
        </w:rPr>
        <w:t>Ratification of Indenture; Supplemental Indenture Part of Indenture</w:t>
      </w:r>
      <w:r>
        <w:rPr>
          <w:rFonts w:ascii="Times New Roman;serif" w:hAnsi="Times New Roman;serif"/>
          <w:b w:val="false"/>
          <w:color w:val="000000"/>
          <w:sz w:val="24"/>
        </w:rPr>
        <w:t>. Except as expressly amended hereby, the Indenture is in all respects</w:t>
      </w:r>
      <w:r>
        <w:rPr>
          <w:color w:val="000000"/>
        </w:rPr>
        <w:t xml:space="preserve"> </w:t>
      </w:r>
      <w:r>
        <w:rPr>
          <w:rFonts w:ascii="Times New Roman;serif" w:hAnsi="Times New Roman;serif"/>
          <w:b w:val="false"/>
          <w:color w:val="000000"/>
          <w:sz w:val="24"/>
        </w:rPr>
        <w:t>ratified and confirmed and all the terms, conditions and provisions thereof shall remain in full force and effect. This Supplemental Indenture shall form a</w:t>
      </w:r>
      <w:r>
        <w:rPr>
          <w:color w:val="000000"/>
        </w:rPr>
        <w:t xml:space="preserve"> </w:t>
      </w:r>
      <w:r>
        <w:rPr>
          <w:rFonts w:ascii="Times New Roman;serif" w:hAnsi="Times New Roman;serif"/>
          <w:b w:val="false"/>
          <w:color w:val="000000"/>
          <w:sz w:val="24"/>
        </w:rPr>
        <w:t>part of the Indenture for all purposes, and every Holder of Notes heretofore or hereafter authenticated and delivered shall be bound hereby.</w:t>
      </w:r>
    </w:p>
    <w:p>
      <w:pPr>
        <w:pStyle w:val="TextBody"/>
        <w:bidi w:val="0"/>
        <w:spacing w:lineRule="auto" w:line="288" w:before="0" w:after="240"/>
        <w:jc w:val="center"/>
        <w:rPr/>
      </w:pPr>
      <w:r>
        <w:rPr>
          <w:rFonts w:ascii="Times New Roman;serif" w:hAnsi="Times New Roman;serif"/>
          <w:b w:val="false"/>
          <w:color w:val="000000"/>
          <w:sz w:val="24"/>
        </w:rPr>
        <w:t>[</w:t>
      </w:r>
      <w:r>
        <w:rPr>
          <w:rFonts w:ascii="Times New Roman;serif" w:hAnsi="Times New Roman;serif"/>
          <w:b w:val="false"/>
          <w:i/>
          <w:color w:val="000000"/>
          <w:sz w:val="24"/>
        </w:rPr>
        <w:t>Signature</w:t>
      </w:r>
      <w:r>
        <w:rPr>
          <w:color w:val="000000"/>
        </w:rPr>
        <w:t xml:space="preserve"> </w:t>
      </w:r>
      <w:r>
        <w:rPr>
          <w:rFonts w:ascii="Times New Roman;serif" w:hAnsi="Times New Roman;serif"/>
          <w:b w:val="false"/>
          <w:i/>
          <w:color w:val="000000"/>
          <w:sz w:val="24"/>
        </w:rPr>
        <w:t>Page</w:t>
      </w:r>
      <w:r>
        <w:rPr>
          <w:color w:val="000000"/>
        </w:rPr>
        <w:t xml:space="preserve"> </w:t>
      </w:r>
      <w:r>
        <w:rPr>
          <w:rFonts w:ascii="Times New Roman;serif" w:hAnsi="Times New Roman;serif"/>
          <w:b w:val="false"/>
          <w:i/>
          <w:color w:val="000000"/>
          <w:sz w:val="24"/>
        </w:rPr>
        <w:t>Follows</w:t>
      </w:r>
      <w:r>
        <w:rPr>
          <w:rFonts w:ascii="Times New Roman;serif" w:hAnsi="Times New Roman;serif"/>
          <w:b w:val="false"/>
          <w:color w:val="000000"/>
          <w:sz w:val="24"/>
        </w:rPr>
        <w:t>]</w:t>
      </w:r>
    </w:p>
    <w:p>
      <w:pPr>
        <w:pStyle w:val="TextBody"/>
        <w:bidi w:val="0"/>
        <w:spacing w:before="0" w:after="0"/>
        <w:jc w:val="left"/>
        <w:rPr/>
      </w:pPr>
      <w:r>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6480175" cy="385445"/>
                <wp:effectExtent l="0" t="0" r="0" b="0"/>
                <wp:wrapNone/>
                <wp:docPr id="167" name="Frame167"/>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4"/>
        </w:rPr>
        <w:t>IN WITNESS WHEREOF, the parties hereto have caused this Supplemental Indenture to be duly executed and attested, all as of the date first</w:t>
      </w:r>
      <w:r>
        <w:rPr>
          <w:color w:val="000000"/>
        </w:rPr>
        <w:t xml:space="preserve"> </w:t>
      </w:r>
      <w:r>
        <w:rPr>
          <w:rFonts w:ascii="Times New Roman;serif" w:hAnsi="Times New Roman;serif"/>
          <w:b w:val="false"/>
          <w:color w:val="000000"/>
          <w:sz w:val="24"/>
        </w:rPr>
        <w:t>above written.</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Dated:    _______________ , 20[ ]</w:t>
      </w:r>
    </w:p>
    <w:p>
      <w:pPr>
        <w:pStyle w:val="TextBody"/>
        <w:bidi w:val="0"/>
        <w:spacing w:lineRule="auto" w:line="288" w:before="0" w:after="240"/>
        <w:jc w:val="left"/>
        <w:rPr>
          <w:rFonts w:ascii="Times New Roman;serif" w:hAnsi="Times New Roman;serif"/>
          <w:b/>
          <w:color w:val="000000"/>
          <w:sz w:val="24"/>
        </w:rPr>
      </w:pPr>
      <w:r>
        <w:rPr>
          <w:rFonts w:ascii="Times New Roman;serif" w:hAnsi="Times New Roman;serif"/>
          <w:b/>
          <w:color w:val="000000"/>
          <w:sz w:val="24"/>
        </w:rPr>
        <w:t>[GUARANTEEING SUBSIDIARIES]</w:t>
      </w:r>
    </w:p>
    <w:p>
      <w:pPr>
        <w:pStyle w:val="TextBody"/>
        <w:bidi w:val="0"/>
        <w:spacing w:lineRule="auto" w:line="288" w:before="0" w:after="240"/>
        <w:jc w:val="left"/>
        <w:rPr/>
      </w:pPr>
      <w:r>
        <w:rPr>
          <w:rFonts w:ascii="Times New Roman;serif" w:hAnsi="Times New Roman;serif"/>
          <w:b w:val="false"/>
          <w:color w:val="000000"/>
          <w:sz w:val="24"/>
        </w:rPr>
        <w:t>By:    </w:t>
      </w:r>
      <w:r>
        <w:rPr>
          <w:color w:val="000000"/>
          <w:u w:val="single"/>
        </w:rPr>
        <w:t>        </w:t>
      </w:r>
      <w:r>
        <w:rPr>
          <w:rFonts w:ascii="Times New Roman;serif" w:hAnsi="Times New Roman;serif"/>
          <w:b w:val="false"/>
          <w:color w:val="000000"/>
          <w:sz w:val="24"/>
          <w:u w:val="single"/>
        </w:rPr>
        <w:br/>
      </w:r>
      <w:r>
        <w:rPr>
          <w:color w:val="000000"/>
        </w:rPr>
        <w:t>    </w:t>
      </w:r>
      <w:r>
        <w:rPr>
          <w:rFonts w:ascii="Times New Roman;serif" w:hAnsi="Times New Roman;serif"/>
          <w:b w:val="false"/>
          <w:color w:val="000000"/>
          <w:sz w:val="24"/>
        </w:rPr>
        <w:t>Name:    </w:t>
        <w:br/>
        <w:t>    Title:    </w:t>
      </w:r>
    </w:p>
    <w:p>
      <w:pPr>
        <w:pStyle w:val="TextBody"/>
        <w:bidi w:val="0"/>
        <w:spacing w:lineRule="auto" w:line="288" w:before="0" w:after="240"/>
        <w:jc w:val="left"/>
        <w:rPr>
          <w:rFonts w:ascii="Times New Roman;serif" w:hAnsi="Times New Roman;serif"/>
          <w:b/>
          <w:color w:val="000000"/>
          <w:sz w:val="24"/>
        </w:rPr>
      </w:pPr>
      <w:r>
        <w:rPr>
          <w:rFonts w:ascii="Times New Roman;serif" w:hAnsi="Times New Roman;serif"/>
          <w:b/>
          <w:color w:val="000000"/>
          <w:sz w:val="24"/>
        </w:rPr>
        <w:t>TALEN ENERGY SUPPLY, LLC</w:t>
      </w:r>
    </w:p>
    <w:p>
      <w:pPr>
        <w:pStyle w:val="TextBody"/>
        <w:bidi w:val="0"/>
        <w:spacing w:lineRule="auto" w:line="288" w:before="0" w:after="240"/>
        <w:jc w:val="left"/>
        <w:rPr/>
      </w:pPr>
      <w:r>
        <w:rPr>
          <w:rFonts w:ascii="Times New Roman;serif" w:hAnsi="Times New Roman;serif"/>
          <w:b w:val="false"/>
          <w:color w:val="000000"/>
          <w:sz w:val="24"/>
        </w:rPr>
        <w:t>By:    </w:t>
      </w:r>
      <w:r>
        <w:rPr>
          <w:color w:val="000000"/>
          <w:u w:val="single"/>
        </w:rPr>
        <w:t>        </w:t>
      </w:r>
      <w:r>
        <w:rPr>
          <w:rFonts w:ascii="Times New Roman;serif" w:hAnsi="Times New Roman;serif"/>
          <w:b w:val="false"/>
          <w:color w:val="000000"/>
          <w:sz w:val="24"/>
          <w:u w:val="single"/>
        </w:rPr>
        <w:br/>
      </w:r>
      <w:r>
        <w:rPr>
          <w:color w:val="000000"/>
        </w:rPr>
        <w:t>    </w:t>
      </w:r>
      <w:r>
        <w:rPr>
          <w:rFonts w:ascii="Times New Roman;serif" w:hAnsi="Times New Roman;serif"/>
          <w:b w:val="false"/>
          <w:color w:val="000000"/>
          <w:sz w:val="24"/>
        </w:rPr>
        <w:t>Name:    </w:t>
        <w:br/>
        <w:t>    Title:    </w:t>
      </w:r>
    </w:p>
    <w:p>
      <w:pPr>
        <w:pStyle w:val="TextBody"/>
        <w:bidi w:val="0"/>
        <w:spacing w:lineRule="auto" w:line="288" w:before="0" w:after="240"/>
        <w:jc w:val="left"/>
        <w:rPr/>
      </w:pPr>
      <w:r>
        <w:rPr>
          <w:rFonts w:ascii="Times New Roman;serif" w:hAnsi="Times New Roman;serif"/>
          <w:b/>
          <w:color w:val="000000"/>
          <w:sz w:val="24"/>
        </w:rPr>
        <w:t>WILMINGTON SAVINGS FUND SOCIETY, FSB,</w:t>
        <w:br/>
      </w:r>
      <w:r>
        <w:rPr>
          <w:rFonts w:ascii="Times New Roman;serif" w:hAnsi="Times New Roman;serif"/>
          <w:b w:val="false"/>
          <w:color w:val="000000"/>
          <w:sz w:val="24"/>
        </w:rPr>
        <w:t>as Trustee</w:t>
      </w:r>
    </w:p>
    <w:p>
      <w:pPr>
        <w:pStyle w:val="TextBody"/>
        <w:bidi w:val="0"/>
        <w:spacing w:lineRule="auto" w:line="288" w:before="0" w:after="240"/>
        <w:jc w:val="left"/>
        <w:rPr/>
      </w:pPr>
      <w:r>
        <w:rPr>
          <w:rFonts w:ascii="Times New Roman;serif" w:hAnsi="Times New Roman;serif"/>
          <w:b w:val="false"/>
          <w:color w:val="000000"/>
          <w:sz w:val="24"/>
        </w:rPr>
        <w:t>By:    </w:t>
      </w:r>
      <w:r>
        <w:rPr>
          <w:color w:val="000000"/>
          <w:u w:val="single"/>
        </w:rPr>
        <w:t>        </w:t>
      </w:r>
      <w:r>
        <w:rPr>
          <w:rFonts w:ascii="Times New Roman;serif" w:hAnsi="Times New Roman;serif"/>
          <w:b w:val="false"/>
          <w:color w:val="000000"/>
          <w:sz w:val="24"/>
          <w:u w:val="single"/>
        </w:rPr>
        <w:br/>
      </w:r>
      <w:r>
        <w:rPr>
          <w:color w:val="000000"/>
        </w:rPr>
        <w:t>    </w:t>
      </w:r>
      <w:r>
        <w:rPr>
          <w:rFonts w:ascii="Times New Roman;serif" w:hAnsi="Times New Roman;serif"/>
          <w:b w:val="false"/>
          <w:color w:val="000000"/>
          <w:sz w:val="24"/>
        </w:rPr>
        <w:t>Name:    </w:t>
        <w:br/>
        <w:t>    Title: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6480175" cy="385445"/>
                <wp:effectExtent l="0" t="0" r="0" b="0"/>
                <wp:wrapNone/>
                <wp:docPr id="168" name="Frame168"/>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E-3</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center"/>
        <w:rPr/>
      </w:pPr>
      <w:r>
        <w:rPr>
          <w:rFonts w:ascii="Times New Roman;serif" w:hAnsi="Times New Roman;serif"/>
          <w:b/>
          <w:color w:val="000000"/>
          <w:sz w:val="24"/>
          <w:u w:val="single"/>
        </w:rPr>
        <w:t>Schedule</w:t>
      </w:r>
      <w:r>
        <w:rPr>
          <w:color w:val="000000"/>
          <w:u w:val="single"/>
        </w:rPr>
        <w:t xml:space="preserve"> </w:t>
      </w:r>
      <w:r>
        <w:rPr>
          <w:rFonts w:ascii="Times New Roman;serif" w:hAnsi="Times New Roman;serif"/>
          <w:b/>
          <w:color w:val="000000"/>
          <w:sz w:val="24"/>
          <w:u w:val="single"/>
        </w:rPr>
        <w:t>I</w:t>
      </w:r>
    </w:p>
    <w:p>
      <w:pPr>
        <w:pStyle w:val="TextBody"/>
        <w:bidi w:val="0"/>
        <w:spacing w:lineRule="auto" w:line="240" w:before="0" w:after="240"/>
        <w:jc w:val="center"/>
        <w:rPr/>
      </w:pPr>
      <w:r>
        <w:rPr>
          <w:rFonts w:ascii="Times New Roman;serif" w:hAnsi="Times New Roman;serif"/>
          <w:b/>
          <w:color w:val="000000"/>
          <w:sz w:val="24"/>
        </w:rPr>
        <w:t>Guaranteeing</w:t>
      </w:r>
      <w:r>
        <w:rPr>
          <w:color w:val="000000"/>
        </w:rPr>
        <w:t xml:space="preserve"> </w:t>
      </w:r>
      <w:r>
        <w:rPr>
          <w:rFonts w:ascii="Times New Roman;serif" w:hAnsi="Times New Roman;serif"/>
          <w:b/>
          <w:color w:val="000000"/>
          <w:sz w:val="24"/>
        </w:rPr>
        <w:t>Subsidiaries</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40"/>
        <w:ind w:left="0" w:right="0" w:firstLine="360"/>
        <w:jc w:val="left"/>
        <w:rPr/>
      </w:pPr>
      <w:r>
        <w:rPr/>
      </w:r>
    </w:p>
    <w:p>
      <w:pPr>
        <w:pStyle w:val="TextBody"/>
        <w:bidi w:val="0"/>
        <w:spacing w:before="0" w:after="240"/>
        <w:jc w:val="center"/>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6480175" cy="175260"/>
                <wp:effectExtent l="0" t="0" r="0" b="0"/>
                <wp:wrapNone/>
                <wp:docPr id="169" name="Frame16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SCH-1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SCH-1</w:t>
                      </w:r>
                    </w:p>
                  </w:txbxContent>
                </v:textbox>
                <w10:wrap type="none"/>
              </v:rect>
            </w:pict>
          </mc:Fallback>
        </mc:AlternateConten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TALEN ENERGY SUPPLY, LLC,</w: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as Issuer</w: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and</w: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EACH OF THE SUBSIDIARY GUARANTORS PARTY HERETO,</w: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as Subsidiary Guarantors</w:t>
      </w:r>
    </w:p>
    <w:p>
      <w:pPr>
        <w:pStyle w:val="TextBody"/>
        <w:bidi w:val="0"/>
        <w:spacing w:before="0" w:after="240"/>
        <w:jc w:val="center"/>
        <w:rPr/>
      </w:pPr>
      <w:r>
        <w:rPr/>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INDENTURE</w: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Dated as of April 29, 2026</w:t>
      </w:r>
    </w:p>
    <w:p>
      <w:pPr>
        <w:pStyle w:val="TextBody"/>
        <w:bidi w:val="0"/>
        <w:spacing w:before="0" w:after="240"/>
        <w:jc w:val="center"/>
        <w:rPr/>
      </w:pPr>
      <w:r>
        <w:rPr/>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WILMINGTON SAVINGS FUND SOCIETY, FSB,</w: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as Trustee</w:t>
      </w:r>
    </w:p>
    <w:p>
      <w:pPr>
        <w:pStyle w:val="TextBody"/>
        <w:bidi w:val="0"/>
        <w:spacing w:before="0" w:after="240"/>
        <w:jc w:val="center"/>
        <w:rPr/>
      </w:pPr>
      <w:r>
        <w:rPr/>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6.375% Senior Notes due 2033</w:t>
      </w:r>
    </w:p>
    <w:p>
      <w:pPr>
        <w:pStyle w:val="TextBody"/>
        <w:bidi w:val="0"/>
        <w:spacing w:before="0" w:after="24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6480175" cy="979170"/>
                <wp:effectExtent l="0" t="0" r="0" b="0"/>
                <wp:wrapNone/>
                <wp:docPr id="170" name="Frame170"/>
                <a:graphic xmlns:a="http://schemas.openxmlformats.org/drawingml/2006/main">
                  <a:graphicData uri="http://schemas.microsoft.com/office/word/2010/wordprocessingShape">
                    <wps:wsp>
                      <wps:cNvSpPr txBox="1"/>
                      <wps:spPr>
                        <a:xfrm>
                          <a:off x="0" y="0"/>
                          <a:ext cx="6480175" cy="97917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7.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333" w:before="0" w:after="240"/>
        <w:jc w:val="center"/>
        <w:rPr>
          <w:rFonts w:ascii="Times New Roman;serif" w:hAnsi="Times New Roman;serif"/>
          <w:b/>
          <w:color w:val="000000"/>
          <w:sz w:val="24"/>
        </w:rPr>
      </w:pPr>
      <w:r>
        <w:rPr>
          <w:rFonts w:ascii="Times New Roman;serif" w:hAnsi="Times New Roman;serif"/>
          <w:b/>
          <w:color w:val="000000"/>
          <w:sz w:val="24"/>
        </w:rPr>
        <w:t>TABLE OF CONTENTS</w:t>
      </w:r>
    </w:p>
    <w:tbl>
      <w:tblPr>
        <w:tblW w:w="8201" w:type="dxa"/>
        <w:jc w:val="left"/>
        <w:tblInd w:w="0" w:type="dxa"/>
        <w:tblLayout w:type="fixed"/>
        <w:tblCellMar>
          <w:top w:w="28" w:type="dxa"/>
          <w:left w:w="28" w:type="dxa"/>
          <w:bottom w:w="28" w:type="dxa"/>
          <w:right w:w="28" w:type="dxa"/>
        </w:tblCellMar>
      </w:tblPr>
      <w:tblGrid>
        <w:gridCol w:w="468"/>
        <w:gridCol w:w="410"/>
        <w:gridCol w:w="413"/>
        <w:gridCol w:w="2067"/>
        <w:gridCol w:w="2067"/>
        <w:gridCol w:w="2121"/>
        <w:gridCol w:w="203"/>
        <w:gridCol w:w="203"/>
        <w:gridCol w:w="249"/>
      </w:tblGrid>
      <w:tr>
        <w:trPr/>
        <w:tc>
          <w:tcPr>
            <w:tcW w:w="468"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067" w:type="dxa"/>
            <w:tcBorders/>
            <w:vAlign w:val="center"/>
          </w:tcPr>
          <w:p>
            <w:pPr>
              <w:pStyle w:val="TableContents"/>
              <w:bidi w:val="0"/>
              <w:spacing w:before="0" w:after="283"/>
              <w:jc w:val="left"/>
              <w:rPr>
                <w:sz w:val="4"/>
                <w:szCs w:val="4"/>
              </w:rPr>
            </w:pPr>
            <w:r>
              <w:rPr>
                <w:sz w:val="4"/>
                <w:szCs w:val="4"/>
              </w:rPr>
            </w:r>
          </w:p>
        </w:tc>
        <w:tc>
          <w:tcPr>
            <w:tcW w:w="2067" w:type="dxa"/>
            <w:tcBorders/>
            <w:vAlign w:val="center"/>
          </w:tcPr>
          <w:p>
            <w:pPr>
              <w:pStyle w:val="TableContents"/>
              <w:bidi w:val="0"/>
              <w:spacing w:before="0" w:after="283"/>
              <w:jc w:val="left"/>
              <w:rPr>
                <w:sz w:val="4"/>
                <w:szCs w:val="4"/>
              </w:rPr>
            </w:pPr>
            <w:r>
              <w:rPr>
                <w:sz w:val="4"/>
                <w:szCs w:val="4"/>
              </w:rPr>
            </w:r>
          </w:p>
        </w:tc>
        <w:tc>
          <w:tcPr>
            <w:tcW w:w="2121"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r>
      <w:tr>
        <w:trPr/>
        <w:tc>
          <w:tcPr>
            <w:tcW w:w="7546"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10000"/>
                <w:sz w:val="22"/>
              </w:rPr>
            </w:pPr>
            <w:r>
              <w:rPr>
                <w:rFonts w:ascii="Times New Roman;serif" w:hAnsi="Times New Roman;serif"/>
                <w:b w:val="false"/>
                <w:color w:val="010000"/>
                <w:sz w:val="22"/>
              </w:rPr>
              <w:t>Article 1</w:t>
            </w:r>
          </w:p>
        </w:tc>
        <w:tc>
          <w:tcPr>
            <w:tcW w:w="65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Page</w:t>
            </w:r>
          </w:p>
        </w:tc>
      </w:tr>
      <w:tr>
        <w:trPr/>
        <w:tc>
          <w:tcPr>
            <w:tcW w:w="754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10000"/>
                <w:sz w:val="22"/>
              </w:rPr>
            </w:pPr>
            <w:r>
              <w:rPr>
                <w:rFonts w:ascii="Times New Roman;serif" w:hAnsi="Times New Roman;serif"/>
                <w:b w:val="false"/>
                <w:color w:val="010000"/>
                <w:sz w:val="22"/>
              </w:rPr>
              <w:t>DEFINITIONS</w:t>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1 </w:t>
            </w:r>
          </w:p>
        </w:tc>
        <w:tc>
          <w:tcPr>
            <w:tcW w:w="2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10000"/>
                <w:sz w:val="22"/>
              </w:rPr>
            </w:pPr>
            <w:r>
              <w:rPr>
                <w:rFonts w:ascii="Times New Roman;serif" w:hAnsi="Times New Roman;serif"/>
                <w:b w:val="false"/>
                <w:color w:val="010000"/>
                <w:sz w:val="22"/>
              </w:rPr>
              <w:t>Section 1.01</w:t>
            </w:r>
          </w:p>
        </w:tc>
        <w:tc>
          <w:tcPr>
            <w:tcW w:w="62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Definitions</w:t>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1 </w:t>
            </w:r>
          </w:p>
        </w:tc>
        <w:tc>
          <w:tcPr>
            <w:tcW w:w="2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10000"/>
                <w:sz w:val="22"/>
              </w:rPr>
            </w:pPr>
            <w:r>
              <w:rPr>
                <w:rFonts w:ascii="Times New Roman;serif" w:hAnsi="Times New Roman;serif"/>
                <w:b w:val="false"/>
                <w:color w:val="010000"/>
                <w:sz w:val="22"/>
              </w:rPr>
              <w:t>Section 1.02</w:t>
            </w:r>
          </w:p>
        </w:tc>
        <w:tc>
          <w:tcPr>
            <w:tcW w:w="62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Other Definitions</w:t>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26 </w:t>
            </w:r>
          </w:p>
        </w:tc>
        <w:tc>
          <w:tcPr>
            <w:tcW w:w="2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10000"/>
                <w:sz w:val="22"/>
              </w:rPr>
            </w:pPr>
            <w:r>
              <w:rPr>
                <w:rFonts w:ascii="Times New Roman;serif" w:hAnsi="Times New Roman;serif"/>
                <w:b w:val="false"/>
                <w:color w:val="010000"/>
                <w:sz w:val="22"/>
              </w:rPr>
              <w:t>Section 1.03</w:t>
            </w:r>
          </w:p>
        </w:tc>
        <w:tc>
          <w:tcPr>
            <w:tcW w:w="62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Rules of Construction</w:t>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27 </w:t>
            </w:r>
          </w:p>
        </w:tc>
        <w:tc>
          <w:tcPr>
            <w:tcW w:w="2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10000"/>
                <w:sz w:val="22"/>
              </w:rPr>
            </w:pPr>
            <w:r>
              <w:rPr>
                <w:rFonts w:ascii="Times New Roman;serif" w:hAnsi="Times New Roman;serif"/>
                <w:b w:val="false"/>
                <w:color w:val="010000"/>
                <w:sz w:val="22"/>
              </w:rPr>
              <w:t>Section 1.04</w:t>
            </w:r>
          </w:p>
        </w:tc>
        <w:tc>
          <w:tcPr>
            <w:tcW w:w="62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Limited Condition Transactions</w:t>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27 </w:t>
            </w:r>
          </w:p>
        </w:tc>
        <w:tc>
          <w:tcPr>
            <w:tcW w:w="2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10000"/>
                <w:sz w:val="22"/>
              </w:rPr>
            </w:pPr>
            <w:r>
              <w:rPr>
                <w:rFonts w:ascii="Times New Roman;serif" w:hAnsi="Times New Roman;serif"/>
                <w:b w:val="false"/>
                <w:color w:val="010000"/>
                <w:sz w:val="22"/>
              </w:rPr>
              <w:t>Section 1.05</w:t>
            </w:r>
          </w:p>
        </w:tc>
        <w:tc>
          <w:tcPr>
            <w:tcW w:w="62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Measuring Compliance</w:t>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29 </w:t>
            </w:r>
          </w:p>
        </w:tc>
        <w:tc>
          <w:tcPr>
            <w:tcW w:w="2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6"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10000"/>
                <w:sz w:val="22"/>
              </w:rPr>
            </w:pPr>
            <w:r>
              <w:rPr>
                <w:rFonts w:ascii="Times New Roman;serif" w:hAnsi="Times New Roman;serif"/>
                <w:b w:val="false"/>
                <w:color w:val="010000"/>
                <w:sz w:val="22"/>
              </w:rPr>
              <w:t>Article 2</w:t>
            </w:r>
          </w:p>
        </w:tc>
        <w:tc>
          <w:tcPr>
            <w:tcW w:w="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10000"/>
                <w:sz w:val="22"/>
              </w:rPr>
            </w:pPr>
            <w:r>
              <w:rPr>
                <w:rFonts w:ascii="Times New Roman;serif" w:hAnsi="Times New Roman;serif"/>
                <w:b w:val="false"/>
                <w:color w:val="010000"/>
                <w:sz w:val="22"/>
              </w:rPr>
              <w:t>THE NOTES</w:t>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30 </w:t>
            </w:r>
          </w:p>
        </w:tc>
        <w:tc>
          <w:tcPr>
            <w:tcW w:w="2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10000"/>
                <w:sz w:val="22"/>
              </w:rPr>
            </w:pPr>
            <w:r>
              <w:rPr>
                <w:rFonts w:ascii="Times New Roman;serif" w:hAnsi="Times New Roman;serif"/>
                <w:b w:val="false"/>
                <w:color w:val="010000"/>
                <w:sz w:val="22"/>
              </w:rPr>
              <w:t>Section 2.01</w:t>
            </w:r>
          </w:p>
        </w:tc>
        <w:tc>
          <w:tcPr>
            <w:tcW w:w="62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Form and Dating.</w:t>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30 </w:t>
            </w:r>
          </w:p>
        </w:tc>
        <w:tc>
          <w:tcPr>
            <w:tcW w:w="2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10000"/>
                <w:sz w:val="22"/>
              </w:rPr>
            </w:pPr>
            <w:r>
              <w:rPr>
                <w:rFonts w:ascii="Times New Roman;serif" w:hAnsi="Times New Roman;serif"/>
                <w:b w:val="false"/>
                <w:color w:val="010000"/>
                <w:sz w:val="22"/>
              </w:rPr>
              <w:t>Section 2.02</w:t>
            </w:r>
          </w:p>
        </w:tc>
        <w:tc>
          <w:tcPr>
            <w:tcW w:w="62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Execution and Authentication.</w:t>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32 </w:t>
            </w:r>
          </w:p>
        </w:tc>
        <w:tc>
          <w:tcPr>
            <w:tcW w:w="2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10000"/>
                <w:sz w:val="22"/>
              </w:rPr>
            </w:pPr>
            <w:r>
              <w:rPr>
                <w:rFonts w:ascii="Times New Roman;serif" w:hAnsi="Times New Roman;serif"/>
                <w:b w:val="false"/>
                <w:color w:val="010000"/>
                <w:sz w:val="22"/>
              </w:rPr>
              <w:t>Section 2.03</w:t>
            </w:r>
          </w:p>
        </w:tc>
        <w:tc>
          <w:tcPr>
            <w:tcW w:w="62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Registrar and Paying Agent.</w:t>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32 </w:t>
            </w:r>
          </w:p>
        </w:tc>
        <w:tc>
          <w:tcPr>
            <w:tcW w:w="2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10000"/>
                <w:sz w:val="22"/>
              </w:rPr>
            </w:pPr>
            <w:r>
              <w:rPr>
                <w:rFonts w:ascii="Times New Roman;serif" w:hAnsi="Times New Roman;serif"/>
                <w:b w:val="false"/>
                <w:color w:val="010000"/>
                <w:sz w:val="22"/>
              </w:rPr>
              <w:t>Section 2.04</w:t>
            </w:r>
          </w:p>
        </w:tc>
        <w:tc>
          <w:tcPr>
            <w:tcW w:w="62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Paying Agent to Hold Money in Trust.</w:t>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33 </w:t>
            </w:r>
          </w:p>
        </w:tc>
        <w:tc>
          <w:tcPr>
            <w:tcW w:w="2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10000"/>
                <w:sz w:val="22"/>
              </w:rPr>
            </w:pPr>
            <w:r>
              <w:rPr>
                <w:rFonts w:ascii="Times New Roman;serif" w:hAnsi="Times New Roman;serif"/>
                <w:b w:val="false"/>
                <w:color w:val="010000"/>
                <w:sz w:val="22"/>
              </w:rPr>
              <w:t>Section 2.05</w:t>
            </w:r>
          </w:p>
        </w:tc>
        <w:tc>
          <w:tcPr>
            <w:tcW w:w="62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Holder Lists.</w:t>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33 </w:t>
            </w:r>
          </w:p>
        </w:tc>
        <w:tc>
          <w:tcPr>
            <w:tcW w:w="2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10000"/>
                <w:sz w:val="22"/>
              </w:rPr>
            </w:pPr>
            <w:r>
              <w:rPr>
                <w:rFonts w:ascii="Times New Roman;serif" w:hAnsi="Times New Roman;serif"/>
                <w:b w:val="false"/>
                <w:color w:val="010000"/>
                <w:sz w:val="22"/>
              </w:rPr>
              <w:t>Section 2.06</w:t>
            </w:r>
          </w:p>
        </w:tc>
        <w:tc>
          <w:tcPr>
            <w:tcW w:w="62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Transfer and Exchange.</w:t>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33 </w:t>
            </w:r>
          </w:p>
        </w:tc>
        <w:tc>
          <w:tcPr>
            <w:tcW w:w="2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10000"/>
                <w:sz w:val="22"/>
              </w:rPr>
            </w:pPr>
            <w:r>
              <w:rPr>
                <w:rFonts w:ascii="Times New Roman;serif" w:hAnsi="Times New Roman;serif"/>
                <w:b w:val="false"/>
                <w:color w:val="010000"/>
                <w:sz w:val="22"/>
              </w:rPr>
              <w:t>Section 2.07</w:t>
            </w:r>
          </w:p>
        </w:tc>
        <w:tc>
          <w:tcPr>
            <w:tcW w:w="62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Additional Notes.</w:t>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47 </w:t>
            </w:r>
          </w:p>
        </w:tc>
        <w:tc>
          <w:tcPr>
            <w:tcW w:w="2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2.08</w:t>
            </w:r>
          </w:p>
        </w:tc>
        <w:tc>
          <w:tcPr>
            <w:tcW w:w="62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Replacement Notes.</w:t>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48 </w:t>
            </w:r>
          </w:p>
        </w:tc>
        <w:tc>
          <w:tcPr>
            <w:tcW w:w="2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10000"/>
                <w:sz w:val="22"/>
              </w:rPr>
            </w:pPr>
            <w:r>
              <w:rPr>
                <w:rFonts w:ascii="Times New Roman;serif" w:hAnsi="Times New Roman;serif"/>
                <w:b w:val="false"/>
                <w:color w:val="010000"/>
                <w:sz w:val="22"/>
              </w:rPr>
              <w:t>Section 2.09</w:t>
            </w:r>
          </w:p>
        </w:tc>
        <w:tc>
          <w:tcPr>
            <w:tcW w:w="62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10000"/>
                <w:sz w:val="22"/>
              </w:rPr>
            </w:pPr>
            <w:r>
              <w:rPr>
                <w:rFonts w:ascii="Times New Roman;serif" w:hAnsi="Times New Roman;serif"/>
                <w:b w:val="false"/>
                <w:color w:val="010000"/>
                <w:sz w:val="22"/>
              </w:rPr>
              <w:t>Outstanding Notes.</w:t>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48 </w:t>
            </w:r>
          </w:p>
        </w:tc>
        <w:tc>
          <w:tcPr>
            <w:tcW w:w="2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10000"/>
                <w:sz w:val="22"/>
              </w:rPr>
            </w:pPr>
            <w:r>
              <w:rPr>
                <w:rFonts w:ascii="Times New Roman;serif" w:hAnsi="Times New Roman;serif"/>
                <w:b w:val="false"/>
                <w:color w:val="010000"/>
                <w:sz w:val="22"/>
              </w:rPr>
              <w:t>Section 2.10</w:t>
            </w:r>
          </w:p>
        </w:tc>
        <w:tc>
          <w:tcPr>
            <w:tcW w:w="62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Treasury Notes.</w:t>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49 </w:t>
            </w:r>
          </w:p>
        </w:tc>
        <w:tc>
          <w:tcPr>
            <w:tcW w:w="2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10000"/>
                <w:sz w:val="22"/>
              </w:rPr>
            </w:pPr>
            <w:r>
              <w:rPr>
                <w:rFonts w:ascii="Times New Roman;serif" w:hAnsi="Times New Roman;serif"/>
                <w:b w:val="false"/>
                <w:color w:val="010000"/>
                <w:sz w:val="22"/>
              </w:rPr>
              <w:t>Section 2.11</w:t>
            </w:r>
          </w:p>
        </w:tc>
        <w:tc>
          <w:tcPr>
            <w:tcW w:w="62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Temporary Notes.</w:t>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49 </w:t>
            </w:r>
          </w:p>
        </w:tc>
        <w:tc>
          <w:tcPr>
            <w:tcW w:w="2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10000"/>
                <w:sz w:val="22"/>
              </w:rPr>
            </w:pPr>
            <w:r>
              <w:rPr>
                <w:rFonts w:ascii="Times New Roman;serif" w:hAnsi="Times New Roman;serif"/>
                <w:b w:val="false"/>
                <w:color w:val="010000"/>
                <w:sz w:val="22"/>
              </w:rPr>
              <w:t>Section 2.12</w:t>
            </w:r>
          </w:p>
        </w:tc>
        <w:tc>
          <w:tcPr>
            <w:tcW w:w="62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Cancellation.</w:t>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49 </w:t>
            </w:r>
          </w:p>
        </w:tc>
        <w:tc>
          <w:tcPr>
            <w:tcW w:w="2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10000"/>
                <w:sz w:val="22"/>
              </w:rPr>
            </w:pPr>
            <w:r>
              <w:rPr>
                <w:rFonts w:ascii="Times New Roman;serif" w:hAnsi="Times New Roman;serif"/>
                <w:b w:val="false"/>
                <w:color w:val="010000"/>
                <w:sz w:val="22"/>
              </w:rPr>
              <w:t>Section 2.13</w:t>
            </w:r>
          </w:p>
        </w:tc>
        <w:tc>
          <w:tcPr>
            <w:tcW w:w="62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CUSIP / ISIN Numbers.</w:t>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49 </w:t>
            </w:r>
          </w:p>
        </w:tc>
        <w:tc>
          <w:tcPr>
            <w:tcW w:w="2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6"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10000"/>
                <w:sz w:val="22"/>
              </w:rPr>
            </w:pPr>
            <w:r>
              <w:rPr>
                <w:rFonts w:ascii="Times New Roman;serif" w:hAnsi="Times New Roman;serif"/>
                <w:b w:val="false"/>
                <w:color w:val="010000"/>
                <w:sz w:val="22"/>
              </w:rPr>
              <w:t>Article 3</w:t>
            </w:r>
          </w:p>
        </w:tc>
        <w:tc>
          <w:tcPr>
            <w:tcW w:w="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10000"/>
                <w:sz w:val="22"/>
              </w:rPr>
            </w:pPr>
            <w:r>
              <w:rPr>
                <w:rFonts w:ascii="Times New Roman;serif" w:hAnsi="Times New Roman;serif"/>
                <w:b w:val="false"/>
                <w:color w:val="010000"/>
                <w:sz w:val="22"/>
              </w:rPr>
              <w:t>REDEMPTION AND PREPAYMENT</w:t>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50 </w:t>
            </w:r>
          </w:p>
        </w:tc>
        <w:tc>
          <w:tcPr>
            <w:tcW w:w="2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10000"/>
                <w:sz w:val="22"/>
              </w:rPr>
            </w:pPr>
            <w:r>
              <w:rPr>
                <w:rFonts w:ascii="Times New Roman;serif" w:hAnsi="Times New Roman;serif"/>
                <w:b w:val="false"/>
                <w:color w:val="010000"/>
                <w:sz w:val="22"/>
              </w:rPr>
              <w:t>Section 3.01</w:t>
            </w:r>
          </w:p>
        </w:tc>
        <w:tc>
          <w:tcPr>
            <w:tcW w:w="62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Notices to Trustee.</w:t>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50 </w:t>
            </w:r>
          </w:p>
        </w:tc>
        <w:tc>
          <w:tcPr>
            <w:tcW w:w="2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10000"/>
                <w:sz w:val="22"/>
              </w:rPr>
            </w:pPr>
            <w:r>
              <w:rPr>
                <w:rFonts w:ascii="Times New Roman;serif" w:hAnsi="Times New Roman;serif"/>
                <w:b w:val="false"/>
                <w:color w:val="010000"/>
                <w:sz w:val="22"/>
              </w:rPr>
              <w:t>Section 3.02</w:t>
            </w:r>
          </w:p>
        </w:tc>
        <w:tc>
          <w:tcPr>
            <w:tcW w:w="62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Selection of Notes to Be Redeemed.</w:t>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50 </w:t>
            </w:r>
          </w:p>
        </w:tc>
        <w:tc>
          <w:tcPr>
            <w:tcW w:w="2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10000"/>
                <w:sz w:val="22"/>
              </w:rPr>
            </w:pPr>
            <w:r>
              <w:rPr>
                <w:rFonts w:ascii="Times New Roman;serif" w:hAnsi="Times New Roman;serif"/>
                <w:b w:val="false"/>
                <w:color w:val="010000"/>
                <w:sz w:val="22"/>
              </w:rPr>
              <w:t>Section 3.03</w:t>
            </w:r>
          </w:p>
        </w:tc>
        <w:tc>
          <w:tcPr>
            <w:tcW w:w="62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Notice of Redemption.</w:t>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51 </w:t>
            </w:r>
          </w:p>
        </w:tc>
        <w:tc>
          <w:tcPr>
            <w:tcW w:w="2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10000"/>
                <w:sz w:val="22"/>
              </w:rPr>
            </w:pPr>
            <w:r>
              <w:rPr>
                <w:rFonts w:ascii="Times New Roman;serif" w:hAnsi="Times New Roman;serif"/>
                <w:b w:val="false"/>
                <w:color w:val="010000"/>
                <w:sz w:val="22"/>
              </w:rPr>
              <w:t>Section 3.04</w:t>
            </w:r>
          </w:p>
        </w:tc>
        <w:tc>
          <w:tcPr>
            <w:tcW w:w="62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Effect of Notice of Redemption.</w:t>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52 </w:t>
            </w:r>
          </w:p>
        </w:tc>
        <w:tc>
          <w:tcPr>
            <w:tcW w:w="2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10000"/>
                <w:sz w:val="22"/>
              </w:rPr>
            </w:pPr>
            <w:r>
              <w:rPr>
                <w:rFonts w:ascii="Times New Roman;serif" w:hAnsi="Times New Roman;serif"/>
                <w:b w:val="false"/>
                <w:color w:val="010000"/>
                <w:sz w:val="22"/>
              </w:rPr>
              <w:t>Section 3.05</w:t>
            </w:r>
          </w:p>
        </w:tc>
        <w:tc>
          <w:tcPr>
            <w:tcW w:w="62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Deposit of Redemption Price.</w:t>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52 </w:t>
            </w:r>
          </w:p>
        </w:tc>
        <w:tc>
          <w:tcPr>
            <w:tcW w:w="2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10000"/>
                <w:sz w:val="22"/>
              </w:rPr>
            </w:pPr>
            <w:r>
              <w:rPr>
                <w:rFonts w:ascii="Times New Roman;serif" w:hAnsi="Times New Roman;serif"/>
                <w:b w:val="false"/>
                <w:color w:val="010000"/>
                <w:sz w:val="22"/>
              </w:rPr>
              <w:t>Section 3.06</w:t>
            </w:r>
          </w:p>
        </w:tc>
        <w:tc>
          <w:tcPr>
            <w:tcW w:w="62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Notes Redeemed in Part.</w:t>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53 </w:t>
            </w:r>
          </w:p>
        </w:tc>
        <w:tc>
          <w:tcPr>
            <w:tcW w:w="2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10000"/>
                <w:sz w:val="22"/>
              </w:rPr>
            </w:pPr>
            <w:r>
              <w:rPr>
                <w:rFonts w:ascii="Times New Roman;serif" w:hAnsi="Times New Roman;serif"/>
                <w:b w:val="false"/>
                <w:color w:val="010000"/>
                <w:sz w:val="22"/>
              </w:rPr>
              <w:t>Section 3.07</w:t>
            </w:r>
          </w:p>
        </w:tc>
        <w:tc>
          <w:tcPr>
            <w:tcW w:w="62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Optional Redemption.</w:t>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53 </w:t>
            </w:r>
          </w:p>
        </w:tc>
        <w:tc>
          <w:tcPr>
            <w:tcW w:w="2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10000"/>
                <w:sz w:val="22"/>
              </w:rPr>
            </w:pPr>
            <w:r>
              <w:rPr>
                <w:rFonts w:ascii="Times New Roman;serif" w:hAnsi="Times New Roman;serif"/>
                <w:b w:val="false"/>
                <w:color w:val="010000"/>
                <w:sz w:val="22"/>
              </w:rPr>
              <w:t>Section 3.08</w:t>
            </w:r>
          </w:p>
        </w:tc>
        <w:tc>
          <w:tcPr>
            <w:tcW w:w="62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Special Mandatory Redemption.</w:t>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54 </w:t>
            </w:r>
          </w:p>
        </w:tc>
        <w:tc>
          <w:tcPr>
            <w:tcW w:w="2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10000"/>
                <w:sz w:val="22"/>
              </w:rPr>
            </w:pPr>
            <w:r>
              <w:rPr>
                <w:rFonts w:ascii="Times New Roman;serif" w:hAnsi="Times New Roman;serif"/>
                <w:b w:val="false"/>
                <w:color w:val="010000"/>
                <w:sz w:val="22"/>
              </w:rPr>
              <w:t>Section 3.09</w:t>
            </w:r>
          </w:p>
        </w:tc>
        <w:tc>
          <w:tcPr>
            <w:tcW w:w="62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10000"/>
                <w:sz w:val="22"/>
              </w:rPr>
            </w:pPr>
            <w:r>
              <w:rPr>
                <w:rFonts w:ascii="Times New Roman;serif" w:hAnsi="Times New Roman;serif"/>
                <w:b w:val="false"/>
                <w:color w:val="010000"/>
                <w:sz w:val="22"/>
              </w:rPr>
              <w:t>Calculation of Redemption Price.</w:t>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55 </w:t>
            </w:r>
          </w:p>
        </w:tc>
        <w:tc>
          <w:tcPr>
            <w:tcW w:w="2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6"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10000"/>
                <w:sz w:val="22"/>
              </w:rPr>
            </w:pPr>
            <w:r>
              <w:rPr>
                <w:rFonts w:ascii="Times New Roman;serif" w:hAnsi="Times New Roman;serif"/>
                <w:b w:val="false"/>
                <w:color w:val="010000"/>
                <w:sz w:val="22"/>
              </w:rPr>
              <w:t>Article 4</w:t>
            </w:r>
          </w:p>
        </w:tc>
        <w:tc>
          <w:tcPr>
            <w:tcW w:w="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10000"/>
                <w:sz w:val="22"/>
              </w:rPr>
            </w:pPr>
            <w:r>
              <w:rPr>
                <w:rFonts w:ascii="Times New Roman;serif" w:hAnsi="Times New Roman;serif"/>
                <w:b w:val="false"/>
                <w:color w:val="010000"/>
                <w:sz w:val="22"/>
              </w:rPr>
              <w:t>COVENANTS</w:t>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56 </w:t>
            </w:r>
          </w:p>
        </w:tc>
        <w:tc>
          <w:tcPr>
            <w:tcW w:w="2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10000"/>
                <w:sz w:val="22"/>
              </w:rPr>
            </w:pPr>
            <w:r>
              <w:rPr>
                <w:rFonts w:ascii="Times New Roman;serif" w:hAnsi="Times New Roman;serif"/>
                <w:b w:val="false"/>
                <w:color w:val="010000"/>
                <w:sz w:val="22"/>
              </w:rPr>
              <w:t>Section 4.01</w:t>
            </w:r>
          </w:p>
        </w:tc>
        <w:tc>
          <w:tcPr>
            <w:tcW w:w="62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Payment of Notes.</w:t>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56 </w:t>
            </w:r>
          </w:p>
        </w:tc>
        <w:tc>
          <w:tcPr>
            <w:tcW w:w="2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10000"/>
                <w:sz w:val="22"/>
              </w:rPr>
            </w:pPr>
            <w:r>
              <w:rPr>
                <w:rFonts w:ascii="Times New Roman;serif" w:hAnsi="Times New Roman;serif"/>
                <w:b w:val="false"/>
                <w:color w:val="010000"/>
                <w:sz w:val="22"/>
              </w:rPr>
              <w:t>Section 4.02</w:t>
            </w:r>
          </w:p>
        </w:tc>
        <w:tc>
          <w:tcPr>
            <w:tcW w:w="62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Maintenance of Office or Agency.</w:t>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56 </w:t>
            </w:r>
          </w:p>
        </w:tc>
        <w:tc>
          <w:tcPr>
            <w:tcW w:w="2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10000"/>
                <w:sz w:val="22"/>
              </w:rPr>
            </w:pPr>
            <w:r>
              <w:rPr>
                <w:rFonts w:ascii="Times New Roman;serif" w:hAnsi="Times New Roman;serif"/>
                <w:b w:val="false"/>
                <w:color w:val="010000"/>
                <w:sz w:val="22"/>
              </w:rPr>
              <w:t>Section 4.03</w:t>
            </w:r>
          </w:p>
        </w:tc>
        <w:tc>
          <w:tcPr>
            <w:tcW w:w="62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Compliance Certificate.</w:t>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56 </w:t>
            </w:r>
          </w:p>
        </w:tc>
        <w:tc>
          <w:tcPr>
            <w:tcW w:w="2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10000"/>
                <w:sz w:val="22"/>
              </w:rPr>
            </w:pPr>
            <w:r>
              <w:rPr>
                <w:rFonts w:ascii="Times New Roman;serif" w:hAnsi="Times New Roman;serif"/>
                <w:b w:val="false"/>
                <w:color w:val="010000"/>
                <w:sz w:val="22"/>
              </w:rPr>
              <w:t>Section 4.04</w:t>
            </w:r>
          </w:p>
        </w:tc>
        <w:tc>
          <w:tcPr>
            <w:tcW w:w="62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Limitation on Liens.</w:t>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57 </w:t>
            </w:r>
          </w:p>
        </w:tc>
        <w:tc>
          <w:tcPr>
            <w:tcW w:w="2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10000"/>
                <w:sz w:val="22"/>
              </w:rPr>
            </w:pPr>
            <w:r>
              <w:rPr>
                <w:rFonts w:ascii="Times New Roman;serif" w:hAnsi="Times New Roman;serif"/>
                <w:b w:val="false"/>
                <w:color w:val="010000"/>
                <w:sz w:val="22"/>
              </w:rPr>
              <w:t>Section 4.05</w:t>
            </w:r>
          </w:p>
        </w:tc>
        <w:tc>
          <w:tcPr>
            <w:tcW w:w="62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Limitations on Susquehanna Transactions.</w:t>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57 </w:t>
            </w:r>
          </w:p>
        </w:tc>
        <w:tc>
          <w:tcPr>
            <w:tcW w:w="2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10000"/>
                <w:sz w:val="22"/>
              </w:rPr>
            </w:pPr>
            <w:r>
              <w:rPr>
                <w:rFonts w:ascii="Times New Roman;serif" w:hAnsi="Times New Roman;serif"/>
                <w:b w:val="false"/>
                <w:color w:val="010000"/>
                <w:sz w:val="22"/>
              </w:rPr>
              <w:t>Section 4.06</w:t>
            </w:r>
          </w:p>
        </w:tc>
        <w:tc>
          <w:tcPr>
            <w:tcW w:w="62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Additional Subsidiary Guarantees.</w:t>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58 </w:t>
            </w:r>
          </w:p>
        </w:tc>
        <w:tc>
          <w:tcPr>
            <w:tcW w:w="2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10000"/>
                <w:sz w:val="22"/>
              </w:rPr>
            </w:pPr>
            <w:r>
              <w:rPr>
                <w:rFonts w:ascii="Times New Roman;serif" w:hAnsi="Times New Roman;serif"/>
                <w:b w:val="false"/>
                <w:color w:val="010000"/>
                <w:sz w:val="22"/>
              </w:rPr>
              <w:t>Section 4.07</w:t>
            </w:r>
          </w:p>
        </w:tc>
        <w:tc>
          <w:tcPr>
            <w:tcW w:w="62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Reports.</w:t>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58 </w:t>
            </w:r>
          </w:p>
        </w:tc>
        <w:tc>
          <w:tcPr>
            <w:tcW w:w="2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10000"/>
                <w:sz w:val="22"/>
              </w:rPr>
            </w:pPr>
            <w:r>
              <w:rPr>
                <w:rFonts w:ascii="Times New Roman;serif" w:hAnsi="Times New Roman;serif"/>
                <w:b w:val="false"/>
                <w:color w:val="010000"/>
                <w:sz w:val="22"/>
              </w:rPr>
              <w:t>Section 4.08</w:t>
            </w:r>
          </w:p>
        </w:tc>
        <w:tc>
          <w:tcPr>
            <w:tcW w:w="62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Offer to Repurchase Upon a Change of Control Triggering Event.</w:t>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60 </w:t>
            </w:r>
          </w:p>
        </w:tc>
        <w:tc>
          <w:tcPr>
            <w:tcW w:w="2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6"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10000"/>
                <w:sz w:val="22"/>
              </w:rPr>
            </w:pPr>
            <w:r>
              <w:rPr>
                <w:rFonts w:ascii="Times New Roman;serif" w:hAnsi="Times New Roman;serif"/>
                <w:b w:val="false"/>
                <w:color w:val="010000"/>
                <w:sz w:val="22"/>
              </w:rPr>
              <w:t>Article 5</w:t>
            </w:r>
          </w:p>
        </w:tc>
        <w:tc>
          <w:tcPr>
            <w:tcW w:w="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10000"/>
                <w:sz w:val="22"/>
              </w:rPr>
            </w:pPr>
            <w:r>
              <w:rPr>
                <w:rFonts w:ascii="Times New Roman;serif" w:hAnsi="Times New Roman;serif"/>
                <w:b w:val="false"/>
                <w:color w:val="010000"/>
                <w:sz w:val="22"/>
              </w:rPr>
              <w:t>SUCCESSORS</w:t>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62 </w:t>
            </w:r>
          </w:p>
        </w:tc>
        <w:tc>
          <w:tcPr>
            <w:tcW w:w="2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6480175" cy="768985"/>
                <wp:effectExtent l="0" t="0" r="0" b="0"/>
                <wp:wrapNone/>
                <wp:docPr id="171" name="Frame171"/>
                <a:graphic xmlns:a="http://schemas.openxmlformats.org/drawingml/2006/main">
                  <a:graphicData uri="http://schemas.microsoft.com/office/word/2010/wordprocessingShape">
                    <wps:wsp>
                      <wps:cNvSpPr txBox="1"/>
                      <wps:spPr>
                        <a:xfrm>
                          <a:off x="0" y="0"/>
                          <a:ext cx="6480175" cy="7689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i</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0.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i</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569"/>
        <w:gridCol w:w="499"/>
        <w:gridCol w:w="501"/>
        <w:gridCol w:w="2729"/>
        <w:gridCol w:w="2668"/>
        <w:gridCol w:w="2676"/>
        <w:gridCol w:w="203"/>
        <w:gridCol w:w="203"/>
        <w:gridCol w:w="157"/>
      </w:tblGrid>
      <w:tr>
        <w:trPr/>
        <w:tc>
          <w:tcPr>
            <w:tcW w:w="56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2729" w:type="dxa"/>
            <w:tcBorders/>
            <w:vAlign w:val="center"/>
          </w:tcPr>
          <w:p>
            <w:pPr>
              <w:pStyle w:val="TableContents"/>
              <w:bidi w:val="0"/>
              <w:spacing w:before="0" w:after="283"/>
              <w:jc w:val="left"/>
              <w:rPr>
                <w:sz w:val="4"/>
                <w:szCs w:val="4"/>
              </w:rPr>
            </w:pPr>
            <w:r>
              <w:rPr>
                <w:sz w:val="4"/>
                <w:szCs w:val="4"/>
              </w:rPr>
            </w:r>
          </w:p>
        </w:tc>
        <w:tc>
          <w:tcPr>
            <w:tcW w:w="2668" w:type="dxa"/>
            <w:tcBorders/>
            <w:vAlign w:val="center"/>
          </w:tcPr>
          <w:p>
            <w:pPr>
              <w:pStyle w:val="TableContents"/>
              <w:bidi w:val="0"/>
              <w:spacing w:before="0" w:after="283"/>
              <w:jc w:val="left"/>
              <w:rPr>
                <w:sz w:val="4"/>
                <w:szCs w:val="4"/>
              </w:rPr>
            </w:pPr>
            <w:r>
              <w:rPr>
                <w:sz w:val="4"/>
                <w:szCs w:val="4"/>
              </w:rPr>
            </w:r>
          </w:p>
        </w:tc>
        <w:tc>
          <w:tcPr>
            <w:tcW w:w="2676"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5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10000"/>
                <w:sz w:val="22"/>
              </w:rPr>
            </w:pPr>
            <w:r>
              <w:rPr>
                <w:rFonts w:ascii="Times New Roman;serif" w:hAnsi="Times New Roman;serif"/>
                <w:b w:val="false"/>
                <w:color w:val="010000"/>
                <w:sz w:val="22"/>
              </w:rPr>
              <w:t>Section 5.01</w:t>
            </w:r>
          </w:p>
        </w:tc>
        <w:tc>
          <w:tcPr>
            <w:tcW w:w="80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Financial Statements</w:t>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62 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10000"/>
                <w:sz w:val="22"/>
              </w:rPr>
            </w:pPr>
            <w:r>
              <w:rPr>
                <w:rFonts w:ascii="Times New Roman;serif" w:hAnsi="Times New Roman;serif"/>
                <w:b w:val="false"/>
                <w:color w:val="010000"/>
                <w:sz w:val="22"/>
              </w:rPr>
              <w:t>Section 5.02</w:t>
            </w:r>
          </w:p>
        </w:tc>
        <w:tc>
          <w:tcPr>
            <w:tcW w:w="80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Undisclosed Liabilities</w:t>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63 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10000"/>
                <w:sz w:val="22"/>
              </w:rPr>
            </w:pPr>
            <w:r>
              <w:rPr>
                <w:rFonts w:ascii="Times New Roman;serif" w:hAnsi="Times New Roman;serif"/>
                <w:b w:val="false"/>
                <w:color w:val="010000"/>
                <w:sz w:val="22"/>
              </w:rPr>
              <w:t>Section 5.03</w:t>
            </w:r>
          </w:p>
        </w:tc>
        <w:tc>
          <w:tcPr>
            <w:tcW w:w="80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Absence of Changes</w:t>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63 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10000"/>
                <w:sz w:val="22"/>
              </w:rPr>
            </w:pPr>
            <w:r>
              <w:rPr>
                <w:rFonts w:ascii="Times New Roman;serif" w:hAnsi="Times New Roman;serif"/>
                <w:b w:val="false"/>
                <w:color w:val="010000"/>
                <w:sz w:val="22"/>
              </w:rPr>
              <w:t>Section 5.04</w:t>
            </w:r>
          </w:p>
        </w:tc>
        <w:tc>
          <w:tcPr>
            <w:tcW w:w="80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Proceedings; Orders</w:t>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64 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4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10000"/>
                <w:sz w:val="22"/>
              </w:rPr>
            </w:pPr>
            <w:r>
              <w:rPr>
                <w:rFonts w:ascii="Times New Roman;serif" w:hAnsi="Times New Roman;serif"/>
                <w:b w:val="false"/>
                <w:color w:val="010000"/>
                <w:sz w:val="22"/>
              </w:rPr>
              <w:t>Article 6</w:t>
            </w:r>
          </w:p>
        </w:tc>
        <w:tc>
          <w:tcPr>
            <w:tcW w:w="5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4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10000"/>
                <w:sz w:val="22"/>
              </w:rPr>
            </w:pPr>
            <w:r>
              <w:rPr>
                <w:rFonts w:ascii="Times New Roman;serif" w:hAnsi="Times New Roman;serif"/>
                <w:b w:val="false"/>
                <w:color w:val="010000"/>
                <w:sz w:val="22"/>
              </w:rPr>
              <w:t>DEFAULTS AND REMEDIES</w:t>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64 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10000"/>
                <w:sz w:val="22"/>
              </w:rPr>
            </w:pPr>
            <w:r>
              <w:rPr>
                <w:rFonts w:ascii="Times New Roman;serif" w:hAnsi="Times New Roman;serif"/>
                <w:b w:val="false"/>
                <w:color w:val="010000"/>
                <w:sz w:val="22"/>
              </w:rPr>
              <w:t>Section 6.01</w:t>
            </w:r>
          </w:p>
        </w:tc>
        <w:tc>
          <w:tcPr>
            <w:tcW w:w="80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Events of Default.</w:t>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64 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10000"/>
                <w:sz w:val="22"/>
              </w:rPr>
            </w:pPr>
            <w:r>
              <w:rPr>
                <w:rFonts w:ascii="Times New Roman;serif" w:hAnsi="Times New Roman;serif"/>
                <w:b w:val="false"/>
                <w:color w:val="010000"/>
                <w:sz w:val="22"/>
              </w:rPr>
              <w:t>Section 6.02</w:t>
            </w:r>
          </w:p>
        </w:tc>
        <w:tc>
          <w:tcPr>
            <w:tcW w:w="80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Acceleration.</w:t>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66 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10000"/>
                <w:sz w:val="22"/>
              </w:rPr>
            </w:pPr>
            <w:r>
              <w:rPr>
                <w:rFonts w:ascii="Times New Roman;serif" w:hAnsi="Times New Roman;serif"/>
                <w:b w:val="false"/>
                <w:color w:val="010000"/>
                <w:sz w:val="22"/>
              </w:rPr>
              <w:t>Section 6.03</w:t>
            </w:r>
          </w:p>
        </w:tc>
        <w:tc>
          <w:tcPr>
            <w:tcW w:w="80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Waiver of Past Defaults.</w:t>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66 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10000"/>
                <w:sz w:val="22"/>
              </w:rPr>
            </w:pPr>
            <w:r>
              <w:rPr>
                <w:rFonts w:ascii="Times New Roman;serif" w:hAnsi="Times New Roman;serif"/>
                <w:b w:val="false"/>
                <w:color w:val="010000"/>
                <w:sz w:val="22"/>
              </w:rPr>
              <w:t>Section 6.04</w:t>
            </w:r>
          </w:p>
        </w:tc>
        <w:tc>
          <w:tcPr>
            <w:tcW w:w="80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Control by Majority.</w:t>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66 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10000"/>
                <w:sz w:val="22"/>
              </w:rPr>
            </w:pPr>
            <w:r>
              <w:rPr>
                <w:rFonts w:ascii="Times New Roman;serif" w:hAnsi="Times New Roman;serif"/>
                <w:b w:val="false"/>
                <w:color w:val="010000"/>
                <w:sz w:val="22"/>
              </w:rPr>
              <w:t>Section 6.05</w:t>
            </w:r>
          </w:p>
        </w:tc>
        <w:tc>
          <w:tcPr>
            <w:tcW w:w="80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Limitations on Suits.</w:t>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66 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6.06</w:t>
            </w:r>
          </w:p>
        </w:tc>
        <w:tc>
          <w:tcPr>
            <w:tcW w:w="80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Collection Suit by Trustee.</w:t>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67 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10000"/>
                <w:sz w:val="22"/>
              </w:rPr>
            </w:pPr>
            <w:r>
              <w:rPr>
                <w:rFonts w:ascii="Times New Roman;serif" w:hAnsi="Times New Roman;serif"/>
                <w:b w:val="false"/>
                <w:color w:val="010000"/>
                <w:sz w:val="22"/>
              </w:rPr>
              <w:t>Section 6.07</w:t>
            </w:r>
          </w:p>
        </w:tc>
        <w:tc>
          <w:tcPr>
            <w:tcW w:w="80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10000"/>
                <w:sz w:val="22"/>
              </w:rPr>
            </w:pPr>
            <w:r>
              <w:rPr>
                <w:rFonts w:ascii="Times New Roman;serif" w:hAnsi="Times New Roman;serif"/>
                <w:b w:val="false"/>
                <w:color w:val="010000"/>
                <w:sz w:val="22"/>
              </w:rPr>
              <w:t>Priorities.</w:t>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67 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10000"/>
                <w:sz w:val="22"/>
              </w:rPr>
            </w:pPr>
            <w:r>
              <w:rPr>
                <w:rFonts w:ascii="Times New Roman;serif" w:hAnsi="Times New Roman;serif"/>
                <w:b w:val="false"/>
                <w:color w:val="010000"/>
                <w:sz w:val="22"/>
              </w:rPr>
              <w:t>Section 6.08</w:t>
            </w:r>
          </w:p>
        </w:tc>
        <w:tc>
          <w:tcPr>
            <w:tcW w:w="80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Trustee May File Proofs of Claim.</w:t>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68 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4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10000"/>
                <w:sz w:val="22"/>
              </w:rPr>
            </w:pPr>
            <w:r>
              <w:rPr>
                <w:rFonts w:ascii="Times New Roman;serif" w:hAnsi="Times New Roman;serif"/>
                <w:b w:val="false"/>
                <w:color w:val="010000"/>
                <w:sz w:val="22"/>
              </w:rPr>
              <w:t>Article 7</w:t>
            </w:r>
          </w:p>
        </w:tc>
        <w:tc>
          <w:tcPr>
            <w:tcW w:w="5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4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10000"/>
                <w:sz w:val="22"/>
              </w:rPr>
            </w:pPr>
            <w:r>
              <w:rPr>
                <w:rFonts w:ascii="Times New Roman;serif" w:hAnsi="Times New Roman;serif"/>
                <w:b w:val="false"/>
                <w:color w:val="010000"/>
                <w:sz w:val="22"/>
              </w:rPr>
              <w:t>TRUSTEE</w:t>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70 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10000"/>
                <w:sz w:val="22"/>
              </w:rPr>
            </w:pPr>
            <w:r>
              <w:rPr>
                <w:rFonts w:ascii="Times New Roman;serif" w:hAnsi="Times New Roman;serif"/>
                <w:b w:val="false"/>
                <w:color w:val="010000"/>
                <w:sz w:val="22"/>
              </w:rPr>
              <w:t>Section 7.01</w:t>
            </w:r>
          </w:p>
        </w:tc>
        <w:tc>
          <w:tcPr>
            <w:tcW w:w="80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Duties of Trustee.</w:t>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70 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10000"/>
                <w:sz w:val="22"/>
              </w:rPr>
            </w:pPr>
            <w:r>
              <w:rPr>
                <w:rFonts w:ascii="Times New Roman;serif" w:hAnsi="Times New Roman;serif"/>
                <w:b w:val="false"/>
                <w:color w:val="010000"/>
                <w:sz w:val="22"/>
              </w:rPr>
              <w:t>Section 7.02</w:t>
            </w:r>
          </w:p>
        </w:tc>
        <w:tc>
          <w:tcPr>
            <w:tcW w:w="80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Rights of Trustee.</w:t>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71 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10000"/>
                <w:sz w:val="22"/>
              </w:rPr>
            </w:pPr>
            <w:r>
              <w:rPr>
                <w:rFonts w:ascii="Times New Roman;serif" w:hAnsi="Times New Roman;serif"/>
                <w:b w:val="false"/>
                <w:color w:val="010000"/>
                <w:sz w:val="22"/>
              </w:rPr>
              <w:t>Section 7.03</w:t>
            </w:r>
          </w:p>
        </w:tc>
        <w:tc>
          <w:tcPr>
            <w:tcW w:w="80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Individual Rights of Trustee.</w:t>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73 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10000"/>
                <w:sz w:val="22"/>
              </w:rPr>
            </w:pPr>
            <w:r>
              <w:rPr>
                <w:rFonts w:ascii="Times New Roman;serif" w:hAnsi="Times New Roman;serif"/>
                <w:b w:val="false"/>
                <w:color w:val="010000"/>
                <w:sz w:val="22"/>
              </w:rPr>
              <w:t>Section 7.04</w:t>
            </w:r>
          </w:p>
        </w:tc>
        <w:tc>
          <w:tcPr>
            <w:tcW w:w="80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Trustee’s Disclaimer.</w:t>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74 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10000"/>
                <w:sz w:val="22"/>
              </w:rPr>
            </w:pPr>
            <w:r>
              <w:rPr>
                <w:rFonts w:ascii="Times New Roman;serif" w:hAnsi="Times New Roman;serif"/>
                <w:b w:val="false"/>
                <w:color w:val="010000"/>
                <w:sz w:val="22"/>
              </w:rPr>
              <w:t>Section 7.05</w:t>
            </w:r>
          </w:p>
        </w:tc>
        <w:tc>
          <w:tcPr>
            <w:tcW w:w="80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Notice of Defaults.</w:t>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74 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10000"/>
                <w:sz w:val="22"/>
              </w:rPr>
            </w:pPr>
            <w:r>
              <w:rPr>
                <w:rFonts w:ascii="Times New Roman;serif" w:hAnsi="Times New Roman;serif"/>
                <w:b w:val="false"/>
                <w:color w:val="010000"/>
                <w:sz w:val="22"/>
              </w:rPr>
              <w:t>Section 7.06</w:t>
            </w:r>
          </w:p>
        </w:tc>
        <w:tc>
          <w:tcPr>
            <w:tcW w:w="80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Compensation and Indemnity.</w:t>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74 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10000"/>
                <w:sz w:val="22"/>
              </w:rPr>
            </w:pPr>
            <w:r>
              <w:rPr>
                <w:rFonts w:ascii="Times New Roman;serif" w:hAnsi="Times New Roman;serif"/>
                <w:b w:val="false"/>
                <w:color w:val="010000"/>
                <w:sz w:val="22"/>
              </w:rPr>
              <w:t>Section 7.07</w:t>
            </w:r>
          </w:p>
        </w:tc>
        <w:tc>
          <w:tcPr>
            <w:tcW w:w="80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Replacement of Trustee.</w:t>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75 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7.08</w:t>
            </w:r>
          </w:p>
        </w:tc>
        <w:tc>
          <w:tcPr>
            <w:tcW w:w="80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Successor Trustee by Merger, etc.</w:t>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76 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10000"/>
                <w:sz w:val="22"/>
              </w:rPr>
            </w:pPr>
            <w:r>
              <w:rPr>
                <w:rFonts w:ascii="Times New Roman;serif" w:hAnsi="Times New Roman;serif"/>
                <w:b w:val="false"/>
                <w:color w:val="010000"/>
                <w:sz w:val="22"/>
              </w:rPr>
              <w:t>Section 7.09</w:t>
            </w:r>
          </w:p>
        </w:tc>
        <w:tc>
          <w:tcPr>
            <w:tcW w:w="80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10000"/>
                <w:sz w:val="22"/>
              </w:rPr>
            </w:pPr>
            <w:r>
              <w:rPr>
                <w:rFonts w:ascii="Times New Roman;serif" w:hAnsi="Times New Roman;serif"/>
                <w:b w:val="false"/>
                <w:color w:val="010000"/>
                <w:sz w:val="22"/>
              </w:rPr>
              <w:t>Eligibility; Disqualification.</w:t>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76 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4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10000"/>
                <w:sz w:val="22"/>
              </w:rPr>
            </w:pPr>
            <w:r>
              <w:rPr>
                <w:rFonts w:ascii="Times New Roman;serif" w:hAnsi="Times New Roman;serif"/>
                <w:b w:val="false"/>
                <w:color w:val="010000"/>
                <w:sz w:val="22"/>
              </w:rPr>
              <w:t>Article 8</w:t>
            </w:r>
          </w:p>
        </w:tc>
        <w:tc>
          <w:tcPr>
            <w:tcW w:w="5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4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10000"/>
                <w:sz w:val="22"/>
              </w:rPr>
            </w:pPr>
            <w:r>
              <w:rPr>
                <w:rFonts w:ascii="Times New Roman;serif" w:hAnsi="Times New Roman;serif"/>
                <w:b w:val="false"/>
                <w:color w:val="010000"/>
                <w:sz w:val="22"/>
              </w:rPr>
              <w:t>LEGAL DEFEASANCE AND COVENANT DEFEASANCE</w:t>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76 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10000"/>
                <w:sz w:val="22"/>
              </w:rPr>
            </w:pPr>
            <w:r>
              <w:rPr>
                <w:rFonts w:ascii="Times New Roman;serif" w:hAnsi="Times New Roman;serif"/>
                <w:b w:val="false"/>
                <w:color w:val="010000"/>
                <w:sz w:val="22"/>
              </w:rPr>
              <w:t>Section 8.01</w:t>
            </w:r>
          </w:p>
        </w:tc>
        <w:tc>
          <w:tcPr>
            <w:tcW w:w="80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Option to Effect Legal Defeasance or Covenant Defeasance.</w:t>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76 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10000"/>
                <w:sz w:val="22"/>
              </w:rPr>
            </w:pPr>
            <w:r>
              <w:rPr>
                <w:rFonts w:ascii="Times New Roman;serif" w:hAnsi="Times New Roman;serif"/>
                <w:b w:val="false"/>
                <w:color w:val="010000"/>
                <w:sz w:val="22"/>
              </w:rPr>
              <w:t>Section 8.02</w:t>
            </w:r>
          </w:p>
        </w:tc>
        <w:tc>
          <w:tcPr>
            <w:tcW w:w="80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Legal Defeasance.</w:t>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77 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10000"/>
                <w:sz w:val="22"/>
              </w:rPr>
            </w:pPr>
            <w:r>
              <w:rPr>
                <w:rFonts w:ascii="Times New Roman;serif" w:hAnsi="Times New Roman;serif"/>
                <w:b w:val="false"/>
                <w:color w:val="010000"/>
                <w:sz w:val="22"/>
              </w:rPr>
              <w:t>Section 8.03</w:t>
            </w:r>
          </w:p>
        </w:tc>
        <w:tc>
          <w:tcPr>
            <w:tcW w:w="80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Covenant Defeasance.</w:t>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77 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10000"/>
                <w:sz w:val="22"/>
              </w:rPr>
            </w:pPr>
            <w:r>
              <w:rPr>
                <w:rFonts w:ascii="Times New Roman;serif" w:hAnsi="Times New Roman;serif"/>
                <w:b w:val="false"/>
                <w:color w:val="010000"/>
                <w:sz w:val="22"/>
              </w:rPr>
              <w:t>Section 8.04</w:t>
            </w:r>
          </w:p>
        </w:tc>
        <w:tc>
          <w:tcPr>
            <w:tcW w:w="80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Conditions to Legal or Covenant Defeasance.</w:t>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78 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10000"/>
                <w:sz w:val="22"/>
              </w:rPr>
            </w:pPr>
            <w:r>
              <w:rPr>
                <w:rFonts w:ascii="Times New Roman;serif" w:hAnsi="Times New Roman;serif"/>
                <w:b w:val="false"/>
                <w:color w:val="010000"/>
                <w:sz w:val="22"/>
              </w:rPr>
              <w:t>Section 8.05</w:t>
            </w:r>
          </w:p>
        </w:tc>
        <w:tc>
          <w:tcPr>
            <w:tcW w:w="80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Deposited Money and Government Securities to Be Held in Trust; Other Miscellaneous Provisions.</w:t>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79 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10000"/>
                <w:sz w:val="22"/>
              </w:rPr>
            </w:pPr>
            <w:r>
              <w:rPr>
                <w:rFonts w:ascii="Times New Roman;serif" w:hAnsi="Times New Roman;serif"/>
                <w:b w:val="false"/>
                <w:color w:val="010000"/>
                <w:sz w:val="22"/>
              </w:rPr>
              <w:t>Section 8.06</w:t>
            </w:r>
          </w:p>
        </w:tc>
        <w:tc>
          <w:tcPr>
            <w:tcW w:w="80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Repayment to the Issuer.</w:t>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79 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10000"/>
                <w:sz w:val="22"/>
              </w:rPr>
            </w:pPr>
            <w:r>
              <w:rPr>
                <w:rFonts w:ascii="Times New Roman;serif" w:hAnsi="Times New Roman;serif"/>
                <w:b w:val="false"/>
                <w:color w:val="010000"/>
                <w:sz w:val="22"/>
              </w:rPr>
              <w:t>Section 8.07</w:t>
            </w:r>
          </w:p>
        </w:tc>
        <w:tc>
          <w:tcPr>
            <w:tcW w:w="80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Reinstatement.</w:t>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80 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4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10000"/>
                <w:sz w:val="22"/>
              </w:rPr>
            </w:pPr>
            <w:r>
              <w:rPr>
                <w:rFonts w:ascii="Times New Roman;serif" w:hAnsi="Times New Roman;serif"/>
                <w:b w:val="false"/>
                <w:color w:val="010000"/>
                <w:sz w:val="22"/>
              </w:rPr>
              <w:t>Article 9</w:t>
            </w:r>
          </w:p>
        </w:tc>
        <w:tc>
          <w:tcPr>
            <w:tcW w:w="5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4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10000"/>
                <w:sz w:val="22"/>
              </w:rPr>
            </w:pPr>
            <w:r>
              <w:rPr>
                <w:rFonts w:ascii="Times New Roman;serif" w:hAnsi="Times New Roman;serif"/>
                <w:b w:val="false"/>
                <w:color w:val="010000"/>
                <w:sz w:val="22"/>
              </w:rPr>
              <w:t>AMENDMENT, SUPPLEMENT AND WAIVER</w:t>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80 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10000"/>
                <w:sz w:val="22"/>
              </w:rPr>
            </w:pPr>
            <w:r>
              <w:rPr>
                <w:rFonts w:ascii="Times New Roman;serif" w:hAnsi="Times New Roman;serif"/>
                <w:b w:val="false"/>
                <w:color w:val="010000"/>
                <w:sz w:val="22"/>
              </w:rPr>
              <w:t>Section 9.01</w:t>
            </w:r>
          </w:p>
        </w:tc>
        <w:tc>
          <w:tcPr>
            <w:tcW w:w="80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Without Consent of Holders of Notes.</w:t>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80 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10000"/>
                <w:sz w:val="22"/>
              </w:rPr>
            </w:pPr>
            <w:r>
              <w:rPr>
                <w:rFonts w:ascii="Times New Roman;serif" w:hAnsi="Times New Roman;serif"/>
                <w:b w:val="false"/>
                <w:color w:val="010000"/>
                <w:sz w:val="22"/>
              </w:rPr>
              <w:t>Section 9.02</w:t>
            </w:r>
          </w:p>
        </w:tc>
        <w:tc>
          <w:tcPr>
            <w:tcW w:w="80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With Consent of Holders of Notes.</w:t>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81 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10000"/>
                <w:sz w:val="22"/>
              </w:rPr>
            </w:pPr>
            <w:r>
              <w:rPr>
                <w:rFonts w:ascii="Times New Roman;serif" w:hAnsi="Times New Roman;serif"/>
                <w:b w:val="false"/>
                <w:color w:val="010000"/>
                <w:sz w:val="22"/>
              </w:rPr>
              <w:t>Section 9.03</w:t>
            </w:r>
          </w:p>
        </w:tc>
        <w:tc>
          <w:tcPr>
            <w:tcW w:w="80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Effect of Consents.</w:t>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82 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10000"/>
                <w:sz w:val="22"/>
              </w:rPr>
            </w:pPr>
            <w:r>
              <w:rPr>
                <w:rFonts w:ascii="Times New Roman;serif" w:hAnsi="Times New Roman;serif"/>
                <w:b w:val="false"/>
                <w:color w:val="010000"/>
                <w:sz w:val="22"/>
              </w:rPr>
              <w:t>Section 9.04</w:t>
            </w:r>
          </w:p>
        </w:tc>
        <w:tc>
          <w:tcPr>
            <w:tcW w:w="80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Notation on or Exchange of Notes.</w:t>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83 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10000"/>
                <w:sz w:val="22"/>
              </w:rPr>
            </w:pPr>
            <w:r>
              <w:rPr>
                <w:rFonts w:ascii="Times New Roman;serif" w:hAnsi="Times New Roman;serif"/>
                <w:b w:val="false"/>
                <w:color w:val="010000"/>
                <w:sz w:val="22"/>
              </w:rPr>
              <w:t>Section 9.05</w:t>
            </w:r>
          </w:p>
        </w:tc>
        <w:tc>
          <w:tcPr>
            <w:tcW w:w="80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Trustee to Sign Amendments, etc.</w:t>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83 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4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10000"/>
                <w:sz w:val="22"/>
              </w:rPr>
            </w:pPr>
            <w:r>
              <w:rPr>
                <w:rFonts w:ascii="Times New Roman;serif" w:hAnsi="Times New Roman;serif"/>
                <w:b w:val="false"/>
                <w:color w:val="010000"/>
                <w:sz w:val="22"/>
              </w:rPr>
              <w:t>Article 10</w:t>
            </w:r>
          </w:p>
        </w:tc>
        <w:tc>
          <w:tcPr>
            <w:tcW w:w="5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4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10000"/>
                <w:sz w:val="22"/>
              </w:rPr>
            </w:pPr>
            <w:r>
              <w:rPr>
                <w:rFonts w:ascii="Times New Roman;serif" w:hAnsi="Times New Roman;serif"/>
                <w:b w:val="false"/>
                <w:color w:val="010000"/>
                <w:sz w:val="22"/>
              </w:rPr>
              <w:t>SATISFACTION AND DISCHARGE</w:t>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83 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10.01</w:t>
            </w:r>
          </w:p>
        </w:tc>
        <w:tc>
          <w:tcPr>
            <w:tcW w:w="80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Satisfaction and Discharge.</w:t>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83 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10000"/>
                <w:sz w:val="22"/>
              </w:rPr>
            </w:pPr>
            <w:r>
              <w:rPr>
                <w:rFonts w:ascii="Times New Roman;serif" w:hAnsi="Times New Roman;serif"/>
                <w:b w:val="false"/>
                <w:color w:val="010000"/>
                <w:sz w:val="22"/>
              </w:rPr>
              <w:t>Section 10.02</w:t>
            </w:r>
          </w:p>
        </w:tc>
        <w:tc>
          <w:tcPr>
            <w:tcW w:w="80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Application of Trust Money.</w:t>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84 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6480175" cy="768985"/>
                <wp:effectExtent l="0" t="0" r="0" b="0"/>
                <wp:wrapNone/>
                <wp:docPr id="172" name="Frame172"/>
                <a:graphic xmlns:a="http://schemas.openxmlformats.org/drawingml/2006/main">
                  <a:graphicData uri="http://schemas.microsoft.com/office/word/2010/wordprocessingShape">
                    <wps:wsp>
                      <wps:cNvSpPr txBox="1"/>
                      <wps:spPr>
                        <a:xfrm>
                          <a:off x="0" y="0"/>
                          <a:ext cx="6480175" cy="7689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ii</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0.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ii</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tbl>
      <w:tblPr>
        <w:tblW w:w="9122" w:type="dxa"/>
        <w:jc w:val="left"/>
        <w:tblInd w:w="0" w:type="dxa"/>
        <w:tblLayout w:type="fixed"/>
        <w:tblCellMar>
          <w:top w:w="28" w:type="dxa"/>
          <w:left w:w="28" w:type="dxa"/>
          <w:bottom w:w="28" w:type="dxa"/>
          <w:right w:w="28" w:type="dxa"/>
        </w:tblCellMar>
      </w:tblPr>
      <w:tblGrid>
        <w:gridCol w:w="560"/>
        <w:gridCol w:w="491"/>
        <w:gridCol w:w="491"/>
        <w:gridCol w:w="2323"/>
        <w:gridCol w:w="2323"/>
        <w:gridCol w:w="2374"/>
        <w:gridCol w:w="203"/>
        <w:gridCol w:w="203"/>
        <w:gridCol w:w="154"/>
      </w:tblGrid>
      <w:tr>
        <w:trPr/>
        <w:tc>
          <w:tcPr>
            <w:tcW w:w="560"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2323" w:type="dxa"/>
            <w:tcBorders/>
            <w:vAlign w:val="center"/>
          </w:tcPr>
          <w:p>
            <w:pPr>
              <w:pStyle w:val="TableContents"/>
              <w:bidi w:val="0"/>
              <w:spacing w:before="0" w:after="283"/>
              <w:jc w:val="left"/>
              <w:rPr>
                <w:sz w:val="4"/>
                <w:szCs w:val="4"/>
              </w:rPr>
            </w:pPr>
            <w:r>
              <w:rPr>
                <w:sz w:val="4"/>
                <w:szCs w:val="4"/>
              </w:rPr>
            </w:r>
          </w:p>
        </w:tc>
        <w:tc>
          <w:tcPr>
            <w:tcW w:w="2323" w:type="dxa"/>
            <w:tcBorders/>
            <w:vAlign w:val="center"/>
          </w:tcPr>
          <w:p>
            <w:pPr>
              <w:pStyle w:val="TableContents"/>
              <w:bidi w:val="0"/>
              <w:spacing w:before="0" w:after="283"/>
              <w:jc w:val="left"/>
              <w:rPr>
                <w:sz w:val="4"/>
                <w:szCs w:val="4"/>
              </w:rPr>
            </w:pPr>
            <w:r>
              <w:rPr>
                <w:sz w:val="4"/>
                <w:szCs w:val="4"/>
              </w:rPr>
            </w:r>
          </w:p>
        </w:tc>
        <w:tc>
          <w:tcPr>
            <w:tcW w:w="2374"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56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10000"/>
                <w:sz w:val="22"/>
              </w:rPr>
            </w:pPr>
            <w:r>
              <w:rPr>
                <w:rFonts w:ascii="Times New Roman;serif" w:hAnsi="Times New Roman;serif"/>
                <w:b w:val="false"/>
                <w:color w:val="010000"/>
                <w:sz w:val="22"/>
              </w:rPr>
              <w:t>Article 11</w:t>
            </w:r>
          </w:p>
        </w:tc>
        <w:tc>
          <w:tcPr>
            <w:tcW w:w="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10000"/>
                <w:sz w:val="22"/>
              </w:rPr>
            </w:pPr>
            <w:r>
              <w:rPr>
                <w:rFonts w:ascii="Times New Roman;serif" w:hAnsi="Times New Roman;serif"/>
                <w:b w:val="false"/>
                <w:color w:val="010000"/>
                <w:sz w:val="22"/>
              </w:rPr>
              <w:t>SUBSIDIARY GUARANTEES</w:t>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85 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10000"/>
                <w:sz w:val="22"/>
              </w:rPr>
            </w:pPr>
            <w:r>
              <w:rPr>
                <w:rFonts w:ascii="Times New Roman;serif" w:hAnsi="Times New Roman;serif"/>
                <w:b w:val="false"/>
                <w:color w:val="010000"/>
                <w:sz w:val="22"/>
              </w:rPr>
              <w:t>Section 11.01</w:t>
            </w:r>
          </w:p>
        </w:tc>
        <w:tc>
          <w:tcPr>
            <w:tcW w:w="70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Guarantee.</w:t>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85 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10000"/>
                <w:sz w:val="22"/>
              </w:rPr>
            </w:pPr>
            <w:r>
              <w:rPr>
                <w:rFonts w:ascii="Times New Roman;serif" w:hAnsi="Times New Roman;serif"/>
                <w:b w:val="false"/>
                <w:color w:val="010000"/>
                <w:sz w:val="22"/>
              </w:rPr>
              <w:t>Section 11.02</w:t>
            </w:r>
          </w:p>
        </w:tc>
        <w:tc>
          <w:tcPr>
            <w:tcW w:w="70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Limitation on Subsidiary Guarantor Liability.</w:t>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86 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10000"/>
                <w:sz w:val="22"/>
              </w:rPr>
            </w:pPr>
            <w:r>
              <w:rPr>
                <w:rFonts w:ascii="Times New Roman;serif" w:hAnsi="Times New Roman;serif"/>
                <w:b w:val="false"/>
                <w:color w:val="010000"/>
                <w:sz w:val="22"/>
              </w:rPr>
              <w:t>Section 11.03</w:t>
            </w:r>
          </w:p>
        </w:tc>
        <w:tc>
          <w:tcPr>
            <w:tcW w:w="70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Releases.</w:t>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86 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10000"/>
                <w:sz w:val="22"/>
              </w:rPr>
            </w:pPr>
            <w:r>
              <w:rPr>
                <w:rFonts w:ascii="Times New Roman;serif" w:hAnsi="Times New Roman;serif"/>
                <w:b w:val="false"/>
                <w:color w:val="010000"/>
                <w:sz w:val="22"/>
              </w:rPr>
              <w:t>Section 11.04</w:t>
            </w:r>
          </w:p>
        </w:tc>
        <w:tc>
          <w:tcPr>
            <w:tcW w:w="70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Notation Not Required.</w:t>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87 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10000"/>
                <w:sz w:val="22"/>
              </w:rPr>
            </w:pPr>
            <w:r>
              <w:rPr>
                <w:rFonts w:ascii="Times New Roman;serif" w:hAnsi="Times New Roman;serif"/>
                <w:b w:val="false"/>
                <w:color w:val="010000"/>
                <w:sz w:val="22"/>
              </w:rPr>
              <w:t>Article 12</w:t>
            </w:r>
          </w:p>
        </w:tc>
        <w:tc>
          <w:tcPr>
            <w:tcW w:w="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10000"/>
                <w:sz w:val="22"/>
              </w:rPr>
            </w:pPr>
            <w:r>
              <w:rPr>
                <w:rFonts w:ascii="Times New Roman;serif" w:hAnsi="Times New Roman;serif"/>
                <w:b w:val="false"/>
                <w:color w:val="010000"/>
                <w:sz w:val="22"/>
              </w:rPr>
              <w:t>MISCELLANEOUS</w:t>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87 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10000"/>
                <w:sz w:val="22"/>
              </w:rPr>
            </w:pPr>
            <w:r>
              <w:rPr>
                <w:rFonts w:ascii="Times New Roman;serif" w:hAnsi="Times New Roman;serif"/>
                <w:b w:val="false"/>
                <w:color w:val="010000"/>
                <w:sz w:val="22"/>
              </w:rPr>
              <w:t>Section 12.01</w:t>
            </w:r>
          </w:p>
        </w:tc>
        <w:tc>
          <w:tcPr>
            <w:tcW w:w="70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Notices.</w:t>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87 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10000"/>
                <w:sz w:val="22"/>
              </w:rPr>
            </w:pPr>
            <w:r>
              <w:rPr>
                <w:rFonts w:ascii="Times New Roman;serif" w:hAnsi="Times New Roman;serif"/>
                <w:b w:val="false"/>
                <w:color w:val="010000"/>
                <w:sz w:val="22"/>
              </w:rPr>
              <w:t>Section 12.02</w:t>
            </w:r>
          </w:p>
        </w:tc>
        <w:tc>
          <w:tcPr>
            <w:tcW w:w="70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Certificate and Opinion as to Conditions Precedent.</w:t>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89 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10000"/>
                <w:sz w:val="22"/>
              </w:rPr>
            </w:pPr>
            <w:r>
              <w:rPr>
                <w:rFonts w:ascii="Times New Roman;serif" w:hAnsi="Times New Roman;serif"/>
                <w:b w:val="false"/>
                <w:color w:val="010000"/>
                <w:sz w:val="22"/>
              </w:rPr>
              <w:t>Section 12.03</w:t>
            </w:r>
          </w:p>
        </w:tc>
        <w:tc>
          <w:tcPr>
            <w:tcW w:w="70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Statements Required in Certificate or Opinion.</w:t>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89 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10000"/>
                <w:sz w:val="22"/>
              </w:rPr>
            </w:pPr>
            <w:r>
              <w:rPr>
                <w:rFonts w:ascii="Times New Roman;serif" w:hAnsi="Times New Roman;serif"/>
                <w:b w:val="false"/>
                <w:color w:val="010000"/>
                <w:sz w:val="22"/>
              </w:rPr>
              <w:t>Section 12.04</w:t>
            </w:r>
          </w:p>
        </w:tc>
        <w:tc>
          <w:tcPr>
            <w:tcW w:w="70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Rules by Trustee and Agents.</w:t>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90 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10000"/>
                <w:sz w:val="22"/>
              </w:rPr>
            </w:pPr>
            <w:r>
              <w:rPr>
                <w:rFonts w:ascii="Times New Roman;serif" w:hAnsi="Times New Roman;serif"/>
                <w:b w:val="false"/>
                <w:color w:val="010000"/>
                <w:sz w:val="22"/>
              </w:rPr>
              <w:t>Section 12.05</w:t>
            </w:r>
          </w:p>
        </w:tc>
        <w:tc>
          <w:tcPr>
            <w:tcW w:w="70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No Personal Liability of Directors, Officers, Employees and Stockholders.</w:t>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90 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10000"/>
                <w:sz w:val="22"/>
              </w:rPr>
            </w:pPr>
            <w:r>
              <w:rPr>
                <w:rFonts w:ascii="Times New Roman;serif" w:hAnsi="Times New Roman;serif"/>
                <w:b w:val="false"/>
                <w:color w:val="010000"/>
                <w:sz w:val="22"/>
              </w:rPr>
              <w:t>Section 12.06</w:t>
            </w:r>
          </w:p>
        </w:tc>
        <w:tc>
          <w:tcPr>
            <w:tcW w:w="70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Governing Law.</w:t>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90 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10000"/>
                <w:sz w:val="22"/>
              </w:rPr>
            </w:pPr>
            <w:r>
              <w:rPr>
                <w:rFonts w:ascii="Times New Roman;serif" w:hAnsi="Times New Roman;serif"/>
                <w:b w:val="false"/>
                <w:color w:val="010000"/>
                <w:sz w:val="22"/>
              </w:rPr>
              <w:t>Section 12.07</w:t>
            </w:r>
          </w:p>
        </w:tc>
        <w:tc>
          <w:tcPr>
            <w:tcW w:w="70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Waiver of Immunity.</w:t>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91 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10000"/>
                <w:sz w:val="22"/>
              </w:rPr>
            </w:pPr>
            <w:r>
              <w:rPr>
                <w:rFonts w:ascii="Times New Roman;serif" w:hAnsi="Times New Roman;serif"/>
                <w:b w:val="false"/>
                <w:color w:val="010000"/>
                <w:sz w:val="22"/>
              </w:rPr>
              <w:t>Section 12.08</w:t>
            </w:r>
          </w:p>
        </w:tc>
        <w:tc>
          <w:tcPr>
            <w:tcW w:w="70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Waiver of Jury Trials.</w:t>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91 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10000"/>
                <w:sz w:val="22"/>
              </w:rPr>
            </w:pPr>
            <w:r>
              <w:rPr>
                <w:rFonts w:ascii="Times New Roman;serif" w:hAnsi="Times New Roman;serif"/>
                <w:b w:val="false"/>
                <w:color w:val="010000"/>
                <w:sz w:val="22"/>
              </w:rPr>
              <w:t>Section 12.09</w:t>
            </w:r>
          </w:p>
        </w:tc>
        <w:tc>
          <w:tcPr>
            <w:tcW w:w="70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No Adverse Interpretation of Other Agreements.</w:t>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91 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10000"/>
                <w:sz w:val="22"/>
              </w:rPr>
            </w:pPr>
            <w:r>
              <w:rPr>
                <w:rFonts w:ascii="Times New Roman;serif" w:hAnsi="Times New Roman;serif"/>
                <w:b w:val="false"/>
                <w:color w:val="010000"/>
                <w:sz w:val="22"/>
              </w:rPr>
              <w:t>Section 12.10</w:t>
            </w:r>
          </w:p>
        </w:tc>
        <w:tc>
          <w:tcPr>
            <w:tcW w:w="70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Successors.</w:t>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91 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10000"/>
                <w:sz w:val="22"/>
              </w:rPr>
            </w:pPr>
            <w:r>
              <w:rPr>
                <w:rFonts w:ascii="Times New Roman;serif" w:hAnsi="Times New Roman;serif"/>
                <w:b w:val="false"/>
                <w:color w:val="010000"/>
                <w:sz w:val="22"/>
              </w:rPr>
              <w:t>Section 12.11</w:t>
            </w:r>
          </w:p>
        </w:tc>
        <w:tc>
          <w:tcPr>
            <w:tcW w:w="70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USA Patriot Act.</w:t>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91 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10000"/>
                <w:sz w:val="22"/>
              </w:rPr>
            </w:pPr>
            <w:r>
              <w:rPr>
                <w:rFonts w:ascii="Times New Roman;serif" w:hAnsi="Times New Roman;serif"/>
                <w:b w:val="false"/>
                <w:color w:val="010000"/>
                <w:sz w:val="22"/>
              </w:rPr>
              <w:t>Section 12.12</w:t>
            </w:r>
          </w:p>
        </w:tc>
        <w:tc>
          <w:tcPr>
            <w:tcW w:w="70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Severability.</w:t>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91 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10000"/>
                <w:sz w:val="22"/>
              </w:rPr>
            </w:pPr>
            <w:r>
              <w:rPr>
                <w:rFonts w:ascii="Times New Roman;serif" w:hAnsi="Times New Roman;serif"/>
                <w:b w:val="false"/>
                <w:color w:val="010000"/>
                <w:sz w:val="22"/>
              </w:rPr>
              <w:t>Section 12.13</w:t>
            </w:r>
          </w:p>
        </w:tc>
        <w:tc>
          <w:tcPr>
            <w:tcW w:w="70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Counterpart Originals.</w:t>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91 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Section 12.14</w:t>
            </w:r>
          </w:p>
        </w:tc>
        <w:tc>
          <w:tcPr>
            <w:tcW w:w="70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Table of Contents, Headings, etc.</w:t>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92 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10000"/>
                <w:sz w:val="22"/>
              </w:rPr>
            </w:pPr>
            <w:r>
              <w:rPr>
                <w:rFonts w:ascii="Times New Roman;serif" w:hAnsi="Times New Roman;serif"/>
                <w:b w:val="false"/>
                <w:color w:val="010000"/>
                <w:sz w:val="22"/>
              </w:rPr>
              <w:t>Section 12.15</w:t>
            </w:r>
          </w:p>
        </w:tc>
        <w:tc>
          <w:tcPr>
            <w:tcW w:w="70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10000"/>
                <w:sz w:val="22"/>
              </w:rPr>
            </w:pPr>
            <w:r>
              <w:rPr>
                <w:rFonts w:ascii="Times New Roman;serif" w:hAnsi="Times New Roman;serif"/>
                <w:b w:val="false"/>
                <w:color w:val="010000"/>
                <w:sz w:val="22"/>
              </w:rPr>
              <w:t>Legal Holidays.</w:t>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92 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33" w:before="240" w:after="180"/>
        <w:ind w:left="0" w:right="0" w:hanging="1440"/>
        <w:jc w:val="left"/>
        <w:rPr>
          <w:rFonts w:ascii="Times New Roman;serif" w:hAnsi="Times New Roman;serif"/>
          <w:b/>
          <w:color w:val="000000"/>
          <w:sz w:val="24"/>
        </w:rPr>
      </w:pPr>
      <w:r>
        <w:rPr>
          <w:rFonts w:ascii="Times New Roman;serif" w:hAnsi="Times New Roman;serif"/>
          <w:b/>
          <w:color w:val="000000"/>
          <w:sz w:val="24"/>
        </w:rPr>
        <w:t>EXHIBITS</w:t>
      </w:r>
    </w:p>
    <w:tbl>
      <w:tblPr>
        <w:tblW w:w="7560" w:type="dxa"/>
        <w:jc w:val="left"/>
        <w:tblInd w:w="0" w:type="dxa"/>
        <w:tblLayout w:type="fixed"/>
        <w:tblCellMar>
          <w:top w:w="28" w:type="dxa"/>
          <w:left w:w="28" w:type="dxa"/>
          <w:bottom w:w="28" w:type="dxa"/>
          <w:right w:w="28" w:type="dxa"/>
        </w:tblCellMar>
      </w:tblPr>
      <w:tblGrid>
        <w:gridCol w:w="369"/>
        <w:gridCol w:w="324"/>
        <w:gridCol w:w="327"/>
        <w:gridCol w:w="1911"/>
        <w:gridCol w:w="1911"/>
        <w:gridCol w:w="2718"/>
      </w:tblGrid>
      <w:tr>
        <w:trPr/>
        <w:tc>
          <w:tcPr>
            <w:tcW w:w="36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1911" w:type="dxa"/>
            <w:tcBorders/>
            <w:vAlign w:val="center"/>
          </w:tcPr>
          <w:p>
            <w:pPr>
              <w:pStyle w:val="TableContents"/>
              <w:bidi w:val="0"/>
              <w:spacing w:before="0" w:after="283"/>
              <w:jc w:val="left"/>
              <w:rPr>
                <w:sz w:val="4"/>
                <w:szCs w:val="4"/>
              </w:rPr>
            </w:pPr>
            <w:r>
              <w:rPr>
                <w:sz w:val="4"/>
                <w:szCs w:val="4"/>
              </w:rPr>
            </w:r>
          </w:p>
        </w:tc>
        <w:tc>
          <w:tcPr>
            <w:tcW w:w="1911" w:type="dxa"/>
            <w:tcBorders/>
            <w:vAlign w:val="center"/>
          </w:tcPr>
          <w:p>
            <w:pPr>
              <w:pStyle w:val="TableContents"/>
              <w:bidi w:val="0"/>
              <w:spacing w:before="0" w:after="283"/>
              <w:jc w:val="left"/>
              <w:rPr>
                <w:sz w:val="4"/>
                <w:szCs w:val="4"/>
              </w:rPr>
            </w:pPr>
            <w:r>
              <w:rPr>
                <w:sz w:val="4"/>
                <w:szCs w:val="4"/>
              </w:rPr>
            </w:r>
          </w:p>
        </w:tc>
        <w:tc>
          <w:tcPr>
            <w:tcW w:w="2718" w:type="dxa"/>
            <w:tcBorders/>
            <w:vAlign w:val="center"/>
          </w:tcPr>
          <w:p>
            <w:pPr>
              <w:pStyle w:val="TableContents"/>
              <w:bidi w:val="0"/>
              <w:spacing w:before="0" w:after="283"/>
              <w:jc w:val="left"/>
              <w:rPr>
                <w:sz w:val="4"/>
                <w:szCs w:val="4"/>
              </w:rPr>
            </w:pPr>
            <w:r>
              <w:rPr>
                <w:sz w:val="4"/>
                <w:szCs w:val="4"/>
              </w:rPr>
            </w:r>
          </w:p>
        </w:tc>
      </w:tr>
      <w:tr>
        <w:trPr/>
        <w:tc>
          <w:tcPr>
            <w:tcW w:w="10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10000"/>
                <w:sz w:val="22"/>
              </w:rPr>
            </w:pPr>
            <w:r>
              <w:rPr>
                <w:rFonts w:ascii="Times New Roman;serif" w:hAnsi="Times New Roman;serif"/>
                <w:b w:val="false"/>
                <w:color w:val="010000"/>
                <w:sz w:val="22"/>
              </w:rPr>
              <w:t>Exhibit A</w:t>
            </w:r>
          </w:p>
        </w:tc>
        <w:tc>
          <w:tcPr>
            <w:tcW w:w="65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Form of Note</w:t>
            </w:r>
          </w:p>
        </w:tc>
      </w:tr>
      <w:tr>
        <w:trPr/>
        <w:tc>
          <w:tcPr>
            <w:tcW w:w="10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10000"/>
                <w:sz w:val="22"/>
              </w:rPr>
            </w:pPr>
            <w:r>
              <w:rPr>
                <w:rFonts w:ascii="Times New Roman;serif" w:hAnsi="Times New Roman;serif"/>
                <w:b w:val="false"/>
                <w:color w:val="010000"/>
                <w:sz w:val="22"/>
              </w:rPr>
              <w:t>Exhibit B</w:t>
            </w:r>
          </w:p>
        </w:tc>
        <w:tc>
          <w:tcPr>
            <w:tcW w:w="65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Form of Certificate of Transfer</w:t>
            </w:r>
          </w:p>
        </w:tc>
      </w:tr>
      <w:tr>
        <w:trPr/>
        <w:tc>
          <w:tcPr>
            <w:tcW w:w="10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Exhibit C</w:t>
            </w:r>
          </w:p>
        </w:tc>
        <w:tc>
          <w:tcPr>
            <w:tcW w:w="65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Form of Certificate of Exchange</w:t>
            </w:r>
          </w:p>
        </w:tc>
      </w:tr>
      <w:tr>
        <w:trPr/>
        <w:tc>
          <w:tcPr>
            <w:tcW w:w="10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10000"/>
                <w:sz w:val="22"/>
              </w:rPr>
            </w:pPr>
            <w:r>
              <w:rPr>
                <w:rFonts w:ascii="Times New Roman;serif" w:hAnsi="Times New Roman;serif"/>
                <w:b w:val="false"/>
                <w:color w:val="010000"/>
                <w:sz w:val="22"/>
              </w:rPr>
              <w:t>Exhibit D</w:t>
            </w:r>
          </w:p>
        </w:tc>
        <w:tc>
          <w:tcPr>
            <w:tcW w:w="65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10000"/>
                <w:sz w:val="22"/>
              </w:rPr>
            </w:pPr>
            <w:r>
              <w:rPr>
                <w:rFonts w:ascii="Times New Roman;serif" w:hAnsi="Times New Roman;serif"/>
                <w:b w:val="false"/>
                <w:color w:val="010000"/>
                <w:sz w:val="22"/>
              </w:rPr>
              <w:t>Form of Certificate from Acquiring Institutional Accredited Investor</w:t>
            </w:r>
          </w:p>
        </w:tc>
      </w:tr>
      <w:tr>
        <w:trPr/>
        <w:tc>
          <w:tcPr>
            <w:tcW w:w="10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10000"/>
                <w:sz w:val="22"/>
              </w:rPr>
            </w:pPr>
            <w:r>
              <w:rPr>
                <w:rFonts w:ascii="Times New Roman;serif" w:hAnsi="Times New Roman;serif"/>
                <w:b w:val="false"/>
                <w:color w:val="010000"/>
                <w:sz w:val="22"/>
              </w:rPr>
              <w:t>Exhibit E</w:t>
            </w:r>
          </w:p>
        </w:tc>
        <w:tc>
          <w:tcPr>
            <w:tcW w:w="65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Form of Supplemental Indenture - Additional Subsidiary Guarantees</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6480175" cy="768985"/>
                <wp:effectExtent l="0" t="0" r="0" b="0"/>
                <wp:wrapNone/>
                <wp:docPr id="173" name="Frame173"/>
                <a:graphic xmlns:a="http://schemas.openxmlformats.org/drawingml/2006/main">
                  <a:graphicData uri="http://schemas.microsoft.com/office/word/2010/wordprocessingShape">
                    <wps:wsp>
                      <wps:cNvSpPr txBox="1"/>
                      <wps:spPr>
                        <a:xfrm>
                          <a:off x="0" y="0"/>
                          <a:ext cx="6480175" cy="7689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iii</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0.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iii</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4"/>
        </w:rPr>
        <w:t>INDENTURE, dated as of April 29, 2026, by and among Talen Energy Supply, LLC, a Delaware limited liability company, the Subsidiary Guarantors (as defined herein), and Wilmington Savings Fund Society, FSB, as trustee (in such capacity and together with is successors and assigns in such capacity, the “</w:t>
      </w:r>
      <w:r>
        <w:rPr>
          <w:rFonts w:ascii="Times New Roman;serif" w:hAnsi="Times New Roman;serif"/>
          <w:b w:val="false"/>
          <w:i/>
          <w:color w:val="000000"/>
          <w:sz w:val="24"/>
        </w:rPr>
        <w:t>Trustee</w:t>
      </w:r>
      <w:r>
        <w:rPr>
          <w:color w:val="000000"/>
        </w:rPr>
        <w:t>”</w:t>
      </w:r>
      <w:r>
        <w:rPr>
          <w:rFonts w:ascii="Times New Roman;serif" w:hAnsi="Times New Roman;serif"/>
          <w:b w:val="false"/>
          <w:color w:val="000000"/>
          <w:sz w:val="24"/>
        </w:rPr>
        <w:t xml:space="preserve">). </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Each party agrees as follows for the benefit of the other party and for the equal and ratable benefit of the Holders (as defined herein) of the Notes issued pursuant to this Indenture:</w:t>
      </w:r>
    </w:p>
    <w:p>
      <w:pPr>
        <w:pStyle w:val="TextBody"/>
        <w:bidi w:val="0"/>
        <w:spacing w:lineRule="auto" w:line="240" w:before="0" w:after="240"/>
        <w:jc w:val="center"/>
        <w:rPr/>
      </w:pPr>
      <w:r>
        <w:rPr>
          <w:rFonts w:ascii="Times New Roman;serif" w:hAnsi="Times New Roman;serif"/>
          <w:b w:val="false"/>
          <w:color w:val="000000"/>
          <w:sz w:val="24"/>
        </w:rPr>
        <w:t>Article 1</w:t>
      </w:r>
      <w:r>
        <w:rPr>
          <w:rFonts w:ascii="Times New Roman;serif" w:hAnsi="Times New Roman;serif"/>
          <w:b w:val="false"/>
          <w:color w:val="000000"/>
          <w:sz w:val="24"/>
        </w:rPr>
        <w:br/>
        <w:t>DEFINITIONS</w:t>
      </w:r>
    </w:p>
    <w:p>
      <w:pPr>
        <w:pStyle w:val="TextBody"/>
        <w:bidi w:val="0"/>
        <w:spacing w:lineRule="auto" w:line="240" w:before="0" w:after="240"/>
        <w:jc w:val="left"/>
        <w:rPr/>
      </w:pPr>
      <w:r>
        <w:rPr>
          <w:rFonts w:ascii="Times New Roman;serif" w:hAnsi="Times New Roman;serif"/>
          <w:b w:val="false"/>
          <w:color w:val="000000"/>
          <w:sz w:val="24"/>
        </w:rPr>
        <w:t>Section 1.01</w:t>
      </w:r>
      <w:r>
        <w:rPr>
          <w:rFonts w:ascii="Times New Roman;serif" w:hAnsi="Times New Roman;serif"/>
          <w:b w:val="false"/>
          <w:color w:val="000000"/>
          <w:sz w:val="24"/>
          <w:u w:val="single"/>
        </w:rPr>
        <w:t>Definitions</w:t>
      </w:r>
      <w:r>
        <w:rPr>
          <w:rFonts w:ascii="Times New Roman;serif" w:hAnsi="Times New Roman;serif"/>
          <w:b w:val="false"/>
          <w:color w:val="000000"/>
          <w:sz w:val="24"/>
        </w:rPr>
        <w:t xml:space="preserve">. </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For all purposes of this Indenture, the following terms shall have the respective meanings set forth in this Section. For purposes of any Additional Notes issued under this Indenture, the supplemental indenture in respect of such Additional Notes may include terms in addition to those contained in this </w:t>
      </w:r>
      <w:r>
        <w:rPr>
          <w:rFonts w:ascii="Times New Roman;serif" w:hAnsi="Times New Roman;serif"/>
          <w:b w:val="false"/>
          <w:color w:val="000000"/>
          <w:sz w:val="24"/>
          <w:u w:val="single"/>
        </w:rPr>
        <w:t>Section 1.01</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4"/>
        </w:rPr>
        <w:t>144A Global Note</w:t>
      </w:r>
      <w:r>
        <w:rPr>
          <w:color w:val="000000"/>
        </w:rPr>
        <w:t xml:space="preserve">” </w:t>
      </w:r>
      <w:r>
        <w:rPr>
          <w:rFonts w:ascii="Times New Roman;serif" w:hAnsi="Times New Roman;serif"/>
          <w:b w:val="false"/>
          <w:color w:val="000000"/>
          <w:sz w:val="24"/>
        </w:rPr>
        <w:t>means</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Global</w:t>
      </w:r>
      <w:r>
        <w:rPr>
          <w:color w:val="000000"/>
        </w:rPr>
        <w:t xml:space="preserve"> </w:t>
      </w:r>
      <w:r>
        <w:rPr>
          <w:rFonts w:ascii="Times New Roman;serif" w:hAnsi="Times New Roman;serif"/>
          <w:b w:val="false"/>
          <w:color w:val="000000"/>
          <w:sz w:val="24"/>
        </w:rPr>
        <w:t>Note</w:t>
      </w:r>
      <w:r>
        <w:rPr>
          <w:color w:val="000000"/>
        </w:rPr>
        <w:t xml:space="preserve"> </w:t>
      </w:r>
      <w:r>
        <w:rPr>
          <w:rFonts w:ascii="Times New Roman;serif" w:hAnsi="Times New Roman;serif"/>
          <w:b w:val="false"/>
          <w:color w:val="000000"/>
          <w:sz w:val="24"/>
        </w:rPr>
        <w:t>substantially</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form</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u w:val="single"/>
        </w:rPr>
        <w:t>Exhibit A</w:t>
      </w:r>
      <w:r>
        <w:rPr>
          <w:color w:val="000000"/>
        </w:rPr>
        <w:t xml:space="preserve"> </w:t>
      </w:r>
      <w:r>
        <w:rPr>
          <w:rFonts w:ascii="Times New Roman;serif" w:hAnsi="Times New Roman;serif"/>
          <w:b w:val="false"/>
          <w:color w:val="000000"/>
          <w:sz w:val="24"/>
        </w:rPr>
        <w:t>hereto, as applicable, bearing the Global Note Legend and the Private Placement Legend and deposited with or on behalf</w:t>
      </w:r>
      <w:r>
        <w:rPr>
          <w:color w:val="000000"/>
        </w:rPr>
        <w:t xml:space="preserve"> </w:t>
      </w:r>
      <w:r>
        <w:rPr>
          <w:rFonts w:ascii="Times New Roman;serif" w:hAnsi="Times New Roman;serif"/>
          <w:b w:val="false"/>
          <w:color w:val="000000"/>
          <w:sz w:val="24"/>
        </w:rPr>
        <w:t>of, and registered in the name of, the Depository or its nominee that will be issued in a denomination equal to the outstanding principal amount of the</w:t>
      </w:r>
      <w:r>
        <w:rPr>
          <w:color w:val="000000"/>
        </w:rPr>
        <w:t xml:space="preserve"> </w:t>
      </w:r>
      <w:r>
        <w:rPr>
          <w:rFonts w:ascii="Times New Roman;serif" w:hAnsi="Times New Roman;serif"/>
          <w:b w:val="false"/>
          <w:color w:val="000000"/>
          <w:sz w:val="24"/>
        </w:rPr>
        <w:t>Notes sold in reliance on Rule 144A.</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4"/>
        </w:rPr>
        <w:t>Accounting Change</w:t>
      </w:r>
      <w:r>
        <w:rPr>
          <w:color w:val="000000"/>
        </w:rPr>
        <w:t xml:space="preserve">” </w:t>
      </w:r>
      <w:r>
        <w:rPr>
          <w:rFonts w:ascii="Times New Roman;serif" w:hAnsi="Times New Roman;serif"/>
          <w:b w:val="false"/>
          <w:color w:val="000000"/>
          <w:sz w:val="24"/>
        </w:rPr>
        <w:t>has the meaning set forth in the definition of GAAP.</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4"/>
        </w:rPr>
        <w:t>Acquired EBITDA</w:t>
      </w:r>
      <w:r>
        <w:rPr>
          <w:color w:val="000000"/>
        </w:rPr>
        <w:t xml:space="preserve">” </w:t>
      </w:r>
      <w:r>
        <w:rPr>
          <w:rFonts w:ascii="Times New Roman;serif" w:hAnsi="Times New Roman;serif"/>
          <w:b w:val="false"/>
          <w:color w:val="000000"/>
          <w:sz w:val="24"/>
        </w:rPr>
        <w:t>means, with respect to any Acquired Entity or Business for any period, the amount for such period of Consolidated Adjusted EBITDA of such Acquired Entity or Business (determined using such definitions as if references to the Issuer and the Subsidiaries therein were to such Acquired Entity or Business and its Subsidiaries), all as determined on a consolidated basis for such Acquired Entity or Business in a manner not inconsistent with GAAP.</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4"/>
        </w:rPr>
        <w:t>Acquired Entity or Business</w:t>
      </w:r>
      <w:r>
        <w:rPr>
          <w:color w:val="000000"/>
        </w:rPr>
        <w:t xml:space="preserve">” </w:t>
      </w:r>
      <w:r>
        <w:rPr>
          <w:rFonts w:ascii="Times New Roman;serif" w:hAnsi="Times New Roman;serif"/>
          <w:b w:val="false"/>
          <w:color w:val="000000"/>
          <w:sz w:val="24"/>
        </w:rPr>
        <w:t>has the meaning ascribed thereto in the Credit Agreement (as in effect on the Issue Date), as amended by Amendment No. 6 to the Credit Agreement.</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4"/>
        </w:rPr>
        <w:t>Additional Indebtedness</w:t>
      </w:r>
      <w:r>
        <w:rPr>
          <w:color w:val="000000"/>
        </w:rPr>
        <w:t xml:space="preserve">” </w:t>
      </w:r>
      <w:r>
        <w:rPr>
          <w:rFonts w:ascii="Times New Roman;serif" w:hAnsi="Times New Roman;serif"/>
          <w:b w:val="false"/>
          <w:color w:val="000000"/>
          <w:sz w:val="24"/>
        </w:rPr>
        <w:t>means Indebtedness of the Issuer for borrowed money (excluding Indebtedness under the Credit Agreement) under any debt securities or term loans broadly syndicated to institutional investors in an outstanding principal amount at the time of the incurrence of such Indebtedness in excess of the greater of (a) $300.0 million and (b) 30% of Consolidated Adjusted EBITDA for the most recently ended Test Period (calculated on a Pro Forma Basis and determined at the time of the incurrence of such Indebtedness).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4"/>
        </w:rPr>
        <w:t>Additional Notes</w:t>
      </w:r>
      <w:r>
        <w:rPr>
          <w:color w:val="000000"/>
        </w:rPr>
        <w:t xml:space="preserve">” </w:t>
      </w:r>
      <w:r>
        <w:rPr>
          <w:rFonts w:ascii="Times New Roman;serif" w:hAnsi="Times New Roman;serif"/>
          <w:b w:val="false"/>
          <w:color w:val="000000"/>
          <w:sz w:val="24"/>
        </w:rPr>
        <w:t xml:space="preserve">means additional Notes (other than the Initial Notes) issued from time to time under this Indenture in accordance with </w:t>
      </w:r>
      <w:r>
        <w:rPr>
          <w:rFonts w:ascii="Times New Roman;serif" w:hAnsi="Times New Roman;serif"/>
          <w:b w:val="false"/>
          <w:color w:val="000000"/>
          <w:sz w:val="24"/>
          <w:u w:val="single"/>
        </w:rPr>
        <w:t>Section 2.07</w:t>
      </w:r>
      <w:r>
        <w:rPr>
          <w:color w:val="000000"/>
        </w:rPr>
        <w:t xml:space="preserve"> </w:t>
      </w:r>
      <w:r>
        <w:rPr>
          <w:rFonts w:ascii="Times New Roman;serif" w:hAnsi="Times New Roman;serif"/>
          <w:b w:val="false"/>
          <w:color w:val="000000"/>
          <w:sz w:val="24"/>
        </w:rPr>
        <w:t>hereof.</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4"/>
        </w:rPr>
        <w:t>Affiliate</w:t>
      </w:r>
      <w:r>
        <w:rPr>
          <w:color w:val="000000"/>
        </w:rPr>
        <w:t xml:space="preserve">” </w:t>
      </w:r>
      <w:r>
        <w:rPr>
          <w:rFonts w:ascii="Times New Roman;serif" w:hAnsi="Times New Roman;serif"/>
          <w:b w:val="false"/>
          <w:color w:val="000000"/>
          <w:sz w:val="24"/>
        </w:rPr>
        <w:t xml:space="preserve">means, with respect to any specified Person, any other Person directly or indirectly controlling or controlled by or under direct or indirect common control with such specified Person. For purposes of this definition, “control,” as used with respect to any Person, means the possession, directly or indirectly, of the power to direct the management and policies </w:t>
      </w:r>
    </w:p>
    <w:p>
      <w:pPr>
        <w:pStyle w:val="TextBody"/>
        <w:bidi w:val="0"/>
        <w:spacing w:before="0" w:after="0"/>
        <w:jc w:val="left"/>
        <w:rPr/>
      </w:pPr>
      <w:r>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6480175" cy="1014095"/>
                <wp:effectExtent l="0" t="0" r="0" b="0"/>
                <wp:wrapNone/>
                <wp:docPr id="174" name="Frame174"/>
                <a:graphic xmlns:a="http://schemas.openxmlformats.org/drawingml/2006/main">
                  <a:graphicData uri="http://schemas.microsoft.com/office/word/2010/wordprocessingShape">
                    <wps:wsp>
                      <wps:cNvSpPr txBox="1"/>
                      <wps:spPr>
                        <a:xfrm>
                          <a:off x="0" y="0"/>
                          <a:ext cx="6480175" cy="101409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w:t>
                            </w:r>
                            <w:r>
                              <w:br w:type="page"/>
                            </w:r>
                          </w:p>
                          <w:p>
                            <w:pPr>
                              <w:pStyle w:val="TextBody"/>
                              <w:bidi w:val="0"/>
                              <w:spacing w:before="0" w:after="0"/>
                              <w:jc w:val="left"/>
                              <w:rPr/>
                            </w:pPr>
                            <w:r>
                              <w:rPr/>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9.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w:t>
                      </w:r>
                    </w:p>
                    <w:p>
                      <w:pPr>
                        <w:pStyle w:val="TextBody"/>
                        <w:bidi w:val="0"/>
                        <w:spacing w:before="0" w:after="0"/>
                        <w:jc w:val="left"/>
                        <w:rPr/>
                      </w:pPr>
                      <w:r>
                        <w:rPr/>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of such Person, whether through the ownership of voting securities or by contract. For purposes of this definition, the terms “controlling,” “controlled by” and “under common control with” have correlative meanings.</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4"/>
        </w:rPr>
        <w:t>Agent</w:t>
      </w:r>
      <w:r>
        <w:rPr>
          <w:color w:val="000000"/>
        </w:rPr>
        <w:t xml:space="preserve">” </w:t>
      </w:r>
      <w:r>
        <w:rPr>
          <w:rFonts w:ascii="Times New Roman;serif" w:hAnsi="Times New Roman;serif"/>
          <w:b w:val="false"/>
          <w:color w:val="000000"/>
          <w:sz w:val="24"/>
        </w:rPr>
        <w:t>means any Registrar, co-registrar, Paying Agent or additional paying agent.</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4"/>
        </w:rPr>
        <w:t>Applicable Law</w:t>
      </w:r>
      <w:r>
        <w:rPr>
          <w:color w:val="000000"/>
        </w:rPr>
        <w:t xml:space="preserve">” </w:t>
      </w:r>
      <w:r>
        <w:rPr>
          <w:rFonts w:ascii="Times New Roman;serif" w:hAnsi="Times New Roman;serif"/>
          <w:b w:val="false"/>
          <w:color w:val="000000"/>
          <w:sz w:val="24"/>
        </w:rPr>
        <w:t>means, as to any Person, any ordinance, law, treaty, rule or regulation or any determination, ruling or other directive by and from an arbitrator or a court or other Governmental Authority, in each case, applicable to or binding on such Person or any of its property or assets or to which such Person or any of its property is subject.</w:t>
      </w:r>
    </w:p>
    <w:p>
      <w:pPr>
        <w:pStyle w:val="TextBody"/>
        <w:bidi w:val="0"/>
        <w:spacing w:lineRule="auto" w:line="288" w:before="167" w:after="180"/>
        <w:ind w:left="0" w:right="0" w:firstLine="720"/>
        <w:jc w:val="left"/>
        <w:rPr/>
      </w:pPr>
      <w:r>
        <w:rPr>
          <w:color w:val="000000"/>
        </w:rPr>
        <w:t>“</w:t>
      </w:r>
      <w:r>
        <w:rPr>
          <w:rFonts w:ascii="Times New Roman;serif" w:hAnsi="Times New Roman;serif"/>
          <w:b w:val="false"/>
          <w:i/>
          <w:color w:val="000000"/>
          <w:sz w:val="24"/>
        </w:rPr>
        <w:t>Applicable Premium</w:t>
      </w:r>
      <w:r>
        <w:rPr>
          <w:color w:val="000000"/>
        </w:rPr>
        <w:t xml:space="preserve">” </w:t>
      </w:r>
      <w:r>
        <w:rPr>
          <w:rFonts w:ascii="Times New Roman;serif" w:hAnsi="Times New Roman;serif"/>
          <w:b w:val="false"/>
          <w:color w:val="000000"/>
          <w:sz w:val="24"/>
        </w:rPr>
        <w:t>means, with respect to any Notes on any redemption date, any positive excess of:</w:t>
      </w:r>
    </w:p>
    <w:p>
      <w:pPr>
        <w:pStyle w:val="TextBody"/>
        <w:bidi w:val="0"/>
        <w:spacing w:lineRule="auto" w:line="288"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(a)the present value at such redemption date of (i) the redemption price of the Notes on May 1, 2029 plus all required interest payments due through May 1, 2029 (in each case, excluding accrued but unpaid interest to the redemption date), in each case, computed using a discount rate equal to the Treasury Rate as of such redemption date plus 50 basis points; over</w:t>
      </w:r>
    </w:p>
    <w:p>
      <w:pPr>
        <w:pStyle w:val="TextBody"/>
        <w:bidi w:val="0"/>
        <w:spacing w:lineRule="auto" w:line="288"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 xml:space="preserve">(b)the principal amount of such Notes. </w:t>
      </w:r>
    </w:p>
    <w:p>
      <w:pPr>
        <w:pStyle w:val="TextBody"/>
        <w:bidi w:val="0"/>
        <w:spacing w:lineRule="auto" w:line="288" w:before="167" w:after="18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Calculation of the Applicable Premium shall be made by the Issuer or on behalf of the Issuer by such Person as the Issuer shall designate and, in any event, such calculation shall not be a duty or obligation of the Trustee in any of its capacities under this Indenture. </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4"/>
        </w:rPr>
        <w:t>Applicable Procedures</w:t>
      </w:r>
      <w:r>
        <w:rPr>
          <w:color w:val="000000"/>
        </w:rPr>
        <w:t xml:space="preserve">” </w:t>
      </w:r>
      <w:r>
        <w:rPr>
          <w:rFonts w:ascii="Times New Roman;serif" w:hAnsi="Times New Roman;serif"/>
          <w:b w:val="false"/>
          <w:color w:val="000000"/>
          <w:sz w:val="24"/>
        </w:rPr>
        <w:t>means, with respect to any transfer or exchange of or for beneficial interests in any Global Note, the rules and</w:t>
      </w:r>
      <w:r>
        <w:rPr>
          <w:color w:val="000000"/>
        </w:rPr>
        <w:t xml:space="preserve"> </w:t>
      </w:r>
      <w:r>
        <w:rPr>
          <w:rFonts w:ascii="Times New Roman;serif" w:hAnsi="Times New Roman;serif"/>
          <w:b w:val="false"/>
          <w:color w:val="000000"/>
          <w:sz w:val="24"/>
        </w:rPr>
        <w:t>procedures of the Depository that apply to such transfer or exchange.</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4"/>
        </w:rPr>
        <w:t>Authorized Officer</w:t>
      </w:r>
      <w:r>
        <w:rPr>
          <w:color w:val="000000"/>
        </w:rPr>
        <w:t xml:space="preserve">” </w:t>
      </w:r>
      <w:r>
        <w:rPr>
          <w:rFonts w:ascii="Times New Roman;serif" w:hAnsi="Times New Roman;serif"/>
          <w:b w:val="false"/>
          <w:color w:val="000000"/>
          <w:sz w:val="24"/>
        </w:rPr>
        <w:t>means the chief executive officer, the president, the chief financial officer, the treasurer, any assistant treasurer, the general counsel, the principal accounting officer, a responsible financial or accounting officer or any other person of the Issuer having substantially the same responsibilities as the aforementioned officers.</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4"/>
        </w:rPr>
        <w:t>Bankruptcy Law</w:t>
      </w:r>
      <w:r>
        <w:rPr>
          <w:color w:val="000000"/>
        </w:rPr>
        <w:t xml:space="preserve">” </w:t>
      </w:r>
      <w:r>
        <w:rPr>
          <w:rFonts w:ascii="Times New Roman;serif" w:hAnsi="Times New Roman;serif"/>
          <w:b w:val="false"/>
          <w:color w:val="000000"/>
          <w:sz w:val="24"/>
        </w:rPr>
        <w:t>means Title 11 of the United States Code, 11 U.S.C. §§ 101, et seq., as amended from time to time, or any similar federal, state or foreign bankruptcy, insolvency, reorganization, receivership or similar law.</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4"/>
        </w:rPr>
        <w:t>Beneficial Owner</w:t>
      </w:r>
      <w:r>
        <w:rPr>
          <w:color w:val="000000"/>
        </w:rPr>
        <w:t xml:space="preserve">” </w:t>
      </w:r>
      <w:r>
        <w:rPr>
          <w:rFonts w:ascii="Times New Roman;serif" w:hAnsi="Times New Roman;serif"/>
          <w:b w:val="false"/>
          <w:color w:val="000000"/>
          <w:sz w:val="24"/>
        </w:rPr>
        <w:t>has the meaning assigned to such term in Rule 13d-3 and Rule 13d-5 under the Exchange Act as of the Issue Date. The terms “Beneficially Owns”, “Beneficially Owned” and “Beneficial Ownership” have a corresponding meaning.</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4"/>
        </w:rPr>
        <w:t>Board of Directors</w:t>
      </w:r>
      <w:r>
        <w:rPr>
          <w:color w:val="000000"/>
        </w:rPr>
        <w:t xml:space="preserve">” </w:t>
      </w:r>
      <w:r>
        <w:rPr>
          <w:rFonts w:ascii="Times New Roman;serif" w:hAnsi="Times New Roman;serif"/>
          <w:b w:val="false"/>
          <w:color w:val="000000"/>
          <w:sz w:val="24"/>
        </w:rPr>
        <w:t>means:</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(1)with respect to a corporation, the board of directors of the corporation or any committee thereof duly authorized to act on behalf of such board;</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(2)with respect to a partnership, the board of directors of the general partner of the partnership;</w:t>
      </w:r>
    </w:p>
    <w:p>
      <w:pPr>
        <w:pStyle w:val="TextBody"/>
        <w:bidi w:val="0"/>
        <w:spacing w:before="0" w:after="0"/>
        <w:jc w:val="left"/>
        <w:rPr/>
      </w:pPr>
      <w:r>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6480175" cy="768985"/>
                <wp:effectExtent l="0" t="0" r="0" b="0"/>
                <wp:wrapNone/>
                <wp:docPr id="175" name="Frame175"/>
                <a:graphic xmlns:a="http://schemas.openxmlformats.org/drawingml/2006/main">
                  <a:graphicData uri="http://schemas.microsoft.com/office/word/2010/wordprocessingShape">
                    <wps:wsp>
                      <wps:cNvSpPr txBox="1"/>
                      <wps:spPr>
                        <a:xfrm>
                          <a:off x="0" y="0"/>
                          <a:ext cx="6480175" cy="7689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2</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0.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2</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(3)with respect to a limited liability company, the managing member or members or any controlling committee of managing members thereof; and</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(4)with respect to any other Person, the board or committee of such Person serving a similar function.</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4"/>
        </w:rPr>
        <w:t>Business Day</w:t>
      </w:r>
      <w:r>
        <w:rPr>
          <w:color w:val="000000"/>
        </w:rPr>
        <w:t xml:space="preserve">” </w:t>
      </w:r>
      <w:r>
        <w:rPr>
          <w:rFonts w:ascii="Times New Roman;serif" w:hAnsi="Times New Roman;serif"/>
          <w:b w:val="false"/>
          <w:color w:val="000000"/>
          <w:sz w:val="24"/>
        </w:rPr>
        <w:t>means each day other than a Saturday, a Sunday or a day on which banking institutions in New York City (and, with respect to payments, in the place of payment) are authorized or required by law to remain closed.</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4"/>
        </w:rPr>
        <w:t>Capital Lease</w:t>
      </w:r>
      <w:r>
        <w:rPr>
          <w:color w:val="000000"/>
        </w:rPr>
        <w:t xml:space="preserve">” </w:t>
      </w:r>
      <w:r>
        <w:rPr>
          <w:rFonts w:ascii="Times New Roman;serif" w:hAnsi="Times New Roman;serif"/>
          <w:b w:val="false"/>
          <w:color w:val="000000"/>
          <w:sz w:val="24"/>
        </w:rPr>
        <w:t xml:space="preserve">means any lease of any property (whether real, personal or mixed) by the Issuer or any Subsidiary as lessee that, in conformity with GAAP, is, or is required to be, accounted for as a capital lease on the balance sheet of the Issuer;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w:t>
      </w:r>
      <w:r>
        <w:rPr>
          <w:rFonts w:ascii="Times New Roman;serif" w:hAnsi="Times New Roman;serif"/>
          <w:b w:val="false"/>
          <w:i/>
          <w:color w:val="000000"/>
          <w:sz w:val="24"/>
        </w:rPr>
        <w:t>however</w:t>
      </w:r>
      <w:r>
        <w:rPr>
          <w:rFonts w:ascii="Times New Roman;serif" w:hAnsi="Times New Roman;serif"/>
          <w:b w:val="false"/>
          <w:color w:val="000000"/>
          <w:sz w:val="24"/>
        </w:rPr>
        <w:t>, that notwithstanding anything to the contrary in any Note Document, (i) notwithstanding any change in GAAP after December 31, 2018 that would require lease obligations that would be treated as operating leases as of December 31, 2018 to be classified and accounted for as capital leases or finance leases or otherwise reflected on the Issuer’s consolidated balance sheet, such obligations shall continue to be excluded from the definition of Indebtedness and (ii) any lease that would have been considered an operating lease under GAAP in effect as of December 31, 2018 shall be treated as an operating lease for all purposes under any Note Document, and obligations in respect thereof shall be excluded from the definition of Indebtedness.</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4"/>
        </w:rPr>
        <w:t>Capital Stock</w:t>
      </w:r>
      <w:r>
        <w:rPr>
          <w:color w:val="000000"/>
        </w:rPr>
        <w:t xml:space="preserve">” </w:t>
      </w:r>
      <w:r>
        <w:rPr>
          <w:rFonts w:ascii="Times New Roman;serif" w:hAnsi="Times New Roman;serif"/>
          <w:b w:val="false"/>
          <w:color w:val="000000"/>
          <w:sz w:val="24"/>
        </w:rPr>
        <w:t>means:</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(1)in the case of a corporation, corporate stock;</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(2)in the case of an association or business entity, any and all shares, interests, participations, rights or other equivalents (however designated) of corporate stock;</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(3)in the case of a partnership or limited liability company, partnership interests (whether general or limited) or membership interests; and</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(4)any other interest or participation that confers on a Person the right to receive a share of the profits and losses of, or distributions of assets of, the issuing Person, but excluding from all of the foregoing any debt securities convertible into Capital Stock, whether or not such debt securities include any right of participation with Capital Stock.</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4"/>
        </w:rPr>
        <w:t>Capitalized Lease Obligations</w:t>
      </w:r>
      <w:r>
        <w:rPr>
          <w:color w:val="000000"/>
        </w:rPr>
        <w:t xml:space="preserve">” </w:t>
      </w:r>
      <w:r>
        <w:rPr>
          <w:rFonts w:ascii="Times New Roman;serif" w:hAnsi="Times New Roman;serif"/>
          <w:b w:val="false"/>
          <w:color w:val="000000"/>
          <w:sz w:val="24"/>
        </w:rPr>
        <w:t xml:space="preserve">means, as applied to the Issuer and the Subsidiaries at the time any determination is to be made, the amount of the liability in respect of a Capital Lease that would at such time be required to be capitalized and reflected as a liability on the balance sheet (excluding the footnotes thereto) of the Issuer in accordance with GAAP, and the Stated Maturity thereof shall be the date of the last payment of rent or any other amount due under such Capital Lease prior to the first date upon which such Capital Lease may be prepaid by the lessee without payment of a penalty;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w:t>
      </w:r>
      <w:r>
        <w:rPr>
          <w:rFonts w:ascii="Times New Roman;serif" w:hAnsi="Times New Roman;serif"/>
          <w:b w:val="false"/>
          <w:i/>
          <w:color w:val="000000"/>
          <w:sz w:val="24"/>
        </w:rPr>
        <w:t>however</w:t>
      </w:r>
      <w:r>
        <w:rPr>
          <w:rFonts w:ascii="Times New Roman;serif" w:hAnsi="Times New Roman;serif"/>
          <w:b w:val="false"/>
          <w:color w:val="000000"/>
          <w:sz w:val="24"/>
        </w:rPr>
        <w:t xml:space="preserve">, that notwithstanding anything to the contrary in any Note Document, (i) notwithstanding any change in GAAP after December 31, 2018 that would require lease obligations that would be treated as operating leases as of December 31, 2018 to be classified and accounted for as Capital Leases or finance leases or otherwise reflected on the Issuer’s consolidated balance sheet, such obligations shall continue to be excluded from the definition of Indebtedness and (ii) any lease that would have been considered an operating lease under GAAP in effect as of December 31, 2018 shall be treated as an operating lease for all </w:t>
      </w:r>
    </w:p>
    <w:p>
      <w:pPr>
        <w:pStyle w:val="TextBody"/>
        <w:bidi w:val="0"/>
        <w:spacing w:before="0" w:after="0"/>
        <w:jc w:val="left"/>
        <w:rPr/>
      </w:pPr>
      <w:r>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6480175" cy="768985"/>
                <wp:effectExtent l="0" t="0" r="0" b="0"/>
                <wp:wrapNone/>
                <wp:docPr id="176" name="Frame176"/>
                <a:graphic xmlns:a="http://schemas.openxmlformats.org/drawingml/2006/main">
                  <a:graphicData uri="http://schemas.microsoft.com/office/word/2010/wordprocessingShape">
                    <wps:wsp>
                      <wps:cNvSpPr txBox="1"/>
                      <wps:spPr>
                        <a:xfrm>
                          <a:off x="0" y="0"/>
                          <a:ext cx="6480175" cy="7689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3</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0.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3</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purposes under any Note Document, and obligations in respect thereof shall be excluded from the definition of Indebtedness.</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4"/>
        </w:rPr>
        <w:t>Cash Equivalents</w:t>
      </w:r>
      <w:r>
        <w:rPr>
          <w:color w:val="000000"/>
        </w:rPr>
        <w:t xml:space="preserve">” </w:t>
      </w:r>
      <w:r>
        <w:rPr>
          <w:rFonts w:ascii="Times New Roman;serif" w:hAnsi="Times New Roman;serif"/>
          <w:b w:val="false"/>
          <w:color w:val="000000"/>
          <w:sz w:val="24"/>
        </w:rPr>
        <w:t>means:</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(1)U.S. dollars, Canadian dollars, Euros or, in the case of any Foreign Subsidiary, any local currencies held by it from time to time;</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(2)securities issued or unconditionally guaranteed by the United States government or any agency or instrumentality thereof, in each case having maturities and/or reset dates of not more than 24 months from the date of acquisition thereof;</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(3)securities issued by any state of the United States of America or any political subdivision of any such state or any public instrumentality thereof or any political subdivision of any such state or any public instrumentality thereof having maturities of not more than 24 months from the date of acquisition thereof and, at the time of acquisition, having an investment grade rating generally obtainable from either S&amp;P or Moody’s (or, if at any time neither S&amp;P nor Moody’s shall be rating such obligations, then from another nationally recognized rating service);</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(4)commercial paper or variable or fixed rate notes maturing no more than 12 months after the date of creation thereof and, at the time of acquisition, having a rating of at least A-3 or P-3 from either S&amp;P or Moody’s (or, if at any time neither S&amp;P nor Moody’s shall be rating such obligations, an equivalent rating from another nationally recognized rating service);</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(5)time deposits with, or domestic and eurodollar certificates of deposit or bankers’ acceptances maturing no more than two years after the date of acquisition thereof issued by, the administrative agent under the Credit Agreement (or any Affiliate thereof), any lender or any other bank having combined capital and surplus of not less than $500.0 million in the case of domestic banks and $100.0 million (or the dollar equivalent thereof) in the case of foreign banks;</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(6)repurchase agreements with a term of not more than 90 days for underlying securities of the type described in clauses (2), (3) and (5) above entered into with any bank meeting the qualifications specified in clause (5) above or securities dealers of recognized national standing;</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(7)marketable short-term money market and similar funds either (x) having assets in excess of $500.0 million or (y) having a rating of at least A-3 or P-3 from either S&amp;P or Moody’s (or, if at any time neither S&amp;P nor Moody’s shall be rating such obligations, an equivalent rating from another nationally recognized rating service);</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(8)shares of investment companies that are registered under the Investment Company Act of 1940, as amended, and substantially all the investments of which are one or more of the types of securities described in clauses (1) through (7) above;</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(9)any hedging agreement that is entered into by and between the Issuer or any Subsidiary and any hedge bank (including any netting, set-off or netting rights thereunder); and</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(10)in the case of investments by any Foreign Subsidiary or investments made in a country outside the United States of America, other customarily utilized high-quality </w:t>
      </w:r>
    </w:p>
    <w:p>
      <w:pPr>
        <w:pStyle w:val="TextBody"/>
        <w:bidi w:val="0"/>
        <w:spacing w:before="0" w:after="0"/>
        <w:jc w:val="left"/>
        <w:rPr/>
      </w:pPr>
      <w:r>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6480175" cy="768985"/>
                <wp:effectExtent l="0" t="0" r="0" b="0"/>
                <wp:wrapNone/>
                <wp:docPr id="177" name="Frame177"/>
                <a:graphic xmlns:a="http://schemas.openxmlformats.org/drawingml/2006/main">
                  <a:graphicData uri="http://schemas.microsoft.com/office/word/2010/wordprocessingShape">
                    <wps:wsp>
                      <wps:cNvSpPr txBox="1"/>
                      <wps:spPr>
                        <a:xfrm>
                          <a:off x="0" y="0"/>
                          <a:ext cx="6480175" cy="7689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4</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0.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4</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investments in the country where such Foreign Subsidiary is located or in which such investment is made.</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4"/>
        </w:rPr>
        <w:t>Change of Control</w:t>
      </w:r>
      <w:r>
        <w:rPr>
          <w:color w:val="000000"/>
        </w:rPr>
        <w:t xml:space="preserve">” </w:t>
      </w:r>
      <w:r>
        <w:rPr>
          <w:rFonts w:ascii="Times New Roman;serif" w:hAnsi="Times New Roman;serif"/>
          <w:b w:val="false"/>
          <w:color w:val="000000"/>
          <w:sz w:val="24"/>
        </w:rPr>
        <w:t>means the occurrence of any of the following after the Issue Date:</w:t>
      </w:r>
    </w:p>
    <w:p>
      <w:pPr>
        <w:pStyle w:val="TextBody"/>
        <w:bidi w:val="0"/>
        <w:spacing w:lineRule="auto" w:line="240" w:before="0" w:after="240"/>
        <w:ind w:left="0" w:right="0" w:firstLine="720"/>
        <w:jc w:val="both"/>
        <w:rPr/>
      </w:pPr>
      <w:r>
        <w:rPr>
          <w:rFonts w:ascii="Times New Roman;serif" w:hAnsi="Times New Roman;serif"/>
          <w:b w:val="false"/>
          <w:color w:val="000000"/>
          <w:sz w:val="24"/>
        </w:rPr>
        <w:t xml:space="preserve">(1)the Issuer becomes aware of (by way of a report or any other filing pursuant to Section 13(d) of the Exchange Act, proxy, vote, written notice or otherwise) any “person” (as such term is used in Sections 13(d) and 14(d) of the Exchange Act as in effect on the Issue Date) (other than (A) one or more Permitted Holders, (B) any Parent Entity, (C) any entity owned directly or indirectly by the direct or indirect stockholders of the Issuer in substantially the same proportion as their direct or indirect ownership of stock of the Issuer prior to such transaction or (D) any entity formed by the Issuer or its Affiliates) that is or becomes the Beneficial Owner of more than 50% of the total voting power of the Voting Stock of the Issuer;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i/>
          <w:color w:val="000000"/>
          <w:sz w:val="24"/>
        </w:rPr>
        <w:t>that</w:t>
      </w:r>
      <w:r>
        <w:rPr>
          <w:rFonts w:ascii="Times New Roman;serif" w:hAnsi="Times New Roman;serif"/>
          <w:b w:val="false"/>
          <w:color w:val="000000"/>
          <w:sz w:val="24"/>
        </w:rPr>
        <w:t xml:space="preserve">: </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(x)     so long as the Issuer is a Subsidiary of any Parent Entity, no person shall be deemed to be or become a Beneficial Owner of more than 50% of the total voting power of the Voting Stock of the Issuer unless such person shall be or become a Beneficial Owner of more than 50% of the total voting power of the Voting Stock of such Parent Entity (other than a Parent Entity that is a Subsidiary of another Parent Entity);</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(y)     any Voting Stock of which any Permitted Holder is the Beneficial Owner shall not in any case be included in any Voting Stock of which any such person is the Beneficial Owner; and </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(z)     any Voting Stock of which any employee benefit plan of the Issuer or any of its Subsidiaries, or any person or entity acting in its capacity as trustee, agent or other fiduciary or administrator of such plan, is the Beneficial Owner shall not in any case be included in any Voting Stock of which any such person is the Beneficial Owner; or </w:t>
      </w:r>
    </w:p>
    <w:p>
      <w:pPr>
        <w:pStyle w:val="TextBody"/>
        <w:bidi w:val="0"/>
        <w:spacing w:lineRule="auto" w:line="240" w:before="0" w:after="240"/>
        <w:ind w:left="0" w:right="0" w:firstLine="720"/>
        <w:jc w:val="both"/>
        <w:rPr/>
      </w:pPr>
      <w:r>
        <w:rPr>
          <w:rFonts w:ascii="Times New Roman;serif" w:hAnsi="Times New Roman;serif"/>
          <w:b w:val="false"/>
          <w:color w:val="000000"/>
          <w:sz w:val="24"/>
        </w:rPr>
        <w:t xml:space="preserve">(2)the sale or transfer, in one or a series of related transactions, of all or substantially all of the assets of the Issuer and its Subsidiaries, taken as a whole, to a Person (other than the Issuer or any of its Subsidiaries or one or more Permitted Holders) and any “person” (as such term is used in Sections 13(d) and 14(d) of the Exchange Act as in effect on the Issue Date) (other than (A) one or more Permitted Holders, (B) any Parent Entity, (C) any entity owned directly or indirectly by the direct or indirect stockholders of the Issuer in substantially the same proportion as their direct or indirect ownership of stock of the Issuer prior to such transaction or (D) any entity formed by the Issuer or its Affiliates) is or becomes the Beneficial Owner of more than 50% of the total voting power of the Voting Stock of the transferee person in such sale or transfer of assets, as the case may be;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i/>
          <w:color w:val="000000"/>
          <w:sz w:val="24"/>
        </w:rPr>
        <w:t>that</w:t>
      </w:r>
      <w:r>
        <w:rPr>
          <w:rFonts w:ascii="Times New Roman;serif" w:hAnsi="Times New Roman;serif"/>
          <w:b w:val="false"/>
          <w:color w:val="000000"/>
          <w:sz w:val="24"/>
        </w:rPr>
        <w:t xml:space="preserve">: </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(x)     so long as the Issuer is a Subsidiary of any Parent Entity, no person shall be deemed to be or become a Beneficial Owner of more than 50% of the total voting power of the Voting Stock of the Issuer unless such person shall be or become a Beneficial Owner of more than 50% of the total voting power of the Voting Stock of such Parent Entity (other than a Parent Entity that is a Subsidiary of another Parent Entity);</w:t>
      </w:r>
    </w:p>
    <w:p>
      <w:pPr>
        <w:pStyle w:val="TextBody"/>
        <w:bidi w:val="0"/>
        <w:spacing w:before="0" w:after="0"/>
        <w:jc w:val="left"/>
        <w:rPr/>
      </w:pPr>
      <w:r>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6480175" cy="768985"/>
                <wp:effectExtent l="0" t="0" r="0" b="0"/>
                <wp:wrapNone/>
                <wp:docPr id="178" name="Frame178"/>
                <a:graphic xmlns:a="http://schemas.openxmlformats.org/drawingml/2006/main">
                  <a:graphicData uri="http://schemas.microsoft.com/office/word/2010/wordprocessingShape">
                    <wps:wsp>
                      <wps:cNvSpPr txBox="1"/>
                      <wps:spPr>
                        <a:xfrm>
                          <a:off x="0" y="0"/>
                          <a:ext cx="6480175" cy="7689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5</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0.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5</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(y)     any Voting Stock of which any Permitted Holder is the Beneficial Owner shall not in any case be included in any Voting Stock of which any such person is the Beneficial Owner; and </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(z)     any Voting Stock of which any employee benefit plan of the Issuer or any of its Subsidiaries, or any person or entity acting in its capacity as trustee, agent or other fiduciary or administrator of such plan, is the Beneficial Owner shall not in any case be included in any Voting Stock of which any such person is the Beneficial Owner.</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For the avoidance of doubt, for purposes of this definition, (i) a merger or consolidation of a Subsidiary of the Issuer into another Subsidiary of the Issuer or (ii) other than, for the avoidance of doubt, a sale of Susquehanna, a sale of a Subsidiary of the Issuer to another person in a transaction permitted pursuant to the terms of this Indenture will not be deemed to be a Change of Control.</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Notwithstanding the preceding or any provision of Rule 13d-3 or 13d-5 of the Exchange Act:</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     a person or group shall not be deemed to Beneficially Own Voting Stock subject to an equity or asset purchase agreement, merger agreement, option agreement, warrant agreement or similar agreement (or voting, option or similar agreement related thereto) until the consummation of the acquisition of the Voting Stock in connection with the transactions contemplated by such agreement;</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(ii)     if any group includes one or more Permitted Holders, the issued and outstanding Voting Stock of the Issuer owned, directly or indirectly, by any Permitted Holders that are part of such group shall be treated as being Beneficially Owned by such Permitted Holders and shall not be treated as being Beneficially Owned by such group or any other member of such group for purposes of determining whether a Change of Control has occurred; </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(iii)     a person or group will not be deemed to Beneficially Own the Voting Stock of another person as a result of its ownership of Voting Stock or other securities of such other person’s parent entity (or related contractual rights) unless it owns more than 50% of the total voting power of the Voting Stock of such parent entity; and </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(iv)     the right to acquire Voting Stock (so long as such person does not have the right to direct the voting of the Voting Stock subject to such right) or any veto power in connection with the acquisition or disposition of Voting Stock will not cause a party to be a Beneficial Owner.</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Notwithstanding the foregoing, a Change of Control shall not occur (a) in connection with any Permitted Reorganization Transaction, any IPO Reorganization Transaction or any Permitted Spin-Out Transaction, (b) as a result of the IPOCo Transactions, a Qualifying IPO and any transactions relating thereto, including, without limitation, (i) the contribution of the Capital Stock of the Issuer to IPO Listco or (ii) any transaction in which the Issuer remains a subsidiary of IPO Listco but one or more intermediate holding companies between the Issuer and IPO Listco are added, liquidated, merged or consolidated out of existence or (c) if the Issuer becomes a direct or indirect wholly owned Subsidiary of a Parent Entity and immediately following that transaction no person (other than a Parent Entity satisfying the requirements of this sentence or </w:t>
      </w:r>
    </w:p>
    <w:p>
      <w:pPr>
        <w:pStyle w:val="TextBody"/>
        <w:bidi w:val="0"/>
        <w:spacing w:before="0" w:after="0"/>
        <w:jc w:val="left"/>
        <w:rPr/>
      </w:pPr>
      <w:r>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6480175" cy="768985"/>
                <wp:effectExtent l="0" t="0" r="0" b="0"/>
                <wp:wrapNone/>
                <wp:docPr id="179" name="Frame179"/>
                <a:graphic xmlns:a="http://schemas.openxmlformats.org/drawingml/2006/main">
                  <a:graphicData uri="http://schemas.microsoft.com/office/word/2010/wordprocessingShape">
                    <wps:wsp>
                      <wps:cNvSpPr txBox="1"/>
                      <wps:spPr>
                        <a:xfrm>
                          <a:off x="0" y="0"/>
                          <a:ext cx="6480175" cy="7689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6</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0.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6</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one or more Permitted Holders) is the Beneficial Owner, directly or indirectly, of more than 50% of the Voting Stock of such Parent Entity (or its general partner, if applicable). No Change of Control will be deemed to have occurred unless and until such Change of Control has actually been consummated.</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For the avoidance of doubt, the sale or transfer of all or a portion of the Susquehanna Assets (other than a transaction that complies with </w:t>
      </w:r>
      <w:r>
        <w:rPr>
          <w:rFonts w:ascii="Times New Roman;serif" w:hAnsi="Times New Roman;serif"/>
          <w:b w:val="false"/>
          <w:color w:val="000000"/>
          <w:sz w:val="24"/>
          <w:u w:val="single"/>
        </w:rPr>
        <w:t>Section 4.05</w:t>
      </w:r>
      <w:r>
        <w:rPr>
          <w:rFonts w:ascii="Times New Roman;serif" w:hAnsi="Times New Roman;serif"/>
          <w:b w:val="false"/>
          <w:color w:val="000000"/>
          <w:sz w:val="24"/>
        </w:rPr>
        <w:t>) shall constitute the sale or transfer of “all or substantially all” of the assets of the Issuer and its Subsidiaries for purposes of this definition.</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4"/>
        </w:rPr>
        <w:t>Change of Control Triggering Event</w:t>
      </w:r>
      <w:r>
        <w:rPr>
          <w:color w:val="000000"/>
        </w:rPr>
        <w:t xml:space="preserve">” </w:t>
      </w:r>
      <w:r>
        <w:rPr>
          <w:rFonts w:ascii="Times New Roman;serif" w:hAnsi="Times New Roman;serif"/>
          <w:b w:val="false"/>
          <w:color w:val="000000"/>
          <w:sz w:val="24"/>
        </w:rPr>
        <w:t>means the occurrence of both a Change of Control and a Rating Decline.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4"/>
        </w:rPr>
        <w:t>Clearstream</w:t>
      </w:r>
      <w:r>
        <w:rPr>
          <w:color w:val="000000"/>
        </w:rPr>
        <w:t xml:space="preserve">” </w:t>
      </w:r>
      <w:r>
        <w:rPr>
          <w:rFonts w:ascii="Times New Roman;serif" w:hAnsi="Times New Roman;serif"/>
          <w:b w:val="false"/>
          <w:color w:val="000000"/>
          <w:sz w:val="24"/>
        </w:rPr>
        <w:t>means Clearstream Banking</w:t>
      </w:r>
      <w:r>
        <w:rPr>
          <w:color w:val="000000"/>
        </w:rPr>
        <w:t xml:space="preserve"> </w:t>
      </w:r>
      <w:r>
        <w:rPr>
          <w:rFonts w:ascii="Times New Roman;serif" w:hAnsi="Times New Roman;serif"/>
          <w:b w:val="false"/>
          <w:color w:val="000000"/>
          <w:sz w:val="24"/>
        </w:rPr>
        <w:t>S.A., Luxembourg, and any successor thereto.</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4"/>
        </w:rPr>
        <w:t>Commodity Hedging Agreement</w:t>
      </w:r>
      <w:r>
        <w:rPr>
          <w:color w:val="000000"/>
        </w:rPr>
        <w:t xml:space="preserve">” </w:t>
      </w:r>
      <w:r>
        <w:rPr>
          <w:rFonts w:ascii="Times New Roman;serif" w:hAnsi="Times New Roman;serif"/>
          <w:b w:val="false"/>
          <w:color w:val="000000"/>
          <w:sz w:val="24"/>
        </w:rPr>
        <w:t>means any agreement, whether financial or physical, (including each transaction or confirmation entered into pursuant to any Master Agreement) providing for one or more swaps, caps, collars, puts, calls, floors, futures, options, spots, forwards, energy, capacity or generation agreements, agreements involving ancillary services or other attributes with an economic value, agreements involving auction revenue rights, tolling or sale agreements (including, without limitation, power purchase agreements and heat rate call options), fuel or other feedstock purchase, storage or sale agreements, energy management agreements, emissions or other environmental credit purchase or sales agreements, power transmission agreements, fuel or other feedstock transportation agreements, fuel or other feedstock storage agreements, netting agreements, commercial or trading agreements or similar transactions, in each case with respect to, or involving, the purchase, processing, transmission, distribution, sale, exchange, lease, finance, or hedge of any Covered Commodity, price or price indices for any such Covered Commodity, or any other similar agreements (including, without limitation, derivative agreements or arrangements and transactions that offset existing transactions or result in a reset of existing transaction prices) entered into with respect to the purchase, sale or exchange of (or the option to purchase, sell or exchange) transmission, transportation, storage, distribution, processing, lease, or financing of, or to manage fluctuations in the price or availability of any Covered Commodity or otherwise to hedge or mitigate commercial risk or exposure in connection with any Covered Commodity, and any agreement (including any guarantee, credit sleeve, or similar arrangement) providing for credit support for the foregoing; and, in each case, whether bilateral, over-the-counter, on or through an exchange or other execution facility, on or through a system, platform or portal operated by an ISO or RTO, cleared through a clearing house, clearing organization or clearing agency, or otherwise.</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4"/>
        </w:rPr>
        <w:t>Consolidated Adjusted EBITDA</w:t>
      </w:r>
      <w:r>
        <w:rPr>
          <w:color w:val="000000"/>
        </w:rPr>
        <w:t xml:space="preserve">” </w:t>
      </w:r>
      <w:r>
        <w:rPr>
          <w:rFonts w:ascii="Times New Roman;serif" w:hAnsi="Times New Roman;serif"/>
          <w:b w:val="false"/>
          <w:color w:val="000000"/>
          <w:sz w:val="24"/>
        </w:rPr>
        <w:t>has the meaning ascribed thereto in the Credit Agreement (as in effect on the Issue Date), as amended by Amendment No. 6 to the Credit Agreement.</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4"/>
        </w:rPr>
        <w:t>Consolidated Secured Net Leverage Ratio</w:t>
      </w:r>
      <w:r>
        <w:rPr>
          <w:color w:val="000000"/>
        </w:rPr>
        <w:t xml:space="preserve">” </w:t>
      </w:r>
      <w:r>
        <w:rPr>
          <w:rFonts w:ascii="Times New Roman;serif" w:hAnsi="Times New Roman;serif"/>
          <w:b w:val="false"/>
          <w:color w:val="000000"/>
          <w:sz w:val="24"/>
        </w:rPr>
        <w:t>has the meaning ascribed thereto in the Credit Agreement (as in effect on the Issue Date), as amended by Amendment No. 6 to the Credit Agreement.</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4"/>
        </w:rPr>
        <w:t>Cornerstone Acquisition</w:t>
      </w:r>
      <w:r>
        <w:rPr>
          <w:color w:val="000000"/>
        </w:rPr>
        <w:t xml:space="preserve">” </w:t>
      </w:r>
      <w:r>
        <w:rPr>
          <w:rFonts w:ascii="Times New Roman;serif" w:hAnsi="Times New Roman;serif"/>
          <w:b w:val="false"/>
          <w:color w:val="000000"/>
          <w:sz w:val="24"/>
        </w:rPr>
        <w:t xml:space="preserve">means the transactions contemplated by the Cornerstone Merger Agreement. </w:t>
      </w:r>
    </w:p>
    <w:p>
      <w:pPr>
        <w:pStyle w:val="TextBody"/>
        <w:bidi w:val="0"/>
        <w:spacing w:before="0" w:after="0"/>
        <w:jc w:val="left"/>
        <w:rPr/>
      </w:pPr>
      <w:r>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6480175" cy="768985"/>
                <wp:effectExtent l="0" t="0" r="0" b="0"/>
                <wp:wrapNone/>
                <wp:docPr id="180" name="Frame180"/>
                <a:graphic xmlns:a="http://schemas.openxmlformats.org/drawingml/2006/main">
                  <a:graphicData uri="http://schemas.microsoft.com/office/word/2010/wordprocessingShape">
                    <wps:wsp>
                      <wps:cNvSpPr txBox="1"/>
                      <wps:spPr>
                        <a:xfrm>
                          <a:off x="0" y="0"/>
                          <a:ext cx="6480175" cy="7689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7</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0.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7</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4"/>
        </w:rPr>
        <w:t>Cornerstone Merger Agreement</w:t>
      </w:r>
      <w:r>
        <w:rPr>
          <w:color w:val="000000"/>
        </w:rPr>
        <w:t xml:space="preserve">” </w:t>
      </w:r>
      <w:r>
        <w:rPr>
          <w:rFonts w:ascii="Times New Roman;serif" w:hAnsi="Times New Roman;serif"/>
          <w:b w:val="false"/>
          <w:color w:val="000000"/>
          <w:sz w:val="24"/>
        </w:rPr>
        <w:t xml:space="preserve">means the agreement and plan of merger, dated as of January 15, 2026, by and among Talen Energy Corporation, Buckeye CG Holdings, LLC, Cornerstone Generation Holdings, LP, ECP Cornerstone Generation Holdings GP, and the other parties thereto. </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4"/>
        </w:rPr>
        <w:t>Corporate Trust Office of the Trustee</w:t>
      </w:r>
      <w:r>
        <w:rPr>
          <w:color w:val="000000"/>
        </w:rPr>
        <w:t xml:space="preserve">” </w:t>
      </w:r>
      <w:r>
        <w:rPr>
          <w:rFonts w:ascii="Times New Roman;serif" w:hAnsi="Times New Roman;serif"/>
          <w:b w:val="false"/>
          <w:color w:val="000000"/>
          <w:sz w:val="24"/>
        </w:rPr>
        <w:t xml:space="preserve">will be at the address of the Trustee specified in </w:t>
      </w:r>
      <w:r>
        <w:rPr>
          <w:rFonts w:ascii="Times New Roman;serif" w:hAnsi="Times New Roman;serif"/>
          <w:b w:val="false"/>
          <w:color w:val="000000"/>
          <w:sz w:val="24"/>
          <w:u w:val="single"/>
        </w:rPr>
        <w:t>Section 12.01</w:t>
      </w:r>
      <w:r>
        <w:rPr>
          <w:color w:val="000000"/>
        </w:rPr>
        <w:t xml:space="preserve"> </w:t>
      </w:r>
      <w:r>
        <w:rPr>
          <w:rFonts w:ascii="Times New Roman;serif" w:hAnsi="Times New Roman;serif"/>
          <w:b w:val="false"/>
          <w:color w:val="000000"/>
          <w:sz w:val="24"/>
        </w:rPr>
        <w:t>hereof or such other address as to which the Trustee may give notice to the Issuer.</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4"/>
        </w:rPr>
        <w:t>Covered Commodity</w:t>
      </w:r>
      <w:r>
        <w:rPr>
          <w:color w:val="000000"/>
        </w:rPr>
        <w:t xml:space="preserve">” </w:t>
      </w:r>
      <w:r>
        <w:rPr>
          <w:rFonts w:ascii="Times New Roman;serif" w:hAnsi="Times New Roman;serif"/>
          <w:b w:val="false"/>
          <w:color w:val="000000"/>
          <w:sz w:val="24"/>
        </w:rPr>
        <w:t>means any energy, electricity, generation, capacity, power, heat rate, congestion, natural gas, natural gas liquids, nuclear fuel (including enrichment, conversion and fabrication rights), diesel fuel, fuel oil, other petroleum-based liquids, coal, lignite, feedstock, weather, emissions, carbon, renewable energy and other environmental credits, waste by-products, “cap and trade” related credits, or any other energy related commodity or service (including ancillary services, attributes with an economic value, and related risks (such as location basis)).</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4"/>
        </w:rPr>
        <w:t>Credit Agreement</w:t>
      </w:r>
      <w:r>
        <w:rPr>
          <w:color w:val="000000"/>
        </w:rPr>
        <w:t xml:space="preserve">” </w:t>
      </w:r>
      <w:r>
        <w:rPr>
          <w:rFonts w:ascii="Times New Roman;serif" w:hAnsi="Times New Roman;serif"/>
          <w:b w:val="false"/>
          <w:color w:val="000000"/>
          <w:sz w:val="24"/>
        </w:rPr>
        <w:t>means the Credit Agreement entered into on May 17, 2023, as amended from time to time, including by Amendment No. 6 to the Credit Agreement, to be dated on or about the date of the closing of the Cornerstone Acquisition (“</w:t>
      </w:r>
      <w:r>
        <w:rPr>
          <w:rFonts w:ascii="Times New Roman;serif" w:hAnsi="Times New Roman;serif"/>
          <w:b w:val="false"/>
          <w:i/>
          <w:color w:val="000000"/>
          <w:sz w:val="24"/>
        </w:rPr>
        <w:t>Amendment No. 6 to the Credit Agreement</w:t>
      </w:r>
      <w:r>
        <w:rPr>
          <w:color w:val="000000"/>
        </w:rPr>
        <w:t>”</w:t>
      </w:r>
      <w:r>
        <w:rPr>
          <w:rFonts w:ascii="Times New Roman;serif" w:hAnsi="Times New Roman;serif"/>
          <w:b w:val="false"/>
          <w:color w:val="000000"/>
          <w:sz w:val="24"/>
        </w:rPr>
        <w:t>), by and among the Issuer, the subsidiary guarantors named therein, the grantors from time to time party thereto, the applicable administrative agent, and each lender and issuing bank from time to time party thereto, together with the related documents thereto, providing for the term, revolving and letter of credit facilities of the Issuer (including any letters of credit and reimbursement obligations related thereto, any guarantees and security documents), as amended, extended, renewed, restated, refunded, replaced, refinanced, supplemented, modified or otherwise changed (in whole or in part, and without limitation as to amount, terms, conditions, covenants and other provisions) from time to time, and any one or more agreements (and related documents) governing Indebtedness, including indentures, incurred to refinance, substitute, supplement, replace or add to (including increasing the amount available for borrowing or adding or removing any Person as a borrower, issuer or guarantor thereunder, in whole or in part), the borrowings and commitments then outstanding or permitted to be outstanding under such Credit Agreement or one or more successors to the Credit Agreement or one or more new credit agreements.</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4"/>
        </w:rPr>
        <w:t>Credit Facility Transactions</w:t>
      </w:r>
      <w:r>
        <w:rPr>
          <w:color w:val="000000"/>
        </w:rPr>
        <w:t xml:space="preserve">” </w:t>
      </w:r>
      <w:r>
        <w:rPr>
          <w:rFonts w:ascii="Times New Roman;serif" w:hAnsi="Times New Roman;serif"/>
          <w:b w:val="false"/>
          <w:color w:val="000000"/>
          <w:sz w:val="24"/>
        </w:rPr>
        <w:t>means Amendment No. 6 to the Credit Agreement.</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4"/>
        </w:rPr>
        <w:t>Custodian</w:t>
      </w:r>
      <w:r>
        <w:rPr>
          <w:color w:val="000000"/>
        </w:rPr>
        <w:t xml:space="preserve">” </w:t>
      </w:r>
      <w:r>
        <w:rPr>
          <w:rFonts w:ascii="Times New Roman;serif" w:hAnsi="Times New Roman;serif"/>
          <w:b w:val="false"/>
          <w:color w:val="000000"/>
          <w:sz w:val="24"/>
        </w:rPr>
        <w:t>means the Trustee, as custodian with respect to the Notes in global form, or any successor entity thereto.</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4"/>
        </w:rPr>
        <w:t>Default</w:t>
      </w:r>
      <w:r>
        <w:rPr>
          <w:color w:val="000000"/>
        </w:rPr>
        <w:t xml:space="preserve">” </w:t>
      </w:r>
      <w:r>
        <w:rPr>
          <w:rFonts w:ascii="Times New Roman;serif" w:hAnsi="Times New Roman;serif"/>
          <w:b w:val="false"/>
          <w:color w:val="000000"/>
          <w:sz w:val="24"/>
        </w:rPr>
        <w:t>means any event, act or condition that with notice or lapse of time, or both, would (without cure or waiver hereunder) constitute an Event of Default.</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4"/>
        </w:rPr>
        <w:t>Definitive Note</w:t>
      </w:r>
      <w:r>
        <w:rPr>
          <w:color w:val="000000"/>
        </w:rPr>
        <w:t xml:space="preserve">” </w:t>
      </w:r>
      <w:r>
        <w:rPr>
          <w:rFonts w:ascii="Times New Roman;serif" w:hAnsi="Times New Roman;serif"/>
          <w:b w:val="false"/>
          <w:color w:val="000000"/>
          <w:sz w:val="24"/>
        </w:rPr>
        <w:t xml:space="preserve">means a certificated Note registered in the name of the Holder thereof and issued in accordance with </w:t>
      </w:r>
      <w:r>
        <w:rPr>
          <w:rFonts w:ascii="Times New Roman;serif" w:hAnsi="Times New Roman;serif"/>
          <w:b w:val="false"/>
          <w:color w:val="000000"/>
          <w:sz w:val="24"/>
          <w:u w:val="single"/>
        </w:rPr>
        <w:t>Section 2.06</w:t>
      </w:r>
      <w:r>
        <w:rPr>
          <w:color w:val="000000"/>
        </w:rPr>
        <w:t xml:space="preserve"> </w:t>
      </w:r>
      <w:r>
        <w:rPr>
          <w:rFonts w:ascii="Times New Roman;serif" w:hAnsi="Times New Roman;serif"/>
          <w:b w:val="false"/>
          <w:color w:val="000000"/>
          <w:sz w:val="24"/>
        </w:rPr>
        <w:t>hereof,</w:t>
      </w:r>
      <w:r>
        <w:rPr>
          <w:color w:val="000000"/>
        </w:rPr>
        <w:t xml:space="preserve"> </w:t>
      </w:r>
      <w:r>
        <w:rPr>
          <w:rFonts w:ascii="Times New Roman;serif" w:hAnsi="Times New Roman;serif"/>
          <w:b w:val="false"/>
          <w:color w:val="000000"/>
          <w:sz w:val="24"/>
        </w:rPr>
        <w:t>substantially</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form</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u w:val="single"/>
        </w:rPr>
        <w:t>Exhibit A</w:t>
      </w:r>
      <w:r>
        <w:rPr>
          <w:color w:val="000000"/>
        </w:rPr>
        <w:t xml:space="preserve"> </w:t>
      </w:r>
      <w:r>
        <w:rPr>
          <w:rFonts w:ascii="Times New Roman;serif" w:hAnsi="Times New Roman;serif"/>
          <w:b w:val="false"/>
          <w:color w:val="000000"/>
          <w:sz w:val="24"/>
        </w:rPr>
        <w:t>hereto,</w:t>
      </w:r>
      <w:r>
        <w:rPr>
          <w:color w:val="000000"/>
        </w:rPr>
        <w:t xml:space="preserve"> </w:t>
      </w:r>
      <w:r>
        <w:rPr>
          <w:rFonts w:ascii="Times New Roman;serif" w:hAnsi="Times New Roman;serif"/>
          <w:b w:val="false"/>
          <w:color w:val="000000"/>
          <w:sz w:val="24"/>
        </w:rPr>
        <w:t>except</w:t>
      </w:r>
      <w:r>
        <w:rPr>
          <w:color w:val="000000"/>
        </w:rPr>
        <w:t xml:space="preserve"> </w:t>
      </w:r>
      <w:r>
        <w:rPr>
          <w:rFonts w:ascii="Times New Roman;serif" w:hAnsi="Times New Roman;serif"/>
          <w:b w:val="false"/>
          <w:color w:val="000000"/>
          <w:sz w:val="24"/>
        </w:rPr>
        <w:t xml:space="preserve">that such Note shall not bear the Global Note Legend and shall not have the “Schedule of Exchanges of Interests in the Global Note” attached thereto. </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4"/>
        </w:rPr>
        <w:t>Depository</w:t>
      </w:r>
      <w:r>
        <w:rPr>
          <w:color w:val="000000"/>
        </w:rPr>
        <w:t xml:space="preserve">” </w:t>
      </w:r>
      <w:r>
        <w:rPr>
          <w:rFonts w:ascii="Times New Roman;serif" w:hAnsi="Times New Roman;serif"/>
          <w:b w:val="false"/>
          <w:color w:val="000000"/>
          <w:sz w:val="24"/>
        </w:rPr>
        <w:t>means DTC, its nominees and their respective successors.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4"/>
        </w:rPr>
        <w:t>Derivative Instrument</w:t>
      </w:r>
      <w:r>
        <w:rPr>
          <w:color w:val="000000"/>
        </w:rPr>
        <w:t xml:space="preserve">” </w:t>
      </w:r>
      <w:r>
        <w:rPr>
          <w:rFonts w:ascii="Times New Roman;serif" w:hAnsi="Times New Roman;serif"/>
          <w:b w:val="false"/>
          <w:color w:val="000000"/>
          <w:sz w:val="24"/>
        </w:rPr>
        <w:t xml:space="preserve">means, with respect to a Person, any contract, instrument or other right to receive payment or delivery of cash or other assets to which such Person or any Affiliate of such Person that is acting in concert with such Person in connection with such </w:t>
      </w:r>
    </w:p>
    <w:p>
      <w:pPr>
        <w:pStyle w:val="TextBody"/>
        <w:bidi w:val="0"/>
        <w:spacing w:before="0" w:after="0"/>
        <w:jc w:val="left"/>
        <w:rPr/>
      </w:pPr>
      <w:r>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6480175" cy="768985"/>
                <wp:effectExtent l="0" t="0" r="0" b="0"/>
                <wp:wrapNone/>
                <wp:docPr id="181" name="Frame181"/>
                <a:graphic xmlns:a="http://schemas.openxmlformats.org/drawingml/2006/main">
                  <a:graphicData uri="http://schemas.microsoft.com/office/word/2010/wordprocessingShape">
                    <wps:wsp>
                      <wps:cNvSpPr txBox="1"/>
                      <wps:spPr>
                        <a:xfrm>
                          <a:off x="0" y="0"/>
                          <a:ext cx="6480175" cy="7689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8</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0.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8</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Person’s investment in the Notes (other than a Screened Affiliate) is a party (whether or not requiring further performance by such Person), the value and/or cash flows of which (or any material portion thereof) are materially affected by the value and/or performance of the Notes and/or the creditworthiness of the Issuer and/or any one or more of the Subsidiary Guarantors (the “</w:t>
      </w:r>
      <w:r>
        <w:rPr>
          <w:rFonts w:ascii="Times New Roman;serif" w:hAnsi="Times New Roman;serif"/>
          <w:b w:val="false"/>
          <w:i/>
          <w:color w:val="000000"/>
          <w:sz w:val="24"/>
        </w:rPr>
        <w:t>Performance References</w:t>
      </w:r>
      <w:r>
        <w:rPr>
          <w:color w:val="000000"/>
        </w:rPr>
        <w:t>”</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4"/>
        </w:rPr>
        <w:t>Disposition</w:t>
      </w:r>
      <w:r>
        <w:rPr>
          <w:color w:val="000000"/>
        </w:rPr>
        <w:t xml:space="preserve">” </w:t>
      </w:r>
      <w:r>
        <w:rPr>
          <w:rFonts w:ascii="Times New Roman;serif" w:hAnsi="Times New Roman;serif"/>
          <w:b w:val="false"/>
          <w:color w:val="000000"/>
          <w:sz w:val="24"/>
        </w:rPr>
        <w:t>means (i) the conveyance, sale, lease (other than an operating lease entered into in the ordinary course of business or consistent with past practice), assignment, transfer, issuance or otherwise the consummation of the disposition of any of property, business or assets (including receivables and leasehold interests), whether now owned or hereafter acquired or (ii) consummation of the sale to any Person of any Capital Stock of a Subsidiary, in each case by the Issuer or any Subsidiary.</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4"/>
        </w:rPr>
        <w:t>Disqualified Stock</w:t>
      </w:r>
      <w:r>
        <w:rPr>
          <w:color w:val="000000"/>
        </w:rPr>
        <w:t xml:space="preserve">” </w:t>
      </w:r>
      <w:r>
        <w:rPr>
          <w:rFonts w:ascii="Times New Roman;serif" w:hAnsi="Times New Roman;serif"/>
          <w:b w:val="false"/>
          <w:color w:val="000000"/>
          <w:sz w:val="24"/>
        </w:rPr>
        <w:t xml:space="preserve">means any Capital Stock that, by its terms (or by the terms of any security into which it is convertible, or for which it is exchangeable, in each case at the option of the holder of the Capital Stock), or upon the happening of any event, matures or is mandatorily redeemable (other than solely for Capital Stock that is not Disqualified Stock), pursuant to a sinking fund obligation or otherwise, or redeemable at the option of the holder of the Capital Stock, in whole or in part, on or prior to the date that is 91 days after the date on which the Notes mature; </w:t>
      </w:r>
      <w:r>
        <w:rPr>
          <w:rFonts w:ascii="Times New Roman;serif" w:hAnsi="Times New Roman;serif"/>
          <w:b w:val="false"/>
          <w:i/>
          <w:color w:val="000000"/>
          <w:sz w:val="24"/>
        </w:rPr>
        <w:t xml:space="preserve">provided, that, </w:t>
      </w:r>
      <w:r>
        <w:rPr>
          <w:rFonts w:ascii="Times New Roman;serif" w:hAnsi="Times New Roman;serif"/>
          <w:b w:val="false"/>
          <w:color w:val="000000"/>
          <w:sz w:val="24"/>
        </w:rPr>
        <w:t xml:space="preserve">if such Capital Stock is issued to any plan for the benefit of employees of the Issuer or any of its Subsidiaries or by any such plan to such employees, such Capital Stock shall not constitute Disqualified Stock solely because it may be required to be repurchased by the Issuer (or any direct or indirect parent company thereof) or any of its Subsidiaries in order to satisfy applicable statutory or regulatory obligations; </w:t>
      </w:r>
      <w:r>
        <w:rPr>
          <w:rFonts w:ascii="Times New Roman;serif" w:hAnsi="Times New Roman;serif"/>
          <w:b w:val="false"/>
          <w:i/>
          <w:color w:val="000000"/>
          <w:sz w:val="24"/>
        </w:rPr>
        <w:t xml:space="preserve">provided, further, </w:t>
      </w:r>
      <w:r>
        <w:rPr>
          <w:rFonts w:ascii="Times New Roman;serif" w:hAnsi="Times New Roman;serif"/>
          <w:b w:val="false"/>
          <w:color w:val="000000"/>
          <w:sz w:val="24"/>
        </w:rPr>
        <w:t>that any Capital Stock held by any present or former employee, officer, director, manager or consultant, of the Issuer, any of its Subsidiaries or any of its direct or indirect parent companies or any other entity in which the Issuer or any Subsidiary has an Investment and is designated in good faith as an “affiliate” by the Board of Directors of the Issuer, in each case, pursuant to any stockholders’ agreement, management equity plan or stock incentive plan or any other management or employee benefit plan or agreement or otherwise in order to satisfy applicable statutory or regulatory obligations or as a result of the termination, death or disability of such employee, officer, director, manager or consultant shall not constitute Disqualified Stock solely because it may be required to be repurchased by the Issuer or any of its Subsidiaries.</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4"/>
        </w:rPr>
        <w:t>Distribution</w:t>
      </w:r>
      <w:r>
        <w:rPr>
          <w:color w:val="000000"/>
        </w:rPr>
        <w:t xml:space="preserve"> </w:t>
      </w:r>
      <w:r>
        <w:rPr>
          <w:rFonts w:ascii="Times New Roman;serif" w:hAnsi="Times New Roman;serif"/>
          <w:b w:val="false"/>
          <w:i/>
          <w:color w:val="000000"/>
          <w:sz w:val="24"/>
        </w:rPr>
        <w:t>Compliance</w:t>
      </w:r>
      <w:r>
        <w:rPr>
          <w:color w:val="000000"/>
        </w:rPr>
        <w:t xml:space="preserve"> </w:t>
      </w:r>
      <w:r>
        <w:rPr>
          <w:rFonts w:ascii="Times New Roman;serif" w:hAnsi="Times New Roman;serif"/>
          <w:b w:val="false"/>
          <w:i/>
          <w:color w:val="000000"/>
          <w:sz w:val="24"/>
        </w:rPr>
        <w:t>Period</w:t>
      </w:r>
      <w:r>
        <w:rPr>
          <w:color w:val="000000"/>
        </w:rPr>
        <w:t xml:space="preserve">” </w:t>
      </w:r>
      <w:r>
        <w:rPr>
          <w:rFonts w:ascii="Times New Roman;serif" w:hAnsi="Times New Roman;serif"/>
          <w:b w:val="false"/>
          <w:color w:val="000000"/>
          <w:sz w:val="24"/>
        </w:rPr>
        <w:t>means</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40-day</w:t>
      </w:r>
      <w:r>
        <w:rPr>
          <w:color w:val="000000"/>
        </w:rPr>
        <w:t xml:space="preserve"> </w:t>
      </w:r>
      <w:r>
        <w:rPr>
          <w:rFonts w:ascii="Times New Roman;serif" w:hAnsi="Times New Roman;serif"/>
          <w:b w:val="false"/>
          <w:color w:val="000000"/>
          <w:sz w:val="24"/>
        </w:rPr>
        <w:t>distribution</w:t>
      </w:r>
      <w:r>
        <w:rPr>
          <w:color w:val="000000"/>
        </w:rPr>
        <w:t xml:space="preserve"> </w:t>
      </w:r>
      <w:r>
        <w:rPr>
          <w:rFonts w:ascii="Times New Roman;serif" w:hAnsi="Times New Roman;serif"/>
          <w:b w:val="false"/>
          <w:color w:val="000000"/>
          <w:sz w:val="24"/>
        </w:rPr>
        <w:t>compliance</w:t>
      </w:r>
      <w:r>
        <w:rPr>
          <w:color w:val="000000"/>
        </w:rPr>
        <w:t xml:space="preserve"> </w:t>
      </w:r>
      <w:r>
        <w:rPr>
          <w:rFonts w:ascii="Times New Roman;serif" w:hAnsi="Times New Roman;serif"/>
          <w:b w:val="false"/>
          <w:color w:val="000000"/>
          <w:sz w:val="24"/>
        </w:rPr>
        <w:t>period</w:t>
      </w:r>
      <w:r>
        <w:rPr>
          <w:color w:val="000000"/>
        </w:rPr>
        <w:t xml:space="preserve"> </w:t>
      </w:r>
      <w:r>
        <w:rPr>
          <w:rFonts w:ascii="Times New Roman;serif" w:hAnsi="Times New Roman;serif"/>
          <w:b w:val="false"/>
          <w:color w:val="000000"/>
          <w:sz w:val="24"/>
        </w:rPr>
        <w:t>as</w:t>
      </w:r>
      <w:r>
        <w:rPr>
          <w:color w:val="000000"/>
        </w:rPr>
        <w:t xml:space="preserve"> </w:t>
      </w:r>
      <w:r>
        <w:rPr>
          <w:rFonts w:ascii="Times New Roman;serif" w:hAnsi="Times New Roman;serif"/>
          <w:b w:val="false"/>
          <w:color w:val="000000"/>
          <w:sz w:val="24"/>
        </w:rPr>
        <w:t>defined</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Regulation</w:t>
      </w:r>
      <w:r>
        <w:rPr>
          <w:color w:val="000000"/>
        </w:rPr>
        <w:t xml:space="preserve"> </w:t>
      </w:r>
      <w:r>
        <w:rPr>
          <w:rFonts w:ascii="Times New Roman;serif" w:hAnsi="Times New Roman;serif"/>
          <w:b w:val="false"/>
          <w:color w:val="000000"/>
          <w:sz w:val="24"/>
        </w:rPr>
        <w:t>S.</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4"/>
        </w:rPr>
        <w:t>Domestic Subsidiary</w:t>
      </w:r>
      <w:r>
        <w:rPr>
          <w:color w:val="000000"/>
        </w:rPr>
        <w:t xml:space="preserve">” </w:t>
      </w:r>
      <w:r>
        <w:rPr>
          <w:rFonts w:ascii="Times New Roman;serif" w:hAnsi="Times New Roman;serif"/>
          <w:b w:val="false"/>
          <w:color w:val="000000"/>
          <w:sz w:val="24"/>
        </w:rPr>
        <w:t>means any Subsidiary of the Issuer that was incorporated or organized under the laws of the United States, any state thereof or the District of Columbia.</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4"/>
        </w:rPr>
        <w:t>DTC</w:t>
      </w:r>
      <w:r>
        <w:rPr>
          <w:color w:val="000000"/>
        </w:rPr>
        <w:t xml:space="preserve">” </w:t>
      </w:r>
      <w:r>
        <w:rPr>
          <w:rFonts w:ascii="Times New Roman;serif" w:hAnsi="Times New Roman;serif"/>
          <w:b w:val="false"/>
          <w:color w:val="000000"/>
          <w:sz w:val="24"/>
        </w:rPr>
        <w:t>means The Depository Trust Company.</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4"/>
        </w:rPr>
        <w:t>Environmental CapEx Debt</w:t>
      </w:r>
      <w:r>
        <w:rPr>
          <w:color w:val="000000"/>
        </w:rPr>
        <w:t xml:space="preserve">” </w:t>
      </w:r>
      <w:r>
        <w:rPr>
          <w:rFonts w:ascii="Times New Roman;serif" w:hAnsi="Times New Roman;serif"/>
          <w:b w:val="false"/>
          <w:color w:val="000000"/>
          <w:sz w:val="24"/>
        </w:rPr>
        <w:t>means Indebtedness of the Issuer or its Subsidiaries incurred for the purpose of financing capital expenditures and other costs deemed reasonably necessary by the Issuer or any Subsidiary or otherwise undertaken voluntarily by the Issuer or any Subsidiary, to comply with, or in anticipation of having to comply with, applicable Environmental Laws or capital expenditures otherwise undertaken voluntarily by the Issuer or any Subsidiary in connection with environmental matters (collectively, “</w:t>
      </w:r>
      <w:r>
        <w:rPr>
          <w:rFonts w:ascii="Times New Roman;serif" w:hAnsi="Times New Roman;serif"/>
          <w:b w:val="false"/>
          <w:i/>
          <w:color w:val="000000"/>
          <w:sz w:val="24"/>
        </w:rPr>
        <w:t>Environmental CapEx</w:t>
      </w:r>
      <w:r>
        <w:rPr>
          <w:color w:val="000000"/>
        </w:rPr>
        <w:t>”</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4"/>
        </w:rPr>
        <w:t>Environmental Law</w:t>
      </w:r>
      <w:r>
        <w:rPr>
          <w:color w:val="000000"/>
        </w:rPr>
        <w:t xml:space="preserve">” </w:t>
      </w:r>
      <w:r>
        <w:rPr>
          <w:rFonts w:ascii="Times New Roman;serif" w:hAnsi="Times New Roman;serif"/>
          <w:b w:val="false"/>
          <w:color w:val="000000"/>
          <w:sz w:val="24"/>
        </w:rPr>
        <w:t xml:space="preserve">means any applicable federal, state, foreign or local statute, law, rule, regulation, ordinance, code or rule of common law now or hereafter in effect, in each case, as amended, and any legally binding judicial or administrative interpretation thereof, including </w:t>
      </w:r>
    </w:p>
    <w:p>
      <w:pPr>
        <w:pStyle w:val="TextBody"/>
        <w:bidi w:val="0"/>
        <w:spacing w:before="0" w:after="0"/>
        <w:jc w:val="left"/>
        <w:rPr/>
      </w:pPr>
      <w:r>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6480175" cy="768985"/>
                <wp:effectExtent l="0" t="0" r="0" b="0"/>
                <wp:wrapNone/>
                <wp:docPr id="182" name="Frame182"/>
                <a:graphic xmlns:a="http://schemas.openxmlformats.org/drawingml/2006/main">
                  <a:graphicData uri="http://schemas.microsoft.com/office/word/2010/wordprocessingShape">
                    <wps:wsp>
                      <wps:cNvSpPr txBox="1"/>
                      <wps:spPr>
                        <a:xfrm>
                          <a:off x="0" y="0"/>
                          <a:ext cx="6480175" cy="7689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9</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0.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9</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any legally binding judicial or administrative order, consent decree or judgment, relating to the protection of the environment, or to human health or safety (in each case to the extent relating to human exposure to Hazardous Materials) or Hazardous Materials.</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4"/>
        </w:rPr>
        <w:t>Equity Interests</w:t>
      </w:r>
      <w:r>
        <w:rPr>
          <w:color w:val="000000"/>
        </w:rPr>
        <w:t xml:space="preserve">” </w:t>
      </w:r>
      <w:r>
        <w:rPr>
          <w:rFonts w:ascii="Times New Roman;serif" w:hAnsi="Times New Roman;serif"/>
          <w:b w:val="false"/>
          <w:color w:val="000000"/>
          <w:sz w:val="24"/>
        </w:rPr>
        <w:t>means Capital Stock and all warrants, options or other rights to acquire Capital Stock (but excluding any debt security that is convertible into, or exchangeable for, Capital Stock).</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4"/>
        </w:rPr>
        <w:t>Equity Offering</w:t>
      </w:r>
      <w:r>
        <w:rPr>
          <w:color w:val="000000"/>
        </w:rPr>
        <w:t xml:space="preserve">” </w:t>
      </w:r>
      <w:r>
        <w:rPr>
          <w:rFonts w:ascii="Times New Roman;serif" w:hAnsi="Times New Roman;serif"/>
          <w:b w:val="false"/>
          <w:color w:val="000000"/>
          <w:sz w:val="24"/>
        </w:rPr>
        <w:t xml:space="preserve">means (a) a public or private sale of Equity Interests of the Issuer or any of its direct or indirect parent companies (excluding Disqualified Stock) or (b) any cash contribution to the equity capital of the Issuer, other than: (i) public offerings with respect to the Issuer’s or any direct or indirect parent company’s common stock registered on Form S-8; and (ii) issuances to any Subsidiary of the Issuer or any such parent, in each case made after the Issue Date. </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4"/>
        </w:rPr>
        <w:t>Euroclear</w:t>
      </w:r>
      <w:r>
        <w:rPr>
          <w:color w:val="000000"/>
        </w:rPr>
        <w:t xml:space="preserve">” </w:t>
      </w:r>
      <w:r>
        <w:rPr>
          <w:rFonts w:ascii="Times New Roman;serif" w:hAnsi="Times New Roman;serif"/>
          <w:b w:val="false"/>
          <w:color w:val="000000"/>
          <w:sz w:val="24"/>
        </w:rPr>
        <w:t>means</w:t>
      </w:r>
      <w:r>
        <w:rPr>
          <w:color w:val="000000"/>
        </w:rPr>
        <w:t xml:space="preserve"> </w:t>
      </w:r>
      <w:r>
        <w:rPr>
          <w:rFonts w:ascii="Times New Roman;serif" w:hAnsi="Times New Roman;serif"/>
          <w:b w:val="false"/>
          <w:color w:val="000000"/>
          <w:sz w:val="24"/>
        </w:rPr>
        <w:t>Euroclear</w:t>
      </w:r>
      <w:r>
        <w:rPr>
          <w:color w:val="000000"/>
        </w:rPr>
        <w:t xml:space="preserve"> </w:t>
      </w:r>
      <w:r>
        <w:rPr>
          <w:rFonts w:ascii="Times New Roman;serif" w:hAnsi="Times New Roman;serif"/>
          <w:b w:val="false"/>
          <w:color w:val="000000"/>
          <w:sz w:val="24"/>
        </w:rPr>
        <w:t>Bank</w:t>
      </w:r>
      <w:r>
        <w:rPr>
          <w:color w:val="000000"/>
        </w:rPr>
        <w:t xml:space="preserve"> </w:t>
      </w:r>
      <w:r>
        <w:rPr>
          <w:rFonts w:ascii="Times New Roman;serif" w:hAnsi="Times New Roman;serif"/>
          <w:b w:val="false"/>
          <w:color w:val="000000"/>
          <w:sz w:val="24"/>
        </w:rPr>
        <w:t>SA/NV, as</w:t>
      </w:r>
      <w:r>
        <w:rPr>
          <w:color w:val="000000"/>
        </w:rPr>
        <w:t xml:space="preserve"> </w:t>
      </w:r>
      <w:r>
        <w:rPr>
          <w:rFonts w:ascii="Times New Roman;serif" w:hAnsi="Times New Roman;serif"/>
          <w:b w:val="false"/>
          <w:color w:val="000000"/>
          <w:sz w:val="24"/>
        </w:rPr>
        <w:t>operator of the</w:t>
      </w:r>
      <w:r>
        <w:rPr>
          <w:color w:val="000000"/>
        </w:rPr>
        <w:t xml:space="preserve"> </w:t>
      </w:r>
      <w:r>
        <w:rPr>
          <w:rFonts w:ascii="Times New Roman;serif" w:hAnsi="Times New Roman;serif"/>
          <w:b w:val="false"/>
          <w:color w:val="000000"/>
          <w:sz w:val="24"/>
        </w:rPr>
        <w:t>Euroclear</w:t>
      </w:r>
      <w:r>
        <w:rPr>
          <w:color w:val="000000"/>
        </w:rPr>
        <w:t xml:space="preserve"> </w:t>
      </w:r>
      <w:r>
        <w:rPr>
          <w:rFonts w:ascii="Times New Roman;serif" w:hAnsi="Times New Roman;serif"/>
          <w:b w:val="false"/>
          <w:color w:val="000000"/>
          <w:sz w:val="24"/>
        </w:rPr>
        <w:t>System, and</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successor thereto.</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4"/>
        </w:rPr>
        <w:t>Exchange Act</w:t>
      </w:r>
      <w:r>
        <w:rPr>
          <w:color w:val="000000"/>
        </w:rPr>
        <w:t xml:space="preserve">” </w:t>
      </w:r>
      <w:r>
        <w:rPr>
          <w:rFonts w:ascii="Times New Roman;serif" w:hAnsi="Times New Roman;serif"/>
          <w:b w:val="false"/>
          <w:color w:val="000000"/>
          <w:sz w:val="24"/>
        </w:rPr>
        <w:t>means the Securities Exchange Act of 1934, as amended, and the rules and regulations promulgated thereunder.</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4"/>
        </w:rPr>
        <w:t>Fitch</w:t>
      </w:r>
      <w:r>
        <w:rPr>
          <w:color w:val="000000"/>
        </w:rPr>
        <w:t xml:space="preserve">” </w:t>
      </w:r>
      <w:r>
        <w:rPr>
          <w:rFonts w:ascii="Times New Roman;serif" w:hAnsi="Times New Roman;serif"/>
          <w:b w:val="false"/>
          <w:color w:val="000000"/>
          <w:sz w:val="24"/>
        </w:rPr>
        <w:t xml:space="preserve">means Fitch Ratings, Inc. or any of its successors or assigns that is a Nationally Recognized Statistical Rating Organization. </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4"/>
        </w:rPr>
        <w:t>Foreign Subsidiary</w:t>
      </w:r>
      <w:r>
        <w:rPr>
          <w:color w:val="000000"/>
        </w:rPr>
        <w:t xml:space="preserve">” </w:t>
      </w:r>
      <w:r>
        <w:rPr>
          <w:rFonts w:ascii="Times New Roman;serif" w:hAnsi="Times New Roman;serif"/>
          <w:b w:val="false"/>
          <w:color w:val="000000"/>
          <w:sz w:val="24"/>
        </w:rPr>
        <w:t>of any Person means any Subsidiary of such Person that is not a Domestic Subsidiary.</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4"/>
        </w:rPr>
        <w:t>GAAP</w:t>
      </w:r>
      <w:r>
        <w:rPr>
          <w:color w:val="000000"/>
        </w:rPr>
        <w:t xml:space="preserve">” </w:t>
      </w:r>
      <w:r>
        <w:rPr>
          <w:rFonts w:ascii="Times New Roman;serif" w:hAnsi="Times New Roman;serif"/>
          <w:b w:val="false"/>
          <w:color w:val="000000"/>
          <w:sz w:val="24"/>
        </w:rPr>
        <w:t xml:space="preserve">means generally accepted accounting principles in the United States of America, as in effect from time to time;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w:t>
      </w:r>
      <w:r>
        <w:rPr>
          <w:rFonts w:ascii="Times New Roman;serif" w:hAnsi="Times New Roman;serif"/>
          <w:b w:val="false"/>
          <w:i/>
          <w:color w:val="000000"/>
          <w:sz w:val="24"/>
        </w:rPr>
        <w:t>however</w:t>
      </w:r>
      <w:r>
        <w:rPr>
          <w:rFonts w:ascii="Times New Roman;serif" w:hAnsi="Times New Roman;serif"/>
          <w:b w:val="false"/>
          <w:color w:val="000000"/>
          <w:sz w:val="24"/>
        </w:rPr>
        <w:t>, that if the Issuer notifies the Trustee that the Issuer requests an amendment to any provision hereof to eliminate the effect of any change occurring after the Issue Date in GAAP or in the application thereof on the operation of such provision (an “</w:t>
      </w:r>
      <w:r>
        <w:rPr>
          <w:rFonts w:ascii="Times New Roman;serif" w:hAnsi="Times New Roman;serif"/>
          <w:b w:val="false"/>
          <w:i/>
          <w:color w:val="000000"/>
          <w:sz w:val="24"/>
        </w:rPr>
        <w:t>Accounting Change</w:t>
      </w:r>
      <w:r>
        <w:rPr>
          <w:color w:val="000000"/>
        </w:rPr>
        <w:t>”</w:t>
      </w:r>
      <w:r>
        <w:rPr>
          <w:rFonts w:ascii="Times New Roman;serif" w:hAnsi="Times New Roman;serif"/>
          <w:b w:val="false"/>
          <w:color w:val="000000"/>
          <w:sz w:val="24"/>
        </w:rPr>
        <w:t xml:space="preserve">), regardless of whether any such notice is given before or after such change in GAAP or in the application thereof, then such provision shall be interpreted on the basis of GAAP as in effect and applied immediately before such Accounting Change shall have become effective until such notice shall have been withdrawn or such provision amended in accordance herewith. </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4"/>
        </w:rPr>
        <w:t>Global Note Legend</w:t>
      </w:r>
      <w:r>
        <w:rPr>
          <w:color w:val="000000"/>
        </w:rPr>
        <w:t xml:space="preserve">” </w:t>
      </w:r>
      <w:r>
        <w:rPr>
          <w:rFonts w:ascii="Times New Roman;serif" w:hAnsi="Times New Roman;serif"/>
          <w:b w:val="false"/>
          <w:color w:val="000000"/>
          <w:sz w:val="24"/>
        </w:rPr>
        <w:t xml:space="preserve">means the legend set forth in </w:t>
      </w:r>
      <w:r>
        <w:rPr>
          <w:rFonts w:ascii="Times New Roman;serif" w:hAnsi="Times New Roman;serif"/>
          <w:b w:val="false"/>
          <w:color w:val="000000"/>
          <w:sz w:val="24"/>
          <w:u w:val="single"/>
        </w:rPr>
        <w:t>Section 2.06(f)(2)</w:t>
      </w:r>
      <w:r>
        <w:rPr>
          <w:rFonts w:ascii="Times New Roman;serif" w:hAnsi="Times New Roman;serif"/>
          <w:b w:val="false"/>
          <w:color w:val="000000"/>
          <w:sz w:val="24"/>
        </w:rPr>
        <w:t>, which is required to be placed on all Global Notes issued under this</w:t>
      </w:r>
      <w:r>
        <w:rPr>
          <w:color w:val="000000"/>
        </w:rPr>
        <w:t xml:space="preserve"> </w:t>
      </w:r>
      <w:r>
        <w:rPr>
          <w:rFonts w:ascii="Times New Roman;serif" w:hAnsi="Times New Roman;serif"/>
          <w:b w:val="false"/>
          <w:color w:val="000000"/>
          <w:sz w:val="24"/>
        </w:rPr>
        <w:t>Indenture.</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4"/>
        </w:rPr>
        <w:t>Global Notes</w:t>
      </w:r>
      <w:r>
        <w:rPr>
          <w:color w:val="000000"/>
        </w:rPr>
        <w:t xml:space="preserve">” </w:t>
      </w:r>
      <w:r>
        <w:rPr>
          <w:rFonts w:ascii="Times New Roman;serif" w:hAnsi="Times New Roman;serif"/>
          <w:b w:val="false"/>
          <w:color w:val="000000"/>
          <w:sz w:val="24"/>
        </w:rPr>
        <w:t>means,</w:t>
      </w:r>
      <w:r>
        <w:rPr>
          <w:color w:val="000000"/>
        </w:rPr>
        <w:t xml:space="preserve"> </w:t>
      </w:r>
      <w:r>
        <w:rPr>
          <w:rFonts w:ascii="Times New Roman;serif" w:hAnsi="Times New Roman;serif"/>
          <w:b w:val="false"/>
          <w:color w:val="000000"/>
          <w:sz w:val="24"/>
        </w:rPr>
        <w:t>individually</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collectively,</w:t>
      </w:r>
      <w:r>
        <w:rPr>
          <w:color w:val="000000"/>
        </w:rPr>
        <w:t xml:space="preserve"> </w:t>
      </w:r>
      <w:r>
        <w:rPr>
          <w:rFonts w:ascii="Times New Roman;serif" w:hAnsi="Times New Roman;serif"/>
          <w:b w:val="false"/>
          <w:color w:val="000000"/>
          <w:sz w:val="24"/>
        </w:rPr>
        <w:t>each</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Global</w:t>
      </w:r>
      <w:r>
        <w:rPr>
          <w:color w:val="000000"/>
        </w:rPr>
        <w:t xml:space="preserve"> </w:t>
      </w:r>
      <w:r>
        <w:rPr>
          <w:rFonts w:ascii="Times New Roman;serif" w:hAnsi="Times New Roman;serif"/>
          <w:b w:val="false"/>
          <w:color w:val="000000"/>
          <w:sz w:val="24"/>
        </w:rPr>
        <w:t>Notes</w:t>
      </w:r>
      <w:r>
        <w:rPr>
          <w:color w:val="000000"/>
        </w:rPr>
        <w:t xml:space="preserve"> </w:t>
      </w:r>
      <w:r>
        <w:rPr>
          <w:rFonts w:ascii="Times New Roman;serif" w:hAnsi="Times New Roman;serif"/>
          <w:b w:val="false"/>
          <w:color w:val="000000"/>
          <w:sz w:val="24"/>
        </w:rPr>
        <w:t>substantially</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form</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u w:val="single"/>
        </w:rPr>
        <w:t>Exhibit A</w:t>
      </w:r>
      <w:r>
        <w:rPr>
          <w:color w:val="000000"/>
        </w:rPr>
        <w:t xml:space="preserve"> </w:t>
      </w:r>
      <w:r>
        <w:rPr>
          <w:rFonts w:ascii="Times New Roman;serif" w:hAnsi="Times New Roman;serif"/>
          <w:b w:val="false"/>
          <w:color w:val="000000"/>
          <w:sz w:val="24"/>
        </w:rPr>
        <w:t xml:space="preserve">hereto, issued in accordance with </w:t>
      </w:r>
      <w:r>
        <w:rPr>
          <w:rFonts w:ascii="Times New Roman;serif" w:hAnsi="Times New Roman;serif"/>
          <w:b w:val="false"/>
          <w:color w:val="000000"/>
          <w:sz w:val="24"/>
          <w:u w:val="single"/>
        </w:rPr>
        <w:t>Section 2.01</w:t>
      </w:r>
      <w:r>
        <w:rPr>
          <w:color w:val="000000"/>
        </w:rPr>
        <w:t xml:space="preserve"> </w:t>
      </w:r>
      <w:r>
        <w:rPr>
          <w:rFonts w:ascii="Times New Roman;serif" w:hAnsi="Times New Roman;serif"/>
          <w:b w:val="false"/>
          <w:color w:val="000000"/>
          <w:sz w:val="24"/>
        </w:rPr>
        <w:t>hereof.</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4"/>
        </w:rPr>
        <w:t>Government Securities</w:t>
      </w:r>
      <w:r>
        <w:rPr>
          <w:color w:val="000000"/>
        </w:rPr>
        <w:t xml:space="preserve">” </w:t>
      </w:r>
      <w:r>
        <w:rPr>
          <w:rFonts w:ascii="Times New Roman;serif" w:hAnsi="Times New Roman;serif"/>
          <w:b w:val="false"/>
          <w:color w:val="000000"/>
          <w:sz w:val="24"/>
        </w:rPr>
        <w:t>means direct obligations of, or obligations guaranteed by, the United States of America (including any agency or instrumentality thereof) for the payment of which obligations or guarantees the full faith and credit of the United States of America is pledged and which are not callable or redeemable at the issuer’s option.</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4"/>
        </w:rPr>
        <w:t>Governmental Authority</w:t>
      </w:r>
      <w:r>
        <w:rPr>
          <w:color w:val="000000"/>
        </w:rPr>
        <w:t xml:space="preserve">” </w:t>
      </w:r>
      <w:r>
        <w:rPr>
          <w:rFonts w:ascii="Times New Roman;serif" w:hAnsi="Times New Roman;serif"/>
          <w:b w:val="false"/>
          <w:color w:val="000000"/>
          <w:sz w:val="24"/>
        </w:rPr>
        <w:t xml:space="preserve">means any nation, sovereign or government, any state, province, territory or other political subdivision thereof, and any entity or authority exercising executive, legislative, judicial, taxing, regulatory or administrative functions of or pertaining to government or any governmental or non-governmental authority regulating the generation and/or </w:t>
      </w:r>
    </w:p>
    <w:p>
      <w:pPr>
        <w:pStyle w:val="TextBody"/>
        <w:bidi w:val="0"/>
        <w:spacing w:before="0" w:after="0"/>
        <w:jc w:val="left"/>
        <w:rPr/>
      </w:pPr>
      <w:r>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6480175" cy="768985"/>
                <wp:effectExtent l="0" t="0" r="0" b="0"/>
                <wp:wrapNone/>
                <wp:docPr id="183" name="Frame183"/>
                <a:graphic xmlns:a="http://schemas.openxmlformats.org/drawingml/2006/main">
                  <a:graphicData uri="http://schemas.microsoft.com/office/word/2010/wordprocessingShape">
                    <wps:wsp>
                      <wps:cNvSpPr txBox="1"/>
                      <wps:spPr>
                        <a:xfrm>
                          <a:off x="0" y="0"/>
                          <a:ext cx="6480175" cy="7689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10</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0.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10</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transmission of energy, including the U.S. Federal Energy Regulatory Commission, the Nuclear Regulatory Commission, PJM, a central bank, stock exchange or any other ISO or RTO. </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4"/>
        </w:rPr>
        <w:t>Guarantee Obligations</w:t>
      </w:r>
      <w:r>
        <w:rPr>
          <w:color w:val="000000"/>
        </w:rPr>
        <w:t xml:space="preserve">” </w:t>
      </w:r>
      <w:r>
        <w:rPr>
          <w:rFonts w:ascii="Times New Roman;serif" w:hAnsi="Times New Roman;serif"/>
          <w:b w:val="false"/>
          <w:color w:val="000000"/>
          <w:sz w:val="24"/>
        </w:rPr>
        <w:t>means, as to any Person, any obligation of such Person guaranteeing or intended to guarantee any Indebtedness of any other Person (the “</w:t>
      </w:r>
      <w:r>
        <w:rPr>
          <w:rFonts w:ascii="Times New Roman;serif" w:hAnsi="Times New Roman;serif"/>
          <w:b w:val="false"/>
          <w:i/>
          <w:color w:val="000000"/>
          <w:sz w:val="24"/>
        </w:rPr>
        <w:t>primary obligor</w:t>
      </w:r>
      <w:r>
        <w:rPr>
          <w:color w:val="000000"/>
        </w:rPr>
        <w:t>”</w:t>
      </w:r>
      <w:r>
        <w:rPr>
          <w:rFonts w:ascii="Times New Roman;serif" w:hAnsi="Times New Roman;serif"/>
          <w:b w:val="false"/>
          <w:color w:val="000000"/>
          <w:sz w:val="24"/>
        </w:rPr>
        <w:t xml:space="preserve">) in any manner, whether directly or indirectly, including any obligation of such Person, whether or not contingent, (a) to purchase any such Indebtedness or any property constituting direct or indirect security therefor, (b) to advance or supply funds (i) for the purchase or payment of any such Indebtedness or (ii) to maintain working capital or equity capital of the primary obligor or otherwise to maintain the net worth or solvency of the primary obligor, (c) to purchase property, securities or services primarily for the purpose of assuring the owner of any such Indebtedness of the ability of the primary obligor to make payment of such Indebtedness or (d) otherwise to assure or hold harmless the owner of such Indebtedness against loss in respect thereof;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w:t>
      </w:r>
      <w:r>
        <w:rPr>
          <w:rFonts w:ascii="Times New Roman;serif" w:hAnsi="Times New Roman;serif"/>
          <w:b w:val="false"/>
          <w:i/>
          <w:color w:val="000000"/>
          <w:sz w:val="24"/>
        </w:rPr>
        <w:t>however</w:t>
      </w:r>
      <w:r>
        <w:rPr>
          <w:rFonts w:ascii="Times New Roman;serif" w:hAnsi="Times New Roman;serif"/>
          <w:b w:val="false"/>
          <w:color w:val="000000"/>
          <w:sz w:val="24"/>
        </w:rPr>
        <w:t>, that the term “Guarantee Obligations” shall not include endorsements of instruments for deposit or collection in the ordinary course of business or customary and reasonable indemnity obligations in effect on the Issue Date or entered into in connection with any acquisition or disposition of assets permitted under this Indenture (other than such obligations with respect to Indebtedness). The amount of any Guarantee Obligation shall be deemed to be an amount equal to the stated or determinable amount of the Indebtedness in respect of which such Guarantee Obligation is made or, if not stated or determinable, the maximum reasonably anticipated liability in respect thereof (assuming such Person is required to perform thereunder) as determined by such Person in good faith.</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4"/>
        </w:rPr>
        <w:t>Hazardous Materials</w:t>
      </w:r>
      <w:r>
        <w:rPr>
          <w:color w:val="000000"/>
        </w:rPr>
        <w:t xml:space="preserve">” </w:t>
      </w:r>
      <w:r>
        <w:rPr>
          <w:rFonts w:ascii="Times New Roman;serif" w:hAnsi="Times New Roman;serif"/>
          <w:b w:val="false"/>
          <w:color w:val="000000"/>
          <w:sz w:val="24"/>
        </w:rPr>
        <w:t>means (a) any petroleum or petroleum products spilled or released into the environment, radioactive materials, friable asbestos, urea formaldehyde foam insulation, polychlorinated biphenyls and radon gas; (b) any chemicals, materials or substances defined as or included in the definition of “hazardous substances,” “hazardous waste,” “hazardous materials,” “extremely hazardous waste,” “restricted hazardous waste,” “toxic substances,” “toxic pollutants,” “contaminants,” or “pollutants” or words of similar import, under any applicable Environmental Law; and (c) any other chemical, material or substance, for which a release into the environment is prohibited, limited or regulated by any Environmental Law.</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4"/>
        </w:rPr>
        <w:t>Hedging Obligations</w:t>
      </w:r>
      <w:r>
        <w:rPr>
          <w:color w:val="000000"/>
        </w:rPr>
        <w:t xml:space="preserve">” </w:t>
      </w:r>
      <w:r>
        <w:rPr>
          <w:rFonts w:ascii="Times New Roman;serif" w:hAnsi="Times New Roman;serif"/>
          <w:b w:val="false"/>
          <w:color w:val="000000"/>
          <w:sz w:val="24"/>
        </w:rPr>
        <w:t xml:space="preserve">means, with respect to any Person, the obligations of such Person under (a) any transaction (whether financial or physical) (including an agreement with respect to any such transaction) (i) which is a rate swap transaction, swap option, basis swap, forward rate transaction, commodity swap, commodity option, equity or equity index swap, equity or equity index option, bond option, interest rate option, foreign exchange transaction, cap transaction, floor transaction, collar transaction, currency swap transaction, cross-currency rate swap transaction, currency option, credit protection transaction, credit swap, credit default swap, credit default option, total return swap, credit spread transaction, repurchase transaction, reverse repurchase transaction, buy/sell-back transaction, securities lending transaction, weather index transaction or forward purchase or sale of a security, commodity or other financial instrument or interest (whether financial or physical) (including any option with respect to any of these transactions), (ii) which is a type of transaction that is similar to any transaction referred to in clause (i) above that is currently, or in the future becomes, recurrently entered into in the financial markets (including terms and conditions incorporated by reference in such agreement) and which is a forward, swap, future, option or other derivative on one or more rates, currencies, commodities, equity securities or other equity instruments, debt securities or other debt instruments, economic indices or measures of economic risk or value, or other benchmarks against which payments or deliveries are to be made or (iii) any other similar transactions or any combination of any of the foregoing (whether financial or physical) (including any options to enter into any of the foregoing), whether or not any such transaction is governed by or subject to any master agreement, (b) any and all transactions of any kind, and the related confirmations, </w:t>
      </w:r>
    </w:p>
    <w:p>
      <w:pPr>
        <w:pStyle w:val="TextBody"/>
        <w:bidi w:val="0"/>
        <w:spacing w:before="0" w:after="0"/>
        <w:jc w:val="left"/>
        <w:rPr/>
      </w:pPr>
      <w:r>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6480175" cy="768985"/>
                <wp:effectExtent l="0" t="0" r="0" b="0"/>
                <wp:wrapNone/>
                <wp:docPr id="184" name="Frame184"/>
                <a:graphic xmlns:a="http://schemas.openxmlformats.org/drawingml/2006/main">
                  <a:graphicData uri="http://schemas.microsoft.com/office/word/2010/wordprocessingShape">
                    <wps:wsp>
                      <wps:cNvSpPr txBox="1"/>
                      <wps:spPr>
                        <a:xfrm>
                          <a:off x="0" y="0"/>
                          <a:ext cx="6480175" cy="7689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11</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0.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11</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rPr>
        <w:t>which are subject to the terms and conditions of, or governed by, any form of master agreement published by the International Swaps and Derivatives Association, Inc., any International Foreign Exchange Master Agreement, or any other master agreement (any such master agreement, together with any related schedules, annexes, supplements, definitional sets, and other documents, a “</w:t>
      </w:r>
      <w:r>
        <w:rPr>
          <w:rFonts w:ascii="Times New Roman;serif" w:hAnsi="Times New Roman;serif"/>
          <w:b w:val="false"/>
          <w:i/>
          <w:color w:val="000000"/>
          <w:sz w:val="24"/>
        </w:rPr>
        <w:t>Master Agreement</w:t>
      </w:r>
      <w:r>
        <w:rPr>
          <w:color w:val="000000"/>
        </w:rPr>
        <w:t>”</w:t>
      </w:r>
      <w:r>
        <w:rPr>
          <w:rFonts w:ascii="Times New Roman;serif" w:hAnsi="Times New Roman;serif"/>
          <w:b w:val="false"/>
          <w:color w:val="000000"/>
          <w:sz w:val="24"/>
        </w:rPr>
        <w:t>), including any such obligations or liabilities under any Master Agreement and (c) any Commodity Hedging Agreement; and, in the case of clauses (a), (b) and (c), whether bilateral, over-the-counter, financial or physical, on or through an exchange or other execution facility, on or through a system, platform or portal operated by an ISO or RTO, cleared through a clearing house, clearing organization or clearing agency, or otherwise.</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4"/>
        </w:rPr>
        <w:t>Holder</w:t>
      </w:r>
      <w:r>
        <w:rPr>
          <w:color w:val="000000"/>
        </w:rPr>
        <w:t xml:space="preserve">” </w:t>
      </w:r>
      <w:r>
        <w:rPr>
          <w:rFonts w:ascii="Times New Roman;serif" w:hAnsi="Times New Roman;serif"/>
          <w:b w:val="false"/>
          <w:color w:val="000000"/>
          <w:sz w:val="24"/>
        </w:rPr>
        <w:t>means the Person in whose name a Note is registered on the Registrar’s books.</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4"/>
        </w:rPr>
        <w:t>IAI Global Note</w:t>
      </w:r>
      <w:r>
        <w:rPr>
          <w:color w:val="000000"/>
        </w:rPr>
        <w:t xml:space="preserve">” </w:t>
      </w:r>
      <w:r>
        <w:rPr>
          <w:rFonts w:ascii="Times New Roman;serif" w:hAnsi="Times New Roman;serif"/>
          <w:b w:val="false"/>
          <w:color w:val="000000"/>
          <w:sz w:val="24"/>
        </w:rPr>
        <w:t>means</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Global</w:t>
      </w:r>
      <w:r>
        <w:rPr>
          <w:color w:val="000000"/>
        </w:rPr>
        <w:t xml:space="preserve"> </w:t>
      </w:r>
      <w:r>
        <w:rPr>
          <w:rFonts w:ascii="Times New Roman;serif" w:hAnsi="Times New Roman;serif"/>
          <w:b w:val="false"/>
          <w:color w:val="000000"/>
          <w:sz w:val="24"/>
        </w:rPr>
        <w:t>Note</w:t>
      </w:r>
      <w:r>
        <w:rPr>
          <w:color w:val="000000"/>
        </w:rPr>
        <w:t xml:space="preserve"> </w:t>
      </w:r>
      <w:r>
        <w:rPr>
          <w:rFonts w:ascii="Times New Roman;serif" w:hAnsi="Times New Roman;serif"/>
          <w:b w:val="false"/>
          <w:color w:val="000000"/>
          <w:sz w:val="24"/>
        </w:rPr>
        <w:t>substantially</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form</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u w:val="single"/>
        </w:rPr>
        <w:t>Exhibit A</w:t>
      </w:r>
      <w:r>
        <w:rPr>
          <w:color w:val="000000"/>
        </w:rPr>
        <w:t xml:space="preserve"> </w:t>
      </w:r>
      <w:r>
        <w:rPr>
          <w:rFonts w:ascii="Times New Roman;serif" w:hAnsi="Times New Roman;serif"/>
          <w:b w:val="false"/>
          <w:color w:val="000000"/>
          <w:sz w:val="24"/>
        </w:rPr>
        <w:t>hereto, as applicable, bearing the Global Note Legend and the Private Placement Legend and deposited with or on behalf</w:t>
      </w:r>
      <w:r>
        <w:rPr>
          <w:color w:val="000000"/>
        </w:rPr>
        <w:t xml:space="preserve"> </w:t>
      </w:r>
      <w:r>
        <w:rPr>
          <w:rFonts w:ascii="Times New Roman;serif" w:hAnsi="Times New Roman;serif"/>
          <w:b w:val="false"/>
          <w:color w:val="000000"/>
          <w:sz w:val="24"/>
        </w:rPr>
        <w:t>of, and registered in the name of, the Depository or its nominee that will be issued in a denomination equal to the outstanding principal amount of the</w:t>
      </w:r>
      <w:r>
        <w:rPr>
          <w:color w:val="000000"/>
        </w:rPr>
        <w:t xml:space="preserve"> </w:t>
      </w:r>
      <w:r>
        <w:rPr>
          <w:rFonts w:ascii="Times New Roman;serif" w:hAnsi="Times New Roman;serif"/>
          <w:b w:val="false"/>
          <w:color w:val="000000"/>
          <w:sz w:val="24"/>
        </w:rPr>
        <w:t>Notes sold to Institutional Accredited Investors.</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4"/>
        </w:rPr>
        <w:t>Indebtedness</w:t>
      </w:r>
      <w:r>
        <w:rPr>
          <w:color w:val="000000"/>
        </w:rPr>
        <w:t xml:space="preserve">” </w:t>
      </w:r>
      <w:r>
        <w:rPr>
          <w:rFonts w:ascii="Times New Roman;serif" w:hAnsi="Times New Roman;serif"/>
          <w:b w:val="false"/>
          <w:color w:val="000000"/>
          <w:sz w:val="24"/>
        </w:rPr>
        <w:t xml:space="preserve">of any Person means all indebtedness of such Person for borrowed money. </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4"/>
        </w:rPr>
        <w:t>Indenture</w:t>
      </w:r>
      <w:r>
        <w:rPr>
          <w:color w:val="000000"/>
        </w:rPr>
        <w:t xml:space="preserve">” </w:t>
      </w:r>
      <w:r>
        <w:rPr>
          <w:rFonts w:ascii="Times New Roman;serif" w:hAnsi="Times New Roman;serif"/>
          <w:b w:val="false"/>
          <w:color w:val="000000"/>
          <w:sz w:val="24"/>
        </w:rPr>
        <w:t>means this Indenture, as amended, supplemented or otherwise modified from time to time in accordance with its terms.</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4"/>
        </w:rPr>
        <w:t>Indirect</w:t>
      </w:r>
      <w:r>
        <w:rPr>
          <w:color w:val="000000"/>
        </w:rPr>
        <w:t xml:space="preserve"> </w:t>
      </w:r>
      <w:r>
        <w:rPr>
          <w:rFonts w:ascii="Times New Roman;serif" w:hAnsi="Times New Roman;serif"/>
          <w:b w:val="false"/>
          <w:i/>
          <w:color w:val="000000"/>
          <w:sz w:val="24"/>
        </w:rPr>
        <w:t>Participant</w:t>
      </w:r>
      <w:r>
        <w:rPr>
          <w:color w:val="000000"/>
        </w:rPr>
        <w:t xml:space="preserve">” </w:t>
      </w:r>
      <w:r>
        <w:rPr>
          <w:rFonts w:ascii="Times New Roman;serif" w:hAnsi="Times New Roman;serif"/>
          <w:b w:val="false"/>
          <w:color w:val="000000"/>
          <w:sz w:val="24"/>
        </w:rPr>
        <w:t>means</w:t>
      </w:r>
      <w:r>
        <w:rPr>
          <w:color w:val="000000"/>
        </w:rPr>
        <w:t xml:space="preserve"> </w:t>
      </w:r>
      <w:r>
        <w:rPr>
          <w:rFonts w:ascii="Times New Roman;serif" w:hAnsi="Times New Roman;serif"/>
          <w:b w:val="false"/>
          <w:color w:val="000000"/>
          <w:sz w:val="24"/>
        </w:rPr>
        <w:t>a Person who holds</w:t>
      </w:r>
      <w:r>
        <w:rPr>
          <w:color w:val="000000"/>
        </w:rPr>
        <w:t xml:space="preserve"> </w:t>
      </w:r>
      <w:r>
        <w:rPr>
          <w:rFonts w:ascii="Times New Roman;serif" w:hAnsi="Times New Roman;serif"/>
          <w:b w:val="false"/>
          <w:color w:val="000000"/>
          <w:sz w:val="24"/>
        </w:rPr>
        <w:t>a beneficial interest</w:t>
      </w:r>
      <w:r>
        <w:rPr>
          <w:color w:val="000000"/>
        </w:rPr>
        <w:t xml:space="preserve"> </w:t>
      </w:r>
      <w:r>
        <w:rPr>
          <w:rFonts w:ascii="Times New Roman;serif" w:hAnsi="Times New Roman;serif"/>
          <w:b w:val="false"/>
          <w:color w:val="000000"/>
          <w:sz w:val="24"/>
        </w:rPr>
        <w:t>in a Global</w:t>
      </w:r>
      <w:r>
        <w:rPr>
          <w:color w:val="000000"/>
        </w:rPr>
        <w:t xml:space="preserve"> </w:t>
      </w:r>
      <w:r>
        <w:rPr>
          <w:rFonts w:ascii="Times New Roman;serif" w:hAnsi="Times New Roman;serif"/>
          <w:b w:val="false"/>
          <w:color w:val="000000"/>
          <w:sz w:val="24"/>
        </w:rPr>
        <w:t>Note through a Participant.</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4"/>
        </w:rPr>
        <w:t>Initial Notes</w:t>
      </w:r>
      <w:r>
        <w:rPr>
          <w:color w:val="000000"/>
        </w:rPr>
        <w:t xml:space="preserve">” </w:t>
      </w:r>
      <w:r>
        <w:rPr>
          <w:rFonts w:ascii="Times New Roman;serif" w:hAnsi="Times New Roman;serif"/>
          <w:b w:val="false"/>
          <w:color w:val="000000"/>
          <w:sz w:val="24"/>
        </w:rPr>
        <w:t>means the $2,500,000,000 aggregate principal amount of 6.375% Senior Notes due 2033 issued under this Indenture as of the Issue Date.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4"/>
        </w:rPr>
        <w:t>Institutional Accredited Investor</w:t>
      </w:r>
      <w:r>
        <w:rPr>
          <w:color w:val="000000"/>
        </w:rPr>
        <w:t xml:space="preserve">” </w:t>
      </w:r>
      <w:r>
        <w:rPr>
          <w:rFonts w:ascii="Times New Roman;serif" w:hAnsi="Times New Roman;serif"/>
          <w:b w:val="false"/>
          <w:color w:val="000000"/>
          <w:sz w:val="24"/>
        </w:rPr>
        <w:t>means an institution that is an “accredited investor” as defined in Rule 501(a)(1), (2), (3) or (7) under the Securities Act, who are not also QIBs.</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4"/>
        </w:rPr>
        <w:t>Investment</w:t>
      </w:r>
      <w:r>
        <w:rPr>
          <w:color w:val="000000"/>
        </w:rPr>
        <w:t xml:space="preserve">” </w:t>
      </w:r>
      <w:r>
        <w:rPr>
          <w:rFonts w:ascii="Times New Roman;serif" w:hAnsi="Times New Roman;serif"/>
          <w:b w:val="false"/>
          <w:color w:val="000000"/>
          <w:sz w:val="24"/>
        </w:rPr>
        <w:t>means, with respect to any Person, an investment by such Person in other Persons (including Affiliates) in the forms of loans (including guarantees or other obligations), advances or capital contributions (excluding commission, travel and similar advances to officers and employees), purchases or other acquisitions for consideration of Indebtedness, Equity Interests or other securities, together with all items that are or would be classified as investments on a balance sheet prepared in accordance with GAAP.</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4"/>
        </w:rPr>
        <w:t>Investment Grade</w:t>
      </w:r>
      <w:r>
        <w:rPr>
          <w:color w:val="000000"/>
        </w:rPr>
        <w:t xml:space="preserve">” </w:t>
      </w:r>
      <w:r>
        <w:rPr>
          <w:rFonts w:ascii="Times New Roman;serif" w:hAnsi="Times New Roman;serif"/>
          <w:b w:val="false"/>
          <w:color w:val="000000"/>
          <w:sz w:val="24"/>
        </w:rPr>
        <w:t>in respect of the Notes means a rating of: (a) Baa3 or better by Moody’s; (b) BBB- or better by Fitch; or (c) BBB- or better from S&amp;P (or the equivalent of such rating by such rating organization or, if no rating of Moody’s, Fitch or S&amp;P exists, the equivalent of such rating by any other Nationally Recognized Statistical Rating Organization selected by the Issuer as a replacement agency).</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4"/>
        </w:rPr>
        <w:t>IPO Listco</w:t>
      </w:r>
      <w:r>
        <w:rPr>
          <w:color w:val="000000"/>
        </w:rPr>
        <w:t xml:space="preserve">” </w:t>
      </w:r>
      <w:r>
        <w:rPr>
          <w:rFonts w:ascii="Times New Roman;serif" w:hAnsi="Times New Roman;serif"/>
          <w:b w:val="false"/>
          <w:color w:val="000000"/>
          <w:sz w:val="24"/>
        </w:rPr>
        <w:t>means a Wholly Owned Subsidiary of the Issuer or any Parent Entity formed in contemplation of any Qualifying IPO.</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4"/>
        </w:rPr>
        <w:t>IPO Reorganization Transaction</w:t>
      </w:r>
      <w:r>
        <w:rPr>
          <w:color w:val="000000"/>
        </w:rPr>
        <w:t xml:space="preserve">” </w:t>
      </w:r>
      <w:r>
        <w:rPr>
          <w:rFonts w:ascii="Times New Roman;serif" w:hAnsi="Times New Roman;serif"/>
          <w:b w:val="false"/>
          <w:color w:val="000000"/>
          <w:sz w:val="24"/>
        </w:rPr>
        <w:t>means transactions taken in connection with and reasonably related to consummating a Qualifying IPO.</w:t>
      </w:r>
    </w:p>
    <w:p>
      <w:pPr>
        <w:pStyle w:val="TextBody"/>
        <w:bidi w:val="0"/>
        <w:spacing w:before="0" w:after="0"/>
        <w:jc w:val="left"/>
        <w:rPr/>
      </w:pPr>
      <w:r>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6480175" cy="768985"/>
                <wp:effectExtent l="0" t="0" r="0" b="0"/>
                <wp:wrapNone/>
                <wp:docPr id="185" name="Frame185"/>
                <a:graphic xmlns:a="http://schemas.openxmlformats.org/drawingml/2006/main">
                  <a:graphicData uri="http://schemas.microsoft.com/office/word/2010/wordprocessingShape">
                    <wps:wsp>
                      <wps:cNvSpPr txBox="1"/>
                      <wps:spPr>
                        <a:xfrm>
                          <a:off x="0" y="0"/>
                          <a:ext cx="6480175" cy="7689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12</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0.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12</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80"/>
        <w:ind w:left="0" w:right="0" w:firstLine="720"/>
        <w:jc w:val="both"/>
        <w:rPr/>
      </w:pPr>
      <w:r>
        <w:rPr>
          <w:color w:val="000000"/>
        </w:rPr>
        <w:t>“</w:t>
      </w:r>
      <w:r>
        <w:rPr>
          <w:rFonts w:ascii="Times New Roman;serif" w:hAnsi="Times New Roman;serif"/>
          <w:b w:val="false"/>
          <w:i/>
          <w:color w:val="000000"/>
          <w:sz w:val="24"/>
        </w:rPr>
        <w:t>IPOCo Transactions</w:t>
      </w:r>
      <w:r>
        <w:rPr>
          <w:color w:val="000000"/>
        </w:rPr>
        <w:t xml:space="preserve">” </w:t>
      </w:r>
      <w:r>
        <w:rPr>
          <w:rFonts w:ascii="Times New Roman;serif" w:hAnsi="Times New Roman;serif"/>
          <w:b w:val="false"/>
          <w:color w:val="000000"/>
          <w:sz w:val="24"/>
        </w:rPr>
        <w:t>means the transactions in connection with the formation and capitalization of IPO Listco prior to and in connection with and reasonably related to a Qualifying IPO, including, without limitation, (1) the legal formation of IPO Listco and one or more Subsidiaries of the Permitted Holders to own interests therein, (2) the contribution, directly or indirectly, of the Capital Stock of the Issuer and other Subsidiaries of the Issuer to IPO Listco, or the other acquisition by IPO Listco thereof, (3) the conversion of the outstanding Capital Stock in the Issuer into a new class of Equity Interests in the Issuer, (4) the distribution by the Issuer to the Permitted Holders of any proceeds from the offering and cash generated from operations, (5) the issuance of Capital Stock of IPO Listco or the Issuer to the public and the use of proceeds therefrom to pay transaction expenses, distribute funds as a reimbursement for capital expenditures, and other purposes approved by a Permitted Holder, (6) the execution, delivery and performance of customary documentation (and amendments to existing documentation) governing the relations between and among the Issuer, IPO Listco, the Permitted Holders and their respective Subsidiaries and (7) any other transactions and documentation reasonably related to the foregoing or necessary or appropriate in the view of the Permitted Holders or the Board of Directors of the Issuer or any Parent Entity in connection with a Qualifying IPO.</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4"/>
        </w:rPr>
        <w:t>ISO</w:t>
      </w:r>
      <w:r>
        <w:rPr>
          <w:color w:val="000000"/>
        </w:rPr>
        <w:t xml:space="preserve">” </w:t>
      </w:r>
      <w:r>
        <w:rPr>
          <w:rFonts w:ascii="Times New Roman;serif" w:hAnsi="Times New Roman;serif"/>
          <w:b w:val="false"/>
          <w:color w:val="000000"/>
          <w:sz w:val="24"/>
        </w:rPr>
        <w:t>means “independent system operator,” as further defined by the Federal Energy Regulatory Commission’s policies, orders and regulations.</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4"/>
        </w:rPr>
        <w:t>Issue Date</w:t>
      </w:r>
      <w:r>
        <w:rPr>
          <w:color w:val="000000"/>
        </w:rPr>
        <w:t xml:space="preserve">” </w:t>
      </w:r>
      <w:r>
        <w:rPr>
          <w:rFonts w:ascii="Times New Roman;serif" w:hAnsi="Times New Roman;serif"/>
          <w:b w:val="false"/>
          <w:color w:val="000000"/>
          <w:sz w:val="24"/>
        </w:rPr>
        <w:t xml:space="preserve">means April 29, 2026. </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4"/>
        </w:rPr>
        <w:t>Issuer</w:t>
      </w:r>
      <w:r>
        <w:rPr>
          <w:color w:val="000000"/>
        </w:rPr>
        <w:t xml:space="preserve">” </w:t>
      </w:r>
      <w:r>
        <w:rPr>
          <w:rFonts w:ascii="Times New Roman;serif" w:hAnsi="Times New Roman;serif"/>
          <w:b w:val="false"/>
          <w:color w:val="000000"/>
          <w:sz w:val="24"/>
        </w:rPr>
        <w:t>means Talen Energy Supply, LLC and any and all successors thereto.</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4"/>
        </w:rPr>
        <w:t>Issuer Order</w:t>
      </w:r>
      <w:r>
        <w:rPr>
          <w:color w:val="000000"/>
        </w:rPr>
        <w:t xml:space="preserve">” </w:t>
      </w:r>
      <w:r>
        <w:rPr>
          <w:rFonts w:ascii="Times New Roman;serif" w:hAnsi="Times New Roman;serif"/>
          <w:b w:val="false"/>
          <w:color w:val="000000"/>
          <w:sz w:val="24"/>
        </w:rPr>
        <w:t>means a written order signed in the name of the Issuer by one Authorized Officer.</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4"/>
        </w:rPr>
        <w:t>Lien</w:t>
      </w:r>
      <w:r>
        <w:rPr>
          <w:color w:val="000000"/>
        </w:rPr>
        <w:t xml:space="preserve">” </w:t>
      </w:r>
      <w:r>
        <w:rPr>
          <w:rFonts w:ascii="Times New Roman;serif" w:hAnsi="Times New Roman;serif"/>
          <w:b w:val="false"/>
          <w:color w:val="000000"/>
          <w:sz w:val="24"/>
        </w:rPr>
        <w:t xml:space="preserve">means, with respect to any asset, any mortgage, pledge, security interest, hypothecation, collateral assignment, lien (statutory or other) or similar encumbrance (including any conditional sale or other title retention agreement or any lease or license in the nature thereof); </w:t>
      </w:r>
      <w:r>
        <w:rPr>
          <w:rFonts w:ascii="Times New Roman;serif" w:hAnsi="Times New Roman;serif"/>
          <w:b w:val="false"/>
          <w:i/>
          <w:color w:val="000000"/>
          <w:sz w:val="24"/>
        </w:rPr>
        <w:t>provided that</w:t>
      </w:r>
      <w:r>
        <w:rPr>
          <w:color w:val="000000"/>
        </w:rPr>
        <w:t xml:space="preserve"> </w:t>
      </w:r>
      <w:r>
        <w:rPr>
          <w:rFonts w:ascii="Times New Roman;serif" w:hAnsi="Times New Roman;serif"/>
          <w:b w:val="false"/>
          <w:color w:val="000000"/>
          <w:sz w:val="24"/>
        </w:rPr>
        <w:t>in no event shall an operating lease be deemed to be a Lien.</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4"/>
        </w:rPr>
        <w:t>Long Derivative Instrument</w:t>
      </w:r>
      <w:r>
        <w:rPr>
          <w:color w:val="000000"/>
        </w:rPr>
        <w:t xml:space="preserve">” </w:t>
      </w:r>
      <w:r>
        <w:rPr>
          <w:rFonts w:ascii="Times New Roman;serif" w:hAnsi="Times New Roman;serif"/>
          <w:b w:val="false"/>
          <w:color w:val="000000"/>
          <w:sz w:val="24"/>
        </w:rPr>
        <w:t>means a Derivative Instrument (i) the value of which generally increases, and/or the payment or delivery obligations under which generally decrease, with positive changes to the Performance References and/or (ii) the value of which generally decreases, and/or the payment or delivery obligations under which generally increase, with negative changes to the Performance References.</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4"/>
        </w:rPr>
        <w:t>Management Investors</w:t>
      </w:r>
      <w:r>
        <w:rPr>
          <w:color w:val="000000"/>
        </w:rPr>
        <w:t xml:space="preserve">” </w:t>
      </w:r>
      <w:r>
        <w:rPr>
          <w:rFonts w:ascii="Times New Roman;serif" w:hAnsi="Times New Roman;serif"/>
          <w:b w:val="false"/>
          <w:color w:val="000000"/>
          <w:sz w:val="24"/>
        </w:rPr>
        <w:t>means the officers, directors, employees and other members of the management of any parent of the Issuer, the Issuer or any of the Issuer’s respective Subsidiaries, or family members or relatives of any thereof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i/>
          <w:color w:val="000000"/>
          <w:sz w:val="24"/>
        </w:rPr>
        <w:t>that</w:t>
      </w:r>
      <w:r>
        <w:rPr>
          <w:rFonts w:ascii="Times New Roman;serif" w:hAnsi="Times New Roman;serif"/>
          <w:b w:val="false"/>
          <w:color w:val="000000"/>
          <w:sz w:val="24"/>
        </w:rPr>
        <w:t>, solely for purposes of the definition of Permitted Holders, such family members or relatives shall include only those Persons who are or become Management Investors in connection with estate planning for or inheritance from other Management Investors, as determined in good faith by the Issuer), or trusts, partnerships or limited liability companies for the benefit of any of the foregoing, or any of their heirs, executors, successors and legal representatives, who at any date Beneficially Own or have the right to acquire, directly or indirectly, Capital Stock of the Issuer or any parent of the Issuer.</w:t>
      </w:r>
    </w:p>
    <w:p>
      <w:pPr>
        <w:pStyle w:val="TextBody"/>
        <w:bidi w:val="0"/>
        <w:spacing w:before="0" w:after="0"/>
        <w:jc w:val="left"/>
        <w:rPr/>
      </w:pPr>
      <w:r>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6480175" cy="768985"/>
                <wp:effectExtent l="0" t="0" r="0" b="0"/>
                <wp:wrapNone/>
                <wp:docPr id="186" name="Frame186"/>
                <a:graphic xmlns:a="http://schemas.openxmlformats.org/drawingml/2006/main">
                  <a:graphicData uri="http://schemas.microsoft.com/office/word/2010/wordprocessingShape">
                    <wps:wsp>
                      <wps:cNvSpPr txBox="1"/>
                      <wps:spPr>
                        <a:xfrm>
                          <a:off x="0" y="0"/>
                          <a:ext cx="6480175" cy="7689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13</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0.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13</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4"/>
        </w:rPr>
        <w:t>Moody’s</w:t>
      </w:r>
      <w:r>
        <w:rPr>
          <w:color w:val="000000"/>
        </w:rPr>
        <w:t xml:space="preserve">” </w:t>
      </w:r>
      <w:r>
        <w:rPr>
          <w:rFonts w:ascii="Times New Roman;serif" w:hAnsi="Times New Roman;serif"/>
          <w:b w:val="false"/>
          <w:color w:val="000000"/>
          <w:sz w:val="24"/>
        </w:rPr>
        <w:t>means Moody’s Investors Service, Inc. or any of its successors or assigns that is a Nationally Recognized Statistical Rating Organization.</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4"/>
        </w:rPr>
        <w:t>Nationally Recognized Statistical Rating Organization</w:t>
      </w:r>
      <w:r>
        <w:rPr>
          <w:color w:val="000000"/>
        </w:rPr>
        <w:t xml:space="preserve">” </w:t>
      </w:r>
      <w:r>
        <w:rPr>
          <w:rFonts w:ascii="Times New Roman;serif" w:hAnsi="Times New Roman;serif"/>
          <w:b w:val="false"/>
          <w:color w:val="000000"/>
          <w:sz w:val="24"/>
        </w:rPr>
        <w:t>means a nationally recognized statistical rating organization within the meaning of Section 3(a)(62) under the Exchange Act.</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4"/>
        </w:rPr>
        <w:t>Necessary CapEx</w:t>
      </w:r>
      <w:r>
        <w:rPr>
          <w:color w:val="000000"/>
        </w:rPr>
        <w:t xml:space="preserve">” </w:t>
      </w:r>
      <w:r>
        <w:rPr>
          <w:rFonts w:ascii="Times New Roman;serif" w:hAnsi="Times New Roman;serif"/>
          <w:b w:val="false"/>
          <w:color w:val="000000"/>
          <w:sz w:val="24"/>
        </w:rPr>
        <w:t>means capital expenditures that are required by Applicable Law (other than Environmental Laws) or otherwise undertaken voluntarily for health and safety reasons (other than as required by Environmental Law). The term “Necessary CapEx” does not include any capital expenditure undertaken primarily to increase the efficiency of, expand or re-power any power generation facility.</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4"/>
        </w:rPr>
        <w:t>Net Short</w:t>
      </w:r>
      <w:r>
        <w:rPr>
          <w:color w:val="000000"/>
        </w:rPr>
        <w:t xml:space="preserve">” </w:t>
      </w:r>
      <w:r>
        <w:rPr>
          <w:rFonts w:ascii="Times New Roman;serif" w:hAnsi="Times New Roman;serif"/>
          <w:b w:val="false"/>
          <w:color w:val="000000"/>
          <w:sz w:val="24"/>
        </w:rPr>
        <w:t>means, with respect to a Holder or Beneficial Owner, as of a date of determination, either (i) the value of its Short Derivative Instruments exceeds the sum of (x) the value of its Notes plus (y) the value of its Long Derivative Instruments as of such date of determination or (ii) it is reasonably expected that such would have been the case were a Failure to Pay or Bankruptcy Credit Event (each as defined in the 2014 ISDA Credit Derivatives Definitions) to have occurred with respect to the Issuer or any Subsidiary Guarantor immediately prior to such date of determination.</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4"/>
        </w:rPr>
        <w:t>Note Documents</w:t>
      </w:r>
      <w:r>
        <w:rPr>
          <w:color w:val="000000"/>
        </w:rPr>
        <w:t xml:space="preserve">” </w:t>
      </w:r>
      <w:r>
        <w:rPr>
          <w:rFonts w:ascii="Times New Roman;serif" w:hAnsi="Times New Roman;serif"/>
          <w:b w:val="false"/>
          <w:color w:val="000000"/>
          <w:sz w:val="24"/>
        </w:rPr>
        <w:t>means this Indenture, the Notes and the Subsidiary Guarantees.</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4"/>
        </w:rPr>
        <w:t>Notes</w:t>
      </w:r>
      <w:r>
        <w:rPr>
          <w:color w:val="000000"/>
        </w:rPr>
        <w:t xml:space="preserve">” </w:t>
      </w:r>
      <w:r>
        <w:rPr>
          <w:rFonts w:ascii="Times New Roman;serif" w:hAnsi="Times New Roman;serif"/>
          <w:b w:val="false"/>
          <w:color w:val="000000"/>
          <w:sz w:val="24"/>
        </w:rPr>
        <w:t>means the Initial Notes and any Additional Notes.</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4"/>
        </w:rPr>
        <w:t>Obligations</w:t>
      </w:r>
      <w:r>
        <w:rPr>
          <w:color w:val="000000"/>
        </w:rPr>
        <w:t xml:space="preserve">” </w:t>
      </w:r>
      <w:r>
        <w:rPr>
          <w:rFonts w:ascii="Times New Roman;serif" w:hAnsi="Times New Roman;serif"/>
          <w:b w:val="false"/>
          <w:color w:val="000000"/>
          <w:sz w:val="24"/>
        </w:rPr>
        <w:t>means any principal (including reimbursement obligations and obligations to provide cash collateral with respect to letters of credit, whether or not drawn), interest (including, to the extent legally permitted, all interest accrued thereon after the commencement of any insolvency or liquidation proceeding at the rate, including any applicable post-default rate even if such interest is not enforceable, allowable or allowed as a claim in such proceeding), premium (if any), penalties, fees, charges, expenses, indemnifications, reimbursements, damages, guarantees, other liabilities, amounts payable, or obligations under the documentation governing any Indebtedness or other obligations in respect thereof.</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4"/>
        </w:rPr>
        <w:t>Officer</w:t>
      </w:r>
      <w:r>
        <w:rPr>
          <w:color w:val="000000"/>
        </w:rPr>
        <w:t xml:space="preserve">” </w:t>
      </w:r>
      <w:r>
        <w:rPr>
          <w:rFonts w:ascii="Times New Roman;serif" w:hAnsi="Times New Roman;serif"/>
          <w:b w:val="false"/>
          <w:color w:val="000000"/>
          <w:sz w:val="24"/>
        </w:rPr>
        <w:t>means, with respect to any Person, the Chairman of the Board, the Chief Executive Officer, the President, the Chief Operating Officer, the Chief Financial Officer, the Treasurer, any Assistant Treasurer, the Controller, the Secretary, Assistant Secretary or any Vice-President of such Person.</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4"/>
        </w:rPr>
        <w:t>Officer’s Certificate</w:t>
      </w:r>
      <w:r>
        <w:rPr>
          <w:color w:val="000000"/>
        </w:rPr>
        <w:t xml:space="preserve">” </w:t>
      </w:r>
      <w:r>
        <w:rPr>
          <w:rFonts w:ascii="Times New Roman;serif" w:hAnsi="Times New Roman;serif"/>
          <w:b w:val="false"/>
          <w:color w:val="000000"/>
          <w:sz w:val="24"/>
        </w:rPr>
        <w:t>means a certificate signed on behalf of the Issuer by an Authorized Officer that meets the requirements set forth in this Indenture.</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4"/>
        </w:rPr>
        <w:t>Opinion of Counsel</w:t>
      </w:r>
      <w:r>
        <w:rPr>
          <w:color w:val="000000"/>
        </w:rPr>
        <w:t xml:space="preserve">” </w:t>
      </w:r>
      <w:r>
        <w:rPr>
          <w:rFonts w:ascii="Times New Roman;serif" w:hAnsi="Times New Roman;serif"/>
          <w:b w:val="false"/>
          <w:color w:val="000000"/>
          <w:sz w:val="24"/>
        </w:rPr>
        <w:t xml:space="preserve">means an opinion from legal counsel who is reasonably acceptable to the Trustee, that meets the requirements of </w:t>
      </w:r>
      <w:r>
        <w:rPr>
          <w:rFonts w:ascii="Times New Roman;serif" w:hAnsi="Times New Roman;serif"/>
          <w:b w:val="false"/>
          <w:color w:val="000000"/>
          <w:sz w:val="24"/>
          <w:u w:val="single"/>
        </w:rPr>
        <w:t>Section 12.03</w:t>
      </w:r>
      <w:r>
        <w:rPr>
          <w:color w:val="000000"/>
        </w:rPr>
        <w:t xml:space="preserve"> </w:t>
      </w:r>
      <w:r>
        <w:rPr>
          <w:rFonts w:ascii="Times New Roman;serif" w:hAnsi="Times New Roman;serif"/>
          <w:b w:val="false"/>
          <w:color w:val="000000"/>
          <w:sz w:val="24"/>
        </w:rPr>
        <w:t>herein. The counsel may be an employee of or counsel to the Issuer or any Subsidiary of the Issuer.</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4"/>
        </w:rPr>
        <w:t>Parent Entity</w:t>
      </w:r>
      <w:r>
        <w:rPr>
          <w:color w:val="000000"/>
        </w:rPr>
        <w:t xml:space="preserve">” </w:t>
      </w:r>
      <w:r>
        <w:rPr>
          <w:rFonts w:ascii="Times New Roman;serif" w:hAnsi="Times New Roman;serif"/>
          <w:b w:val="false"/>
          <w:color w:val="000000"/>
          <w:sz w:val="24"/>
        </w:rPr>
        <w:t>means any Person that is a direct or indirect parent company (which may be organized as, among other things, a partnership) of the Issuer.</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4"/>
        </w:rPr>
        <w:t>Participant</w:t>
      </w:r>
      <w:r>
        <w:rPr>
          <w:color w:val="000000"/>
        </w:rPr>
        <w:t xml:space="preserve">” </w:t>
      </w:r>
      <w:r>
        <w:rPr>
          <w:rFonts w:ascii="Times New Roman;serif" w:hAnsi="Times New Roman;serif"/>
          <w:b w:val="false"/>
          <w:color w:val="000000"/>
          <w:sz w:val="24"/>
        </w:rPr>
        <w:t>means, with respect to the Depository, Euroclear or Clearstream, a Person who has an account with the Depository, Euroclear</w:t>
      </w:r>
      <w:r>
        <w:rPr>
          <w:color w:val="000000"/>
        </w:rPr>
        <w:t xml:space="preserve"> </w:t>
      </w:r>
      <w:r>
        <w:rPr>
          <w:rFonts w:ascii="Times New Roman;serif" w:hAnsi="Times New Roman;serif"/>
          <w:b w:val="false"/>
          <w:color w:val="000000"/>
          <w:sz w:val="24"/>
        </w:rPr>
        <w:t>or Clearstream, respectively, and, with respect to DTC, shall include Euroclear and Clearstream.</w:t>
      </w:r>
    </w:p>
    <w:p>
      <w:pPr>
        <w:pStyle w:val="TextBody"/>
        <w:bidi w:val="0"/>
        <w:spacing w:before="0" w:after="0"/>
        <w:jc w:val="left"/>
        <w:rPr/>
      </w:pPr>
      <w:r>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6480175" cy="768985"/>
                <wp:effectExtent l="0" t="0" r="0" b="0"/>
                <wp:wrapNone/>
                <wp:docPr id="187" name="Frame187"/>
                <a:graphic xmlns:a="http://schemas.openxmlformats.org/drawingml/2006/main">
                  <a:graphicData uri="http://schemas.microsoft.com/office/word/2010/wordprocessingShape">
                    <wps:wsp>
                      <wps:cNvSpPr txBox="1"/>
                      <wps:spPr>
                        <a:xfrm>
                          <a:off x="0" y="0"/>
                          <a:ext cx="6480175" cy="7689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14</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0.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14</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4"/>
        </w:rPr>
        <w:t>Paying Agent</w:t>
      </w:r>
      <w:r>
        <w:rPr>
          <w:color w:val="000000"/>
        </w:rPr>
        <w:t xml:space="preserve">” </w:t>
      </w:r>
      <w:r>
        <w:rPr>
          <w:rFonts w:ascii="Times New Roman;serif" w:hAnsi="Times New Roman;serif"/>
          <w:b w:val="false"/>
          <w:color w:val="000000"/>
          <w:sz w:val="24"/>
        </w:rPr>
        <w:t>means the office or agency where the Notes may be presented for payment. The term “Paying Agent” includes any additional paying agent.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4"/>
        </w:rPr>
        <w:t>Performances References</w:t>
      </w:r>
      <w:r>
        <w:rPr>
          <w:color w:val="000000"/>
        </w:rPr>
        <w:t xml:space="preserve">” </w:t>
      </w:r>
      <w:r>
        <w:rPr>
          <w:rFonts w:ascii="Times New Roman;serif" w:hAnsi="Times New Roman;serif"/>
          <w:b w:val="false"/>
          <w:color w:val="000000"/>
          <w:sz w:val="24"/>
        </w:rPr>
        <w:t>has the meaning set forth in the definition of Derivative Instrument.</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4"/>
        </w:rPr>
        <w:t>Permitted Holders</w:t>
      </w:r>
      <w:r>
        <w:rPr>
          <w:color w:val="000000"/>
        </w:rPr>
        <w:t xml:space="preserve">” </w:t>
      </w:r>
      <w:r>
        <w:rPr>
          <w:rFonts w:ascii="Times New Roman;serif" w:hAnsi="Times New Roman;serif"/>
          <w:b w:val="false"/>
          <w:color w:val="000000"/>
          <w:sz w:val="24"/>
        </w:rPr>
        <w:t xml:space="preserve">means (a) any of the Management Investors, (b) each participant holding at least 5% of the Capital Stock of the Issuer (or a Parent Entity) as of the Issue Date (and their respective Affiliates and any funds, partnerships or other co-investment and continuation vehicles managed, advised or controlled by the foregoing or their respective Affiliates);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i/>
          <w:color w:val="000000"/>
          <w:sz w:val="24"/>
        </w:rPr>
        <w:t>that</w:t>
      </w:r>
      <w:r>
        <w:rPr>
          <w:color w:val="000000"/>
        </w:rPr>
        <w:t xml:space="preserve"> </w:t>
      </w:r>
      <w:r>
        <w:rPr>
          <w:rFonts w:ascii="Times New Roman;serif" w:hAnsi="Times New Roman;serif"/>
          <w:b w:val="false"/>
          <w:color w:val="000000"/>
          <w:sz w:val="24"/>
        </w:rPr>
        <w:t xml:space="preserve">this clause (b) shall not include any investor that had a controlling equity interest in the Issuer as of May 9, 2022, (c) any group (within the meaning of Section 13(d)(3) or Section 14(d)(2) of the Exchange Act or any successor provision) of which any of the foregoing are members;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i/>
          <w:color w:val="000000"/>
          <w:sz w:val="24"/>
        </w:rPr>
        <w:t>that</w:t>
      </w:r>
      <w:r>
        <w:rPr>
          <w:rFonts w:ascii="Times New Roman;serif" w:hAnsi="Times New Roman;serif"/>
          <w:b w:val="false"/>
          <w:color w:val="000000"/>
          <w:sz w:val="24"/>
        </w:rPr>
        <w:t xml:space="preserve">, in the case of such group and without giving effect to the existence of such group or any other group, the persons set forth in clauses (a) and (b), collectively, have Beneficial Ownership of more than 50% of the total voting power of the Voting Stock of the Issuer or any other Parent Entity, (d) any Parent Entity, for so long as more than 50% of the total voting power of the Voting Stock of such Parent Entity is Beneficially Owned, directly or indirectly, by one or more of the Persons described in the foregoing clauses (a) through </w:t>
        <w:br/>
        <w:t xml:space="preserve">(c), (e) any entity (other than a Parent Entity) through which a Parent Entity described in </w:t>
        <w:br/>
        <w:t>clause (d) directly or indirectly holds Capital Stock of the Issuer and has no other material operations other than those incidental thereto, (f) any Person acting in the capacity of an underwriter (solely to the extent that and for so long as such Person is acting in such capacity) in connection with a public or private offering of Capital Stock of the Issuer (or any Parent Entity) and (g) any Person or group (within the meaning of Section 13(d)(3) or Section 14(d)(2) of the Exchange Act or any successor provision) whose acquisition of Beneficial Ownership or assets or properties of the Issuer constitutes a Change of Control that is either (i) not a Change of Control Triggering Event or (ii) in respect of which a Change of Control Offer is made in accordance with the requirements of this Indenture and their respective Affiliates.</w:t>
      </w:r>
    </w:p>
    <w:p>
      <w:pPr>
        <w:pStyle w:val="TextBody"/>
        <w:bidi w:val="0"/>
        <w:spacing w:lineRule="auto" w:line="288" w:before="0" w:after="180"/>
        <w:ind w:left="0" w:right="0" w:firstLine="720"/>
        <w:jc w:val="both"/>
        <w:rPr/>
      </w:pPr>
      <w:r>
        <w:rPr>
          <w:color w:val="000000"/>
        </w:rPr>
        <w:t>“</w:t>
      </w:r>
      <w:r>
        <w:rPr>
          <w:rFonts w:ascii="Times New Roman;serif" w:hAnsi="Times New Roman;serif"/>
          <w:b w:val="false"/>
          <w:i/>
          <w:color w:val="000000"/>
          <w:sz w:val="24"/>
        </w:rPr>
        <w:t>Permitted Liens</w:t>
      </w:r>
      <w:r>
        <w:rPr>
          <w:color w:val="000000"/>
        </w:rPr>
        <w:t xml:space="preserve">” </w:t>
      </w:r>
      <w:r>
        <w:rPr>
          <w:rFonts w:ascii="Times New Roman;serif" w:hAnsi="Times New Roman;serif"/>
          <w:b w:val="false"/>
          <w:color w:val="000000"/>
          <w:sz w:val="24"/>
        </w:rPr>
        <w:t>means:</w:t>
      </w:r>
    </w:p>
    <w:p>
      <w:pPr>
        <w:pStyle w:val="TextBody"/>
        <w:bidi w:val="0"/>
        <w:spacing w:lineRule="auto" w:line="288" w:before="0" w:after="18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(1)Liens in favor of the Issuer or any Subsidiary Guarantor;</w:t>
      </w:r>
    </w:p>
    <w:p>
      <w:pPr>
        <w:pStyle w:val="TextBody"/>
        <w:bidi w:val="0"/>
        <w:spacing w:lineRule="auto" w:line="288" w:before="0" w:after="18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(2)Liens created for the benefit of or to secure the Notes or the Subsidiary Guarantees;</w:t>
      </w:r>
    </w:p>
    <w:p>
      <w:pPr>
        <w:pStyle w:val="TextBody"/>
        <w:bidi w:val="0"/>
        <w:spacing w:lineRule="auto" w:line="288" w:before="0" w:after="180"/>
        <w:ind w:left="0" w:right="0" w:hanging="720"/>
        <w:jc w:val="both"/>
        <w:rPr/>
      </w:pPr>
      <w:r>
        <w:rPr>
          <w:rFonts w:ascii="Times New Roman;serif" w:hAnsi="Times New Roman;serif"/>
          <w:b w:val="false"/>
          <w:color w:val="000000"/>
          <w:sz w:val="24"/>
        </w:rPr>
        <w:t xml:space="preserve">(3)Liens on property, assets or Capital Stock of a Person existing at the time such Person is merged with or into or consolidated with, or becomes a Subsidiary of, the Issuer or any Subsidiary of the Issuer; </w:t>
      </w:r>
      <w:r>
        <w:rPr>
          <w:rFonts w:ascii="Times New Roman;serif" w:hAnsi="Times New Roman;serif"/>
          <w:b w:val="false"/>
          <w:i/>
          <w:color w:val="000000"/>
          <w:sz w:val="24"/>
        </w:rPr>
        <w:t>provided that</w:t>
      </w:r>
      <w:r>
        <w:rPr>
          <w:color w:val="000000"/>
        </w:rPr>
        <w:t xml:space="preserve"> </w:t>
      </w:r>
      <w:r>
        <w:rPr>
          <w:rFonts w:ascii="Times New Roman;serif" w:hAnsi="Times New Roman;serif"/>
          <w:b w:val="false"/>
          <w:color w:val="000000"/>
          <w:sz w:val="24"/>
        </w:rPr>
        <w:t>such Liens were not incurred in contemplation of such merger or consolidation and do not extend to any property or assets or Capital Stock other than property, assets or Capital Stock of the Person merged into or consolidated with, or that becomes a Subsidiary of, the Issuer or the Subsidiary;</w:t>
      </w:r>
    </w:p>
    <w:p>
      <w:pPr>
        <w:pStyle w:val="TextBody"/>
        <w:bidi w:val="0"/>
        <w:spacing w:lineRule="auto" w:line="288" w:before="0" w:after="180"/>
        <w:ind w:left="0" w:right="0" w:hanging="720"/>
        <w:jc w:val="both"/>
        <w:rPr/>
      </w:pPr>
      <w:r>
        <w:rPr>
          <w:rFonts w:ascii="Times New Roman;serif" w:hAnsi="Times New Roman;serif"/>
          <w:b w:val="false"/>
          <w:color w:val="000000"/>
          <w:sz w:val="24"/>
        </w:rPr>
        <w:t xml:space="preserve">(4)Liens on property, assets or Capital Stock existing at the time of acquisition thereof by the Issuer or any of its Subsidiaries and purchase money or similar Liens; </w:t>
      </w:r>
      <w:r>
        <w:rPr>
          <w:rFonts w:ascii="Times New Roman;serif" w:hAnsi="Times New Roman;serif"/>
          <w:b w:val="false"/>
          <w:i/>
          <w:color w:val="000000"/>
          <w:sz w:val="24"/>
        </w:rPr>
        <w:t>provided that</w:t>
      </w:r>
      <w:r>
        <w:rPr>
          <w:color w:val="000000"/>
        </w:rPr>
        <w:t xml:space="preserve"> </w:t>
      </w:r>
      <w:r>
        <w:rPr>
          <w:rFonts w:ascii="Times New Roman;serif" w:hAnsi="Times New Roman;serif"/>
          <w:b w:val="false"/>
          <w:color w:val="000000"/>
          <w:sz w:val="24"/>
        </w:rPr>
        <w:t xml:space="preserve">such Liens were in existence (or were required to extend to such assets, including by way of an after-acquired property provision) prior to, </w:t>
      </w:r>
    </w:p>
    <w:p>
      <w:pPr>
        <w:pStyle w:val="TextBody"/>
        <w:bidi w:val="0"/>
        <w:spacing w:before="0" w:after="0"/>
        <w:jc w:val="left"/>
        <w:rPr/>
      </w:pPr>
      <w:r>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6480175" cy="768985"/>
                <wp:effectExtent l="0" t="0" r="0" b="0"/>
                <wp:wrapNone/>
                <wp:docPr id="188" name="Frame188"/>
                <a:graphic xmlns:a="http://schemas.openxmlformats.org/drawingml/2006/main">
                  <a:graphicData uri="http://schemas.microsoft.com/office/word/2010/wordprocessingShape">
                    <wps:wsp>
                      <wps:cNvSpPr txBox="1"/>
                      <wps:spPr>
                        <a:xfrm>
                          <a:off x="0" y="0"/>
                          <a:ext cx="6480175" cy="7689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15</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0.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15</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80"/>
        <w:jc w:val="both"/>
        <w:rPr>
          <w:rFonts w:ascii="Times New Roman;serif" w:hAnsi="Times New Roman;serif"/>
          <w:b w:val="false"/>
          <w:color w:val="000000"/>
          <w:sz w:val="24"/>
        </w:rPr>
      </w:pPr>
      <w:r>
        <w:rPr>
          <w:rFonts w:ascii="Times New Roman;serif" w:hAnsi="Times New Roman;serif"/>
          <w:b w:val="false"/>
          <w:color w:val="000000"/>
          <w:sz w:val="24"/>
        </w:rPr>
        <w:t>and not incurred in contemplation of, or to finance, such acquisition, and such Liens do not extend to any property or assets other than such property or assets;</w:t>
      </w:r>
    </w:p>
    <w:p>
      <w:pPr>
        <w:pStyle w:val="TextBody"/>
        <w:bidi w:val="0"/>
        <w:spacing w:lineRule="auto" w:line="288" w:before="0" w:after="180"/>
        <w:ind w:left="0" w:right="0" w:hanging="720"/>
        <w:jc w:val="both"/>
        <w:rPr/>
      </w:pPr>
      <w:r>
        <w:rPr>
          <w:rFonts w:ascii="Times New Roman;serif" w:hAnsi="Times New Roman;serif"/>
          <w:b w:val="false"/>
          <w:color w:val="000000"/>
          <w:sz w:val="24"/>
        </w:rPr>
        <w:t xml:space="preserve">(5)(a) Liens to secure any purchase money obligations or mortgage financings incurred for the purpose of financing or refinancing all or any part of the purchase price or cost of design, construction, lease, installation or improvement of property (real or personal), plant or equipment or other assets, or the Capital Stock of any Person owning such property or assets, or to secure Indebtedness incurred to provide funds for the reimbursement or refinancing of funds expended for the foregoing purposes,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i/>
          <w:color w:val="000000"/>
          <w:sz w:val="24"/>
        </w:rPr>
        <w:t>that</w:t>
      </w:r>
      <w:r>
        <w:rPr>
          <w:color w:val="000000"/>
        </w:rPr>
        <w:t xml:space="preserve"> </w:t>
      </w:r>
      <w:r>
        <w:rPr>
          <w:rFonts w:ascii="Times New Roman;serif" w:hAnsi="Times New Roman;serif"/>
          <w:b w:val="false"/>
          <w:color w:val="000000"/>
          <w:sz w:val="24"/>
        </w:rPr>
        <w:t>the Liens securing Indebtedness shall not extend to any property or assets other than that being so acquired, leased, developed, constructed, altered, repaired, improved, purchased, designed, leased or installed, or the Capital Stock of any Person owning such property or assets, except (1) for accessions of property financed with the proceeds of such Indebtedness and the proceeds and the products thereof and (2) that individual financings of equipment provided by one lender may be cross collateralized to other financings of equipment provided by such lender, and (b) any interest or title of a lessor under, or any Lien as a consequence of, any Capitalized Lease Obligation, finance lease obligation or operating lease obligation (including, for the avoidance of doubt, any interest or title of a lessor in any property or assets);</w:t>
      </w:r>
    </w:p>
    <w:p>
      <w:pPr>
        <w:pStyle w:val="TextBody"/>
        <w:bidi w:val="0"/>
        <w:spacing w:lineRule="auto" w:line="288" w:before="0" w:after="18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(6)Liens existing on, or provided for or required to be granted under (or existing as a result of) written agreements on, the Issue Date (other than the Credit Agreement);</w:t>
      </w:r>
    </w:p>
    <w:p>
      <w:pPr>
        <w:pStyle w:val="TextBody"/>
        <w:bidi w:val="0"/>
        <w:spacing w:lineRule="auto" w:line="288" w:before="0" w:after="18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(7)Liens arising in relation to any securitization or other structured finance transaction where (a) the primary source of payment of any obligations of the issuer is linked or otherwise related to cash flow from particular property or assets (or where payment of such obligations is otherwise supported by such property or assets) and (b) recourse to the issuer in respect of such obligations is conditional on cash flow from such property or assets;</w:t>
      </w:r>
    </w:p>
    <w:p>
      <w:pPr>
        <w:pStyle w:val="TextBody"/>
        <w:bidi w:val="0"/>
        <w:spacing w:lineRule="auto" w:line="288" w:before="0" w:after="180"/>
        <w:ind w:left="0" w:right="0" w:hanging="720"/>
        <w:jc w:val="both"/>
        <w:rPr/>
      </w:pPr>
      <w:r>
        <w:rPr>
          <w:rFonts w:ascii="Times New Roman;serif" w:hAnsi="Times New Roman;serif"/>
          <w:b w:val="false"/>
          <w:color w:val="000000"/>
          <w:sz w:val="24"/>
        </w:rPr>
        <w:t xml:space="preserve">(8)any extensions, substitutions, replacements or renewals of Liens permitted by this Indenture;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i/>
          <w:color w:val="000000"/>
          <w:sz w:val="24"/>
        </w:rPr>
        <w:t>that</w:t>
      </w:r>
      <w:r>
        <w:rPr>
          <w:color w:val="000000"/>
        </w:rPr>
        <w:t xml:space="preserve"> </w:t>
      </w:r>
      <w:r>
        <w:rPr>
          <w:rFonts w:ascii="Times New Roman;serif" w:hAnsi="Times New Roman;serif"/>
          <w:b w:val="false"/>
          <w:color w:val="000000"/>
          <w:sz w:val="24"/>
        </w:rPr>
        <w:t>(a) such Indebtedness (including Indebtedness to renew, refund, refinance, replace, defease or discharge any Indebtedness that such Liens initially secured) is not increased (other than any increase for all accrued interest, premiums (including tender premiums), defeasance costs and fees and expenses in connection therewith) and (b) if the assets securing any such Indebtedness are changed in connection with any such extension, substitution, replacement or renewal, the fair market value of the assets securing such Indebtedness (as determined by the Issuer in its sole discretion) is not increased;</w:t>
      </w:r>
    </w:p>
    <w:p>
      <w:pPr>
        <w:pStyle w:val="TextBody"/>
        <w:bidi w:val="0"/>
        <w:spacing w:lineRule="auto" w:line="288" w:before="0" w:after="18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(9)limited recourse Liens in respect of the ownership interests in, or assets owned by, any joint ventures which are not Subsidiaries securing obligations of such joint ventures;</w:t>
      </w:r>
    </w:p>
    <w:p>
      <w:pPr>
        <w:pStyle w:val="TextBody"/>
        <w:bidi w:val="0"/>
        <w:spacing w:before="0" w:after="0"/>
        <w:jc w:val="left"/>
        <w:rPr/>
      </w:pPr>
      <w:r>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6480175" cy="768985"/>
                <wp:effectExtent l="0" t="0" r="0" b="0"/>
                <wp:wrapNone/>
                <wp:docPr id="189" name="Frame189"/>
                <a:graphic xmlns:a="http://schemas.openxmlformats.org/drawingml/2006/main">
                  <a:graphicData uri="http://schemas.microsoft.com/office/word/2010/wordprocessingShape">
                    <wps:wsp>
                      <wps:cNvSpPr txBox="1"/>
                      <wps:spPr>
                        <a:xfrm>
                          <a:off x="0" y="0"/>
                          <a:ext cx="6480175" cy="7689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16</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0.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16</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8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(10)Liens to secure Indebtedness or other obligations incurred to finance Necessary CapEx that encumber only the assets purchased, installed or otherwise acquired with the proceeds of such Indebtedness;</w:t>
      </w:r>
    </w:p>
    <w:p>
      <w:pPr>
        <w:pStyle w:val="TextBody"/>
        <w:bidi w:val="0"/>
        <w:spacing w:lineRule="auto" w:line="288" w:before="0" w:after="18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(11)Liens relating to escrow arrangements securing Indebtedness of the Issuer or any Subsidiary;</w:t>
      </w:r>
    </w:p>
    <w:p>
      <w:pPr>
        <w:pStyle w:val="TextBody"/>
        <w:bidi w:val="0"/>
        <w:spacing w:lineRule="auto" w:line="288" w:before="0" w:after="18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 xml:space="preserve">(12)Liens to secure Environmental CapEx Debt that encumber only the assets purchased, installed or otherwise acquired with the proceeds of such Environmental CapEx Debt; </w:t>
      </w:r>
    </w:p>
    <w:p>
      <w:pPr>
        <w:pStyle w:val="TextBody"/>
        <w:bidi w:val="0"/>
        <w:spacing w:lineRule="auto" w:line="288" w:before="0" w:after="18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(13)Liens permitted to remain outstanding under the Plan;</w:t>
      </w:r>
    </w:p>
    <w:p>
      <w:pPr>
        <w:pStyle w:val="TextBody"/>
        <w:bidi w:val="0"/>
        <w:spacing w:lineRule="auto" w:line="288" w:before="0" w:after="18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(14)Liens securing Hedging Obligations;</w:t>
      </w:r>
    </w:p>
    <w:p>
      <w:pPr>
        <w:pStyle w:val="TextBody"/>
        <w:bidi w:val="0"/>
        <w:spacing w:lineRule="auto" w:line="288" w:before="0" w:after="18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(15)Liens securing Indebtedness in an aggregate principal amount outstanding at any one time not to exceed (A) $4,910.0 million plus (B) the greater of (i) $1,050.0 million and (ii) 100% of Consolidated Adjusted EBITDA for the most recently ended Test Period (calculated on a Pro Forma Basis and determined at the time of the incurrence of such Indebtedness);</w:t>
      </w:r>
    </w:p>
    <w:p>
      <w:pPr>
        <w:pStyle w:val="TextBody"/>
        <w:bidi w:val="0"/>
        <w:spacing w:lineRule="auto" w:line="288" w:before="0" w:after="18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 xml:space="preserve">(16)Liens securing Indebtedness in an aggregate principal amount outstanding at any one time not to exceed the greater of (i) $845.0 million and (ii) 80% of Consolidated Adjusted EBITDA for the most recently ended four calendar quarter period (calculated on a Pro Forma Basis and determined at the time of the incurrence of such Indebtedness); </w:t>
      </w:r>
    </w:p>
    <w:p>
      <w:pPr>
        <w:pStyle w:val="TextBody"/>
        <w:bidi w:val="0"/>
        <w:spacing w:lineRule="auto" w:line="288" w:before="0" w:after="18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 xml:space="preserve">(17)Liens securing Indebtedness in an aggregate principal amount such that (on a Pro Forma Basis and determined at the time of the incurrence of such Indebtedness) the Consolidated Secured Net Leverage Ratio does not exceed the greater of </w:t>
        <w:br/>
        <w:t xml:space="preserve">(i) 3.75:1.00 and (ii) the Consolidated Secured Net Leverage Ratio immediately prior to the incurrence of such Indebtedness and use of proceeds thereof; </w:t>
      </w:r>
    </w:p>
    <w:p>
      <w:pPr>
        <w:pStyle w:val="TextBody"/>
        <w:bidi w:val="0"/>
        <w:spacing w:lineRule="auto" w:line="288" w:before="0" w:after="180"/>
        <w:ind w:left="0" w:right="0" w:hanging="720"/>
        <w:jc w:val="both"/>
        <w:rPr/>
      </w:pPr>
      <w:r>
        <w:rPr>
          <w:rFonts w:ascii="Times New Roman;serif" w:hAnsi="Times New Roman;serif"/>
          <w:b w:val="false"/>
          <w:color w:val="000000"/>
          <w:sz w:val="24"/>
        </w:rPr>
        <w:t xml:space="preserve">(18)any Liens in connection with the issuance of tax-exempt industrial development or pollution control bonds or other similar bonds issued pursuant to Section 103(b) of the Internal Revenue Code of 1986, as amended (or any successor provision), to finance all or any part of the purchase price of or the cost of constructing, equipping or improving property; </w:t>
      </w:r>
      <w:r>
        <w:rPr>
          <w:rFonts w:ascii="Times New Roman;serif" w:hAnsi="Times New Roman;serif"/>
          <w:b w:val="false"/>
          <w:i/>
          <w:color w:val="000000"/>
          <w:sz w:val="24"/>
        </w:rPr>
        <w:t>provided, however</w:t>
      </w:r>
      <w:r>
        <w:rPr>
          <w:rFonts w:ascii="Times New Roman;serif" w:hAnsi="Times New Roman;serif"/>
          <w:b w:val="false"/>
          <w:color w:val="000000"/>
          <w:sz w:val="24"/>
        </w:rPr>
        <w:t xml:space="preserve">, that such Liens are limited to the property acquired or constructed or improved and to substantially unimproved real property on which such construction or improvement is located; and </w:t>
      </w:r>
      <w:r>
        <w:rPr>
          <w:rFonts w:ascii="Times New Roman;serif" w:hAnsi="Times New Roman;serif"/>
          <w:b w:val="false"/>
          <w:i/>
          <w:color w:val="000000"/>
          <w:sz w:val="24"/>
        </w:rPr>
        <w:t>provided, further</w:t>
      </w:r>
      <w:r>
        <w:rPr>
          <w:rFonts w:ascii="Times New Roman;serif" w:hAnsi="Times New Roman;serif"/>
          <w:b w:val="false"/>
          <w:color w:val="000000"/>
          <w:sz w:val="24"/>
        </w:rPr>
        <w:t>, that the Issuer may further secure all or any part of such purchase price or the cost of construction or improvement by an interest in additional property of the Issuer only to the extent necessary for the construction, maintenance and operation of, and access to, such property so acquired or constructed or such improvement; and</w:t>
      </w:r>
    </w:p>
    <w:p>
      <w:pPr>
        <w:pStyle w:val="TextBody"/>
        <w:bidi w:val="0"/>
        <w:spacing w:before="0" w:after="0"/>
        <w:jc w:val="left"/>
        <w:rPr/>
      </w:pPr>
      <w:r>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6480175" cy="768985"/>
                <wp:effectExtent l="0" t="0" r="0" b="0"/>
                <wp:wrapNone/>
                <wp:docPr id="190" name="Frame190"/>
                <a:graphic xmlns:a="http://schemas.openxmlformats.org/drawingml/2006/main">
                  <a:graphicData uri="http://schemas.microsoft.com/office/word/2010/wordprocessingShape">
                    <wps:wsp>
                      <wps:cNvSpPr txBox="1"/>
                      <wps:spPr>
                        <a:xfrm>
                          <a:off x="0" y="0"/>
                          <a:ext cx="6480175" cy="7689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17</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0.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17</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8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(19)Liens securing Indebtedness incurred in connection with a Permitted Spin-Out Transaction not to exceed $100.0 million at any one time outstanding.</w:t>
      </w:r>
    </w:p>
    <w:p>
      <w:pPr>
        <w:pStyle w:val="TextBody"/>
        <w:bidi w:val="0"/>
        <w:spacing w:lineRule="auto" w:line="288" w:before="0" w:after="180"/>
        <w:jc w:val="both"/>
        <w:rPr/>
      </w:pPr>
      <w:r>
        <w:rPr>
          <w:rFonts w:ascii="Times New Roman;serif" w:hAnsi="Times New Roman;serif"/>
          <w:b w:val="false"/>
          <w:color w:val="000000"/>
          <w:sz w:val="24"/>
        </w:rPr>
        <w:t xml:space="preserve">For purposes of determining compliance with </w:t>
      </w:r>
      <w:r>
        <w:rPr>
          <w:rFonts w:ascii="Times New Roman;serif" w:hAnsi="Times New Roman;serif"/>
          <w:b w:val="false"/>
          <w:color w:val="000000"/>
          <w:sz w:val="24"/>
          <w:u w:val="single"/>
        </w:rPr>
        <w:t>Section 4.04</w:t>
      </w:r>
      <w:r>
        <w:rPr>
          <w:color w:val="000000"/>
        </w:rPr>
        <w:t xml:space="preserve"> </w:t>
      </w:r>
      <w:r>
        <w:rPr>
          <w:rFonts w:ascii="Times New Roman;serif" w:hAnsi="Times New Roman;serif"/>
          <w:b w:val="false"/>
          <w:color w:val="000000"/>
          <w:sz w:val="24"/>
        </w:rPr>
        <w:t>and this definition of Permitted Liens, in the event that a Lien meets the criteria of more than one of the categories of Permitted Liens described above in clauses (1) through (19), the Issuer will be permitted, in its sole discretion, (a) to classify such Lien on the date of incurrence and may later reclassify such Lien in any manner (based on the circumstances existing at the time of any such reclassification), (b) may divide and later redivide the amount of such Lien among more than one of such clauses and (c) will only be required to include such Lien in one of any such clauses.</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4"/>
        </w:rPr>
        <w:t>Permitted Reorganization Transaction</w:t>
      </w:r>
      <w:r>
        <w:rPr>
          <w:color w:val="000000"/>
        </w:rPr>
        <w:t xml:space="preserve">” </w:t>
      </w:r>
      <w:r>
        <w:rPr>
          <w:rFonts w:ascii="Times New Roman;serif" w:hAnsi="Times New Roman;serif"/>
          <w:b w:val="false"/>
          <w:color w:val="000000"/>
          <w:sz w:val="24"/>
        </w:rPr>
        <w:t>means re-organizations and other activities related to tax planning and re-organization, so long as, after giving effect thereto, the Subsidiary Guarantees, taken as a whole, are not materially impaired (as determined by the Issuer in good faith).</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4"/>
        </w:rPr>
        <w:t>Permitted Spin-Out</w:t>
      </w:r>
      <w:r>
        <w:rPr>
          <w:color w:val="000000"/>
        </w:rPr>
        <w:t xml:space="preserve"> </w:t>
      </w:r>
      <w:r>
        <w:rPr>
          <w:rFonts w:ascii="Times New Roman;serif" w:hAnsi="Times New Roman;serif"/>
          <w:b w:val="false"/>
          <w:i/>
          <w:color w:val="000000"/>
          <w:sz w:val="24"/>
        </w:rPr>
        <w:t>Entities</w:t>
      </w:r>
      <w:r>
        <w:rPr>
          <w:color w:val="000000"/>
        </w:rPr>
        <w:t xml:space="preserve">” </w:t>
      </w:r>
      <w:r>
        <w:rPr>
          <w:rFonts w:ascii="Times New Roman;serif" w:hAnsi="Times New Roman;serif"/>
          <w:b w:val="false"/>
          <w:color w:val="000000"/>
          <w:sz w:val="24"/>
        </w:rPr>
        <w:t>has the meaning provided in the definition of Permitted Spin-Out Transactions.</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4"/>
        </w:rPr>
        <w:t>Permitted Spin-Out</w:t>
      </w:r>
      <w:r>
        <w:rPr>
          <w:color w:val="000000"/>
        </w:rPr>
        <w:t xml:space="preserve"> </w:t>
      </w:r>
      <w:r>
        <w:rPr>
          <w:rFonts w:ascii="Times New Roman;serif" w:hAnsi="Times New Roman;serif"/>
          <w:b w:val="false"/>
          <w:i/>
          <w:color w:val="000000"/>
          <w:sz w:val="24"/>
        </w:rPr>
        <w:t>Transaction</w:t>
      </w:r>
      <w:r>
        <w:rPr>
          <w:color w:val="000000"/>
        </w:rPr>
        <w:t xml:space="preserve">” </w:t>
      </w:r>
      <w:r>
        <w:rPr>
          <w:rFonts w:ascii="Times New Roman;serif" w:hAnsi="Times New Roman;serif"/>
          <w:b w:val="false"/>
          <w:color w:val="000000"/>
          <w:sz w:val="24"/>
        </w:rPr>
        <w:t>means (x) the spin-out (through distribution, transfer or otherwise) from the group consisting of the Issuer and its Subsidiaries of any of the following entities and assets (including the assets of the following entities): (i) Talen Montana Holdings LLC, (ii) Raven Power Generation Holdings LLC (including, without limitation, H.A. Wagner LLC and Brandon Shores LLC), (iii) Camden Plant Holding, LLC, (iv) Dartmouth Plant Holding, LLC and (v) one or more to-be-formed entities holding the Issuer’s undivided interests in the Keystone and Conemaugh plants and associated membership interests in Keystone Fuels, LLC, Conemaugh Fuels, LLC and Keystone – Conemaugh Projects, LLC (collectively, the “</w:t>
      </w:r>
      <w:r>
        <w:rPr>
          <w:rFonts w:ascii="Times New Roman;serif" w:hAnsi="Times New Roman;serif"/>
          <w:b w:val="false"/>
          <w:i/>
          <w:color w:val="000000"/>
          <w:sz w:val="24"/>
        </w:rPr>
        <w:t>Permitted Spin-Out Entities</w:t>
      </w:r>
      <w:r>
        <w:rPr>
          <w:color w:val="000000"/>
        </w:rPr>
        <w:t>”</w:t>
      </w:r>
      <w:r>
        <w:rPr>
          <w:rFonts w:ascii="Times New Roman;serif" w:hAnsi="Times New Roman;serif"/>
          <w:b w:val="false"/>
          <w:color w:val="000000"/>
          <w:sz w:val="24"/>
        </w:rPr>
        <w:t xml:space="preserve">), which may be done in multiple “spin-out” transactions and may be done at separate intervals and (y) from and after any “spin-out” as described in preceding clause (x), (i) the establishment of one or more revolving credit facilities provided by the Issuer or any of its Subsidiaries to one or more of (a) the Permitted Spin-Out Entities (or any direct or indirect parent entity of a Permitted Spin-Out Entity or Subsidiary of any such parent entity) and/or (b) any other entity (or any direct or indirect parent entity of such entity or Subsidiary of any such parent entity) that is spun out or holds assets that are spun out to the extent the spin out of such entity or assets is not prohibited by the terms of this Indenture and (ii) the issuance of any letters of credit, bank guarantees, surety or performance bonds or similar instruments for which the Issuer or any Subsidiary is obligated to reimburse upon any drawing or payment thereunder (as a primary obligor, guarantor or otherwise), in each case, to support obligations of (a) the Permitted Spin-Out Entities (or any direct or indirect parent entity of a Permitted Spin-Out Entity or Subsidiary of any such parent entity) and/or (b) any other entity (or any direct or indirect parent entity of such entity or Subsidiary of any such parent entity) that is spun out or holds assets that are spun out to the extent the spin out of such entity or assets is not prohibited by the terms of this Indenture, in an aggregate principal amount under clauses (i) and (ii) (or in the case of any letters of credit, bank guarantees, surety or performance bonds or similar instruments, face amount) at any time outstanding not to exceed $100.0 million;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i/>
          <w:color w:val="000000"/>
          <w:sz w:val="24"/>
        </w:rPr>
        <w:t>that</w:t>
      </w:r>
      <w:r>
        <w:rPr>
          <w:rFonts w:ascii="Times New Roman;serif" w:hAnsi="Times New Roman;serif"/>
          <w:b w:val="false"/>
          <w:color w:val="000000"/>
          <w:sz w:val="24"/>
        </w:rPr>
        <w:t xml:space="preserve">, solely with respect to clause (x) above, after giving </w:t>
      </w:r>
      <w:r>
        <w:rPr>
          <w:rFonts w:ascii="Times New Roman;serif" w:hAnsi="Times New Roman;serif"/>
          <w:b w:val="false"/>
          <w:i/>
          <w:color w:val="000000"/>
          <w:sz w:val="24"/>
        </w:rPr>
        <w:t>Pro Forma</w:t>
      </w:r>
      <w:r>
        <w:rPr>
          <w:color w:val="000000"/>
        </w:rPr>
        <w:t xml:space="preserve"> </w:t>
      </w:r>
      <w:r>
        <w:rPr>
          <w:rFonts w:ascii="Times New Roman;serif" w:hAnsi="Times New Roman;serif"/>
          <w:b w:val="false"/>
          <w:color w:val="000000"/>
          <w:sz w:val="24"/>
        </w:rPr>
        <w:t>Effect to any such Permitted Spin-Out Transaction, no Event of Default shall have occurred or be continuing.</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4"/>
        </w:rPr>
        <w:t>Person</w:t>
      </w:r>
      <w:r>
        <w:rPr>
          <w:color w:val="000000"/>
        </w:rPr>
        <w:t xml:space="preserve">” </w:t>
      </w:r>
      <w:r>
        <w:rPr>
          <w:rFonts w:ascii="Times New Roman;serif" w:hAnsi="Times New Roman;serif"/>
          <w:b w:val="false"/>
          <w:color w:val="000000"/>
          <w:sz w:val="24"/>
        </w:rPr>
        <w:t>means any individual, corporation, partnership, joint venture, firm, association, joint-stock company, trust, unincorporated organization, limited liability company, governmental authority, or other enterprise or entity.</w:t>
      </w:r>
    </w:p>
    <w:p>
      <w:pPr>
        <w:pStyle w:val="TextBody"/>
        <w:bidi w:val="0"/>
        <w:spacing w:before="0" w:after="0"/>
        <w:jc w:val="left"/>
        <w:rPr/>
      </w:pPr>
      <w:r>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6480175" cy="768985"/>
                <wp:effectExtent l="0" t="0" r="0" b="0"/>
                <wp:wrapNone/>
                <wp:docPr id="191" name="Frame191"/>
                <a:graphic xmlns:a="http://schemas.openxmlformats.org/drawingml/2006/main">
                  <a:graphicData uri="http://schemas.microsoft.com/office/word/2010/wordprocessingShape">
                    <wps:wsp>
                      <wps:cNvSpPr txBox="1"/>
                      <wps:spPr>
                        <a:xfrm>
                          <a:off x="0" y="0"/>
                          <a:ext cx="6480175" cy="7689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18</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0.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18</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4"/>
        </w:rPr>
        <w:t>Plan</w:t>
      </w:r>
      <w:r>
        <w:rPr>
          <w:color w:val="000000"/>
        </w:rPr>
        <w:t xml:space="preserve">” </w:t>
      </w:r>
      <w:r>
        <w:rPr>
          <w:rFonts w:ascii="Times New Roman;serif" w:hAnsi="Times New Roman;serif"/>
          <w:b w:val="false"/>
          <w:color w:val="000000"/>
          <w:sz w:val="24"/>
        </w:rPr>
        <w:t>means the Joint Chapter 11 Plan of Reorganization of Talen Energy Supply, LLC and its Affiliated Debtors, confirmed on December 20, 2022, together with any amendments, supplements, or modifications thereto.</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4"/>
        </w:rPr>
        <w:t>Post-Transaction Period</w:t>
      </w:r>
      <w:r>
        <w:rPr>
          <w:color w:val="000000"/>
        </w:rPr>
        <w:t xml:space="preserve">” </w:t>
      </w:r>
      <w:r>
        <w:rPr>
          <w:rFonts w:ascii="Times New Roman;serif" w:hAnsi="Times New Roman;serif"/>
          <w:b w:val="false"/>
          <w:color w:val="000000"/>
          <w:sz w:val="24"/>
        </w:rPr>
        <w:t>means, with respect to any Specified Transaction, the period beginning on the date such Specified Transaction is consummated and ending on the last day of the eighth full consecutive fiscal quarter immediately following the date on which such Specified Transaction is consummated.</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4"/>
        </w:rPr>
        <w:t>Principal Property</w:t>
      </w:r>
      <w:r>
        <w:rPr>
          <w:color w:val="000000"/>
        </w:rPr>
        <w:t xml:space="preserve">” </w:t>
      </w:r>
      <w:r>
        <w:rPr>
          <w:rFonts w:ascii="Times New Roman;serif" w:hAnsi="Times New Roman;serif"/>
          <w:b w:val="false"/>
          <w:color w:val="000000"/>
          <w:sz w:val="24"/>
        </w:rPr>
        <w:t>means any building, structure or other facility (together with the land on which it is erected and fixtures comprising a part thereof) used primarily for manufacturing, processing, research, warehousing or distribution owned by the Issuer or any of its Subsidiaries, in each case, located within the United States, that has a book value on the date of which the determination is being made, without deduction of any depreciation reserves, exceeding 2.0% of Total Assets, other than any such facility (or portion thereof) that the Issuer reasonably determines is not material to the business of the Issuer and its Subsidiaries taken as a whole.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4"/>
        </w:rPr>
        <w:t>Private Placement Legend</w:t>
      </w:r>
      <w:r>
        <w:rPr>
          <w:color w:val="000000"/>
        </w:rPr>
        <w:t xml:space="preserve">” </w:t>
      </w:r>
      <w:r>
        <w:rPr>
          <w:rFonts w:ascii="Times New Roman;serif" w:hAnsi="Times New Roman;serif"/>
          <w:b w:val="false"/>
          <w:color w:val="000000"/>
          <w:sz w:val="24"/>
        </w:rPr>
        <w:t xml:space="preserve">means the legend set forth in </w:t>
      </w:r>
      <w:r>
        <w:rPr>
          <w:rFonts w:ascii="Times New Roman;serif" w:hAnsi="Times New Roman;serif"/>
          <w:b w:val="false"/>
          <w:color w:val="000000"/>
          <w:sz w:val="24"/>
          <w:u w:val="single"/>
        </w:rPr>
        <w:t>Section 2.06(f)(1)(A)</w:t>
      </w:r>
      <w:r>
        <w:rPr>
          <w:color w:val="000000"/>
        </w:rPr>
        <w:t xml:space="preserve"> </w:t>
      </w:r>
      <w:r>
        <w:rPr>
          <w:rFonts w:ascii="Times New Roman;serif" w:hAnsi="Times New Roman;serif"/>
          <w:b w:val="false"/>
          <w:color w:val="000000"/>
          <w:sz w:val="24"/>
        </w:rPr>
        <w:t>hereof to be placed on all Notes issued under this Indenture except where otherwise permitted by the provisions of this Indenture.</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4"/>
        </w:rPr>
        <w:t>Pro Forma Adjustment”</w:t>
      </w:r>
      <w:r>
        <w:rPr>
          <w:color w:val="000000"/>
        </w:rPr>
        <w:t xml:space="preserve"> </w:t>
      </w:r>
      <w:r>
        <w:rPr>
          <w:rFonts w:ascii="Times New Roman;serif" w:hAnsi="Times New Roman;serif"/>
          <w:b w:val="false"/>
          <w:color w:val="000000"/>
          <w:sz w:val="24"/>
        </w:rPr>
        <w:t>means, for any Test Period that includes all or any part of a fiscal quarter included in any Post-Transaction Period, with respect to the Acquired EBITDA of the applicable Acquired Entity or Business or the Consolidated Adjusted EBITDA of the Issuer, the pro forma increase or decrease in such Acquired EBITDA or such Consolidated Adjusted EBITDA (including as the result of any “run-rate” synergies, operating expense reductions and improvements and cost savings and other adjustments), as the case may be, projected by the Issuer in good faith as a result of (a) actions taken or with respect to which substantial steps have been taken or are expected to be taken, prior to or during such Post-Transaction Period for the purposes of realizing cost savings or (b) any additional costs incurred prior to or during such Post-Transaction Period, in each case in connection with the combination of the operations of such Acquired Entity or Business with the operations of the Issuer and the Subsidiaries; provided that (A) at the election of the Issuer, such Pro Forma Adjustment shall not be required to be determined for any Acquired Entity or Business to the extent the aggregate consideration paid in connection with such acquisition was less than $25.0 million or the aggregate Pro Forma Adjustment would be less than $25.0 million and (B) so long as such actions are taken, or to be taken, prior to or during such Post-Transaction Period or such costs are incurred prior to or during such Post-Transaction Period, as applicable, it may be assumed, for purposes of projecting such pro forma increase or decrease to such Acquired EBITDA or such Consolidated Adjusted EBITDA, as the case may be, that the applicable amount of such synergies, operating expense reductions and improvements and cost savings and other adjustments will be realizable during the entirety of such Test Period, or the applicable amount of such additional synergies, operating expense reductions and improvements and cost savings and other adjustments, as applicable, will be incurred during the entirety of such Test Period; provided, further that any such pro forma increase or decrease to such Acquired EBITDA or such Consolidated Adjusted EBITDA, as the case may be, shall be without duplication for synergies, operating expense reductions and improvements and cost savings and other adjustments or additional costs already included in such Acquired EBITDA or such Consolidated Adjusted EBITDA, as the case may be, for such Test Period.</w:t>
      </w:r>
    </w:p>
    <w:p>
      <w:pPr>
        <w:pStyle w:val="TextBody"/>
        <w:bidi w:val="0"/>
        <w:spacing w:before="0" w:after="0"/>
        <w:jc w:val="left"/>
        <w:rPr/>
      </w:pPr>
      <w:r>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6480175" cy="768985"/>
                <wp:effectExtent l="0" t="0" r="0" b="0"/>
                <wp:wrapNone/>
                <wp:docPr id="192" name="Frame192"/>
                <a:graphic xmlns:a="http://schemas.openxmlformats.org/drawingml/2006/main">
                  <a:graphicData uri="http://schemas.microsoft.com/office/word/2010/wordprocessingShape">
                    <wps:wsp>
                      <wps:cNvSpPr txBox="1"/>
                      <wps:spPr>
                        <a:xfrm>
                          <a:off x="0" y="0"/>
                          <a:ext cx="6480175" cy="7689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19</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0.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19</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4"/>
        </w:rPr>
        <w:t>Pro Forma Basis”</w:t>
      </w:r>
      <w:r>
        <w:rPr>
          <w:color w:val="000000"/>
        </w:rPr>
        <w:t xml:space="preserve"> </w:t>
      </w:r>
      <w:r>
        <w:rPr>
          <w:rFonts w:ascii="Times New Roman;serif" w:hAnsi="Times New Roman;serif"/>
          <w:b w:val="false"/>
          <w:color w:val="000000"/>
          <w:sz w:val="24"/>
        </w:rPr>
        <w:t xml:space="preserve">and </w:t>
      </w:r>
      <w:r>
        <w:rPr>
          <w:color w:val="000000"/>
        </w:rPr>
        <w:t>“</w:t>
      </w:r>
      <w:r>
        <w:rPr>
          <w:rFonts w:ascii="Times New Roman;serif" w:hAnsi="Times New Roman;serif"/>
          <w:b w:val="false"/>
          <w:i/>
          <w:color w:val="000000"/>
          <w:sz w:val="24"/>
        </w:rPr>
        <w:t>Pro Forma Effect”</w:t>
      </w:r>
      <w:r>
        <w:rPr>
          <w:color w:val="000000"/>
        </w:rPr>
        <w:t xml:space="preserve"> </w:t>
      </w:r>
      <w:r>
        <w:rPr>
          <w:rFonts w:ascii="Times New Roman;serif" w:hAnsi="Times New Roman;serif"/>
          <w:b w:val="false"/>
          <w:color w:val="000000"/>
          <w:sz w:val="24"/>
        </w:rPr>
        <w:t xml:space="preserve">means, with respect to compliance with any test or covenant hereunder, that (A) to the extent applicable, the </w:t>
      </w:r>
      <w:r>
        <w:rPr>
          <w:rFonts w:ascii="Times New Roman;serif" w:hAnsi="Times New Roman;serif"/>
          <w:b w:val="false"/>
          <w:i/>
          <w:color w:val="000000"/>
          <w:sz w:val="24"/>
        </w:rPr>
        <w:t>Pro Forma</w:t>
      </w:r>
      <w:r>
        <w:rPr>
          <w:color w:val="000000"/>
        </w:rPr>
        <w:t xml:space="preserve"> </w:t>
      </w:r>
      <w:r>
        <w:rPr>
          <w:rFonts w:ascii="Times New Roman;serif" w:hAnsi="Times New Roman;serif"/>
          <w:b w:val="false"/>
          <w:color w:val="000000"/>
          <w:sz w:val="24"/>
        </w:rPr>
        <w:t xml:space="preserve">Adjustment shall have been made and (B) all Specified Transactions and the following transactions in connection therewith shall be deemed to have occurred as of the first day of the applicable period of measurement in such test or covenant: (a) income statement items (whether positive or negative) attributable to the property or Person subject to such Specified Transaction, (i) in the case of a Disposition of all or substantially all Capital Stock in any Subsidiary of the Issuer or any division, product line, or facility used for operations of the Issuer or any Subsidiary of the Issuer, shall be excluded, and (ii) in the case of an acquisition or Investment described in the definition of Specified Transaction, shall be included, (b) any retirement or repayment of Indebtedness, and (c) any incurrence or assumption of Indebtedness by the Issuer or any Subsidiary in connection therewith (it being agreed that (x) if such Indebtedness has a floating or formula rate, such Indebtedness shall have an implied rate of interest for the applicable period for purposes of this definition determined by utilizing the rate that is or would be in effect with respect to such Indebtedness as at the relevant date of determination, (y) interest on a Capitalized Lease Obligation shall be deemed to accrue at an interest rate reasonably determined by an Authorized Officer of the Issuer to be the rate of interest implicit in such Capitalized Lease Obligation in accordance with GAAP and (z) interest on Indebtedness that may optionally be determined at an interest rate based upon a factor of a prime or similar rate, a eurocurrency interbank offered rate, or other rate, shall be determined to have been based upon the rate actually chosen, or if none, then based upon such optional rate as the Issuer or any applicable Subsidiary may designate); </w:t>
      </w:r>
      <w:r>
        <w:rPr>
          <w:rFonts w:ascii="Times New Roman;serif" w:hAnsi="Times New Roman;serif"/>
          <w:b w:val="false"/>
          <w:i/>
          <w:color w:val="000000"/>
          <w:sz w:val="24"/>
        </w:rPr>
        <w:t>provided that</w:t>
      </w:r>
      <w:r>
        <w:rPr>
          <w:rFonts w:ascii="Times New Roman;serif" w:hAnsi="Times New Roman;serif"/>
          <w:b w:val="false"/>
          <w:color w:val="000000"/>
          <w:sz w:val="24"/>
        </w:rPr>
        <w:t xml:space="preserve">, without limiting the application of the </w:t>
      </w:r>
      <w:r>
        <w:rPr>
          <w:rFonts w:ascii="Times New Roman;serif" w:hAnsi="Times New Roman;serif"/>
          <w:b w:val="false"/>
          <w:i/>
          <w:color w:val="000000"/>
          <w:sz w:val="24"/>
        </w:rPr>
        <w:t>Pro Forma</w:t>
      </w:r>
      <w:r>
        <w:rPr>
          <w:color w:val="000000"/>
        </w:rPr>
        <w:t xml:space="preserve"> </w:t>
      </w:r>
      <w:r>
        <w:rPr>
          <w:rFonts w:ascii="Times New Roman;serif" w:hAnsi="Times New Roman;serif"/>
          <w:b w:val="false"/>
          <w:color w:val="000000"/>
          <w:sz w:val="24"/>
        </w:rPr>
        <w:t xml:space="preserve">Adjustment pursuant to (A) above (but without duplication thereof), the foregoing </w:t>
      </w:r>
      <w:r>
        <w:rPr>
          <w:rFonts w:ascii="Times New Roman;serif" w:hAnsi="Times New Roman;serif"/>
          <w:b w:val="false"/>
          <w:i/>
          <w:color w:val="000000"/>
          <w:sz w:val="24"/>
        </w:rPr>
        <w:t>pro forma</w:t>
      </w:r>
      <w:r>
        <w:rPr>
          <w:color w:val="000000"/>
        </w:rPr>
        <w:t xml:space="preserve"> </w:t>
      </w:r>
      <w:r>
        <w:rPr>
          <w:rFonts w:ascii="Times New Roman;serif" w:hAnsi="Times New Roman;serif"/>
          <w:b w:val="false"/>
          <w:color w:val="000000"/>
          <w:sz w:val="24"/>
        </w:rPr>
        <w:t xml:space="preserve">adjustments may be applied to any such test or covenant solely to the extent that such adjustments are consistent with the definition of Consolidated Adjusted EBITDA and give effect to events (including operating expense reductions) that are (i) (x) directly attributable to such transaction and (y) reasonably identifiable and factually supportable in the good faith judgment of the Issuer or (ii) otherwise consistent with the definition of </w:t>
      </w:r>
      <w:r>
        <w:rPr>
          <w:rFonts w:ascii="Times New Roman;serif" w:hAnsi="Times New Roman;serif"/>
          <w:b w:val="false"/>
          <w:i/>
          <w:color w:val="000000"/>
          <w:sz w:val="24"/>
        </w:rPr>
        <w:t>Pro Forma</w:t>
      </w:r>
      <w:r>
        <w:rPr>
          <w:color w:val="000000"/>
        </w:rPr>
        <w:t xml:space="preserve"> </w:t>
      </w:r>
      <w:r>
        <w:rPr>
          <w:rFonts w:ascii="Times New Roman;serif" w:hAnsi="Times New Roman;serif"/>
          <w:b w:val="false"/>
          <w:color w:val="000000"/>
          <w:sz w:val="24"/>
        </w:rPr>
        <w:t>Adjustment.</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4"/>
        </w:rPr>
        <w:t>QIB</w:t>
      </w:r>
      <w:r>
        <w:rPr>
          <w:color w:val="000000"/>
        </w:rPr>
        <w:t xml:space="preserve">” </w:t>
      </w:r>
      <w:r>
        <w:rPr>
          <w:rFonts w:ascii="Times New Roman;serif" w:hAnsi="Times New Roman;serif"/>
          <w:b w:val="false"/>
          <w:color w:val="000000"/>
          <w:sz w:val="24"/>
        </w:rPr>
        <w:t>means</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qualified</w:t>
      </w:r>
      <w:r>
        <w:rPr>
          <w:color w:val="000000"/>
        </w:rPr>
        <w:t xml:space="preserve"> </w:t>
      </w:r>
      <w:r>
        <w:rPr>
          <w:rFonts w:ascii="Times New Roman;serif" w:hAnsi="Times New Roman;serif"/>
          <w:b w:val="false"/>
          <w:color w:val="000000"/>
          <w:sz w:val="24"/>
        </w:rPr>
        <w:t>institutional</w:t>
      </w:r>
      <w:r>
        <w:rPr>
          <w:color w:val="000000"/>
        </w:rPr>
        <w:t xml:space="preserve"> </w:t>
      </w:r>
      <w:r>
        <w:rPr>
          <w:rFonts w:ascii="Times New Roman;serif" w:hAnsi="Times New Roman;serif"/>
          <w:b w:val="false"/>
          <w:color w:val="000000"/>
          <w:sz w:val="24"/>
        </w:rPr>
        <w:t>buyer”</w:t>
      </w:r>
      <w:r>
        <w:rPr>
          <w:color w:val="000000"/>
        </w:rPr>
        <w:t xml:space="preserve"> </w:t>
      </w:r>
      <w:r>
        <w:rPr>
          <w:rFonts w:ascii="Times New Roman;serif" w:hAnsi="Times New Roman;serif"/>
          <w:b w:val="false"/>
          <w:color w:val="000000"/>
          <w:sz w:val="24"/>
        </w:rPr>
        <w:t>as</w:t>
      </w:r>
      <w:r>
        <w:rPr>
          <w:color w:val="000000"/>
        </w:rPr>
        <w:t xml:space="preserve"> </w:t>
      </w:r>
      <w:r>
        <w:rPr>
          <w:rFonts w:ascii="Times New Roman;serif" w:hAnsi="Times New Roman;serif"/>
          <w:b w:val="false"/>
          <w:color w:val="000000"/>
          <w:sz w:val="24"/>
        </w:rPr>
        <w:t>defined</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Rule</w:t>
      </w:r>
      <w:r>
        <w:rPr>
          <w:color w:val="000000"/>
        </w:rPr>
        <w:t xml:space="preserve"> </w:t>
      </w:r>
      <w:r>
        <w:rPr>
          <w:rFonts w:ascii="Times New Roman;serif" w:hAnsi="Times New Roman;serif"/>
          <w:b w:val="false"/>
          <w:color w:val="000000"/>
          <w:sz w:val="24"/>
        </w:rPr>
        <w:t>144A.</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4"/>
        </w:rPr>
        <w:t>Qualifying Equity Interests</w:t>
      </w:r>
      <w:r>
        <w:rPr>
          <w:color w:val="000000"/>
        </w:rPr>
        <w:t xml:space="preserve">” </w:t>
      </w:r>
      <w:r>
        <w:rPr>
          <w:rFonts w:ascii="Times New Roman;serif" w:hAnsi="Times New Roman;serif"/>
          <w:b w:val="false"/>
          <w:color w:val="000000"/>
          <w:sz w:val="24"/>
        </w:rPr>
        <w:t>means Equity Interests of the Issuer other than Disqualified Stock.</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4"/>
        </w:rPr>
        <w:t>Qualifying IPO</w:t>
      </w:r>
      <w:r>
        <w:rPr>
          <w:color w:val="000000"/>
        </w:rPr>
        <w:t xml:space="preserve">” </w:t>
      </w:r>
      <w:r>
        <w:rPr>
          <w:rFonts w:ascii="Times New Roman;serif" w:hAnsi="Times New Roman;serif"/>
          <w:b w:val="false"/>
          <w:color w:val="000000"/>
          <w:sz w:val="24"/>
        </w:rPr>
        <w:t>means any transaction or series of transactions that results in, or following which, any common Equity Interests of the Issuer or any Parent Entity, or any IPO Listco that the Issuer will distribute to its Parent Entity in connection with a Qualifying IPO being publicly traded on any United States national securities exchange or over-the-counter market.</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4"/>
        </w:rPr>
        <w:t>Rating Agencies</w:t>
      </w:r>
      <w:r>
        <w:rPr>
          <w:color w:val="000000"/>
        </w:rPr>
        <w:t xml:space="preserve">” </w:t>
      </w:r>
      <w:r>
        <w:rPr>
          <w:rFonts w:ascii="Times New Roman;serif" w:hAnsi="Times New Roman;serif"/>
          <w:b w:val="false"/>
          <w:color w:val="000000"/>
          <w:sz w:val="24"/>
        </w:rPr>
        <w:t xml:space="preserve">means, at the Issuer’s option, any two of Moody’s, Fitch and S&amp;P, </w:t>
      </w:r>
      <w:r>
        <w:rPr>
          <w:rFonts w:ascii="Times New Roman;serif" w:hAnsi="Times New Roman;serif"/>
          <w:b w:val="false"/>
          <w:i/>
          <w:color w:val="000000"/>
          <w:sz w:val="24"/>
        </w:rPr>
        <w:t>provided that</w:t>
      </w:r>
      <w:r>
        <w:rPr>
          <w:color w:val="000000"/>
        </w:rPr>
        <w:t xml:space="preserve"> </w:t>
      </w:r>
      <w:r>
        <w:rPr>
          <w:rFonts w:ascii="Times New Roman;serif" w:hAnsi="Times New Roman;serif"/>
          <w:b w:val="false"/>
          <w:color w:val="000000"/>
          <w:sz w:val="24"/>
        </w:rPr>
        <w:t>if at least two of such agencies shall not make a rating of the Notes available, a Nationally Recognized Statistical Rating Organization selected by the Issuer which shall be substituted for Moody’s, Fitch or S&amp;P, as the case may be.</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4"/>
        </w:rPr>
        <w:t>Rating Date</w:t>
      </w:r>
      <w:r>
        <w:rPr>
          <w:color w:val="000000"/>
        </w:rPr>
        <w:t xml:space="preserve">” </w:t>
      </w:r>
      <w:r>
        <w:rPr>
          <w:rFonts w:ascii="Times New Roman;serif" w:hAnsi="Times New Roman;serif"/>
          <w:b w:val="false"/>
          <w:color w:val="000000"/>
          <w:sz w:val="24"/>
        </w:rPr>
        <w:t>means the earlier of (1) the consummation of a Change of Control and (2) public announcement of the occurrence of a Change of Control or of the intention of the Issuer to effect a Change of Control.</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4"/>
        </w:rPr>
        <w:t>Rating Decline</w:t>
      </w:r>
      <w:r>
        <w:rPr>
          <w:color w:val="000000"/>
        </w:rPr>
        <w:t xml:space="preserve">” </w:t>
      </w:r>
      <w:r>
        <w:rPr>
          <w:rFonts w:ascii="Times New Roman;serif" w:hAnsi="Times New Roman;serif"/>
          <w:b w:val="false"/>
          <w:color w:val="000000"/>
          <w:sz w:val="24"/>
        </w:rPr>
        <w:t xml:space="preserve">means the decrease in the rating of the Notes by both Rating Agencies by one or more gradations (including gradations within rating categories as well as between rating categories) from its rating on the Rating Date, or the withdrawal of a rating of the Notes by both Rating Agencies, in each case on, or within 60 days after, the Rating Date (which period </w:t>
      </w:r>
    </w:p>
    <w:p>
      <w:pPr>
        <w:pStyle w:val="TextBody"/>
        <w:bidi w:val="0"/>
        <w:spacing w:before="0" w:after="0"/>
        <w:jc w:val="left"/>
        <w:rPr/>
      </w:pPr>
      <w:r>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6480175" cy="768985"/>
                <wp:effectExtent l="0" t="0" r="0" b="0"/>
                <wp:wrapNone/>
                <wp:docPr id="193" name="Frame193"/>
                <a:graphic xmlns:a="http://schemas.openxmlformats.org/drawingml/2006/main">
                  <a:graphicData uri="http://schemas.microsoft.com/office/word/2010/wordprocessingShape">
                    <wps:wsp>
                      <wps:cNvSpPr txBox="1"/>
                      <wps:spPr>
                        <a:xfrm>
                          <a:off x="0" y="0"/>
                          <a:ext cx="6480175" cy="7689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20</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0.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20</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rPr>
        <w:t xml:space="preserve">shall be extended with respect to a Rating Agency so long as the rating of the Notes is under publicly announced consideration for a possible downgrade by such Rating Agency); </w:t>
      </w:r>
      <w:r>
        <w:rPr>
          <w:rFonts w:ascii="Times New Roman;serif" w:hAnsi="Times New Roman;serif"/>
          <w:b w:val="false"/>
          <w:i/>
          <w:color w:val="000000"/>
          <w:sz w:val="24"/>
        </w:rPr>
        <w:t>provided that</w:t>
      </w:r>
      <w:r>
        <w:rPr>
          <w:color w:val="000000"/>
        </w:rPr>
        <w:t xml:space="preserve"> </w:t>
      </w:r>
      <w:r>
        <w:rPr>
          <w:rFonts w:ascii="Times New Roman;serif" w:hAnsi="Times New Roman;serif"/>
          <w:b w:val="false"/>
          <w:color w:val="000000"/>
          <w:sz w:val="24"/>
        </w:rPr>
        <w:t xml:space="preserve">both Rating Agencies have confirmed that such decrease in or withdrawal of rating is solely a result of the Change of Control,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w:t>
      </w:r>
      <w:r>
        <w:rPr>
          <w:rFonts w:ascii="Times New Roman;serif" w:hAnsi="Times New Roman;serif"/>
          <w:b w:val="false"/>
          <w:i/>
          <w:color w:val="000000"/>
          <w:sz w:val="24"/>
        </w:rPr>
        <w:t>further</w:t>
      </w:r>
      <w:r>
        <w:rPr>
          <w:rFonts w:ascii="Times New Roman;serif" w:hAnsi="Times New Roman;serif"/>
          <w:b w:val="false"/>
          <w:color w:val="000000"/>
          <w:sz w:val="24"/>
        </w:rPr>
        <w:t>, that no Rating Decline shall occur if following such decrease in rating, (x) the Notes are rated Investment Grade by both Rating Agencies or (y) the ratings of the Notes by both Rating Agencies are equal to or better than their respective ratings on the Issue Date.</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4"/>
        </w:rPr>
        <w:t>Registrar</w:t>
      </w:r>
      <w:r>
        <w:rPr>
          <w:color w:val="000000"/>
        </w:rPr>
        <w:t xml:space="preserve">” </w:t>
      </w:r>
      <w:r>
        <w:rPr>
          <w:rFonts w:ascii="Times New Roman;serif" w:hAnsi="Times New Roman;serif"/>
          <w:b w:val="false"/>
          <w:color w:val="000000"/>
          <w:sz w:val="24"/>
        </w:rPr>
        <w:t>means the office or agency where Notes may be presented for registration of transfer or for exchange. The term “Registrar” includes any co-registrar.</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4"/>
        </w:rPr>
        <w:t>Regulation</w:t>
      </w:r>
      <w:r>
        <w:rPr>
          <w:color w:val="000000"/>
        </w:rPr>
        <w:t xml:space="preserve"> </w:t>
      </w:r>
      <w:r>
        <w:rPr>
          <w:rFonts w:ascii="Times New Roman;serif" w:hAnsi="Times New Roman;serif"/>
          <w:b w:val="false"/>
          <w:i/>
          <w:color w:val="000000"/>
          <w:sz w:val="24"/>
        </w:rPr>
        <w:t>S</w:t>
      </w:r>
      <w:r>
        <w:rPr>
          <w:color w:val="000000"/>
        </w:rPr>
        <w:t xml:space="preserve">” </w:t>
      </w:r>
      <w:r>
        <w:rPr>
          <w:rFonts w:ascii="Times New Roman;serif" w:hAnsi="Times New Roman;serif"/>
          <w:b w:val="false"/>
          <w:color w:val="000000"/>
          <w:sz w:val="24"/>
        </w:rPr>
        <w:t>means</w:t>
      </w:r>
      <w:r>
        <w:rPr>
          <w:color w:val="000000"/>
        </w:rPr>
        <w:t xml:space="preserve"> </w:t>
      </w:r>
      <w:r>
        <w:rPr>
          <w:rFonts w:ascii="Times New Roman;serif" w:hAnsi="Times New Roman;serif"/>
          <w:b w:val="false"/>
          <w:color w:val="000000"/>
          <w:sz w:val="24"/>
        </w:rPr>
        <w:t>Regulation</w:t>
      </w:r>
      <w:r>
        <w:rPr>
          <w:color w:val="000000"/>
        </w:rPr>
        <w:t xml:space="preserve"> </w:t>
      </w:r>
      <w:r>
        <w:rPr>
          <w:rFonts w:ascii="Times New Roman;serif" w:hAnsi="Times New Roman;serif"/>
          <w:b w:val="false"/>
          <w:color w:val="000000"/>
          <w:sz w:val="24"/>
        </w:rPr>
        <w:t>S</w:t>
      </w:r>
      <w:r>
        <w:rPr>
          <w:color w:val="000000"/>
        </w:rPr>
        <w:t xml:space="preserve"> </w:t>
      </w:r>
      <w:r>
        <w:rPr>
          <w:rFonts w:ascii="Times New Roman;serif" w:hAnsi="Times New Roman;serif"/>
          <w:b w:val="false"/>
          <w:color w:val="000000"/>
          <w:sz w:val="24"/>
        </w:rPr>
        <w:t>promulgated</w:t>
      </w:r>
      <w:r>
        <w:rPr>
          <w:color w:val="000000"/>
        </w:rPr>
        <w:t xml:space="preserve"> </w:t>
      </w:r>
      <w:r>
        <w:rPr>
          <w:rFonts w:ascii="Times New Roman;serif" w:hAnsi="Times New Roman;serif"/>
          <w:b w:val="false"/>
          <w:color w:val="000000"/>
          <w:sz w:val="24"/>
        </w:rPr>
        <w:t>under</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Securities</w:t>
      </w:r>
      <w:r>
        <w:rPr>
          <w:color w:val="000000"/>
        </w:rPr>
        <w:t xml:space="preserve"> </w:t>
      </w:r>
      <w:r>
        <w:rPr>
          <w:rFonts w:ascii="Times New Roman;serif" w:hAnsi="Times New Roman;serif"/>
          <w:b w:val="false"/>
          <w:color w:val="000000"/>
          <w:sz w:val="24"/>
        </w:rPr>
        <w:t>Act.</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4"/>
        </w:rPr>
        <w:t>Regulation S Global Note</w:t>
      </w:r>
      <w:r>
        <w:rPr>
          <w:color w:val="000000"/>
        </w:rPr>
        <w:t xml:space="preserve">” </w:t>
      </w:r>
      <w:r>
        <w:rPr>
          <w:rFonts w:ascii="Times New Roman;serif" w:hAnsi="Times New Roman;serif"/>
          <w:b w:val="false"/>
          <w:color w:val="000000"/>
          <w:sz w:val="24"/>
        </w:rPr>
        <w:t>means a Regulation S Permanent Global Note or Regulation S Temporary Global Note, as appropriate.</w:t>
      </w:r>
      <w:r>
        <w:rPr>
          <w:color w:val="000000"/>
        </w:rPr>
        <w:t xml:space="preserve"> </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4"/>
        </w:rPr>
        <w:t>Regulation S Permanent Global Note</w:t>
      </w:r>
      <w:r>
        <w:rPr>
          <w:color w:val="000000"/>
        </w:rPr>
        <w:t xml:space="preserve">” </w:t>
      </w:r>
      <w:r>
        <w:rPr>
          <w:rFonts w:ascii="Times New Roman;serif" w:hAnsi="Times New Roman;serif"/>
          <w:b w:val="false"/>
          <w:color w:val="000000"/>
          <w:sz w:val="24"/>
        </w:rPr>
        <w:t>means</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permanent</w:t>
      </w:r>
      <w:r>
        <w:rPr>
          <w:color w:val="000000"/>
        </w:rPr>
        <w:t xml:space="preserve"> </w:t>
      </w:r>
      <w:r>
        <w:rPr>
          <w:rFonts w:ascii="Times New Roman;serif" w:hAnsi="Times New Roman;serif"/>
          <w:b w:val="false"/>
          <w:color w:val="000000"/>
          <w:sz w:val="24"/>
        </w:rPr>
        <w:t>Global</w:t>
      </w:r>
      <w:r>
        <w:rPr>
          <w:color w:val="000000"/>
        </w:rPr>
        <w:t xml:space="preserve"> </w:t>
      </w:r>
      <w:r>
        <w:rPr>
          <w:rFonts w:ascii="Times New Roman;serif" w:hAnsi="Times New Roman;serif"/>
          <w:b w:val="false"/>
          <w:color w:val="000000"/>
          <w:sz w:val="24"/>
        </w:rPr>
        <w:t>Note</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form</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u w:val="single"/>
        </w:rPr>
        <w:t>Exhibit A</w:t>
      </w:r>
      <w:r>
        <w:rPr>
          <w:color w:val="000000"/>
        </w:rPr>
        <w:t xml:space="preserve"> </w:t>
      </w:r>
      <w:r>
        <w:rPr>
          <w:rFonts w:ascii="Times New Roman;serif" w:hAnsi="Times New Roman;serif"/>
          <w:b w:val="false"/>
          <w:color w:val="000000"/>
          <w:sz w:val="24"/>
        </w:rPr>
        <w:t>hereto, bearing the Global Note Legend and the Private Placement Legend and deposited</w:t>
      </w:r>
      <w:r>
        <w:rPr>
          <w:color w:val="000000"/>
        </w:rPr>
        <w:t xml:space="preserve"> </w:t>
      </w:r>
      <w:r>
        <w:rPr>
          <w:rFonts w:ascii="Times New Roman;serif" w:hAnsi="Times New Roman;serif"/>
          <w:b w:val="false"/>
          <w:color w:val="000000"/>
          <w:sz w:val="24"/>
        </w:rPr>
        <w:t>with or on behalf of, and registered in the name of, the Depository or its nominee that will be issued in a denomination equal to the outstanding principal</w:t>
      </w:r>
      <w:r>
        <w:rPr>
          <w:color w:val="000000"/>
        </w:rPr>
        <w:t xml:space="preserve"> </w:t>
      </w:r>
      <w:r>
        <w:rPr>
          <w:rFonts w:ascii="Times New Roman;serif" w:hAnsi="Times New Roman;serif"/>
          <w:b w:val="false"/>
          <w:color w:val="000000"/>
          <w:sz w:val="24"/>
        </w:rPr>
        <w:t>amount of the Regulation S Temporary Global Note upon expiration of the Distribution Compliance Period.</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4"/>
        </w:rPr>
        <w:t>Regulation</w:t>
      </w:r>
      <w:r>
        <w:rPr>
          <w:color w:val="000000"/>
        </w:rPr>
        <w:t xml:space="preserve"> </w:t>
      </w:r>
      <w:r>
        <w:rPr>
          <w:rFonts w:ascii="Times New Roman;serif" w:hAnsi="Times New Roman;serif"/>
          <w:b w:val="false"/>
          <w:i/>
          <w:color w:val="000000"/>
          <w:sz w:val="24"/>
        </w:rPr>
        <w:t>S</w:t>
      </w:r>
      <w:r>
        <w:rPr>
          <w:color w:val="000000"/>
        </w:rPr>
        <w:t xml:space="preserve"> </w:t>
      </w:r>
      <w:r>
        <w:rPr>
          <w:rFonts w:ascii="Times New Roman;serif" w:hAnsi="Times New Roman;serif"/>
          <w:b w:val="false"/>
          <w:i/>
          <w:color w:val="000000"/>
          <w:sz w:val="24"/>
        </w:rPr>
        <w:t>Temporary</w:t>
      </w:r>
      <w:r>
        <w:rPr>
          <w:color w:val="000000"/>
        </w:rPr>
        <w:t xml:space="preserve"> </w:t>
      </w:r>
      <w:r>
        <w:rPr>
          <w:rFonts w:ascii="Times New Roman;serif" w:hAnsi="Times New Roman;serif"/>
          <w:b w:val="false"/>
          <w:i/>
          <w:color w:val="000000"/>
          <w:sz w:val="24"/>
        </w:rPr>
        <w:t>Global</w:t>
      </w:r>
      <w:r>
        <w:rPr>
          <w:color w:val="000000"/>
        </w:rPr>
        <w:t xml:space="preserve"> </w:t>
      </w:r>
      <w:r>
        <w:rPr>
          <w:rFonts w:ascii="Times New Roman;serif" w:hAnsi="Times New Roman;serif"/>
          <w:b w:val="false"/>
          <w:i/>
          <w:color w:val="000000"/>
          <w:sz w:val="24"/>
        </w:rPr>
        <w:t>Note</w:t>
      </w:r>
      <w:r>
        <w:rPr>
          <w:color w:val="000000"/>
        </w:rPr>
        <w:t xml:space="preserve">” </w:t>
      </w:r>
      <w:r>
        <w:rPr>
          <w:rFonts w:ascii="Times New Roman;serif" w:hAnsi="Times New Roman;serif"/>
          <w:b w:val="false"/>
          <w:color w:val="000000"/>
          <w:sz w:val="24"/>
        </w:rPr>
        <w:t xml:space="preserve">means a temporary Global Note in the form of </w:t>
      </w:r>
      <w:r>
        <w:rPr>
          <w:rFonts w:ascii="Times New Roman;serif" w:hAnsi="Times New Roman;serif"/>
          <w:b w:val="false"/>
          <w:color w:val="000000"/>
          <w:sz w:val="24"/>
          <w:u w:val="single"/>
        </w:rPr>
        <w:t>Exhibit A</w:t>
      </w:r>
      <w:r>
        <w:rPr>
          <w:color w:val="000000"/>
        </w:rPr>
        <w:t xml:space="preserve"> </w:t>
      </w:r>
      <w:r>
        <w:rPr>
          <w:rFonts w:ascii="Times New Roman;serif" w:hAnsi="Times New Roman;serif"/>
          <w:b w:val="false"/>
          <w:color w:val="000000"/>
          <w:sz w:val="24"/>
        </w:rPr>
        <w:t>hereto, bearing the Global Note Legend, the Private Placement Legend and Regulation S</w:t>
      </w:r>
      <w:r>
        <w:rPr>
          <w:color w:val="000000"/>
        </w:rPr>
        <w:t xml:space="preserve"> </w:t>
      </w:r>
      <w:r>
        <w:rPr>
          <w:rFonts w:ascii="Times New Roman;serif" w:hAnsi="Times New Roman;serif"/>
          <w:b w:val="false"/>
          <w:color w:val="000000"/>
          <w:sz w:val="24"/>
        </w:rPr>
        <w:t>Temporary Global Note Legend and deposited with or on behalf of, and registered in the name of, the Depository or its nominee, issued in a denomination</w:t>
      </w:r>
      <w:r>
        <w:rPr>
          <w:color w:val="000000"/>
        </w:rPr>
        <w:t xml:space="preserve"> </w:t>
      </w:r>
      <w:r>
        <w:rPr>
          <w:rFonts w:ascii="Times New Roman;serif" w:hAnsi="Times New Roman;serif"/>
          <w:b w:val="false"/>
          <w:color w:val="000000"/>
          <w:sz w:val="24"/>
        </w:rPr>
        <w:t>equal to the outstanding principal amount of the Notes sold for initial resale in reliance on Rule 903 of Regulation S.</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4"/>
        </w:rPr>
        <w:t>Regulation S Temporary Global Note Legend</w:t>
      </w:r>
      <w:r>
        <w:rPr>
          <w:color w:val="000000"/>
        </w:rPr>
        <w:t xml:space="preserve">” </w:t>
      </w:r>
      <w:r>
        <w:rPr>
          <w:rFonts w:ascii="Times New Roman;serif" w:hAnsi="Times New Roman;serif"/>
          <w:b w:val="false"/>
          <w:color w:val="000000"/>
          <w:sz w:val="24"/>
        </w:rPr>
        <w:t xml:space="preserve">means the legend set forth in </w:t>
      </w:r>
      <w:r>
        <w:rPr>
          <w:rFonts w:ascii="Times New Roman;serif" w:hAnsi="Times New Roman;serif"/>
          <w:b w:val="false"/>
          <w:color w:val="000000"/>
          <w:sz w:val="24"/>
          <w:u w:val="single"/>
        </w:rPr>
        <w:t>Section</w:t>
      </w:r>
      <w:r>
        <w:rPr>
          <w:color w:val="000000"/>
          <w:u w:val="single"/>
        </w:rPr>
        <w:t xml:space="preserve"> </w:t>
      </w:r>
      <w:r>
        <w:rPr>
          <w:rFonts w:ascii="Times New Roman;serif" w:hAnsi="Times New Roman;serif"/>
          <w:b w:val="false"/>
          <w:color w:val="000000"/>
          <w:sz w:val="24"/>
          <w:u w:val="single"/>
        </w:rPr>
        <w:t>2.06(f)(3)</w:t>
      </w:r>
      <w:r>
        <w:rPr>
          <w:color w:val="000000"/>
        </w:rPr>
        <w:t xml:space="preserve"> </w:t>
      </w:r>
      <w:r>
        <w:rPr>
          <w:rFonts w:ascii="Times New Roman;serif" w:hAnsi="Times New Roman;serif"/>
          <w:b w:val="false"/>
          <w:color w:val="000000"/>
          <w:sz w:val="24"/>
        </w:rPr>
        <w:t>to be placed on all Regulation S Temporary</w:t>
      </w:r>
      <w:r>
        <w:rPr>
          <w:color w:val="000000"/>
        </w:rPr>
        <w:t xml:space="preserve"> </w:t>
      </w:r>
      <w:r>
        <w:rPr>
          <w:rFonts w:ascii="Times New Roman;serif" w:hAnsi="Times New Roman;serif"/>
          <w:b w:val="false"/>
          <w:color w:val="000000"/>
          <w:sz w:val="24"/>
        </w:rPr>
        <w:t>Global Notes issued under this Indenture.</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4"/>
        </w:rPr>
        <w:t>Responsible Officer”</w:t>
      </w:r>
      <w:r>
        <w:rPr>
          <w:color w:val="000000"/>
        </w:rPr>
        <w:t xml:space="preserve"> </w:t>
      </w:r>
      <w:r>
        <w:rPr>
          <w:rFonts w:ascii="Times New Roman;serif" w:hAnsi="Times New Roman;serif"/>
          <w:b w:val="false"/>
          <w:color w:val="000000"/>
          <w:sz w:val="24"/>
        </w:rPr>
        <w:t>means (i) when used with respect to the Trustee, any vice president, assistant vice president, any assistant secretary, any assistant treasurer, any associate or any other officer of the Trustee customarily performing functions similar to those performed by any of the above designated officers, in each case, who at such time shall have direct responsibility for the administration of this Indenture and, with respect to a particular matter, any other officer of the Trustee to whom such matter is referred because of such officer’s knowledge of and familiarity with the particular subject, and (ii) when used with respect to any other Person, the chief executive officer, chief financial officer, treasurer or general counsel of such person.</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4"/>
        </w:rPr>
        <w:t>Restricted Definitive Note</w:t>
      </w:r>
      <w:r>
        <w:rPr>
          <w:color w:val="000000"/>
        </w:rPr>
        <w:t xml:space="preserve">” </w:t>
      </w:r>
      <w:r>
        <w:rPr>
          <w:rFonts w:ascii="Times New Roman;serif" w:hAnsi="Times New Roman;serif"/>
          <w:b w:val="false"/>
          <w:color w:val="000000"/>
          <w:sz w:val="24"/>
        </w:rPr>
        <w:t>means a Definitive Note bearing the Private Placement Legend.</w:t>
      </w:r>
      <w:r>
        <w:rPr>
          <w:color w:val="000000"/>
        </w:rPr>
        <w:t xml:space="preserve"> </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4"/>
        </w:rPr>
        <w:t>Restricted Global Note</w:t>
      </w:r>
      <w:r>
        <w:rPr>
          <w:color w:val="000000"/>
        </w:rPr>
        <w:t xml:space="preserve">” </w:t>
      </w:r>
      <w:r>
        <w:rPr>
          <w:rFonts w:ascii="Times New Roman;serif" w:hAnsi="Times New Roman;serif"/>
          <w:b w:val="false"/>
          <w:color w:val="000000"/>
          <w:sz w:val="24"/>
        </w:rPr>
        <w:t>means a Global Note bearing the Private Placement Legend.</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4"/>
        </w:rPr>
        <w:t>RTO</w:t>
      </w:r>
      <w:r>
        <w:rPr>
          <w:color w:val="000000"/>
        </w:rPr>
        <w:t xml:space="preserve">” </w:t>
      </w:r>
      <w:r>
        <w:rPr>
          <w:rFonts w:ascii="Times New Roman;serif" w:hAnsi="Times New Roman;serif"/>
          <w:b w:val="false"/>
          <w:color w:val="000000"/>
          <w:sz w:val="24"/>
        </w:rPr>
        <w:t xml:space="preserve">means “regional transmission organization” as further defined by the Federal Energy Regulatory Commission’s policies, orders and regulations. </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4"/>
        </w:rPr>
        <w:t>Rule 144</w:t>
      </w:r>
      <w:r>
        <w:rPr>
          <w:color w:val="000000"/>
        </w:rPr>
        <w:t xml:space="preserve">” </w:t>
      </w:r>
      <w:r>
        <w:rPr>
          <w:rFonts w:ascii="Times New Roman;serif" w:hAnsi="Times New Roman;serif"/>
          <w:b w:val="false"/>
          <w:color w:val="000000"/>
          <w:sz w:val="24"/>
        </w:rPr>
        <w:t>means Rule 144 adopted by the SEC under the Securities Act.</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4"/>
        </w:rPr>
        <w:t>Rule 144A</w:t>
      </w:r>
      <w:r>
        <w:rPr>
          <w:color w:val="000000"/>
        </w:rPr>
        <w:t xml:space="preserve">” </w:t>
      </w:r>
      <w:r>
        <w:rPr>
          <w:rFonts w:ascii="Times New Roman;serif" w:hAnsi="Times New Roman;serif"/>
          <w:b w:val="false"/>
          <w:color w:val="000000"/>
          <w:sz w:val="24"/>
        </w:rPr>
        <w:t>means Rule 144A adopted by the SEC under the Securities Act.</w:t>
      </w:r>
    </w:p>
    <w:p>
      <w:pPr>
        <w:pStyle w:val="TextBody"/>
        <w:bidi w:val="0"/>
        <w:spacing w:before="0" w:after="0"/>
        <w:jc w:val="left"/>
        <w:rPr/>
      </w:pPr>
      <w:r>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6480175" cy="768985"/>
                <wp:effectExtent l="0" t="0" r="0" b="0"/>
                <wp:wrapNone/>
                <wp:docPr id="194" name="Frame194"/>
                <a:graphic xmlns:a="http://schemas.openxmlformats.org/drawingml/2006/main">
                  <a:graphicData uri="http://schemas.microsoft.com/office/word/2010/wordprocessingShape">
                    <wps:wsp>
                      <wps:cNvSpPr txBox="1"/>
                      <wps:spPr>
                        <a:xfrm>
                          <a:off x="0" y="0"/>
                          <a:ext cx="6480175" cy="7689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21</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0.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21</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4"/>
        </w:rPr>
        <w:t>S&amp;P</w:t>
      </w:r>
      <w:r>
        <w:rPr>
          <w:color w:val="000000"/>
        </w:rPr>
        <w:t xml:space="preserve">” </w:t>
      </w:r>
      <w:r>
        <w:rPr>
          <w:rFonts w:ascii="Times New Roman;serif" w:hAnsi="Times New Roman;serif"/>
          <w:b w:val="false"/>
          <w:color w:val="000000"/>
          <w:sz w:val="24"/>
        </w:rPr>
        <w:t>means S&amp;P Global Ratings (a division of S&amp;P Global, Inc.) or any of its successors or assigns that is a Nationally Recognized Statistical Rating Organization.</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4"/>
        </w:rPr>
        <w:t xml:space="preserve">Screened Affiliate” </w:t>
      </w:r>
      <w:r>
        <w:rPr>
          <w:rFonts w:ascii="Times New Roman;serif" w:hAnsi="Times New Roman;serif"/>
          <w:b w:val="false"/>
          <w:color w:val="000000"/>
          <w:sz w:val="24"/>
        </w:rPr>
        <w:t>means any Affiliate of a Holder (i) that makes investment decisions independently from such Holder and any other Affiliate of such Holder that is not a Screened Affiliate, (ii) that has in place customary information screens between it and such Holder and any other Affiliate of such Holder that is not a Screened Affiliate and such screens prohibit the sharing of information with respect to the Issuer or its Subsidiaries, (iii) whose investment policies are not directed by such Holder or any other Affiliate of such Holder that is acting in concert with such Holder in connection with its investment in the Notes, and (iv) whose investment decisions are not influenced by the investment decisions of such Holder or any other Affiliate of such Holder that is acting in concert with such Holder in connection with its investment in the Notes.</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4"/>
        </w:rPr>
        <w:t>SEC</w:t>
      </w:r>
      <w:r>
        <w:rPr>
          <w:color w:val="000000"/>
        </w:rPr>
        <w:t xml:space="preserve">” </w:t>
      </w:r>
      <w:r>
        <w:rPr>
          <w:rFonts w:ascii="Times New Roman;serif" w:hAnsi="Times New Roman;serif"/>
          <w:b w:val="false"/>
          <w:color w:val="000000"/>
          <w:sz w:val="24"/>
        </w:rPr>
        <w:t>means the United States Securities and Exchange Commission.</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4"/>
        </w:rPr>
        <w:t>Securities Act</w:t>
      </w:r>
      <w:r>
        <w:rPr>
          <w:color w:val="000000"/>
        </w:rPr>
        <w:t xml:space="preserve">” </w:t>
      </w:r>
      <w:r>
        <w:rPr>
          <w:rFonts w:ascii="Times New Roman;serif" w:hAnsi="Times New Roman;serif"/>
          <w:b w:val="false"/>
          <w:color w:val="000000"/>
          <w:sz w:val="24"/>
        </w:rPr>
        <w:t>means the Securities Act of 1933, as amended, and the rules and regulations promulgated thereunder.</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4"/>
        </w:rPr>
        <w:t>Short Derivative Instrument</w:t>
      </w:r>
      <w:r>
        <w:rPr>
          <w:color w:val="000000"/>
        </w:rPr>
        <w:t xml:space="preserve">” </w:t>
      </w:r>
      <w:r>
        <w:rPr>
          <w:rFonts w:ascii="Times New Roman;serif" w:hAnsi="Times New Roman;serif"/>
          <w:b w:val="false"/>
          <w:color w:val="000000"/>
          <w:sz w:val="24"/>
        </w:rPr>
        <w:t>means a Derivative Instrument (i) the value of which generally decreases, and/or the payment or delivery obligations under which generally increase, with positive changes to the Performance References and/or (ii) the value of which generally increases, and/or the payment or delivery obligations under which generally decrease, with negative changes to the Performance References.</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4"/>
        </w:rPr>
        <w:t>Significant Subsidiary</w:t>
      </w:r>
      <w:r>
        <w:rPr>
          <w:color w:val="000000"/>
        </w:rPr>
        <w:t xml:space="preserve">” </w:t>
      </w:r>
      <w:r>
        <w:rPr>
          <w:rFonts w:ascii="Times New Roman;serif" w:hAnsi="Times New Roman;serif"/>
          <w:b w:val="false"/>
          <w:color w:val="000000"/>
          <w:sz w:val="24"/>
        </w:rPr>
        <w:t>means any Subsidiary that would be a “significant subsidiary” as defined in Article 1, Rule 1-02 of Regulation S-X, promulgated pursuant to the Securities Act, as such Regulation is in effect on the Issue Date.</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4"/>
        </w:rPr>
        <w:t>Specified Transaction</w:t>
      </w:r>
      <w:r>
        <w:rPr>
          <w:color w:val="000000"/>
        </w:rPr>
        <w:t xml:space="preserve">” </w:t>
      </w:r>
      <w:r>
        <w:rPr>
          <w:rFonts w:ascii="Times New Roman;serif" w:hAnsi="Times New Roman;serif"/>
          <w:b w:val="false"/>
          <w:color w:val="000000"/>
          <w:sz w:val="24"/>
        </w:rPr>
        <w:t>means, with respect to any period, any Investment, the signing of a letter of intent or purchase agreement with respect to any investment, any merger, consolidation or Disposition of assets, incurrence, prepayment or repayment of Indebtedness, dividend, incurrence of Lien, Subsidiary designation, merger, consolidation, amalgamation or otherwise, or other event that by the terms of this Indenture requires a test or covenant to be calculated on a “Pro Forma Basis.”</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4"/>
        </w:rPr>
        <w:t>Stated Maturity</w:t>
      </w:r>
      <w:r>
        <w:rPr>
          <w:color w:val="000000"/>
        </w:rPr>
        <w:t xml:space="preserve">” </w:t>
      </w:r>
      <w:r>
        <w:rPr>
          <w:rFonts w:ascii="Times New Roman;serif" w:hAnsi="Times New Roman;serif"/>
          <w:b w:val="false"/>
          <w:color w:val="000000"/>
          <w:sz w:val="24"/>
        </w:rPr>
        <w:t xml:space="preserve">means, with respect to any installment of interest or principal on any series of Indebtedness, the date on which such payment of interest or principal was scheduled to be paid in the original documentation governing such Indebtedness, and shall not include any contingent obligations to repay, redeem or repurchase any such interest or principal prior to the date originally scheduled for payment thereof; </w:t>
      </w:r>
      <w:r>
        <w:rPr>
          <w:rFonts w:ascii="Times New Roman;serif" w:hAnsi="Times New Roman;serif"/>
          <w:b w:val="false"/>
          <w:i/>
          <w:color w:val="000000"/>
          <w:sz w:val="24"/>
        </w:rPr>
        <w:t>provided that</w:t>
      </w:r>
      <w:r>
        <w:rPr>
          <w:rFonts w:ascii="Times New Roman;serif" w:hAnsi="Times New Roman;serif"/>
          <w:b w:val="false"/>
          <w:color w:val="000000"/>
          <w:sz w:val="24"/>
        </w:rPr>
        <w:t>, with respect to any pollution control revenue bonds or similar instruments, the Stated Maturity of any series thereof shall be deemed to be the date set forth in any instrument governing such Indebtedness for the remarketing of such Indebtedness.</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4"/>
        </w:rPr>
        <w:t>Subsidiary</w:t>
      </w:r>
      <w:r>
        <w:rPr>
          <w:color w:val="000000"/>
        </w:rPr>
        <w:t xml:space="preserve">” </w:t>
      </w:r>
      <w:r>
        <w:rPr>
          <w:rFonts w:ascii="Times New Roman;serif" w:hAnsi="Times New Roman;serif"/>
          <w:b w:val="false"/>
          <w:color w:val="000000"/>
          <w:sz w:val="24"/>
        </w:rPr>
        <w:t>means, with respect to any specified Person:</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(1)any corporation more than 50% of whose Capital Stock of any class or classes having by the terms thereof ordinary voting power to elect a majority of the directors of such corporation (irrespective of whether or not at the time Capital Stock of any class or classes of such corporation shall have or might have voting power by reason of the happening of any contingency) is at the time owned by such Person directly or indirectly through Subsidiaries; and</w:t>
      </w:r>
    </w:p>
    <w:p>
      <w:pPr>
        <w:pStyle w:val="TextBody"/>
        <w:bidi w:val="0"/>
        <w:spacing w:before="0" w:after="0"/>
        <w:jc w:val="left"/>
        <w:rPr/>
      </w:pPr>
      <w:r>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6480175" cy="768985"/>
                <wp:effectExtent l="0" t="0" r="0" b="0"/>
                <wp:wrapNone/>
                <wp:docPr id="195" name="Frame195"/>
                <a:graphic xmlns:a="http://schemas.openxmlformats.org/drawingml/2006/main">
                  <a:graphicData uri="http://schemas.microsoft.com/office/word/2010/wordprocessingShape">
                    <wps:wsp>
                      <wps:cNvSpPr txBox="1"/>
                      <wps:spPr>
                        <a:xfrm>
                          <a:off x="0" y="0"/>
                          <a:ext cx="6480175" cy="7689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22</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0.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22</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(2)any limited liability company, partnership, association, joint venture or other entity of which such Person directly or indirectly through Subsidiaries has more than a 50% equity interest at the time or is a controlling general partner or controlling member.</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Unless otherwise expressly provided, all references herein to a “Subsidiary” shall mean a Subsidiary of the Issuer.</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4"/>
        </w:rPr>
        <w:t>Subsidiary Guarantee</w:t>
      </w:r>
      <w:r>
        <w:rPr>
          <w:color w:val="000000"/>
        </w:rPr>
        <w:t xml:space="preserve">” </w:t>
      </w:r>
      <w:r>
        <w:rPr>
          <w:rFonts w:ascii="Times New Roman;serif" w:hAnsi="Times New Roman;serif"/>
          <w:b w:val="false"/>
          <w:color w:val="000000"/>
          <w:sz w:val="24"/>
        </w:rPr>
        <w:t xml:space="preserve">means the guarantee by each Subsidiary Guarantor of the Issuer’s obligations under this Indenture and the Notes, executed pursuant to the provisions of this Indenture or a supplemental indenture hereto. </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4"/>
        </w:rPr>
        <w:t>Subsidiary Guarantor</w:t>
      </w:r>
      <w:r>
        <w:rPr>
          <w:color w:val="000000"/>
        </w:rPr>
        <w:t xml:space="preserve">” </w:t>
      </w:r>
      <w:r>
        <w:rPr>
          <w:rFonts w:ascii="Times New Roman;serif" w:hAnsi="Times New Roman;serif"/>
          <w:b w:val="false"/>
          <w:color w:val="000000"/>
          <w:sz w:val="24"/>
        </w:rPr>
        <w:t>means any of the Issuer’s current and future Wholly Owned Domestic Subsidiaries that guarantees the Notes pursuant to the provisions of this Indenture, in each case, until the Subsidiary Guarantee of such Person has been released in accordance with the provisions of this Indenture.</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4"/>
        </w:rPr>
        <w:t>Susquehanna</w:t>
      </w:r>
      <w:r>
        <w:rPr>
          <w:color w:val="000000"/>
        </w:rPr>
        <w:t xml:space="preserve">” </w:t>
      </w:r>
      <w:r>
        <w:rPr>
          <w:rFonts w:ascii="Times New Roman;serif" w:hAnsi="Times New Roman;serif"/>
          <w:b w:val="false"/>
          <w:color w:val="000000"/>
          <w:sz w:val="24"/>
        </w:rPr>
        <w:t>means Susquehanna Nuclear, LLC and any of its successors and assigns.</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4"/>
        </w:rPr>
        <w:t>Susquehanna Assets</w:t>
      </w:r>
      <w:r>
        <w:rPr>
          <w:color w:val="000000"/>
        </w:rPr>
        <w:t xml:space="preserve">” </w:t>
      </w:r>
      <w:r>
        <w:rPr>
          <w:rFonts w:ascii="Times New Roman;serif" w:hAnsi="Times New Roman;serif"/>
          <w:b w:val="false"/>
          <w:color w:val="000000"/>
          <w:sz w:val="24"/>
        </w:rPr>
        <w:t>means (a) any Equity Interests of Susquehanna and (b) any assets (other than cash and Cash Equivalents) owned by Susquehanna as of the Issue Date that are material to the operations of Susquehanna (as determined by the Issuer) as of the Issue Date.</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4"/>
        </w:rPr>
        <w:t>Test Period</w:t>
      </w:r>
      <w:r>
        <w:rPr>
          <w:color w:val="000000"/>
        </w:rPr>
        <w:t xml:space="preserve">” </w:t>
      </w:r>
      <w:r>
        <w:rPr>
          <w:rFonts w:ascii="Times New Roman;serif" w:hAnsi="Times New Roman;serif"/>
          <w:b w:val="false"/>
          <w:color w:val="000000"/>
          <w:sz w:val="24"/>
        </w:rPr>
        <w:t xml:space="preserve">means, on any date of determination, the four consecutive fiscal quarters of the Issuer then last ended for which financial statements have been or were required to have been delivered pursuant to </w:t>
      </w:r>
      <w:r>
        <w:rPr>
          <w:rFonts w:ascii="Times New Roman;serif" w:hAnsi="Times New Roman;serif"/>
          <w:b w:val="false"/>
          <w:color w:val="000000"/>
          <w:sz w:val="24"/>
          <w:u w:val="single"/>
        </w:rPr>
        <w:t>Section 4.07</w:t>
      </w:r>
      <w:r>
        <w:rPr>
          <w:color w:val="000000"/>
        </w:rPr>
        <w:t xml:space="preserve"> </w:t>
      </w:r>
      <w:r>
        <w:rPr>
          <w:rFonts w:ascii="Times New Roman;serif" w:hAnsi="Times New Roman;serif"/>
          <w:b w:val="false"/>
          <w:color w:val="000000"/>
          <w:sz w:val="24"/>
        </w:rPr>
        <w:t>or at the sole option of the Issuer, for purposes of any calculation of Consolidated Adjusted EBITDA and/or any financial ratio under this Indenture, financial statements are internally available.</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4"/>
        </w:rPr>
        <w:t>TIA</w:t>
      </w:r>
      <w:r>
        <w:rPr>
          <w:color w:val="000000"/>
        </w:rPr>
        <w:t xml:space="preserve">” </w:t>
      </w:r>
      <w:r>
        <w:rPr>
          <w:rFonts w:ascii="Times New Roman;serif" w:hAnsi="Times New Roman;serif"/>
          <w:b w:val="false"/>
          <w:color w:val="000000"/>
          <w:sz w:val="24"/>
        </w:rPr>
        <w:t>means the Trust Indenture Act of 1939, as amended (15 U.S.C. §§ 77aaa-77bbbb).</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4"/>
        </w:rPr>
        <w:t>Total Assets</w:t>
      </w:r>
      <w:r>
        <w:rPr>
          <w:color w:val="000000"/>
        </w:rPr>
        <w:t xml:space="preserve">” </w:t>
      </w:r>
      <w:r>
        <w:rPr>
          <w:rFonts w:ascii="Times New Roman;serif" w:hAnsi="Times New Roman;serif"/>
          <w:b w:val="false"/>
          <w:color w:val="000000"/>
          <w:sz w:val="24"/>
        </w:rPr>
        <w:t xml:space="preserve">means, as of any date of determination, the total consolidated assets of the Issuer and its Subsidiaries, determined in accordance with GAAP, as shown on the consolidated balance sheet of the Issuer for the then-most recent fiscal quarter or fiscal year, as applicable, for which financial statements have been delivered pursuant to </w:t>
      </w:r>
      <w:r>
        <w:rPr>
          <w:rFonts w:ascii="Times New Roman;serif" w:hAnsi="Times New Roman;serif"/>
          <w:b w:val="false"/>
          <w:color w:val="000000"/>
          <w:sz w:val="24"/>
          <w:u w:val="single"/>
        </w:rPr>
        <w:t>Section 4.07</w:t>
      </w:r>
      <w:r>
        <w:rPr>
          <w:color w:val="000000"/>
        </w:rPr>
        <w:t xml:space="preserve"> </w:t>
      </w:r>
      <w:r>
        <w:rPr>
          <w:rFonts w:ascii="Times New Roman;serif" w:hAnsi="Times New Roman;serif"/>
          <w:b w:val="false"/>
          <w:color w:val="000000"/>
          <w:sz w:val="24"/>
        </w:rPr>
        <w:t xml:space="preserve">or were required to be delivered (or, at the option of the Issuer, are internally available), and after giving </w:t>
      </w:r>
      <w:r>
        <w:rPr>
          <w:rFonts w:ascii="Times New Roman;serif" w:hAnsi="Times New Roman;serif"/>
          <w:b w:val="false"/>
          <w:i/>
          <w:color w:val="000000"/>
          <w:sz w:val="24"/>
        </w:rPr>
        <w:t>pro forma</w:t>
      </w:r>
      <w:r>
        <w:rPr>
          <w:color w:val="000000"/>
        </w:rPr>
        <w:t xml:space="preserve"> </w:t>
      </w:r>
      <w:r>
        <w:rPr>
          <w:rFonts w:ascii="Times New Roman;serif" w:hAnsi="Times New Roman;serif"/>
          <w:b w:val="false"/>
          <w:color w:val="000000"/>
          <w:sz w:val="24"/>
        </w:rPr>
        <w:t>effect to any acquisition or disposal of any property or assets consummated after the date of the applicable balance sheet and on or prior to the date of determination.</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4"/>
        </w:rPr>
        <w:t>Transactions</w:t>
      </w:r>
      <w:r>
        <w:rPr>
          <w:color w:val="000000"/>
        </w:rPr>
        <w:t xml:space="preserve">” </w:t>
      </w:r>
      <w:r>
        <w:rPr>
          <w:rFonts w:ascii="Times New Roman;serif" w:hAnsi="Times New Roman;serif"/>
          <w:b w:val="false"/>
          <w:color w:val="000000"/>
          <w:sz w:val="24"/>
        </w:rPr>
        <w:t>means, collectively, the (i) the issuance of the Notes, (ii) the Credit Facility Transactions and (iii) the Cornerstone Acquisition, and the payment of fees, costs, liabilities and expenses in connection with each of the foregoing and the consummation of any other transaction connected with the foregoing.</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4"/>
        </w:rPr>
        <w:t>Treasury Rate</w:t>
      </w:r>
      <w:r>
        <w:rPr>
          <w:color w:val="000000"/>
        </w:rPr>
        <w:t xml:space="preserve">” </w:t>
      </w:r>
      <w:r>
        <w:rPr>
          <w:rFonts w:ascii="Times New Roman;serif" w:hAnsi="Times New Roman;serif"/>
          <w:b w:val="false"/>
          <w:color w:val="000000"/>
          <w:sz w:val="24"/>
        </w:rPr>
        <w:t xml:space="preserve">means, as of any redemption date, the yield to maturity as of such redemption date of United States Treasury securities with a constant maturity (as compiled and published in the most recent Federal Reserve Statistical Release H.15 that has become publicly available at least two Business Days prior to the redemption date (or, if such Statistical Release is no longer published, any publicly available source of similar market data)) most nearly equal to the period from the redemption date to May 1, 2029;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w:t>
      </w:r>
      <w:r>
        <w:rPr>
          <w:rFonts w:ascii="Times New Roman;serif" w:hAnsi="Times New Roman;serif"/>
          <w:b w:val="false"/>
          <w:i/>
          <w:color w:val="000000"/>
          <w:sz w:val="24"/>
        </w:rPr>
        <w:t>however</w:t>
      </w:r>
      <w:r>
        <w:rPr>
          <w:rFonts w:ascii="Times New Roman;serif" w:hAnsi="Times New Roman;serif"/>
          <w:b w:val="false"/>
          <w:color w:val="000000"/>
          <w:sz w:val="24"/>
        </w:rPr>
        <w:t>, that if the period from the redemption date to May 1, 2029 is less than one year, the weekly average yield on actively traded United States Treasury securities adjusted to a constant maturity of one year will be used.</w:t>
      </w:r>
    </w:p>
    <w:p>
      <w:pPr>
        <w:pStyle w:val="TextBody"/>
        <w:bidi w:val="0"/>
        <w:spacing w:before="0" w:after="0"/>
        <w:jc w:val="left"/>
        <w:rPr/>
      </w:pPr>
      <w:r>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6480175" cy="768985"/>
                <wp:effectExtent l="0" t="0" r="0" b="0"/>
                <wp:wrapNone/>
                <wp:docPr id="196" name="Frame196"/>
                <a:graphic xmlns:a="http://schemas.openxmlformats.org/drawingml/2006/main">
                  <a:graphicData uri="http://schemas.microsoft.com/office/word/2010/wordprocessingShape">
                    <wps:wsp>
                      <wps:cNvSpPr txBox="1"/>
                      <wps:spPr>
                        <a:xfrm>
                          <a:off x="0" y="0"/>
                          <a:ext cx="6480175" cy="7689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23</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0.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23</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4"/>
        </w:rPr>
        <w:t>Trustee</w:t>
      </w:r>
      <w:r>
        <w:rPr>
          <w:color w:val="000000"/>
        </w:rPr>
        <w:t xml:space="preserve">” </w:t>
      </w:r>
      <w:r>
        <w:rPr>
          <w:rFonts w:ascii="Times New Roman;serif" w:hAnsi="Times New Roman;serif"/>
          <w:b w:val="false"/>
          <w:color w:val="000000"/>
          <w:sz w:val="24"/>
        </w:rPr>
        <w:t>means the Person named as the “Trustee” in the first paragraph of this instrument until a successor Trustee shall have become such pursuant to the applicable provisions of this Indenture, and thereafter “Trustee” shall mean such successor Trustee.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4"/>
        </w:rPr>
        <w:t>Unrestricted Definitive Note</w:t>
      </w:r>
      <w:r>
        <w:rPr>
          <w:color w:val="000000"/>
        </w:rPr>
        <w:t xml:space="preserve">” </w:t>
      </w:r>
      <w:r>
        <w:rPr>
          <w:rFonts w:ascii="Times New Roman;serif" w:hAnsi="Times New Roman;serif"/>
          <w:b w:val="false"/>
          <w:color w:val="000000"/>
          <w:sz w:val="24"/>
        </w:rPr>
        <w:t>means a Definitive Note that does not bear and is not required to bear the Private Placement Legend.</w:t>
      </w:r>
      <w:r>
        <w:rPr>
          <w:color w:val="000000"/>
        </w:rPr>
        <w:t xml:space="preserve"> </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i/>
          <w:color w:val="000000"/>
          <w:sz w:val="24"/>
        </w:rPr>
        <w:t>Unrestricted Global Note</w:t>
      </w:r>
      <w:r>
        <w:rPr>
          <w:color w:val="000000"/>
        </w:rPr>
        <w:t xml:space="preserve">” </w:t>
      </w:r>
      <w:r>
        <w:rPr>
          <w:rFonts w:ascii="Times New Roman;serif" w:hAnsi="Times New Roman;serif"/>
          <w:b w:val="false"/>
          <w:color w:val="000000"/>
          <w:sz w:val="24"/>
        </w:rPr>
        <w:t>means a Global Note that does not bear and is not required to bear the Private Placement Legend.</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4"/>
        </w:rPr>
        <w:t>Voting Stock</w:t>
      </w:r>
      <w:r>
        <w:rPr>
          <w:color w:val="000000"/>
        </w:rPr>
        <w:t xml:space="preserve">” </w:t>
      </w:r>
      <w:r>
        <w:rPr>
          <w:rFonts w:ascii="Times New Roman;serif" w:hAnsi="Times New Roman;serif"/>
          <w:b w:val="false"/>
          <w:color w:val="000000"/>
          <w:sz w:val="24"/>
        </w:rPr>
        <w:t>of any Person as of any date means the Capital Stock of such Person that is at the time entitled to vote in the election of the Board of Directors of such Person under ordinary circumstances.</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4"/>
        </w:rPr>
        <w:t>Wholly Owned Domestic Subsidiary</w:t>
      </w:r>
      <w:r>
        <w:rPr>
          <w:color w:val="000000"/>
        </w:rPr>
        <w:t xml:space="preserve">” </w:t>
      </w:r>
      <w:r>
        <w:rPr>
          <w:rFonts w:ascii="Times New Roman;serif" w:hAnsi="Times New Roman;serif"/>
          <w:b w:val="false"/>
          <w:color w:val="000000"/>
          <w:sz w:val="24"/>
        </w:rPr>
        <w:t xml:space="preserve">means, as to any Person, any Wholly Owned Subsidiary of such Person which is a Domestic Subsidiary. </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i/>
          <w:color w:val="000000"/>
          <w:sz w:val="24"/>
        </w:rPr>
        <w:t>Wholly Owned Subsidiary</w:t>
      </w:r>
      <w:r>
        <w:rPr>
          <w:color w:val="000000"/>
        </w:rPr>
        <w:t xml:space="preserve">” </w:t>
      </w:r>
      <w:r>
        <w:rPr>
          <w:rFonts w:ascii="Times New Roman;serif" w:hAnsi="Times New Roman;serif"/>
          <w:b w:val="false"/>
          <w:color w:val="000000"/>
          <w:sz w:val="24"/>
        </w:rPr>
        <w:t>means, as to any Person, (i) any corporation 100% of whose Capital Stock is at the time owned by such Person and/or one or more Wholly Owned Subsidiaries of such Person and (ii) any partnership, limited liability company, association, joint venture or other entity in which such Person and/or one or more Wholly Owned Subsidiaries of such Person has a 100% Equity Interest at such time (other than, in the case of a Foreign Subsidiary of the Issuer with respect to the preceding clauses (i) and (ii), director’s qualifying shares and/or other nominal amount of shares required to be held by Persons other than the Issuer and its Subsidiaries under Applicable Law).</w:t>
      </w:r>
    </w:p>
    <w:p>
      <w:pPr>
        <w:pStyle w:val="TextBody"/>
        <w:bidi w:val="0"/>
        <w:spacing w:lineRule="auto" w:line="240" w:before="0" w:after="240"/>
        <w:jc w:val="left"/>
        <w:rPr/>
      </w:pPr>
      <w:r>
        <w:rPr>
          <w:rFonts w:ascii="Times New Roman;serif" w:hAnsi="Times New Roman;serif"/>
          <w:b w:val="false"/>
          <w:color w:val="000000"/>
          <w:sz w:val="24"/>
        </w:rPr>
        <w:t>Section 1.02</w:t>
      </w:r>
      <w:r>
        <w:rPr>
          <w:rFonts w:ascii="Times New Roman;serif" w:hAnsi="Times New Roman;serif"/>
          <w:b w:val="false"/>
          <w:color w:val="000000"/>
          <w:sz w:val="24"/>
          <w:u w:val="single"/>
        </w:rPr>
        <w:t>Other Definitions</w:t>
      </w:r>
      <w:r>
        <w:rPr>
          <w:rFonts w:ascii="Times New Roman;serif" w:hAnsi="Times New Roman;serif"/>
          <w:b w:val="false"/>
          <w:color w:val="000000"/>
          <w:sz w:val="24"/>
        </w:rPr>
        <w:t>.</w:t>
      </w:r>
    </w:p>
    <w:tbl>
      <w:tblPr>
        <w:tblW w:w="6839" w:type="dxa"/>
        <w:jc w:val="left"/>
        <w:tblInd w:w="0" w:type="dxa"/>
        <w:tblLayout w:type="fixed"/>
        <w:tblCellMar>
          <w:top w:w="28" w:type="dxa"/>
          <w:left w:w="28" w:type="dxa"/>
          <w:bottom w:w="28" w:type="dxa"/>
          <w:right w:w="28" w:type="dxa"/>
        </w:tblCellMar>
      </w:tblPr>
      <w:tblGrid>
        <w:gridCol w:w="1801"/>
        <w:gridCol w:w="1583"/>
        <w:gridCol w:w="1595"/>
        <w:gridCol w:w="545"/>
        <w:gridCol w:w="545"/>
        <w:gridCol w:w="770"/>
      </w:tblGrid>
      <w:tr>
        <w:trPr/>
        <w:tc>
          <w:tcPr>
            <w:tcW w:w="1801" w:type="dxa"/>
            <w:tcBorders/>
            <w:vAlign w:val="center"/>
          </w:tcPr>
          <w:p>
            <w:pPr>
              <w:pStyle w:val="TableContents"/>
              <w:bidi w:val="0"/>
              <w:spacing w:before="0" w:after="283"/>
              <w:jc w:val="left"/>
              <w:rPr>
                <w:sz w:val="4"/>
                <w:szCs w:val="4"/>
              </w:rPr>
            </w:pPr>
            <w:r>
              <w:rPr>
                <w:sz w:val="4"/>
                <w:szCs w:val="4"/>
              </w:rPr>
            </w:r>
          </w:p>
        </w:tc>
        <w:tc>
          <w:tcPr>
            <w:tcW w:w="1583" w:type="dxa"/>
            <w:tcBorders/>
            <w:vAlign w:val="center"/>
          </w:tcPr>
          <w:p>
            <w:pPr>
              <w:pStyle w:val="TableContents"/>
              <w:bidi w:val="0"/>
              <w:spacing w:before="0" w:after="283"/>
              <w:jc w:val="left"/>
              <w:rPr>
                <w:sz w:val="4"/>
                <w:szCs w:val="4"/>
              </w:rPr>
            </w:pPr>
            <w:r>
              <w:rPr>
                <w:sz w:val="4"/>
                <w:szCs w:val="4"/>
              </w:rPr>
            </w:r>
          </w:p>
        </w:tc>
        <w:tc>
          <w:tcPr>
            <w:tcW w:w="1595"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r>
      <w:tr>
        <w:trPr/>
        <w:tc>
          <w:tcPr>
            <w:tcW w:w="49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Term</w:t>
            </w:r>
          </w:p>
        </w:tc>
        <w:tc>
          <w:tcPr>
            <w:tcW w:w="18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 xml:space="preserve">Defined in </w:t>
              <w:br/>
              <w:t>Section</w:t>
            </w:r>
          </w:p>
        </w:tc>
      </w:tr>
      <w:tr>
        <w:trPr/>
        <w:tc>
          <w:tcPr>
            <w:tcW w:w="4979" w:type="dxa"/>
            <w:gridSpan w:val="3"/>
            <w:tcBorders>
              <w:top w:val="single" w:sz="2" w:space="0" w:color="95B3D7"/>
            </w:tcBorders>
            <w:tcMar>
              <w:top w:w="30" w:type="dxa"/>
              <w:left w:w="0" w:type="dxa"/>
              <w:bottom w:w="0" w:type="dxa"/>
              <w:right w:w="0" w:type="dxa"/>
            </w:tcMar>
            <w:vAlign w:val="center"/>
          </w:tcPr>
          <w:p>
            <w:pPr>
              <w:pStyle w:val="TableContents"/>
              <w:bidi w:val="0"/>
              <w:spacing w:lineRule="auto" w:line="288" w:before="0" w:after="0"/>
              <w:jc w:val="left"/>
              <w:rPr/>
            </w:pPr>
            <w:r>
              <w:rPr>
                <w:color w:val="000000"/>
              </w:rPr>
              <w:t>“</w:t>
            </w:r>
            <w:r>
              <w:rPr>
                <w:rFonts w:ascii="Times New Roman;serif" w:hAnsi="Times New Roman;serif"/>
                <w:b w:val="false"/>
                <w:i/>
                <w:color w:val="000000"/>
                <w:sz w:val="24"/>
              </w:rPr>
              <w:t>Additional Notes Special Mandatory Redemption</w:t>
            </w:r>
            <w:r>
              <w:rPr>
                <w:color w:val="000000"/>
              </w:rPr>
              <w:t>”</w:t>
            </w:r>
          </w:p>
        </w:tc>
        <w:tc>
          <w:tcPr>
            <w:tcW w:w="1860" w:type="dxa"/>
            <w:gridSpan w:val="3"/>
            <w:tcBorders>
              <w:top w:val="single" w:sz="2" w:space="0" w:color="95B3D7"/>
              <w:left w:val="single" w:sz="2" w:space="0" w:color="95B3D7"/>
            </w:tcBorders>
            <w:tcMar>
              <w:top w:w="3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Section 2.07(a)(5)</w:t>
            </w:r>
          </w:p>
        </w:tc>
      </w:tr>
      <w:tr>
        <w:trPr/>
        <w:tc>
          <w:tcPr>
            <w:tcW w:w="4979" w:type="dxa"/>
            <w:gridSpan w:val="3"/>
            <w:tcBorders>
              <w:top w:val="single" w:sz="2" w:space="0" w:color="95B3D7"/>
            </w:tcBorders>
            <w:tcMar>
              <w:top w:w="30" w:type="dxa"/>
              <w:left w:w="0" w:type="dxa"/>
              <w:bottom w:w="0" w:type="dxa"/>
              <w:right w:w="0" w:type="dxa"/>
            </w:tcMar>
            <w:vAlign w:val="center"/>
          </w:tcPr>
          <w:p>
            <w:pPr>
              <w:pStyle w:val="TableContents"/>
              <w:bidi w:val="0"/>
              <w:spacing w:lineRule="auto" w:line="288" w:before="0" w:after="0"/>
              <w:jc w:val="left"/>
              <w:rPr/>
            </w:pPr>
            <w:r>
              <w:rPr>
                <w:color w:val="000000"/>
              </w:rPr>
              <w:t>“</w:t>
            </w:r>
            <w:r>
              <w:rPr>
                <w:rFonts w:ascii="Times New Roman;serif" w:hAnsi="Times New Roman;serif"/>
                <w:b w:val="false"/>
                <w:i/>
                <w:color w:val="000000"/>
                <w:sz w:val="24"/>
              </w:rPr>
              <w:t>Applicable Premium Deficit</w:t>
            </w:r>
            <w:r>
              <w:rPr>
                <w:color w:val="000000"/>
              </w:rPr>
              <w:t>”</w:t>
            </w:r>
          </w:p>
        </w:tc>
        <w:tc>
          <w:tcPr>
            <w:tcW w:w="1860" w:type="dxa"/>
            <w:gridSpan w:val="3"/>
            <w:tcBorders>
              <w:top w:val="single" w:sz="2" w:space="0" w:color="95B3D7"/>
              <w:left w:val="single" w:sz="2" w:space="0" w:color="95B3D7"/>
            </w:tcBorders>
            <w:tcMar>
              <w:top w:w="3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Section 3.09</w:t>
            </w:r>
          </w:p>
        </w:tc>
      </w:tr>
      <w:tr>
        <w:trPr/>
        <w:tc>
          <w:tcPr>
            <w:tcW w:w="4979" w:type="dxa"/>
            <w:gridSpan w:val="3"/>
            <w:tcBorders>
              <w:top w:val="single" w:sz="2" w:space="0" w:color="95B3D7"/>
            </w:tcBorders>
            <w:tcMar>
              <w:top w:w="30" w:type="dxa"/>
              <w:left w:w="0" w:type="dxa"/>
              <w:bottom w:w="0" w:type="dxa"/>
              <w:right w:w="0" w:type="dxa"/>
            </w:tcMar>
            <w:vAlign w:val="center"/>
          </w:tcPr>
          <w:p>
            <w:pPr>
              <w:pStyle w:val="TableContents"/>
              <w:bidi w:val="0"/>
              <w:spacing w:lineRule="auto" w:line="288" w:before="0" w:after="0"/>
              <w:jc w:val="left"/>
              <w:rPr/>
            </w:pPr>
            <w:r>
              <w:rPr>
                <w:color w:val="000000"/>
              </w:rPr>
              <w:t>“</w:t>
            </w:r>
            <w:r>
              <w:rPr>
                <w:rFonts w:ascii="Times New Roman;serif" w:hAnsi="Times New Roman;serif"/>
                <w:b w:val="false"/>
                <w:i/>
                <w:color w:val="000000"/>
                <w:sz w:val="24"/>
              </w:rPr>
              <w:t>Acquisition Triggering Event</w:t>
            </w:r>
            <w:r>
              <w:rPr>
                <w:color w:val="000000"/>
              </w:rPr>
              <w:t>”</w:t>
            </w:r>
          </w:p>
        </w:tc>
        <w:tc>
          <w:tcPr>
            <w:tcW w:w="1860" w:type="dxa"/>
            <w:gridSpan w:val="3"/>
            <w:tcBorders>
              <w:top w:val="single" w:sz="2" w:space="0" w:color="95B3D7"/>
              <w:left w:val="single" w:sz="2" w:space="0" w:color="95B3D7"/>
            </w:tcBorders>
            <w:tcMar>
              <w:top w:w="3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Section 3.08(b) </w:t>
            </w:r>
          </w:p>
        </w:tc>
      </w:tr>
      <w:tr>
        <w:trPr/>
        <w:tc>
          <w:tcPr>
            <w:tcW w:w="4979" w:type="dxa"/>
            <w:gridSpan w:val="3"/>
            <w:tcBorders>
              <w:top w:val="single" w:sz="2" w:space="0" w:color="95B3D7"/>
            </w:tcBorders>
            <w:tcMar>
              <w:top w:w="30" w:type="dxa"/>
              <w:left w:w="0" w:type="dxa"/>
              <w:bottom w:w="0" w:type="dxa"/>
              <w:right w:w="0" w:type="dxa"/>
            </w:tcMar>
            <w:vAlign w:val="center"/>
          </w:tcPr>
          <w:p>
            <w:pPr>
              <w:pStyle w:val="TableContents"/>
              <w:bidi w:val="0"/>
              <w:spacing w:lineRule="auto" w:line="288" w:before="0" w:after="0"/>
              <w:jc w:val="left"/>
              <w:rPr/>
            </w:pPr>
            <w:r>
              <w:rPr>
                <w:color w:val="000000"/>
              </w:rPr>
              <w:t>“</w:t>
            </w:r>
            <w:r>
              <w:rPr>
                <w:rFonts w:ascii="Times New Roman;serif" w:hAnsi="Times New Roman;serif"/>
                <w:b w:val="false"/>
                <w:i/>
                <w:color w:val="000000"/>
                <w:sz w:val="24"/>
              </w:rPr>
              <w:t>Change of Control Offer</w:t>
            </w:r>
            <w:r>
              <w:rPr>
                <w:color w:val="000000"/>
              </w:rPr>
              <w:t>”</w:t>
            </w:r>
          </w:p>
        </w:tc>
        <w:tc>
          <w:tcPr>
            <w:tcW w:w="1860" w:type="dxa"/>
            <w:gridSpan w:val="3"/>
            <w:tcBorders>
              <w:top w:val="single" w:sz="2" w:space="0" w:color="95B3D7"/>
              <w:left w:val="single" w:sz="2" w:space="0" w:color="95B3D7"/>
            </w:tcBorders>
            <w:tcMar>
              <w:top w:w="3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Section 4.08(a)</w:t>
            </w:r>
          </w:p>
        </w:tc>
      </w:tr>
      <w:tr>
        <w:trPr/>
        <w:tc>
          <w:tcPr>
            <w:tcW w:w="4979" w:type="dxa"/>
            <w:gridSpan w:val="3"/>
            <w:tcBorders>
              <w:top w:val="single" w:sz="2" w:space="0" w:color="95B3D7"/>
            </w:tcBorders>
            <w:tcMar>
              <w:top w:w="30" w:type="dxa"/>
              <w:left w:w="0" w:type="dxa"/>
              <w:bottom w:w="0" w:type="dxa"/>
              <w:right w:w="0" w:type="dxa"/>
            </w:tcMar>
            <w:vAlign w:val="center"/>
          </w:tcPr>
          <w:p>
            <w:pPr>
              <w:pStyle w:val="TableContents"/>
              <w:bidi w:val="0"/>
              <w:spacing w:lineRule="auto" w:line="288" w:before="0" w:after="0"/>
              <w:jc w:val="left"/>
              <w:rPr/>
            </w:pPr>
            <w:r>
              <w:rPr>
                <w:color w:val="000000"/>
              </w:rPr>
              <w:t>“</w:t>
            </w:r>
            <w:r>
              <w:rPr>
                <w:rFonts w:ascii="Times New Roman;serif" w:hAnsi="Times New Roman;serif"/>
                <w:b w:val="false"/>
                <w:i/>
                <w:color w:val="000000"/>
                <w:sz w:val="24"/>
              </w:rPr>
              <w:t>Change</w:t>
            </w:r>
            <w:r>
              <w:rPr>
                <w:color w:val="000000"/>
              </w:rPr>
              <w:t xml:space="preserve"> </w:t>
            </w:r>
            <w:r>
              <w:rPr>
                <w:rFonts w:ascii="Times New Roman;serif" w:hAnsi="Times New Roman;serif"/>
                <w:b w:val="false"/>
                <w:i/>
                <w:color w:val="000000"/>
                <w:sz w:val="24"/>
              </w:rPr>
              <w:t>of</w:t>
            </w:r>
            <w:r>
              <w:rPr>
                <w:color w:val="000000"/>
              </w:rPr>
              <w:t xml:space="preserve"> </w:t>
            </w:r>
            <w:r>
              <w:rPr>
                <w:rFonts w:ascii="Times New Roman;serif" w:hAnsi="Times New Roman;serif"/>
                <w:b w:val="false"/>
                <w:i/>
                <w:color w:val="000000"/>
                <w:sz w:val="24"/>
              </w:rPr>
              <w:t>Control</w:t>
            </w:r>
            <w:r>
              <w:rPr>
                <w:color w:val="000000"/>
              </w:rPr>
              <w:t xml:space="preserve"> </w:t>
            </w:r>
            <w:r>
              <w:rPr>
                <w:rFonts w:ascii="Times New Roman;serif" w:hAnsi="Times New Roman;serif"/>
                <w:b w:val="false"/>
                <w:i/>
                <w:color w:val="000000"/>
                <w:sz w:val="24"/>
              </w:rPr>
              <w:t>Payment</w:t>
            </w:r>
            <w:r>
              <w:rPr>
                <w:color w:val="000000"/>
              </w:rPr>
              <w:t>”</w:t>
            </w:r>
          </w:p>
        </w:tc>
        <w:tc>
          <w:tcPr>
            <w:tcW w:w="1860" w:type="dxa"/>
            <w:gridSpan w:val="3"/>
            <w:tcBorders>
              <w:top w:val="single" w:sz="2" w:space="0" w:color="95B3D7"/>
              <w:left w:val="single" w:sz="2" w:space="0" w:color="95B3D7"/>
            </w:tcBorders>
            <w:tcMar>
              <w:top w:w="3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Section 4.08(a)</w:t>
            </w:r>
          </w:p>
        </w:tc>
      </w:tr>
      <w:tr>
        <w:trPr/>
        <w:tc>
          <w:tcPr>
            <w:tcW w:w="4979" w:type="dxa"/>
            <w:gridSpan w:val="3"/>
            <w:tcBorders>
              <w:top w:val="single" w:sz="2" w:space="0" w:color="95B3D7"/>
            </w:tcBorders>
            <w:tcMar>
              <w:top w:w="30" w:type="dxa"/>
              <w:left w:w="0" w:type="dxa"/>
              <w:bottom w:w="0" w:type="dxa"/>
              <w:right w:w="0" w:type="dxa"/>
            </w:tcMar>
            <w:vAlign w:val="center"/>
          </w:tcPr>
          <w:p>
            <w:pPr>
              <w:pStyle w:val="TableContents"/>
              <w:bidi w:val="0"/>
              <w:spacing w:lineRule="auto" w:line="288" w:before="0" w:after="0"/>
              <w:jc w:val="left"/>
              <w:rPr/>
            </w:pPr>
            <w:r>
              <w:rPr>
                <w:color w:val="000000"/>
              </w:rPr>
              <w:t>“</w:t>
            </w:r>
            <w:r>
              <w:rPr>
                <w:rFonts w:ascii="Times New Roman;serif" w:hAnsi="Times New Roman;serif"/>
                <w:b w:val="false"/>
                <w:i/>
                <w:color w:val="000000"/>
                <w:sz w:val="24"/>
              </w:rPr>
              <w:t>Change</w:t>
            </w:r>
            <w:r>
              <w:rPr>
                <w:color w:val="000000"/>
              </w:rPr>
              <w:t xml:space="preserve"> </w:t>
            </w:r>
            <w:r>
              <w:rPr>
                <w:rFonts w:ascii="Times New Roman;serif" w:hAnsi="Times New Roman;serif"/>
                <w:b w:val="false"/>
                <w:i/>
                <w:color w:val="000000"/>
                <w:sz w:val="24"/>
              </w:rPr>
              <w:t>of</w:t>
            </w:r>
            <w:r>
              <w:rPr>
                <w:color w:val="000000"/>
              </w:rPr>
              <w:t xml:space="preserve"> </w:t>
            </w:r>
            <w:r>
              <w:rPr>
                <w:rFonts w:ascii="Times New Roman;serif" w:hAnsi="Times New Roman;serif"/>
                <w:b w:val="false"/>
                <w:i/>
                <w:color w:val="000000"/>
                <w:sz w:val="24"/>
              </w:rPr>
              <w:t>Control</w:t>
            </w:r>
            <w:r>
              <w:rPr>
                <w:color w:val="000000"/>
              </w:rPr>
              <w:t xml:space="preserve"> </w:t>
            </w:r>
            <w:r>
              <w:rPr>
                <w:rFonts w:ascii="Times New Roman;serif" w:hAnsi="Times New Roman;serif"/>
                <w:b w:val="false"/>
                <w:i/>
                <w:color w:val="000000"/>
                <w:sz w:val="24"/>
              </w:rPr>
              <w:t>Payment</w:t>
            </w:r>
            <w:r>
              <w:rPr>
                <w:color w:val="000000"/>
              </w:rPr>
              <w:t xml:space="preserve"> </w:t>
            </w:r>
            <w:r>
              <w:rPr>
                <w:rFonts w:ascii="Times New Roman;serif" w:hAnsi="Times New Roman;serif"/>
                <w:b w:val="false"/>
                <w:i/>
                <w:color w:val="000000"/>
                <w:sz w:val="24"/>
              </w:rPr>
              <w:t>Date</w:t>
            </w:r>
            <w:r>
              <w:rPr>
                <w:color w:val="000000"/>
              </w:rPr>
              <w:t>”</w:t>
            </w:r>
          </w:p>
        </w:tc>
        <w:tc>
          <w:tcPr>
            <w:tcW w:w="1860" w:type="dxa"/>
            <w:gridSpan w:val="3"/>
            <w:tcBorders>
              <w:top w:val="single" w:sz="2" w:space="0" w:color="95B3D7"/>
              <w:left w:val="single" w:sz="2" w:space="0" w:color="95B3D7"/>
            </w:tcBorders>
            <w:tcMar>
              <w:top w:w="3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Section 4.08(a)(2)</w:t>
            </w:r>
          </w:p>
        </w:tc>
      </w:tr>
      <w:tr>
        <w:trPr/>
        <w:tc>
          <w:tcPr>
            <w:tcW w:w="4979" w:type="dxa"/>
            <w:gridSpan w:val="3"/>
            <w:tcBorders>
              <w:top w:val="single" w:sz="2" w:space="0" w:color="95B3D7"/>
            </w:tcBorders>
            <w:tcMar>
              <w:top w:w="30" w:type="dxa"/>
              <w:left w:w="0" w:type="dxa"/>
              <w:bottom w:w="0" w:type="dxa"/>
              <w:right w:w="0" w:type="dxa"/>
            </w:tcMar>
            <w:vAlign w:val="center"/>
          </w:tcPr>
          <w:p>
            <w:pPr>
              <w:pStyle w:val="TableContents"/>
              <w:bidi w:val="0"/>
              <w:spacing w:lineRule="auto" w:line="288" w:before="0" w:after="0"/>
              <w:jc w:val="left"/>
              <w:rPr/>
            </w:pPr>
            <w:r>
              <w:rPr>
                <w:color w:val="000000"/>
              </w:rPr>
              <w:t>“</w:t>
            </w:r>
            <w:r>
              <w:rPr>
                <w:rFonts w:ascii="Times New Roman;serif" w:hAnsi="Times New Roman;serif"/>
                <w:b w:val="false"/>
                <w:i/>
                <w:color w:val="000000"/>
                <w:sz w:val="24"/>
              </w:rPr>
              <w:t>Covenant Defeasance</w:t>
            </w:r>
            <w:r>
              <w:rPr>
                <w:color w:val="000000"/>
              </w:rPr>
              <w:t>”</w:t>
            </w:r>
          </w:p>
        </w:tc>
        <w:tc>
          <w:tcPr>
            <w:tcW w:w="1860" w:type="dxa"/>
            <w:gridSpan w:val="3"/>
            <w:tcBorders>
              <w:top w:val="single" w:sz="2" w:space="0" w:color="95B3D7"/>
              <w:left w:val="single" w:sz="2" w:space="0" w:color="95B3D7"/>
            </w:tcBorders>
            <w:tcMar>
              <w:top w:w="3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Section 8.03</w:t>
            </w:r>
          </w:p>
        </w:tc>
      </w:tr>
      <w:tr>
        <w:trPr/>
        <w:tc>
          <w:tcPr>
            <w:tcW w:w="4979" w:type="dxa"/>
            <w:gridSpan w:val="3"/>
            <w:tcBorders>
              <w:top w:val="single" w:sz="2" w:space="0" w:color="95B3D7"/>
            </w:tcBorders>
            <w:tcMar>
              <w:top w:w="30" w:type="dxa"/>
              <w:left w:w="0" w:type="dxa"/>
              <w:bottom w:w="0" w:type="dxa"/>
              <w:right w:w="0" w:type="dxa"/>
            </w:tcMar>
            <w:vAlign w:val="center"/>
          </w:tcPr>
          <w:p>
            <w:pPr>
              <w:pStyle w:val="TableContents"/>
              <w:bidi w:val="0"/>
              <w:spacing w:lineRule="auto" w:line="288" w:before="0" w:after="0"/>
              <w:jc w:val="left"/>
              <w:rPr/>
            </w:pPr>
            <w:r>
              <w:rPr>
                <w:color w:val="000000"/>
              </w:rPr>
              <w:t>“</w:t>
            </w:r>
            <w:r>
              <w:rPr>
                <w:rFonts w:ascii="Times New Roman;serif" w:hAnsi="Times New Roman;serif"/>
                <w:b w:val="false"/>
                <w:i/>
                <w:color w:val="000000"/>
                <w:sz w:val="24"/>
              </w:rPr>
              <w:t>Covenant Failure Officer’s Certificate</w:t>
            </w:r>
            <w:r>
              <w:rPr>
                <w:color w:val="000000"/>
              </w:rPr>
              <w:t>”</w:t>
            </w:r>
          </w:p>
        </w:tc>
        <w:tc>
          <w:tcPr>
            <w:tcW w:w="1860" w:type="dxa"/>
            <w:gridSpan w:val="3"/>
            <w:tcBorders>
              <w:top w:val="single" w:sz="2" w:space="0" w:color="95B3D7"/>
              <w:left w:val="single" w:sz="2" w:space="0" w:color="95B3D7"/>
            </w:tcBorders>
            <w:tcMar>
              <w:top w:w="3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Section 6.09(b)</w:t>
            </w:r>
          </w:p>
        </w:tc>
      </w:tr>
      <w:tr>
        <w:trPr/>
        <w:tc>
          <w:tcPr>
            <w:tcW w:w="4979" w:type="dxa"/>
            <w:gridSpan w:val="3"/>
            <w:tcBorders>
              <w:top w:val="single" w:sz="2" w:space="0" w:color="95B3D7"/>
            </w:tcBorders>
            <w:tcMar>
              <w:top w:w="30" w:type="dxa"/>
              <w:left w:w="0" w:type="dxa"/>
              <w:bottom w:w="0" w:type="dxa"/>
              <w:right w:w="0" w:type="dxa"/>
            </w:tcMar>
            <w:vAlign w:val="center"/>
          </w:tcPr>
          <w:p>
            <w:pPr>
              <w:pStyle w:val="TableContents"/>
              <w:bidi w:val="0"/>
              <w:spacing w:lineRule="auto" w:line="288" w:before="0" w:after="0"/>
              <w:jc w:val="left"/>
              <w:rPr/>
            </w:pPr>
            <w:r>
              <w:rPr>
                <w:color w:val="000000"/>
              </w:rPr>
              <w:t>“</w:t>
            </w:r>
            <w:r>
              <w:rPr>
                <w:rFonts w:ascii="Times New Roman;serif" w:hAnsi="Times New Roman;serif"/>
                <w:b w:val="false"/>
                <w:i/>
                <w:color w:val="000000"/>
                <w:sz w:val="24"/>
              </w:rPr>
              <w:t>Covenant Satisfaction Officer’s Certificate</w:t>
            </w:r>
            <w:r>
              <w:rPr>
                <w:color w:val="000000"/>
              </w:rPr>
              <w:t>”</w:t>
            </w:r>
          </w:p>
        </w:tc>
        <w:tc>
          <w:tcPr>
            <w:tcW w:w="1860" w:type="dxa"/>
            <w:gridSpan w:val="3"/>
            <w:tcBorders>
              <w:top w:val="single" w:sz="2" w:space="0" w:color="95B3D7"/>
              <w:left w:val="single" w:sz="2" w:space="0" w:color="95B3D7"/>
            </w:tcBorders>
            <w:tcMar>
              <w:top w:w="3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Section 6.09(b)</w:t>
            </w:r>
          </w:p>
        </w:tc>
      </w:tr>
      <w:tr>
        <w:trPr/>
        <w:tc>
          <w:tcPr>
            <w:tcW w:w="4979" w:type="dxa"/>
            <w:gridSpan w:val="3"/>
            <w:tcBorders>
              <w:top w:val="single" w:sz="2" w:space="0" w:color="95B3D7"/>
            </w:tcBorders>
            <w:tcMar>
              <w:top w:w="30" w:type="dxa"/>
              <w:left w:w="0" w:type="dxa"/>
              <w:bottom w:w="0" w:type="dxa"/>
              <w:right w:w="0" w:type="dxa"/>
            </w:tcMar>
            <w:vAlign w:val="center"/>
          </w:tcPr>
          <w:p>
            <w:pPr>
              <w:pStyle w:val="TableContents"/>
              <w:bidi w:val="0"/>
              <w:spacing w:lineRule="auto" w:line="288" w:before="0" w:after="0"/>
              <w:jc w:val="left"/>
              <w:rPr/>
            </w:pPr>
            <w:r>
              <w:rPr>
                <w:color w:val="000000"/>
              </w:rPr>
              <w:t>“</w:t>
            </w:r>
            <w:r>
              <w:rPr>
                <w:rFonts w:ascii="Times New Roman;serif" w:hAnsi="Times New Roman;serif"/>
                <w:b w:val="false"/>
                <w:i/>
                <w:color w:val="000000"/>
                <w:sz w:val="24"/>
              </w:rPr>
              <w:t>Directing Holder</w:t>
            </w:r>
            <w:r>
              <w:rPr>
                <w:color w:val="000000"/>
              </w:rPr>
              <w:t>”</w:t>
            </w:r>
          </w:p>
        </w:tc>
        <w:tc>
          <w:tcPr>
            <w:tcW w:w="1860" w:type="dxa"/>
            <w:gridSpan w:val="3"/>
            <w:tcBorders>
              <w:top w:val="single" w:sz="2" w:space="0" w:color="95B3D7"/>
              <w:left w:val="single" w:sz="2" w:space="0" w:color="95B3D7"/>
            </w:tcBorders>
            <w:tcMar>
              <w:top w:w="3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Section 6.09(a)</w:t>
            </w:r>
          </w:p>
        </w:tc>
      </w:tr>
      <w:tr>
        <w:trPr/>
        <w:tc>
          <w:tcPr>
            <w:tcW w:w="4979" w:type="dxa"/>
            <w:gridSpan w:val="3"/>
            <w:tcBorders>
              <w:top w:val="single" w:sz="2" w:space="0" w:color="95B3D7"/>
            </w:tcBorders>
            <w:tcMar>
              <w:top w:w="30" w:type="dxa"/>
              <w:left w:w="0" w:type="dxa"/>
              <w:bottom w:w="0" w:type="dxa"/>
              <w:right w:w="0" w:type="dxa"/>
            </w:tcMar>
            <w:vAlign w:val="center"/>
          </w:tcPr>
          <w:p>
            <w:pPr>
              <w:pStyle w:val="TableContents"/>
              <w:bidi w:val="0"/>
              <w:spacing w:lineRule="auto" w:line="288" w:before="0" w:after="0"/>
              <w:jc w:val="left"/>
              <w:rPr/>
            </w:pPr>
            <w:r>
              <w:rPr>
                <w:color w:val="000000"/>
              </w:rPr>
              <w:t>“</w:t>
            </w:r>
            <w:r>
              <w:rPr>
                <w:rFonts w:ascii="Times New Roman;serif" w:hAnsi="Times New Roman;serif"/>
                <w:b w:val="false"/>
                <w:i/>
                <w:color w:val="000000"/>
                <w:sz w:val="24"/>
              </w:rPr>
              <w:t>Event of Default</w:t>
            </w:r>
            <w:r>
              <w:rPr>
                <w:color w:val="000000"/>
              </w:rPr>
              <w:t>”</w:t>
            </w:r>
          </w:p>
        </w:tc>
        <w:tc>
          <w:tcPr>
            <w:tcW w:w="1860" w:type="dxa"/>
            <w:gridSpan w:val="3"/>
            <w:tcBorders>
              <w:top w:val="single" w:sz="2" w:space="0" w:color="95B3D7"/>
              <w:left w:val="single" w:sz="2" w:space="0" w:color="95B3D7"/>
            </w:tcBorders>
            <w:tcMar>
              <w:top w:w="3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Section 6.01</w:t>
            </w:r>
          </w:p>
        </w:tc>
      </w:tr>
      <w:tr>
        <w:trPr/>
        <w:tc>
          <w:tcPr>
            <w:tcW w:w="4979" w:type="dxa"/>
            <w:gridSpan w:val="3"/>
            <w:tcBorders>
              <w:top w:val="single" w:sz="2" w:space="0" w:color="95B3D7"/>
            </w:tcBorders>
            <w:tcMar>
              <w:top w:w="30" w:type="dxa"/>
              <w:left w:w="0" w:type="dxa"/>
              <w:bottom w:w="0" w:type="dxa"/>
              <w:right w:w="0" w:type="dxa"/>
            </w:tcMar>
            <w:vAlign w:val="center"/>
          </w:tcPr>
          <w:p>
            <w:pPr>
              <w:pStyle w:val="TableContents"/>
              <w:bidi w:val="0"/>
              <w:spacing w:lineRule="auto" w:line="288" w:before="0" w:after="0"/>
              <w:jc w:val="left"/>
              <w:rPr/>
            </w:pPr>
            <w:r>
              <w:rPr>
                <w:color w:val="000000"/>
              </w:rPr>
              <w:t>“</w:t>
            </w:r>
            <w:r>
              <w:rPr>
                <w:rFonts w:ascii="Times New Roman;serif" w:hAnsi="Times New Roman;serif"/>
                <w:b w:val="false"/>
                <w:i/>
                <w:color w:val="000000"/>
                <w:sz w:val="24"/>
              </w:rPr>
              <w:t>Final Decision</w:t>
            </w:r>
            <w:r>
              <w:rPr>
                <w:color w:val="000000"/>
              </w:rPr>
              <w:t>”</w:t>
            </w:r>
          </w:p>
        </w:tc>
        <w:tc>
          <w:tcPr>
            <w:tcW w:w="1860" w:type="dxa"/>
            <w:gridSpan w:val="3"/>
            <w:tcBorders>
              <w:top w:val="single" w:sz="2" w:space="0" w:color="95B3D7"/>
              <w:left w:val="single" w:sz="2" w:space="0" w:color="95B3D7"/>
            </w:tcBorders>
            <w:tcMar>
              <w:top w:w="3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Section 6.09(b)</w:t>
            </w:r>
          </w:p>
        </w:tc>
      </w:tr>
      <w:tr>
        <w:trPr/>
        <w:tc>
          <w:tcPr>
            <w:tcW w:w="4979" w:type="dxa"/>
            <w:gridSpan w:val="3"/>
            <w:tcBorders>
              <w:top w:val="single" w:sz="2" w:space="0" w:color="95B3D7"/>
            </w:tcBorders>
            <w:tcMar>
              <w:top w:w="30" w:type="dxa"/>
              <w:left w:w="0" w:type="dxa"/>
              <w:bottom w:w="0" w:type="dxa"/>
              <w:right w:w="0" w:type="dxa"/>
            </w:tcMar>
            <w:vAlign w:val="center"/>
          </w:tcPr>
          <w:p>
            <w:pPr>
              <w:pStyle w:val="TableContents"/>
              <w:bidi w:val="0"/>
              <w:spacing w:lineRule="auto" w:line="288" w:before="0" w:after="0"/>
              <w:jc w:val="left"/>
              <w:rPr/>
            </w:pPr>
            <w:r>
              <w:rPr>
                <w:color w:val="000000"/>
              </w:rPr>
              <w:t>“</w:t>
            </w:r>
            <w:r>
              <w:rPr>
                <w:rFonts w:ascii="Times New Roman;serif" w:hAnsi="Times New Roman;serif"/>
                <w:b w:val="false"/>
                <w:i/>
                <w:color w:val="000000"/>
                <w:sz w:val="24"/>
              </w:rPr>
              <w:t>Fixed Amounts</w:t>
            </w:r>
            <w:r>
              <w:rPr>
                <w:color w:val="000000"/>
              </w:rPr>
              <w:t>”</w:t>
            </w:r>
          </w:p>
        </w:tc>
        <w:tc>
          <w:tcPr>
            <w:tcW w:w="1860" w:type="dxa"/>
            <w:gridSpan w:val="3"/>
            <w:tcBorders>
              <w:top w:val="single" w:sz="2" w:space="0" w:color="95B3D7"/>
              <w:left w:val="single" w:sz="2" w:space="0" w:color="95B3D7"/>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1.05</w:t>
            </w:r>
          </w:p>
        </w:tc>
      </w:tr>
      <w:tr>
        <w:trPr/>
        <w:tc>
          <w:tcPr>
            <w:tcW w:w="4979" w:type="dxa"/>
            <w:gridSpan w:val="3"/>
            <w:tcBorders>
              <w:top w:val="single" w:sz="2" w:space="0" w:color="95B3D7"/>
            </w:tcBorders>
            <w:tcMar>
              <w:top w:w="30" w:type="dxa"/>
              <w:left w:w="0" w:type="dxa"/>
              <w:bottom w:w="0" w:type="dxa"/>
              <w:right w:w="0" w:type="dxa"/>
            </w:tcMar>
            <w:vAlign w:val="center"/>
          </w:tcPr>
          <w:p>
            <w:pPr>
              <w:pStyle w:val="TableContents"/>
              <w:bidi w:val="0"/>
              <w:spacing w:lineRule="auto" w:line="288" w:before="0" w:after="0"/>
              <w:jc w:val="left"/>
              <w:rPr/>
            </w:pPr>
            <w:r>
              <w:rPr>
                <w:color w:val="000000"/>
              </w:rPr>
              <w:t>“</w:t>
            </w:r>
            <w:r>
              <w:rPr>
                <w:rFonts w:ascii="Times New Roman;serif" w:hAnsi="Times New Roman;serif"/>
                <w:b w:val="false"/>
                <w:i/>
                <w:color w:val="000000"/>
                <w:sz w:val="24"/>
              </w:rPr>
              <w:t>Increased Amount</w:t>
            </w:r>
            <w:r>
              <w:rPr>
                <w:color w:val="000000"/>
              </w:rPr>
              <w:t>”</w:t>
            </w:r>
          </w:p>
        </w:tc>
        <w:tc>
          <w:tcPr>
            <w:tcW w:w="1860" w:type="dxa"/>
            <w:gridSpan w:val="3"/>
            <w:tcBorders>
              <w:top w:val="single" w:sz="2" w:space="0" w:color="95B3D7"/>
              <w:left w:val="single" w:sz="2" w:space="0" w:color="95B3D7"/>
            </w:tcBorders>
            <w:tcMar>
              <w:top w:w="3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Section 4.04(c)</w:t>
            </w:r>
          </w:p>
        </w:tc>
      </w:tr>
      <w:tr>
        <w:trPr/>
        <w:tc>
          <w:tcPr>
            <w:tcW w:w="4979" w:type="dxa"/>
            <w:gridSpan w:val="3"/>
            <w:tcBorders>
              <w:top w:val="single" w:sz="2" w:space="0" w:color="95B3D7"/>
            </w:tcBorders>
            <w:tcMar>
              <w:top w:w="30" w:type="dxa"/>
              <w:left w:w="0" w:type="dxa"/>
              <w:bottom w:w="0" w:type="dxa"/>
              <w:right w:w="0" w:type="dxa"/>
            </w:tcMar>
            <w:vAlign w:val="center"/>
          </w:tcPr>
          <w:p>
            <w:pPr>
              <w:pStyle w:val="TableContents"/>
              <w:bidi w:val="0"/>
              <w:spacing w:lineRule="auto" w:line="288" w:before="0" w:after="0"/>
              <w:jc w:val="left"/>
              <w:rPr/>
            </w:pPr>
            <w:r>
              <w:rPr>
                <w:color w:val="000000"/>
              </w:rPr>
              <w:t>“</w:t>
            </w:r>
            <w:r>
              <w:rPr>
                <w:rFonts w:ascii="Times New Roman;serif" w:hAnsi="Times New Roman;serif"/>
                <w:b w:val="false"/>
                <w:i/>
                <w:color w:val="000000"/>
                <w:sz w:val="24"/>
              </w:rPr>
              <w:t>Incurrence-Based Amounts</w:t>
            </w:r>
            <w:r>
              <w:rPr>
                <w:color w:val="000000"/>
              </w:rPr>
              <w:t>”</w:t>
            </w:r>
          </w:p>
        </w:tc>
        <w:tc>
          <w:tcPr>
            <w:tcW w:w="1860" w:type="dxa"/>
            <w:gridSpan w:val="3"/>
            <w:tcBorders>
              <w:top w:val="single" w:sz="2" w:space="0" w:color="95B3D7"/>
              <w:left w:val="single" w:sz="2" w:space="0" w:color="95B3D7"/>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1.05</w:t>
            </w:r>
          </w:p>
        </w:tc>
      </w:tr>
      <w:tr>
        <w:trPr/>
        <w:tc>
          <w:tcPr>
            <w:tcW w:w="4979" w:type="dxa"/>
            <w:gridSpan w:val="3"/>
            <w:tcBorders>
              <w:top w:val="single" w:sz="2" w:space="0" w:color="95B3D7"/>
              <w:bottom w:val="single" w:sz="2" w:space="0" w:color="95B3D7"/>
            </w:tcBorders>
            <w:tcMar>
              <w:top w:w="30" w:type="dxa"/>
              <w:left w:w="0" w:type="dxa"/>
              <w:bottom w:w="30" w:type="dxa"/>
              <w:right w:w="0" w:type="dxa"/>
            </w:tcMar>
            <w:vAlign w:val="center"/>
          </w:tcPr>
          <w:p>
            <w:pPr>
              <w:pStyle w:val="TableContents"/>
              <w:bidi w:val="0"/>
              <w:spacing w:lineRule="auto" w:line="288" w:before="0" w:after="0"/>
              <w:jc w:val="left"/>
              <w:rPr/>
            </w:pPr>
            <w:r>
              <w:rPr>
                <w:color w:val="000000"/>
              </w:rPr>
              <w:t>“</w:t>
            </w:r>
            <w:r>
              <w:rPr>
                <w:rFonts w:ascii="Times New Roman;serif" w:hAnsi="Times New Roman;serif"/>
                <w:b w:val="false"/>
                <w:i/>
                <w:color w:val="000000"/>
                <w:sz w:val="24"/>
              </w:rPr>
              <w:t>LCT Election</w:t>
            </w:r>
            <w:r>
              <w:rPr>
                <w:color w:val="000000"/>
              </w:rPr>
              <w:t>”</w:t>
            </w:r>
          </w:p>
        </w:tc>
        <w:tc>
          <w:tcPr>
            <w:tcW w:w="1860" w:type="dxa"/>
            <w:gridSpan w:val="3"/>
            <w:tcBorders>
              <w:top w:val="single" w:sz="2" w:space="0" w:color="95B3D7"/>
              <w:left w:val="single" w:sz="2" w:space="0" w:color="95B3D7"/>
              <w:bottom w:val="single" w:sz="2" w:space="0" w:color="95B3D7"/>
            </w:tcBorders>
            <w:tcMar>
              <w:top w:w="30" w:type="dxa"/>
              <w:bottom w:w="3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Section 1.04(a)</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6480175" cy="768985"/>
                <wp:effectExtent l="0" t="0" r="0" b="0"/>
                <wp:wrapNone/>
                <wp:docPr id="197" name="Frame197"/>
                <a:graphic xmlns:a="http://schemas.openxmlformats.org/drawingml/2006/main">
                  <a:graphicData uri="http://schemas.microsoft.com/office/word/2010/wordprocessingShape">
                    <wps:wsp>
                      <wps:cNvSpPr txBox="1"/>
                      <wps:spPr>
                        <a:xfrm>
                          <a:off x="0" y="0"/>
                          <a:ext cx="6480175" cy="7689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24</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0.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24</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tbl>
      <w:tblPr>
        <w:tblW w:w="6704" w:type="dxa"/>
        <w:jc w:val="left"/>
        <w:tblInd w:w="0" w:type="dxa"/>
        <w:tblLayout w:type="fixed"/>
        <w:tblCellMar>
          <w:top w:w="28" w:type="dxa"/>
          <w:left w:w="28" w:type="dxa"/>
          <w:bottom w:w="28" w:type="dxa"/>
          <w:right w:w="28" w:type="dxa"/>
        </w:tblCellMar>
      </w:tblPr>
      <w:tblGrid>
        <w:gridCol w:w="1640"/>
        <w:gridCol w:w="1437"/>
        <w:gridCol w:w="1452"/>
        <w:gridCol w:w="635"/>
        <w:gridCol w:w="635"/>
        <w:gridCol w:w="905"/>
      </w:tblGrid>
      <w:tr>
        <w:trPr/>
        <w:tc>
          <w:tcPr>
            <w:tcW w:w="1640" w:type="dxa"/>
            <w:tcBorders/>
            <w:vAlign w:val="center"/>
          </w:tcPr>
          <w:p>
            <w:pPr>
              <w:pStyle w:val="TableContents"/>
              <w:bidi w:val="0"/>
              <w:spacing w:before="0" w:after="283"/>
              <w:jc w:val="left"/>
              <w:rPr>
                <w:sz w:val="4"/>
                <w:szCs w:val="4"/>
              </w:rPr>
            </w:pPr>
            <w:r>
              <w:rPr>
                <w:sz w:val="4"/>
                <w:szCs w:val="4"/>
              </w:rPr>
            </w:r>
          </w:p>
        </w:tc>
        <w:tc>
          <w:tcPr>
            <w:tcW w:w="1437" w:type="dxa"/>
            <w:tcBorders/>
            <w:vAlign w:val="center"/>
          </w:tcPr>
          <w:p>
            <w:pPr>
              <w:pStyle w:val="TableContents"/>
              <w:bidi w:val="0"/>
              <w:spacing w:before="0" w:after="283"/>
              <w:jc w:val="left"/>
              <w:rPr>
                <w:sz w:val="4"/>
                <w:szCs w:val="4"/>
              </w:rPr>
            </w:pPr>
            <w:r>
              <w:rPr>
                <w:sz w:val="4"/>
                <w:szCs w:val="4"/>
              </w:rPr>
            </w:r>
          </w:p>
        </w:tc>
        <w:tc>
          <w:tcPr>
            <w:tcW w:w="1452"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r>
      <w:tr>
        <w:trPr/>
        <w:tc>
          <w:tcPr>
            <w:tcW w:w="4529" w:type="dxa"/>
            <w:gridSpan w:val="3"/>
            <w:tcBorders>
              <w:top w:val="single" w:sz="2" w:space="0" w:color="95B3D7"/>
            </w:tcBorders>
            <w:tcMar>
              <w:top w:w="30" w:type="dxa"/>
              <w:left w:w="0" w:type="dxa"/>
              <w:bottom w:w="0" w:type="dxa"/>
              <w:right w:w="0" w:type="dxa"/>
            </w:tcMar>
            <w:vAlign w:val="center"/>
          </w:tcPr>
          <w:p>
            <w:pPr>
              <w:pStyle w:val="TableContents"/>
              <w:bidi w:val="0"/>
              <w:spacing w:lineRule="auto" w:line="288" w:before="0" w:after="0"/>
              <w:jc w:val="left"/>
              <w:rPr/>
            </w:pPr>
            <w:r>
              <w:rPr>
                <w:color w:val="000000"/>
              </w:rPr>
              <w:t>“</w:t>
            </w:r>
            <w:r>
              <w:rPr>
                <w:rFonts w:ascii="Times New Roman;serif" w:hAnsi="Times New Roman;serif"/>
                <w:b w:val="false"/>
                <w:i/>
                <w:color w:val="000000"/>
                <w:sz w:val="24"/>
              </w:rPr>
              <w:t>LCT Test Date</w:t>
            </w:r>
            <w:r>
              <w:rPr>
                <w:color w:val="000000"/>
              </w:rPr>
              <w:t>”</w:t>
            </w:r>
          </w:p>
        </w:tc>
        <w:tc>
          <w:tcPr>
            <w:tcW w:w="2175" w:type="dxa"/>
            <w:gridSpan w:val="3"/>
            <w:tcBorders>
              <w:top w:val="single" w:sz="2" w:space="0" w:color="95B3D7"/>
              <w:left w:val="single" w:sz="2" w:space="0" w:color="95B3D7"/>
            </w:tcBorders>
            <w:tcMar>
              <w:top w:w="3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Section 1.04(a)</w:t>
            </w:r>
          </w:p>
        </w:tc>
      </w:tr>
      <w:tr>
        <w:trPr/>
        <w:tc>
          <w:tcPr>
            <w:tcW w:w="4529" w:type="dxa"/>
            <w:gridSpan w:val="3"/>
            <w:tcBorders>
              <w:top w:val="single" w:sz="2" w:space="0" w:color="95B3D7"/>
            </w:tcBorders>
            <w:tcMar>
              <w:top w:w="30" w:type="dxa"/>
              <w:left w:w="0" w:type="dxa"/>
              <w:bottom w:w="0" w:type="dxa"/>
              <w:right w:w="0" w:type="dxa"/>
            </w:tcMar>
            <w:vAlign w:val="center"/>
          </w:tcPr>
          <w:p>
            <w:pPr>
              <w:pStyle w:val="TableContents"/>
              <w:bidi w:val="0"/>
              <w:spacing w:lineRule="auto" w:line="288" w:before="0" w:after="0"/>
              <w:jc w:val="left"/>
              <w:rPr/>
            </w:pPr>
            <w:r>
              <w:rPr>
                <w:color w:val="000000"/>
              </w:rPr>
              <w:t>“</w:t>
            </w:r>
            <w:r>
              <w:rPr>
                <w:rFonts w:ascii="Times New Roman;serif" w:hAnsi="Times New Roman;serif"/>
                <w:b w:val="false"/>
                <w:i/>
                <w:color w:val="000000"/>
                <w:sz w:val="24"/>
              </w:rPr>
              <w:t>Legal Defeasance</w:t>
            </w:r>
            <w:r>
              <w:rPr>
                <w:color w:val="000000"/>
              </w:rPr>
              <w:t>”</w:t>
            </w:r>
          </w:p>
        </w:tc>
        <w:tc>
          <w:tcPr>
            <w:tcW w:w="2175" w:type="dxa"/>
            <w:gridSpan w:val="3"/>
            <w:tcBorders>
              <w:top w:val="single" w:sz="2" w:space="0" w:color="95B3D7"/>
              <w:left w:val="single" w:sz="2" w:space="0" w:color="95B3D7"/>
            </w:tcBorders>
            <w:tcMar>
              <w:top w:w="3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Section 8.02</w:t>
            </w:r>
          </w:p>
        </w:tc>
      </w:tr>
      <w:tr>
        <w:trPr/>
        <w:tc>
          <w:tcPr>
            <w:tcW w:w="4529" w:type="dxa"/>
            <w:gridSpan w:val="3"/>
            <w:tcBorders>
              <w:top w:val="single" w:sz="2" w:space="0" w:color="95B3D7"/>
            </w:tcBorders>
            <w:tcMar>
              <w:top w:w="30" w:type="dxa"/>
              <w:left w:w="0" w:type="dxa"/>
              <w:bottom w:w="0" w:type="dxa"/>
              <w:right w:w="0" w:type="dxa"/>
            </w:tcMar>
            <w:vAlign w:val="center"/>
          </w:tcPr>
          <w:p>
            <w:pPr>
              <w:pStyle w:val="TableContents"/>
              <w:bidi w:val="0"/>
              <w:spacing w:lineRule="auto" w:line="288" w:before="0" w:after="0"/>
              <w:jc w:val="left"/>
              <w:rPr/>
            </w:pPr>
            <w:r>
              <w:rPr>
                <w:color w:val="000000"/>
              </w:rPr>
              <w:t>“</w:t>
            </w:r>
            <w:r>
              <w:rPr>
                <w:rFonts w:ascii="Times New Roman;serif" w:hAnsi="Times New Roman;serif"/>
                <w:b w:val="false"/>
                <w:i/>
                <w:color w:val="000000"/>
                <w:sz w:val="24"/>
              </w:rPr>
              <w:t>Limited Condition Transaction</w:t>
            </w:r>
            <w:r>
              <w:rPr>
                <w:color w:val="000000"/>
              </w:rPr>
              <w:t>”</w:t>
            </w:r>
          </w:p>
        </w:tc>
        <w:tc>
          <w:tcPr>
            <w:tcW w:w="2175" w:type="dxa"/>
            <w:gridSpan w:val="3"/>
            <w:tcBorders>
              <w:top w:val="single" w:sz="2" w:space="0" w:color="95B3D7"/>
              <w:left w:val="single" w:sz="2" w:space="0" w:color="95B3D7"/>
            </w:tcBorders>
            <w:tcMar>
              <w:top w:w="3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Section 1.04(a)</w:t>
            </w:r>
          </w:p>
        </w:tc>
      </w:tr>
      <w:tr>
        <w:trPr/>
        <w:tc>
          <w:tcPr>
            <w:tcW w:w="4529" w:type="dxa"/>
            <w:gridSpan w:val="3"/>
            <w:tcBorders>
              <w:top w:val="single" w:sz="2" w:space="0" w:color="95B3D7"/>
            </w:tcBorders>
            <w:tcMar>
              <w:top w:w="30" w:type="dxa"/>
              <w:left w:w="0" w:type="dxa"/>
              <w:bottom w:w="0" w:type="dxa"/>
              <w:right w:w="0" w:type="dxa"/>
            </w:tcMar>
            <w:vAlign w:val="center"/>
          </w:tcPr>
          <w:p>
            <w:pPr>
              <w:pStyle w:val="TableContents"/>
              <w:bidi w:val="0"/>
              <w:spacing w:lineRule="auto" w:line="288" w:before="0" w:after="0"/>
              <w:jc w:val="left"/>
              <w:rPr/>
            </w:pPr>
            <w:r>
              <w:rPr>
                <w:color w:val="000000"/>
              </w:rPr>
              <w:t>“</w:t>
            </w:r>
            <w:r>
              <w:rPr>
                <w:rFonts w:ascii="Times New Roman;serif" w:hAnsi="Times New Roman;serif"/>
                <w:b w:val="false"/>
                <w:i/>
                <w:color w:val="000000"/>
                <w:sz w:val="24"/>
              </w:rPr>
              <w:t>Litigation</w:t>
            </w:r>
            <w:r>
              <w:rPr>
                <w:color w:val="000000"/>
              </w:rPr>
              <w:t>”</w:t>
            </w:r>
          </w:p>
        </w:tc>
        <w:tc>
          <w:tcPr>
            <w:tcW w:w="2175" w:type="dxa"/>
            <w:gridSpan w:val="3"/>
            <w:tcBorders>
              <w:top w:val="single" w:sz="2" w:space="0" w:color="95B3D7"/>
              <w:left w:val="single" w:sz="2" w:space="0" w:color="95B3D7"/>
            </w:tcBorders>
            <w:tcMar>
              <w:top w:w="3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Section 6.09(b)</w:t>
            </w:r>
          </w:p>
        </w:tc>
      </w:tr>
      <w:tr>
        <w:trPr/>
        <w:tc>
          <w:tcPr>
            <w:tcW w:w="4529" w:type="dxa"/>
            <w:gridSpan w:val="3"/>
            <w:tcBorders>
              <w:top w:val="single" w:sz="2" w:space="0" w:color="95B3D7"/>
            </w:tcBorders>
            <w:shd w:fill="FFFFFF" w:val="clear"/>
            <w:tcMar>
              <w:top w:w="30" w:type="dxa"/>
              <w:left w:w="0" w:type="dxa"/>
              <w:bottom w:w="0" w:type="dxa"/>
              <w:right w:w="0" w:type="dxa"/>
            </w:tcMar>
            <w:vAlign w:val="center"/>
          </w:tcPr>
          <w:p>
            <w:pPr>
              <w:pStyle w:val="TableContents"/>
              <w:bidi w:val="0"/>
              <w:spacing w:lineRule="auto" w:line="288" w:before="0" w:after="0"/>
              <w:jc w:val="left"/>
              <w:rPr/>
            </w:pPr>
            <w:r>
              <w:rPr>
                <w:color w:val="000000"/>
              </w:rPr>
              <w:t>“</w:t>
            </w:r>
            <w:r>
              <w:rPr>
                <w:rFonts w:ascii="Times New Roman;serif" w:hAnsi="Times New Roman;serif"/>
                <w:b w:val="false"/>
                <w:i/>
                <w:color w:val="000000"/>
                <w:sz w:val="24"/>
              </w:rPr>
              <w:t>Outside Date”</w:t>
            </w:r>
          </w:p>
        </w:tc>
        <w:tc>
          <w:tcPr>
            <w:tcW w:w="2175" w:type="dxa"/>
            <w:gridSpan w:val="3"/>
            <w:tcBorders>
              <w:top w:val="single" w:sz="2" w:space="0" w:color="95B3D7"/>
              <w:left w:val="single" w:sz="2" w:space="0" w:color="95B3D7"/>
            </w:tcBorders>
            <w:shd w:fill="FFFFFF" w:val="clear"/>
            <w:tcMar>
              <w:top w:w="3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Section 3.08(b) </w:t>
            </w:r>
          </w:p>
        </w:tc>
      </w:tr>
      <w:tr>
        <w:trPr/>
        <w:tc>
          <w:tcPr>
            <w:tcW w:w="4529" w:type="dxa"/>
            <w:gridSpan w:val="3"/>
            <w:tcBorders>
              <w:top w:val="single" w:sz="2" w:space="0" w:color="95B3D7"/>
            </w:tcBorders>
            <w:shd w:fill="FFFFFF" w:val="clear"/>
            <w:tcMar>
              <w:top w:w="30" w:type="dxa"/>
              <w:left w:w="0" w:type="dxa"/>
              <w:bottom w:w="0" w:type="dxa"/>
              <w:right w:w="0" w:type="dxa"/>
            </w:tcMar>
            <w:vAlign w:val="center"/>
          </w:tcPr>
          <w:p>
            <w:pPr>
              <w:pStyle w:val="TableContents"/>
              <w:bidi w:val="0"/>
              <w:spacing w:lineRule="auto" w:line="288" w:before="0" w:after="0"/>
              <w:jc w:val="left"/>
              <w:rPr/>
            </w:pPr>
            <w:r>
              <w:rPr>
                <w:color w:val="000000"/>
              </w:rPr>
              <w:t>“</w:t>
            </w:r>
            <w:r>
              <w:rPr>
                <w:rFonts w:ascii="Times New Roman;serif" w:hAnsi="Times New Roman;serif"/>
                <w:b w:val="false"/>
                <w:i/>
                <w:color w:val="000000"/>
                <w:sz w:val="24"/>
              </w:rPr>
              <w:t>Noteholder Direction</w:t>
            </w:r>
            <w:r>
              <w:rPr>
                <w:color w:val="000000"/>
              </w:rPr>
              <w:t>”</w:t>
            </w:r>
          </w:p>
        </w:tc>
        <w:tc>
          <w:tcPr>
            <w:tcW w:w="2175" w:type="dxa"/>
            <w:gridSpan w:val="3"/>
            <w:tcBorders>
              <w:top w:val="single" w:sz="2" w:space="0" w:color="95B3D7"/>
              <w:left w:val="single" w:sz="2" w:space="0" w:color="95B3D7"/>
            </w:tcBorders>
            <w:shd w:fill="FFFFFF" w:val="clear"/>
            <w:tcMar>
              <w:top w:w="3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Section 6.09(a)</w:t>
            </w:r>
          </w:p>
        </w:tc>
      </w:tr>
      <w:tr>
        <w:trPr/>
        <w:tc>
          <w:tcPr>
            <w:tcW w:w="4529" w:type="dxa"/>
            <w:gridSpan w:val="3"/>
            <w:tcBorders>
              <w:top w:val="single" w:sz="2" w:space="0" w:color="95B3D7"/>
            </w:tcBorders>
            <w:shd w:fill="FFFFFF" w:val="clear"/>
            <w:tcMar>
              <w:top w:w="30" w:type="dxa"/>
              <w:left w:w="0" w:type="dxa"/>
              <w:bottom w:w="0" w:type="dxa"/>
              <w:right w:w="0" w:type="dxa"/>
            </w:tcMar>
            <w:vAlign w:val="center"/>
          </w:tcPr>
          <w:p>
            <w:pPr>
              <w:pStyle w:val="TableContents"/>
              <w:bidi w:val="0"/>
              <w:spacing w:lineRule="auto" w:line="288" w:before="0" w:after="0"/>
              <w:jc w:val="left"/>
              <w:rPr/>
            </w:pPr>
            <w:r>
              <w:rPr>
                <w:color w:val="000000"/>
              </w:rPr>
              <w:t>“</w:t>
            </w:r>
            <w:r>
              <w:rPr>
                <w:rFonts w:ascii="Times New Roman;serif" w:hAnsi="Times New Roman;serif"/>
                <w:b w:val="false"/>
                <w:i/>
                <w:color w:val="000000"/>
                <w:sz w:val="24"/>
              </w:rPr>
              <w:t>Payment Default</w:t>
            </w:r>
            <w:r>
              <w:rPr>
                <w:color w:val="000000"/>
              </w:rPr>
              <w:t>”</w:t>
            </w:r>
          </w:p>
        </w:tc>
        <w:tc>
          <w:tcPr>
            <w:tcW w:w="2175" w:type="dxa"/>
            <w:gridSpan w:val="3"/>
            <w:tcBorders>
              <w:top w:val="single" w:sz="2" w:space="0" w:color="95B3D7"/>
              <w:left w:val="single" w:sz="2" w:space="0" w:color="95B3D7"/>
            </w:tcBorders>
            <w:shd w:fill="FFFFFF" w:val="clear"/>
            <w:tcMar>
              <w:top w:w="3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Section 6.01(4)</w:t>
            </w:r>
          </w:p>
        </w:tc>
      </w:tr>
      <w:tr>
        <w:trPr/>
        <w:tc>
          <w:tcPr>
            <w:tcW w:w="4529" w:type="dxa"/>
            <w:gridSpan w:val="3"/>
            <w:tcBorders>
              <w:top w:val="single" w:sz="2" w:space="0" w:color="95B3D7"/>
            </w:tcBorders>
            <w:shd w:fill="FFFFFF" w:val="clear"/>
            <w:tcMar>
              <w:top w:w="30" w:type="dxa"/>
              <w:left w:w="0" w:type="dxa"/>
              <w:bottom w:w="0" w:type="dxa"/>
              <w:right w:w="0" w:type="dxa"/>
            </w:tcMar>
            <w:vAlign w:val="center"/>
          </w:tcPr>
          <w:p>
            <w:pPr>
              <w:pStyle w:val="TableContents"/>
              <w:bidi w:val="0"/>
              <w:spacing w:lineRule="auto" w:line="288" w:before="0" w:after="0"/>
              <w:jc w:val="left"/>
              <w:rPr/>
            </w:pPr>
            <w:r>
              <w:rPr>
                <w:color w:val="000000"/>
              </w:rPr>
              <w:t>“</w:t>
            </w:r>
            <w:r>
              <w:rPr>
                <w:rFonts w:ascii="Times New Roman;serif" w:hAnsi="Times New Roman;serif"/>
                <w:b w:val="false"/>
                <w:i/>
                <w:color w:val="000000"/>
                <w:sz w:val="24"/>
              </w:rPr>
              <w:t>Position Representation</w:t>
            </w:r>
            <w:r>
              <w:rPr>
                <w:color w:val="000000"/>
              </w:rPr>
              <w:t>”</w:t>
            </w:r>
          </w:p>
        </w:tc>
        <w:tc>
          <w:tcPr>
            <w:tcW w:w="2175" w:type="dxa"/>
            <w:gridSpan w:val="3"/>
            <w:tcBorders>
              <w:top w:val="single" w:sz="2" w:space="0" w:color="95B3D7"/>
              <w:left w:val="single" w:sz="2" w:space="0" w:color="95B3D7"/>
            </w:tcBorders>
            <w:shd w:fill="FFFFFF" w:val="clear"/>
            <w:tcMar>
              <w:top w:w="3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Section 6.09(a)</w:t>
            </w:r>
          </w:p>
        </w:tc>
      </w:tr>
      <w:tr>
        <w:trPr/>
        <w:tc>
          <w:tcPr>
            <w:tcW w:w="4529" w:type="dxa"/>
            <w:gridSpan w:val="3"/>
            <w:tcBorders>
              <w:top w:val="single" w:sz="2" w:space="0" w:color="95B3D7"/>
            </w:tcBorders>
            <w:shd w:fill="FFFFFF" w:val="clear"/>
            <w:tcMar>
              <w:top w:w="30" w:type="dxa"/>
              <w:left w:w="0" w:type="dxa"/>
              <w:bottom w:w="0" w:type="dxa"/>
              <w:right w:w="0" w:type="dxa"/>
            </w:tcMar>
            <w:vAlign w:val="center"/>
          </w:tcPr>
          <w:p>
            <w:pPr>
              <w:pStyle w:val="TableContents"/>
              <w:bidi w:val="0"/>
              <w:spacing w:lineRule="auto" w:line="288" w:before="0" w:after="0"/>
              <w:jc w:val="left"/>
              <w:rPr/>
            </w:pPr>
            <w:r>
              <w:rPr>
                <w:color w:val="000000"/>
              </w:rPr>
              <w:t>“</w:t>
            </w:r>
            <w:r>
              <w:rPr>
                <w:rFonts w:ascii="Times New Roman;serif" w:hAnsi="Times New Roman;serif"/>
                <w:b w:val="false"/>
                <w:i/>
                <w:color w:val="000000"/>
                <w:sz w:val="24"/>
              </w:rPr>
              <w:t>Special Mandatory Redemption</w:t>
            </w:r>
            <w:r>
              <w:rPr>
                <w:color w:val="000000"/>
              </w:rPr>
              <w:t>”</w:t>
            </w:r>
          </w:p>
        </w:tc>
        <w:tc>
          <w:tcPr>
            <w:tcW w:w="2175" w:type="dxa"/>
            <w:gridSpan w:val="3"/>
            <w:tcBorders>
              <w:top w:val="single" w:sz="2" w:space="0" w:color="95B3D7"/>
              <w:left w:val="single" w:sz="2" w:space="0" w:color="95B3D7"/>
            </w:tcBorders>
            <w:shd w:fill="FFFFFF" w:val="clear"/>
            <w:tcMar>
              <w:top w:w="3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Section 3.08(b) </w:t>
            </w:r>
          </w:p>
        </w:tc>
      </w:tr>
      <w:tr>
        <w:trPr/>
        <w:tc>
          <w:tcPr>
            <w:tcW w:w="4529" w:type="dxa"/>
            <w:gridSpan w:val="3"/>
            <w:tcBorders>
              <w:top w:val="single" w:sz="2" w:space="0" w:color="95B3D7"/>
            </w:tcBorders>
            <w:shd w:fill="FFFFFF" w:val="clear"/>
            <w:tcMar>
              <w:top w:w="30" w:type="dxa"/>
              <w:left w:w="0" w:type="dxa"/>
              <w:bottom w:w="0" w:type="dxa"/>
              <w:right w:w="0" w:type="dxa"/>
            </w:tcMar>
            <w:vAlign w:val="center"/>
          </w:tcPr>
          <w:p>
            <w:pPr>
              <w:pStyle w:val="TableContents"/>
              <w:bidi w:val="0"/>
              <w:spacing w:lineRule="auto" w:line="288" w:before="0" w:after="0"/>
              <w:jc w:val="left"/>
              <w:rPr/>
            </w:pPr>
            <w:r>
              <w:rPr>
                <w:color w:val="000000"/>
              </w:rPr>
              <w:t>“</w:t>
            </w:r>
            <w:r>
              <w:rPr>
                <w:rFonts w:ascii="Times New Roman;serif" w:hAnsi="Times New Roman;serif"/>
                <w:b w:val="false"/>
                <w:i/>
                <w:color w:val="000000"/>
                <w:sz w:val="24"/>
              </w:rPr>
              <w:t>Special Mandatory Redemption Date</w:t>
            </w:r>
            <w:r>
              <w:rPr>
                <w:color w:val="000000"/>
              </w:rPr>
              <w:t>”</w:t>
            </w:r>
          </w:p>
        </w:tc>
        <w:tc>
          <w:tcPr>
            <w:tcW w:w="2175" w:type="dxa"/>
            <w:gridSpan w:val="3"/>
            <w:tcBorders>
              <w:top w:val="single" w:sz="2" w:space="0" w:color="95B3D7"/>
              <w:left w:val="single" w:sz="2" w:space="0" w:color="95B3D7"/>
            </w:tcBorders>
            <w:shd w:fill="FFFFFF" w:val="clear"/>
            <w:tcMar>
              <w:top w:w="3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Section 3.08(c) </w:t>
            </w:r>
          </w:p>
        </w:tc>
      </w:tr>
      <w:tr>
        <w:trPr/>
        <w:tc>
          <w:tcPr>
            <w:tcW w:w="4529" w:type="dxa"/>
            <w:gridSpan w:val="3"/>
            <w:tcBorders>
              <w:top w:val="single" w:sz="2" w:space="0" w:color="95B3D7"/>
            </w:tcBorders>
            <w:shd w:fill="FFFFFF" w:val="clear"/>
            <w:tcMar>
              <w:top w:w="30" w:type="dxa"/>
              <w:left w:w="0" w:type="dxa"/>
              <w:bottom w:w="0" w:type="dxa"/>
              <w:right w:w="0" w:type="dxa"/>
            </w:tcMar>
            <w:vAlign w:val="center"/>
          </w:tcPr>
          <w:p>
            <w:pPr>
              <w:pStyle w:val="TableContents"/>
              <w:bidi w:val="0"/>
              <w:spacing w:lineRule="auto" w:line="288" w:before="0" w:after="0"/>
              <w:jc w:val="left"/>
              <w:rPr/>
            </w:pPr>
            <w:r>
              <w:rPr>
                <w:color w:val="000000"/>
              </w:rPr>
              <w:t>“</w:t>
            </w:r>
            <w:r>
              <w:rPr>
                <w:rFonts w:ascii="Times New Roman;serif" w:hAnsi="Times New Roman;serif"/>
                <w:b w:val="false"/>
                <w:i/>
                <w:color w:val="000000"/>
                <w:sz w:val="24"/>
              </w:rPr>
              <w:t>Special Mandatory Redemption Notice</w:t>
            </w:r>
            <w:r>
              <w:rPr>
                <w:color w:val="000000"/>
              </w:rPr>
              <w:t>”</w:t>
            </w:r>
          </w:p>
        </w:tc>
        <w:tc>
          <w:tcPr>
            <w:tcW w:w="2175" w:type="dxa"/>
            <w:gridSpan w:val="3"/>
            <w:tcBorders>
              <w:top w:val="single" w:sz="2" w:space="0" w:color="95B3D7"/>
              <w:left w:val="single" w:sz="2" w:space="0" w:color="95B3D7"/>
            </w:tcBorders>
            <w:shd w:fill="FFFFFF" w:val="clear"/>
            <w:tcMar>
              <w:top w:w="3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Section 3.08(c) </w:t>
            </w:r>
          </w:p>
        </w:tc>
      </w:tr>
      <w:tr>
        <w:trPr/>
        <w:tc>
          <w:tcPr>
            <w:tcW w:w="4529" w:type="dxa"/>
            <w:gridSpan w:val="3"/>
            <w:tcBorders>
              <w:top w:val="single" w:sz="2" w:space="0" w:color="95B3D7"/>
            </w:tcBorders>
            <w:shd w:fill="FFFFFF" w:val="clear"/>
            <w:tcMar>
              <w:top w:w="30" w:type="dxa"/>
              <w:left w:w="0" w:type="dxa"/>
              <w:bottom w:w="0" w:type="dxa"/>
              <w:right w:w="0" w:type="dxa"/>
            </w:tcMar>
            <w:vAlign w:val="center"/>
          </w:tcPr>
          <w:p>
            <w:pPr>
              <w:pStyle w:val="TableContents"/>
              <w:bidi w:val="0"/>
              <w:spacing w:lineRule="auto" w:line="288" w:before="0" w:after="0"/>
              <w:jc w:val="left"/>
              <w:rPr/>
            </w:pPr>
            <w:r>
              <w:rPr>
                <w:color w:val="000000"/>
              </w:rPr>
              <w:t>“</w:t>
            </w:r>
            <w:r>
              <w:rPr>
                <w:rFonts w:ascii="Times New Roman;serif" w:hAnsi="Times New Roman;serif"/>
                <w:b w:val="false"/>
                <w:i/>
                <w:color w:val="000000"/>
                <w:sz w:val="24"/>
              </w:rPr>
              <w:t>Special Mandatory Redemption Notice Date</w:t>
            </w:r>
            <w:r>
              <w:rPr>
                <w:color w:val="000000"/>
              </w:rPr>
              <w:t>”</w:t>
            </w:r>
          </w:p>
        </w:tc>
        <w:tc>
          <w:tcPr>
            <w:tcW w:w="2175" w:type="dxa"/>
            <w:gridSpan w:val="3"/>
            <w:tcBorders>
              <w:top w:val="single" w:sz="2" w:space="0" w:color="95B3D7"/>
              <w:left w:val="single" w:sz="2" w:space="0" w:color="95B3D7"/>
            </w:tcBorders>
            <w:shd w:fill="FFFFFF" w:val="clear"/>
            <w:tcMar>
              <w:top w:w="3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Section 3.08(c)</w:t>
            </w:r>
          </w:p>
        </w:tc>
      </w:tr>
      <w:tr>
        <w:trPr/>
        <w:tc>
          <w:tcPr>
            <w:tcW w:w="4529" w:type="dxa"/>
            <w:gridSpan w:val="3"/>
            <w:tcBorders>
              <w:top w:val="single" w:sz="2" w:space="0" w:color="95B3D7"/>
            </w:tcBorders>
            <w:shd w:fill="FFFFFF" w:val="clear"/>
            <w:tcMar>
              <w:top w:w="30" w:type="dxa"/>
              <w:left w:w="0" w:type="dxa"/>
              <w:bottom w:w="0" w:type="dxa"/>
              <w:right w:w="0" w:type="dxa"/>
            </w:tcMar>
            <w:vAlign w:val="center"/>
          </w:tcPr>
          <w:p>
            <w:pPr>
              <w:pStyle w:val="TableContents"/>
              <w:bidi w:val="0"/>
              <w:spacing w:lineRule="auto" w:line="288" w:before="0" w:after="0"/>
              <w:jc w:val="left"/>
              <w:rPr/>
            </w:pPr>
            <w:r>
              <w:rPr>
                <w:color w:val="000000"/>
              </w:rPr>
              <w:t>“</w:t>
            </w:r>
            <w:r>
              <w:rPr>
                <w:rFonts w:ascii="Times New Roman;serif" w:hAnsi="Times New Roman;serif"/>
                <w:b w:val="false"/>
                <w:i/>
                <w:color w:val="000000"/>
                <w:sz w:val="24"/>
              </w:rPr>
              <w:t>Special Mandatory Redemption Price</w:t>
            </w:r>
            <w:r>
              <w:rPr>
                <w:color w:val="000000"/>
              </w:rPr>
              <w:t>”</w:t>
            </w:r>
          </w:p>
        </w:tc>
        <w:tc>
          <w:tcPr>
            <w:tcW w:w="2175" w:type="dxa"/>
            <w:gridSpan w:val="3"/>
            <w:tcBorders>
              <w:top w:val="single" w:sz="2" w:space="0" w:color="95B3D7"/>
              <w:left w:val="single" w:sz="2" w:space="0" w:color="95B3D7"/>
            </w:tcBorders>
            <w:shd w:fill="FFFFFF" w:val="clear"/>
            <w:tcMar>
              <w:top w:w="3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Section 3.08(b) </w:t>
            </w:r>
          </w:p>
        </w:tc>
      </w:tr>
      <w:tr>
        <w:trPr/>
        <w:tc>
          <w:tcPr>
            <w:tcW w:w="4529" w:type="dxa"/>
            <w:gridSpan w:val="3"/>
            <w:tcBorders>
              <w:top w:val="single" w:sz="2" w:space="0" w:color="95B3D7"/>
            </w:tcBorders>
            <w:shd w:fill="FFFFFF" w:val="clear"/>
            <w:tcMar>
              <w:top w:w="30" w:type="dxa"/>
              <w:left w:w="0" w:type="dxa"/>
              <w:bottom w:w="0" w:type="dxa"/>
              <w:right w:w="0" w:type="dxa"/>
            </w:tcMar>
            <w:vAlign w:val="center"/>
          </w:tcPr>
          <w:p>
            <w:pPr>
              <w:pStyle w:val="TableContents"/>
              <w:bidi w:val="0"/>
              <w:spacing w:lineRule="auto" w:line="288" w:before="0" w:after="0"/>
              <w:jc w:val="left"/>
              <w:rPr/>
            </w:pPr>
            <w:r>
              <w:rPr>
                <w:color w:val="000000"/>
              </w:rPr>
              <w:t>“</w:t>
            </w:r>
            <w:r>
              <w:rPr>
                <w:rFonts w:ascii="Times New Roman;serif" w:hAnsi="Times New Roman;serif"/>
                <w:b w:val="false"/>
                <w:i/>
                <w:color w:val="000000"/>
                <w:sz w:val="24"/>
              </w:rPr>
              <w:t>Subsequent Transaction</w:t>
            </w:r>
            <w:r>
              <w:rPr>
                <w:color w:val="000000"/>
              </w:rPr>
              <w:t>”</w:t>
            </w:r>
          </w:p>
        </w:tc>
        <w:tc>
          <w:tcPr>
            <w:tcW w:w="2175" w:type="dxa"/>
            <w:gridSpan w:val="3"/>
            <w:tcBorders>
              <w:top w:val="single" w:sz="2" w:space="0" w:color="95B3D7"/>
              <w:left w:val="single" w:sz="2" w:space="0" w:color="95B3D7"/>
            </w:tcBorders>
            <w:shd w:fill="FFFFFF" w:val="clear"/>
            <w:tcMar>
              <w:top w:w="3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Section 1.04(a)</w:t>
            </w:r>
          </w:p>
        </w:tc>
      </w:tr>
      <w:tr>
        <w:trPr/>
        <w:tc>
          <w:tcPr>
            <w:tcW w:w="4529" w:type="dxa"/>
            <w:gridSpan w:val="3"/>
            <w:tcBorders>
              <w:top w:val="single" w:sz="2" w:space="0" w:color="95B3D7"/>
            </w:tcBorders>
            <w:shd w:fill="FFFFFF" w:val="clear"/>
            <w:tcMar>
              <w:top w:w="30" w:type="dxa"/>
              <w:left w:w="0" w:type="dxa"/>
              <w:bottom w:w="0" w:type="dxa"/>
              <w:right w:w="0" w:type="dxa"/>
            </w:tcMar>
            <w:vAlign w:val="center"/>
          </w:tcPr>
          <w:p>
            <w:pPr>
              <w:pStyle w:val="TableContents"/>
              <w:bidi w:val="0"/>
              <w:spacing w:lineRule="auto" w:line="288" w:before="0" w:after="0"/>
              <w:jc w:val="left"/>
              <w:rPr/>
            </w:pPr>
            <w:r>
              <w:rPr>
                <w:color w:val="000000"/>
              </w:rPr>
              <w:t>“</w:t>
            </w:r>
            <w:r>
              <w:rPr>
                <w:rFonts w:ascii="Times New Roman;serif" w:hAnsi="Times New Roman;serif"/>
                <w:b w:val="false"/>
                <w:i/>
                <w:color w:val="000000"/>
                <w:sz w:val="24"/>
              </w:rPr>
              <w:t>Successor Issuer</w:t>
            </w:r>
            <w:r>
              <w:rPr>
                <w:color w:val="000000"/>
              </w:rPr>
              <w:t>”</w:t>
            </w:r>
          </w:p>
        </w:tc>
        <w:tc>
          <w:tcPr>
            <w:tcW w:w="2175" w:type="dxa"/>
            <w:gridSpan w:val="3"/>
            <w:tcBorders>
              <w:top w:val="single" w:sz="2" w:space="0" w:color="95B3D7"/>
              <w:left w:val="single" w:sz="2" w:space="0" w:color="95B3D7"/>
            </w:tcBorders>
            <w:shd w:fill="FFFFFF" w:val="clear"/>
            <w:tcMar>
              <w:top w:w="3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Section 5.01(a)(1)(B)</w:t>
            </w:r>
          </w:p>
        </w:tc>
      </w:tr>
      <w:tr>
        <w:trPr/>
        <w:tc>
          <w:tcPr>
            <w:tcW w:w="4529" w:type="dxa"/>
            <w:gridSpan w:val="3"/>
            <w:tcBorders>
              <w:top w:val="single" w:sz="2" w:space="0" w:color="95B3D7"/>
            </w:tcBorders>
            <w:shd w:fill="FFFFFF" w:val="clear"/>
            <w:tcMar>
              <w:top w:w="30" w:type="dxa"/>
              <w:left w:w="0" w:type="dxa"/>
              <w:bottom w:w="0" w:type="dxa"/>
              <w:right w:w="0" w:type="dxa"/>
            </w:tcMar>
            <w:vAlign w:val="center"/>
          </w:tcPr>
          <w:p>
            <w:pPr>
              <w:pStyle w:val="TableContents"/>
              <w:bidi w:val="0"/>
              <w:spacing w:lineRule="auto" w:line="288" w:before="0" w:after="0"/>
              <w:jc w:val="left"/>
              <w:rPr/>
            </w:pPr>
            <w:r>
              <w:rPr>
                <w:color w:val="000000"/>
              </w:rPr>
              <w:t>“</w:t>
            </w:r>
            <w:r>
              <w:rPr>
                <w:rFonts w:ascii="Times New Roman;serif" w:hAnsi="Times New Roman;serif"/>
                <w:b w:val="false"/>
                <w:i/>
                <w:color w:val="000000"/>
                <w:sz w:val="24"/>
              </w:rPr>
              <w:t>Successor Subsidiary Guarantor</w:t>
            </w:r>
            <w:r>
              <w:rPr>
                <w:color w:val="000000"/>
              </w:rPr>
              <w:t>”</w:t>
            </w:r>
          </w:p>
        </w:tc>
        <w:tc>
          <w:tcPr>
            <w:tcW w:w="2175" w:type="dxa"/>
            <w:gridSpan w:val="3"/>
            <w:tcBorders>
              <w:top w:val="single" w:sz="2" w:space="0" w:color="95B3D7"/>
              <w:left w:val="single" w:sz="2" w:space="0" w:color="95B3D7"/>
            </w:tcBorders>
            <w:shd w:fill="FFFFFF" w:val="clear"/>
            <w:tcMar>
              <w:top w:w="3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Section 5.02(a)(1)(B)</w:t>
            </w:r>
          </w:p>
        </w:tc>
      </w:tr>
      <w:tr>
        <w:trPr/>
        <w:tc>
          <w:tcPr>
            <w:tcW w:w="4529" w:type="dxa"/>
            <w:gridSpan w:val="3"/>
            <w:tcBorders>
              <w:top w:val="single" w:sz="2" w:space="0" w:color="95B3D7"/>
            </w:tcBorders>
            <w:shd w:fill="FFFFFF" w:val="clear"/>
            <w:tcMar>
              <w:top w:w="30" w:type="dxa"/>
              <w:left w:w="0" w:type="dxa"/>
              <w:bottom w:w="0" w:type="dxa"/>
              <w:right w:w="0" w:type="dxa"/>
            </w:tcMar>
            <w:vAlign w:val="center"/>
          </w:tcPr>
          <w:p>
            <w:pPr>
              <w:pStyle w:val="TableContents"/>
              <w:bidi w:val="0"/>
              <w:spacing w:lineRule="auto" w:line="288" w:before="0" w:after="0"/>
              <w:jc w:val="left"/>
              <w:rPr/>
            </w:pPr>
            <w:r>
              <w:rPr>
                <w:color w:val="000000"/>
              </w:rPr>
              <w:t>“</w:t>
            </w:r>
            <w:r>
              <w:rPr>
                <w:rFonts w:ascii="Times New Roman;serif" w:hAnsi="Times New Roman;serif"/>
                <w:b w:val="false"/>
                <w:i/>
                <w:color w:val="000000"/>
                <w:sz w:val="24"/>
              </w:rPr>
              <w:t>Verification Covenant</w:t>
            </w:r>
            <w:r>
              <w:rPr>
                <w:color w:val="000000"/>
              </w:rPr>
              <w:t>”</w:t>
            </w:r>
          </w:p>
        </w:tc>
        <w:tc>
          <w:tcPr>
            <w:tcW w:w="2175" w:type="dxa"/>
            <w:gridSpan w:val="3"/>
            <w:tcBorders>
              <w:top w:val="single" w:sz="2" w:space="0" w:color="95B3D7"/>
              <w:left w:val="single" w:sz="2" w:space="0" w:color="95B3D7"/>
            </w:tcBorders>
            <w:shd w:fill="FFFFFF" w:val="clear"/>
            <w:tcMar>
              <w:top w:w="3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Section 6.09(a)</w:t>
            </w:r>
          </w:p>
        </w:tc>
      </w:tr>
      <w:tr>
        <w:trPr/>
        <w:tc>
          <w:tcPr>
            <w:tcW w:w="4529" w:type="dxa"/>
            <w:gridSpan w:val="3"/>
            <w:tcBorders>
              <w:top w:val="single" w:sz="2" w:space="0" w:color="95B3D7"/>
              <w:bottom w:val="single" w:sz="2" w:space="0" w:color="95B3D7"/>
            </w:tcBorders>
            <w:tcMar>
              <w:top w:w="30" w:type="dxa"/>
              <w:left w:w="0" w:type="dxa"/>
              <w:bottom w:w="30" w:type="dxa"/>
              <w:right w:w="0" w:type="dxa"/>
            </w:tcMar>
            <w:vAlign w:val="center"/>
          </w:tcPr>
          <w:p>
            <w:pPr>
              <w:pStyle w:val="TableContents"/>
              <w:bidi w:val="0"/>
              <w:spacing w:lineRule="auto" w:line="288" w:before="0" w:after="0"/>
              <w:jc w:val="left"/>
              <w:rPr/>
            </w:pPr>
            <w:r>
              <w:rPr>
                <w:color w:val="000000"/>
              </w:rPr>
              <w:t>“</w:t>
            </w:r>
            <w:r>
              <w:rPr>
                <w:rFonts w:ascii="Times New Roman;serif" w:hAnsi="Times New Roman;serif"/>
                <w:b w:val="false"/>
                <w:i/>
                <w:color w:val="000000"/>
                <w:sz w:val="24"/>
              </w:rPr>
              <w:t>Verification Covenant Officer’s Certificate</w:t>
            </w:r>
            <w:r>
              <w:rPr>
                <w:color w:val="000000"/>
              </w:rPr>
              <w:t>”</w:t>
            </w:r>
          </w:p>
        </w:tc>
        <w:tc>
          <w:tcPr>
            <w:tcW w:w="2175" w:type="dxa"/>
            <w:gridSpan w:val="3"/>
            <w:tcBorders>
              <w:top w:val="single" w:sz="2" w:space="0" w:color="95B3D7"/>
              <w:left w:val="single" w:sz="2" w:space="0" w:color="95B3D7"/>
              <w:bottom w:val="single" w:sz="2" w:space="0" w:color="95B3D7"/>
            </w:tcBorders>
            <w:tcMar>
              <w:top w:w="30" w:type="dxa"/>
              <w:bottom w:w="3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Section 6.09(b)</w:t>
            </w:r>
          </w:p>
        </w:tc>
      </w:tr>
    </w:tbl>
    <w:p>
      <w:pPr>
        <w:pStyle w:val="TextBody"/>
        <w:bidi w:val="0"/>
        <w:spacing w:before="0" w:after="0"/>
        <w:jc w:val="left"/>
        <w:rPr/>
      </w:pPr>
      <w:r>
        <w:rPr/>
      </w:r>
    </w:p>
    <w:p>
      <w:pPr>
        <w:pStyle w:val="TextBody"/>
        <w:bidi w:val="0"/>
        <w:spacing w:lineRule="auto" w:line="240" w:before="0" w:after="240"/>
        <w:jc w:val="left"/>
        <w:rPr/>
      </w:pPr>
      <w:r>
        <w:rPr>
          <w:rFonts w:ascii="Times New Roman;serif" w:hAnsi="Times New Roman;serif"/>
          <w:b w:val="false"/>
          <w:color w:val="000000"/>
          <w:sz w:val="24"/>
        </w:rPr>
        <w:t>Section 1.03</w:t>
      </w:r>
      <w:r>
        <w:rPr>
          <w:rFonts w:ascii="Times New Roman;serif" w:hAnsi="Times New Roman;serif"/>
          <w:b w:val="false"/>
          <w:color w:val="000000"/>
          <w:sz w:val="24"/>
          <w:u w:val="single"/>
        </w:rPr>
        <w:t>Rules of Construction</w:t>
      </w:r>
      <w:r>
        <w:rPr>
          <w:rFonts w:ascii="Times New Roman;serif" w:hAnsi="Times New Roman;serif"/>
          <w:b w:val="false"/>
          <w:color w:val="000000"/>
          <w:sz w:val="24"/>
        </w:rPr>
        <w: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Unless the context otherwise requires:</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(1)a term has the meaning assigned to it;</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(2)an accounting term not otherwise defined has the meaning assigned to it in accordance with GAAP;</w:t>
      </w:r>
    </w:p>
    <w:p>
      <w:pPr>
        <w:pStyle w:val="TextBody"/>
        <w:bidi w:val="0"/>
        <w:spacing w:lineRule="auto" w:line="240" w:before="0" w:after="240"/>
        <w:ind w:left="0" w:right="0" w:firstLine="720"/>
        <w:jc w:val="both"/>
        <w:rPr/>
      </w:pPr>
      <w:r>
        <w:rPr>
          <w:rFonts w:ascii="Times New Roman;serif" w:hAnsi="Times New Roman;serif"/>
          <w:b w:val="false"/>
          <w:color w:val="000000"/>
          <w:sz w:val="24"/>
        </w:rPr>
        <w:t>(3)</w:t>
      </w:r>
      <w:r>
        <w:rPr>
          <w:color w:val="000000"/>
        </w:rPr>
        <w:t>“</w:t>
      </w:r>
      <w:r>
        <w:rPr>
          <w:rFonts w:ascii="Times New Roman;serif" w:hAnsi="Times New Roman;serif"/>
          <w:b w:val="false"/>
          <w:color w:val="000000"/>
          <w:sz w:val="24"/>
        </w:rPr>
        <w:t>or” is not exclusive;</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(4)words in the singular include the plural, and in the plural include the singular;</w:t>
      </w:r>
    </w:p>
    <w:p>
      <w:pPr>
        <w:pStyle w:val="TextBody"/>
        <w:bidi w:val="0"/>
        <w:spacing w:lineRule="auto" w:line="240" w:before="0" w:after="240"/>
        <w:ind w:left="0" w:right="0" w:firstLine="720"/>
        <w:jc w:val="both"/>
        <w:rPr/>
      </w:pPr>
      <w:r>
        <w:rPr>
          <w:rFonts w:ascii="Times New Roman;serif" w:hAnsi="Times New Roman;serif"/>
          <w:b w:val="false"/>
          <w:color w:val="000000"/>
          <w:sz w:val="24"/>
        </w:rPr>
        <w:t>(5)</w:t>
      </w:r>
      <w:r>
        <w:rPr>
          <w:color w:val="000000"/>
        </w:rPr>
        <w:t>“</w:t>
      </w:r>
      <w:r>
        <w:rPr>
          <w:rFonts w:ascii="Times New Roman;serif" w:hAnsi="Times New Roman;serif"/>
          <w:b w:val="false"/>
          <w:color w:val="000000"/>
          <w:sz w:val="24"/>
        </w:rPr>
        <w:t>will” shall be interpreted to express a command;</w:t>
      </w:r>
    </w:p>
    <w:p>
      <w:pPr>
        <w:pStyle w:val="TextBody"/>
        <w:bidi w:val="0"/>
        <w:spacing w:lineRule="auto" w:line="240" w:before="0" w:after="240"/>
        <w:ind w:left="0" w:right="0" w:firstLine="720"/>
        <w:jc w:val="both"/>
        <w:rPr/>
      </w:pPr>
      <w:r>
        <w:rPr>
          <w:rFonts w:ascii="Times New Roman;serif" w:hAnsi="Times New Roman;serif"/>
          <w:b w:val="false"/>
          <w:color w:val="000000"/>
          <w:sz w:val="24"/>
        </w:rPr>
        <w:t>(6)</w:t>
      </w:r>
      <w:r>
        <w:rPr>
          <w:color w:val="000000"/>
        </w:rPr>
        <w:t>“</w:t>
      </w:r>
      <w:r>
        <w:rPr>
          <w:rFonts w:ascii="Times New Roman;serif" w:hAnsi="Times New Roman;serif"/>
          <w:b w:val="false"/>
          <w:color w:val="000000"/>
          <w:sz w:val="24"/>
        </w:rPr>
        <w:t>including” or “include” means including or include without limitation;</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(7)provisions apply to successive events and transactions;</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(8)references to sections of or rules under the Securities Act will be deemed to include substitute, replacement or successor sections or rules adopted by the SEC from time to time;</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(9)all references in this instrument to Articles, Sections and Exhibits are references to the corresponding Articles, Sections and Exhibits in and of this instrument; and</w:t>
      </w:r>
    </w:p>
    <w:p>
      <w:pPr>
        <w:pStyle w:val="TextBody"/>
        <w:bidi w:val="0"/>
        <w:spacing w:before="0" w:after="0"/>
        <w:jc w:val="left"/>
        <w:rPr/>
      </w:pPr>
      <w:r>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6480175" cy="768985"/>
                <wp:effectExtent l="0" t="0" r="0" b="0"/>
                <wp:wrapNone/>
                <wp:docPr id="198" name="Frame198"/>
                <a:graphic xmlns:a="http://schemas.openxmlformats.org/drawingml/2006/main">
                  <a:graphicData uri="http://schemas.microsoft.com/office/word/2010/wordprocessingShape">
                    <wps:wsp>
                      <wps:cNvSpPr txBox="1"/>
                      <wps:spPr>
                        <a:xfrm>
                          <a:off x="0" y="0"/>
                          <a:ext cx="6480175" cy="7689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25</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0.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25</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30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(10)the words “herein,” “hereof,” “hereunder” and other words of similar import refer to this Indenture as a whole and not to any particular Article, Section or other subdivision.</w:t>
      </w:r>
    </w:p>
    <w:p>
      <w:pPr>
        <w:pStyle w:val="TextBody"/>
        <w:bidi w:val="0"/>
        <w:spacing w:lineRule="auto" w:line="30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terms and provisions contained in this Indenture will apply to any Notes issued from time to time pursuant to this Indenture and any Subsidiary Guarantees thereof, except as may be otherwise provided in a supplemental indenture with respect to such Notes.</w:t>
      </w:r>
    </w:p>
    <w:p>
      <w:pPr>
        <w:pStyle w:val="TextBody"/>
        <w:bidi w:val="0"/>
        <w:spacing w:lineRule="auto" w:line="300" w:before="0" w:after="240"/>
        <w:jc w:val="left"/>
        <w:rPr/>
      </w:pPr>
      <w:r>
        <w:rPr>
          <w:rFonts w:ascii="Times New Roman;serif" w:hAnsi="Times New Roman;serif"/>
          <w:b w:val="false"/>
          <w:color w:val="000000"/>
          <w:sz w:val="24"/>
        </w:rPr>
        <w:t>Section 1.04</w:t>
      </w:r>
      <w:r>
        <w:rPr>
          <w:rFonts w:ascii="Times New Roman;serif" w:hAnsi="Times New Roman;serif"/>
          <w:b w:val="false"/>
          <w:color w:val="000000"/>
          <w:sz w:val="24"/>
          <w:u w:val="single"/>
        </w:rPr>
        <w:t>Limited Condition Transactions.</w:t>
      </w:r>
    </w:p>
    <w:p>
      <w:pPr>
        <w:pStyle w:val="TextBody"/>
        <w:bidi w:val="0"/>
        <w:spacing w:lineRule="auto" w:line="30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rPr>
        <w:t>Notwithstanding any other provision of this Indenture, with respect to any (x) transaction that the Issuer or one or more of its Subsidiaries is contractually committed to consummate and consummation of which is not conditioned on the availability of, or on obtaining, third-party financing and (y) redemption, repurchase, defeasance, satisfaction and discharge or payment or repayment of Indebtedness requiring irrevocable notice in advance of such redemption, repurchase, defeasance, satisfaction and discharge, payment or repayment (any transaction described in clauses (x) or (y), a “</w:t>
      </w:r>
      <w:r>
        <w:rPr>
          <w:rFonts w:ascii="Times New Roman;serif" w:hAnsi="Times New Roman;serif"/>
          <w:b w:val="false"/>
          <w:i/>
          <w:color w:val="000000"/>
          <w:sz w:val="24"/>
        </w:rPr>
        <w:t>Limited Condition Transaction</w:t>
      </w:r>
      <w:r>
        <w:rPr>
          <w:color w:val="000000"/>
        </w:rPr>
        <w:t>”</w:t>
      </w:r>
      <w:r>
        <w:rPr>
          <w:rFonts w:ascii="Times New Roman;serif" w:hAnsi="Times New Roman;serif"/>
          <w:b w:val="false"/>
          <w:color w:val="000000"/>
          <w:sz w:val="24"/>
        </w:rPr>
        <w:t>) in each case for purposes of determining:</w:t>
      </w:r>
    </w:p>
    <w:p>
      <w:pPr>
        <w:pStyle w:val="TextBody"/>
        <w:bidi w:val="0"/>
        <w:spacing w:lineRule="auto" w:line="300" w:before="0" w:after="240"/>
        <w:ind w:left="0" w:right="0" w:firstLine="720"/>
        <w:jc w:val="both"/>
        <w:rPr/>
      </w:pPr>
      <w:r>
        <w:rPr>
          <w:rFonts w:ascii="Times New Roman;serif" w:hAnsi="Times New Roman;serif"/>
          <w:b w:val="false"/>
          <w:color w:val="000000"/>
          <w:sz w:val="24"/>
        </w:rPr>
        <w:t xml:space="preserve">(1)whether any Lien being incurred in connection with such Limited Condition Transaction or to secure any such Indebtedness is permitted to be incurred in accordance with </w:t>
      </w:r>
      <w:r>
        <w:rPr>
          <w:rFonts w:ascii="Times New Roman;serif" w:hAnsi="Times New Roman;serif"/>
          <w:b w:val="false"/>
          <w:color w:val="000000"/>
          <w:sz w:val="24"/>
          <w:u w:val="single"/>
        </w:rPr>
        <w:t>Section 4.04</w:t>
      </w:r>
      <w:r>
        <w:rPr>
          <w:color w:val="000000"/>
        </w:rPr>
        <w:t xml:space="preserve"> </w:t>
      </w:r>
      <w:r>
        <w:rPr>
          <w:rFonts w:ascii="Times New Roman;serif" w:hAnsi="Times New Roman;serif"/>
          <w:b w:val="false"/>
          <w:color w:val="000000"/>
          <w:sz w:val="24"/>
        </w:rPr>
        <w:t>or the definitions of “Permitted Liens”;</w:t>
      </w:r>
    </w:p>
    <w:p>
      <w:pPr>
        <w:pStyle w:val="TextBody"/>
        <w:bidi w:val="0"/>
        <w:spacing w:lineRule="auto" w:line="30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(2)whether any other transaction undertaken or proposed to be undertaken in connection with such Limited Condition Transaction complies with the covenants or agreements contained in this Indenture or the Notes; </w:t>
      </w:r>
    </w:p>
    <w:p>
      <w:pPr>
        <w:pStyle w:val="TextBody"/>
        <w:bidi w:val="0"/>
        <w:spacing w:lineRule="auto" w:line="30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(3)any calculation of the Consolidated Adjusted EBITDA, Consolidated Secured Net Leverage Ratio or Total Assets; and</w:t>
      </w:r>
    </w:p>
    <w:p>
      <w:pPr>
        <w:pStyle w:val="TextBody"/>
        <w:bidi w:val="0"/>
        <w:spacing w:lineRule="auto" w:line="30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(4)whether a Default or Event of Default exists in connection with the foregoing, </w:t>
      </w:r>
    </w:p>
    <w:p>
      <w:pPr>
        <w:pStyle w:val="TextBody"/>
        <w:bidi w:val="0"/>
        <w:spacing w:lineRule="auto" w:line="300" w:before="0" w:after="240"/>
        <w:jc w:val="both"/>
        <w:rPr/>
      </w:pPr>
      <w:r>
        <w:rPr>
          <w:rFonts w:ascii="Times New Roman;serif" w:hAnsi="Times New Roman;serif"/>
          <w:b w:val="false"/>
          <w:color w:val="000000"/>
          <w:sz w:val="24"/>
        </w:rPr>
        <w:t>in each case, at the option of the Issuer (the Issuer’s election to exercise such option in connection with any Limited Condition Transaction, an “</w:t>
      </w:r>
      <w:r>
        <w:rPr>
          <w:rFonts w:ascii="Times New Roman;serif" w:hAnsi="Times New Roman;serif"/>
          <w:b w:val="false"/>
          <w:i/>
          <w:color w:val="000000"/>
          <w:sz w:val="24"/>
        </w:rPr>
        <w:t>LCT Election</w:t>
      </w:r>
      <w:r>
        <w:rPr>
          <w:color w:val="000000"/>
        </w:rPr>
        <w:t>”</w:t>
      </w:r>
      <w:r>
        <w:rPr>
          <w:rFonts w:ascii="Times New Roman;serif" w:hAnsi="Times New Roman;serif"/>
          <w:b w:val="false"/>
          <w:color w:val="000000"/>
          <w:sz w:val="24"/>
        </w:rPr>
        <w:t>), the date of determination of whether any such action is permitted hereunder (such date, the “</w:t>
      </w:r>
      <w:r>
        <w:rPr>
          <w:rFonts w:ascii="Times New Roman;serif" w:hAnsi="Times New Roman;serif"/>
          <w:b w:val="false"/>
          <w:i/>
          <w:color w:val="000000"/>
          <w:sz w:val="24"/>
        </w:rPr>
        <w:t>LCT Test Date</w:t>
      </w:r>
      <w:r>
        <w:rPr>
          <w:color w:val="000000"/>
        </w:rPr>
        <w:t>”</w:t>
      </w:r>
      <w:r>
        <w:rPr>
          <w:rFonts w:ascii="Times New Roman;serif" w:hAnsi="Times New Roman;serif"/>
          <w:b w:val="false"/>
          <w:color w:val="000000"/>
          <w:sz w:val="24"/>
        </w:rPr>
        <w:t xml:space="preserve">) shall be deemed, in each case, to be at the option of the Issuer: </w:t>
      </w:r>
    </w:p>
    <w:p>
      <w:pPr>
        <w:pStyle w:val="TextBody"/>
        <w:bidi w:val="0"/>
        <w:spacing w:lineRule="auto" w:line="30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     in the case of a Limited Condition Transaction (other than as described in clauses (ii) below):</w:t>
      </w:r>
    </w:p>
    <w:p>
      <w:pPr>
        <w:pStyle w:val="TextBody"/>
        <w:bidi w:val="0"/>
        <w:spacing w:lineRule="auto" w:line="30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(x)    the date the definitive agreement for such transaction is entered into (or the date of the effectiveness of any documentation or agreement with a substantially similar effect as a binding acquisition agreement); </w:t>
      </w:r>
    </w:p>
    <w:p>
      <w:pPr>
        <w:pStyle w:val="TextBody"/>
        <w:bidi w:val="0"/>
        <w:spacing w:before="0" w:after="0"/>
        <w:jc w:val="left"/>
        <w:rPr/>
      </w:pPr>
      <w:r>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6480175" cy="768985"/>
                <wp:effectExtent l="0" t="0" r="0" b="0"/>
                <wp:wrapNone/>
                <wp:docPr id="199" name="Frame199"/>
                <a:graphic xmlns:a="http://schemas.openxmlformats.org/drawingml/2006/main">
                  <a:graphicData uri="http://schemas.microsoft.com/office/word/2010/wordprocessingShape">
                    <wps:wsp>
                      <wps:cNvSpPr txBox="1"/>
                      <wps:spPr>
                        <a:xfrm>
                          <a:off x="0" y="0"/>
                          <a:ext cx="6480175" cy="7689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26</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0.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26</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30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(y)     at the time that binding commitments to provide any debt contemplated or incurred in connection therewith are provided or at the time such debt is incurred; or </w:t>
      </w:r>
    </w:p>
    <w:p>
      <w:pPr>
        <w:pStyle w:val="TextBody"/>
        <w:bidi w:val="0"/>
        <w:spacing w:lineRule="auto" w:line="30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(z)     at the time of the consummation of the relevant transaction;</w:t>
      </w:r>
    </w:p>
    <w:p>
      <w:pPr>
        <w:pStyle w:val="TextBody"/>
        <w:bidi w:val="0"/>
        <w:spacing w:lineRule="auto" w:line="30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(ii)    in the case of any irrevocable Indebtedness repurchase, payment, repayment or similar Limited Condition Transaction (including with respect to any Indebtedness contemplated or incurred in connection therewith):</w:t>
      </w:r>
    </w:p>
    <w:p>
      <w:pPr>
        <w:pStyle w:val="TextBody"/>
        <w:bidi w:val="0"/>
        <w:spacing w:lineRule="auto" w:line="30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(x)    at the time of delivery of notice with respect to such repurchase, payment, repayment or similar Limited Condition Transaction; </w:t>
      </w:r>
    </w:p>
    <w:p>
      <w:pPr>
        <w:pStyle w:val="TextBody"/>
        <w:bidi w:val="0"/>
        <w:spacing w:lineRule="auto" w:line="30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(y)     at the time that binding commitments to provide any Indebtedness contemplated or incurred in connection therewith are provided or at the time such Indebtedness is incurred; or </w:t>
      </w:r>
    </w:p>
    <w:p>
      <w:pPr>
        <w:pStyle w:val="TextBody"/>
        <w:bidi w:val="0"/>
        <w:spacing w:lineRule="auto" w:line="30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(z)     at the time of the making of such repurchase, repayment or Limited Condition Transaction;</w:t>
      </w:r>
    </w:p>
    <w:p>
      <w:pPr>
        <w:pStyle w:val="TextBody"/>
        <w:bidi w:val="0"/>
        <w:spacing w:lineRule="auto" w:line="300"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and, in each case, if, after giving Pro Forma Effect to the Limited Condition Transaction, the Issuer or any of its Subsidiaries could have been permitted to take such action on the relevant LCT Test Date in compliance with the applicable ratios, test, basket or other provisions, such provisions shall be deemed to have been complied with. </w:t>
      </w:r>
    </w:p>
    <w:p>
      <w:pPr>
        <w:pStyle w:val="TextBody"/>
        <w:bidi w:val="0"/>
        <w:spacing w:lineRule="auto" w:line="30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For the avoidance of doubt, if the Issuer has made an LCT Election and, following the LCT Test Date, any of the ratios, tests or baskets for which compliance was determined or tested as of the LCT Test Date could have failed to have been satisfied as a result of fluctuations in any such ratios, tests or baskets, including due to fluctuations in Consolidated Adjusted EBITDA, Consolidated Secured Net Leverage Ratio or Total Assets following the LCT Test Date but at or prior to the consummation of the relevant Limited Condition Transaction, such baskets, tests or ratios will not be deemed to have failed to have been satisfied as a result of such fluctuations.</w:t>
      </w:r>
    </w:p>
    <w:p>
      <w:pPr>
        <w:pStyle w:val="TextBody"/>
        <w:bidi w:val="0"/>
        <w:spacing w:lineRule="auto" w:line="300" w:before="0" w:after="240"/>
        <w:ind w:left="0" w:right="0" w:firstLine="720"/>
        <w:jc w:val="both"/>
        <w:rPr/>
      </w:pPr>
      <w:r>
        <w:rPr>
          <w:rFonts w:ascii="Times New Roman;serif" w:hAnsi="Times New Roman;serif"/>
          <w:b w:val="false"/>
          <w:color w:val="000000"/>
          <w:sz w:val="24"/>
        </w:rPr>
        <w:t>If the Issuer has made an LCT Election for any Limited Condition Transaction, then in connection with any event or transaction occurring after the relevant LCT Test Date and prior to the earlier of the date on which such Limited Condition Transaction is consummated or the date that the definitive agreement or date for redemption, repurchase, defeasance, satisfaction and discharge, payment, repayment or consummation of such Limited Condition Transaction specified in an irrevocable notice for such Limited Condition Transaction is terminated, expires or passes, as applicable, without consummation of such Limited Condition Transaction (a “</w:t>
      </w:r>
      <w:r>
        <w:rPr>
          <w:rFonts w:ascii="Times New Roman;serif" w:hAnsi="Times New Roman;serif"/>
          <w:b w:val="false"/>
          <w:i/>
          <w:color w:val="000000"/>
          <w:sz w:val="24"/>
        </w:rPr>
        <w:t>Subsequent Transaction</w:t>
      </w:r>
      <w:r>
        <w:rPr>
          <w:color w:val="000000"/>
        </w:rPr>
        <w:t>”</w:t>
      </w:r>
      <w:r>
        <w:rPr>
          <w:rFonts w:ascii="Times New Roman;serif" w:hAnsi="Times New Roman;serif"/>
          <w:b w:val="false"/>
          <w:color w:val="000000"/>
          <w:sz w:val="24"/>
        </w:rPr>
        <w:t xml:space="preserve">) in connection with which a ratio, test or basket availability calculation must be made on a Pro Forma Basis or giving Pro Forma Effect to such Subsequent Transaction, for purposes of determining whether such ratio, test or basket availability has been complied with under this Indenture, any such ratio, test or basket shall be required to be satisfied </w:t>
      </w:r>
    </w:p>
    <w:p>
      <w:pPr>
        <w:pStyle w:val="TextBody"/>
        <w:bidi w:val="0"/>
        <w:spacing w:before="0" w:after="0"/>
        <w:jc w:val="left"/>
        <w:rPr/>
      </w:pPr>
      <w:r>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6480175" cy="768985"/>
                <wp:effectExtent l="0" t="0" r="0" b="0"/>
                <wp:wrapNone/>
                <wp:docPr id="200" name="Frame200"/>
                <a:graphic xmlns:a="http://schemas.openxmlformats.org/drawingml/2006/main">
                  <a:graphicData uri="http://schemas.microsoft.com/office/word/2010/wordprocessingShape">
                    <wps:wsp>
                      <wps:cNvSpPr txBox="1"/>
                      <wps:spPr>
                        <a:xfrm>
                          <a:off x="0" y="0"/>
                          <a:ext cx="6480175" cy="7689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27</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0.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27</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300" w:before="0" w:after="240"/>
        <w:jc w:val="both"/>
        <w:rPr/>
      </w:pPr>
      <w:r>
        <w:rPr>
          <w:rFonts w:ascii="Times New Roman;serif" w:hAnsi="Times New Roman;serif"/>
          <w:b w:val="false"/>
          <w:color w:val="000000"/>
          <w:sz w:val="24"/>
        </w:rPr>
        <w:t xml:space="preserve">on a Pro Forma Basis assuming such Limited Condition Transaction and other transactions in connection therewith have been consummated until such time as the applicable Limited Condition Transaction has actually closed or the definitive agreement with respect thereto has been terminated;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i/>
          <w:color w:val="000000"/>
          <w:sz w:val="24"/>
        </w:rPr>
        <w:t>that</w:t>
      </w:r>
      <w:r>
        <w:rPr>
          <w:color w:val="000000"/>
        </w:rPr>
        <w:t xml:space="preserve"> </w:t>
      </w:r>
      <w:r>
        <w:rPr>
          <w:rFonts w:ascii="Times New Roman;serif" w:hAnsi="Times New Roman;serif"/>
          <w:b w:val="false"/>
          <w:color w:val="000000"/>
          <w:sz w:val="24"/>
        </w:rPr>
        <w:t>for purposes of any calculation of Consolidated Adjusted EBITDA, total interest expense will be calculated using an assumed interest rate for the Indebtedness to be incurred in connection with such Limited Condition Transaction based on the indicative interest margin contained in any financing commitment documentation with respect to such Indebtedness or, if no such indicative interest margin exists, as reasonably determined by the Issuer in good faith.</w:t>
      </w:r>
    </w:p>
    <w:p>
      <w:pPr>
        <w:pStyle w:val="TextBody"/>
        <w:bidi w:val="0"/>
        <w:spacing w:lineRule="auto" w:line="30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rPr>
        <w:t xml:space="preserve">Notwithstanding anything herein to the contrary, for the purposes of this </w:t>
      </w:r>
      <w:r>
        <w:rPr>
          <w:rFonts w:ascii="Times New Roman;serif" w:hAnsi="Times New Roman;serif"/>
          <w:b w:val="false"/>
          <w:color w:val="000000"/>
          <w:sz w:val="24"/>
          <w:u w:val="single"/>
        </w:rPr>
        <w:t>Section 1.04</w:t>
      </w:r>
      <w:r>
        <w:rPr>
          <w:rFonts w:ascii="Times New Roman;serif" w:hAnsi="Times New Roman;serif"/>
          <w:b w:val="false"/>
          <w:color w:val="000000"/>
          <w:sz w:val="24"/>
        </w:rPr>
        <w:t>, compliance with any requirement relating to absence of Default or Event of Default may be determined as of the LCT Test Date and not as of any later date as would otherwise be required under this Indenture.</w:t>
      </w:r>
    </w:p>
    <w:p>
      <w:pPr>
        <w:pStyle w:val="TextBody"/>
        <w:bidi w:val="0"/>
        <w:spacing w:lineRule="auto" w:line="300" w:before="0" w:after="240"/>
        <w:jc w:val="left"/>
        <w:rPr/>
      </w:pPr>
      <w:r>
        <w:rPr>
          <w:rFonts w:ascii="Times New Roman;serif" w:hAnsi="Times New Roman;serif"/>
          <w:b w:val="false"/>
          <w:color w:val="000000"/>
          <w:sz w:val="24"/>
        </w:rPr>
        <w:t>Section 1.05</w:t>
      </w:r>
      <w:r>
        <w:rPr>
          <w:rFonts w:ascii="Times New Roman;serif" w:hAnsi="Times New Roman;serif"/>
          <w:b w:val="false"/>
          <w:color w:val="000000"/>
          <w:sz w:val="24"/>
          <w:u w:val="single"/>
        </w:rPr>
        <w:t>Measuring Compliance</w:t>
      </w:r>
      <w:r>
        <w:rPr>
          <w:rFonts w:ascii="Times New Roman;serif" w:hAnsi="Times New Roman;serif"/>
          <w:b w:val="false"/>
          <w:color w:val="000000"/>
          <w:sz w:val="24"/>
        </w:rPr>
        <w:t xml:space="preserve">. </w:t>
      </w:r>
    </w:p>
    <w:p>
      <w:pPr>
        <w:pStyle w:val="TextBody"/>
        <w:bidi w:val="0"/>
        <w:spacing w:lineRule="auto" w:line="240"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Notwithstanding anything herein to the contrary, with respect to any amounts incurred (including any baskets, thresholds, exceptions and any related builder or grower component) or transactions entered into (or consummated) in reliance on a provision of this Indenture that does not require compliance with a financial ratio or test (any such amounts, the “Fixed Amounts”) substantially concurrently with any amounts incurred or transactions entered into (or consummated) in reliance on a provision of this Indenture that requires compliance with any such financial ratio or test (any such amounts, the “Incurrence-Based Amounts”), it is understood and agreed that any Fixed Amount (and any cash proceeds thereof) shall be disregarded in the calculation of the financial ratio or test applicable to the relevant Incurrence-Based Amount in connection with such substantially concurrent incurrence and amounts incurred, or transactions entered into or consummated, in reliance on a Fixed Amount in a concurrent transaction, a single transaction or a series of related transactions with the amount incurred, or transaction entered into or consummated, under the applicable Incurrence-Based Amount, shall not be given effect in calculating the applicable Incurrence-Based Amount (but giving pro forma effect to all applicable and related transactions (including the use of proceeds of all Indebtedness to be incurred and any repayments, repurchases and redemptions of Indebtedness) and all other Pro Forma Adjustments).</w:t>
      </w:r>
    </w:p>
    <w:p>
      <w:pPr>
        <w:pStyle w:val="TextBody"/>
        <w:bidi w:val="0"/>
        <w:spacing w:before="0" w:after="0"/>
        <w:jc w:val="left"/>
        <w:rPr/>
      </w:pPr>
      <w:r>
        <w:rPr/>
      </w:r>
    </w:p>
    <w:p>
      <w:pPr>
        <w:pStyle w:val="TextBody"/>
        <w:bidi w:val="0"/>
        <w:spacing w:lineRule="auto" w:line="240" w:before="0" w:after="240"/>
        <w:jc w:val="center"/>
        <w:rPr/>
      </w:pPr>
      <w:r>
        <w:rPr>
          <w:rFonts w:ascii="Times New Roman;serif" w:hAnsi="Times New Roman;serif"/>
          <w:b w:val="false"/>
          <w:color w:val="000000"/>
          <w:sz w:val="24"/>
        </w:rPr>
        <w:t>Article 2</w:t>
      </w:r>
      <w:r>
        <w:rPr>
          <w:rFonts w:ascii="Times New Roman;serif" w:hAnsi="Times New Roman;serif"/>
          <w:b w:val="false"/>
          <w:color w:val="000000"/>
          <w:sz w:val="24"/>
        </w:rPr>
        <w:br/>
        <w:t>THE NOTES</w:t>
      </w:r>
    </w:p>
    <w:p>
      <w:pPr>
        <w:pStyle w:val="TextBody"/>
        <w:bidi w:val="0"/>
        <w:spacing w:lineRule="auto" w:line="240" w:before="0" w:after="240"/>
        <w:jc w:val="left"/>
        <w:rPr/>
      </w:pPr>
      <w:r>
        <w:rPr>
          <w:rFonts w:ascii="Times New Roman;serif" w:hAnsi="Times New Roman;serif"/>
          <w:b w:val="false"/>
          <w:color w:val="000000"/>
          <w:sz w:val="24"/>
        </w:rPr>
        <w:t>Section 2.01</w:t>
      </w:r>
      <w:r>
        <w:rPr>
          <w:rFonts w:ascii="Times New Roman;serif" w:hAnsi="Times New Roman;serif"/>
          <w:b w:val="false"/>
          <w:color w:val="000000"/>
          <w:sz w:val="24"/>
          <w:u w:val="single"/>
        </w:rPr>
        <w:t>Form and Dating</w:t>
      </w:r>
      <w:r>
        <w:rPr>
          <w:rFonts w:ascii="Times New Roman;serif" w:hAnsi="Times New Roman;serif"/>
          <w:b w:val="false"/>
          <w:color w:val="000000"/>
          <w:sz w:val="24"/>
        </w:rPr>
        <w:t xml:space="preserve">. </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i/>
          <w:color w:val="000000"/>
          <w:sz w:val="24"/>
        </w:rPr>
        <w:t>General</w:t>
      </w:r>
      <w:r>
        <w:rPr>
          <w:rFonts w:ascii="Times New Roman;serif" w:hAnsi="Times New Roman;serif"/>
          <w:b w:val="false"/>
          <w:color w:val="000000"/>
          <w:sz w:val="24"/>
        </w:rPr>
        <w:t>. The Notes shall be issued in registered global form (except as otherwise permitted herein with respect to Definitive Notes) without</w:t>
      </w:r>
      <w:r>
        <w:rPr>
          <w:color w:val="000000"/>
        </w:rPr>
        <w:t xml:space="preserve"> </w:t>
      </w:r>
      <w:r>
        <w:rPr>
          <w:rFonts w:ascii="Times New Roman;serif" w:hAnsi="Times New Roman;serif"/>
          <w:b w:val="false"/>
          <w:color w:val="000000"/>
          <w:sz w:val="24"/>
        </w:rPr>
        <w:t xml:space="preserve">interest coupons. The Notes and the Trustee’s certificate of authentication shall be substantially in the form of </w:t>
      </w:r>
      <w:r>
        <w:rPr>
          <w:rFonts w:ascii="Times New Roman;serif" w:hAnsi="Times New Roman;serif"/>
          <w:b w:val="false"/>
          <w:color w:val="000000"/>
          <w:sz w:val="24"/>
          <w:u w:val="single"/>
        </w:rPr>
        <w:t>Exhibit A</w:t>
      </w:r>
      <w:r>
        <w:rPr>
          <w:color w:val="000000"/>
        </w:rPr>
        <w:t xml:space="preserve"> </w:t>
      </w:r>
      <w:r>
        <w:rPr>
          <w:rFonts w:ascii="Times New Roman;serif" w:hAnsi="Times New Roman;serif"/>
          <w:b w:val="false"/>
          <w:color w:val="000000"/>
          <w:sz w:val="24"/>
        </w:rPr>
        <w:t>hereto. The Notes may have notations, legends or endorsements required by</w:t>
      </w:r>
      <w:r>
        <w:rPr>
          <w:color w:val="000000"/>
        </w:rPr>
        <w:t xml:space="preserve"> </w:t>
      </w:r>
      <w:r>
        <w:rPr>
          <w:rFonts w:ascii="Times New Roman;serif" w:hAnsi="Times New Roman;serif"/>
          <w:b w:val="false"/>
          <w:color w:val="000000"/>
          <w:sz w:val="24"/>
        </w:rPr>
        <w:t>law, stock exchange rule or usage. The Issuer shall furnish any such notations, legends or endorsements to the Trustee in writing. Each Note shall be</w:t>
      </w:r>
      <w:r>
        <w:rPr>
          <w:color w:val="000000"/>
        </w:rPr>
        <w:t xml:space="preserve"> </w:t>
      </w:r>
      <w:r>
        <w:rPr>
          <w:rFonts w:ascii="Times New Roman;serif" w:hAnsi="Times New Roman;serif"/>
          <w:b w:val="false"/>
          <w:color w:val="000000"/>
          <w:sz w:val="24"/>
        </w:rPr>
        <w:t>dated the date of its authentication. The Notes shall be in minimum denominations of $2,000 and integral multiples of $1,000 in excess thereof.</w:t>
      </w:r>
    </w:p>
    <w:p>
      <w:pPr>
        <w:pStyle w:val="TextBody"/>
        <w:bidi w:val="0"/>
        <w:spacing w:before="0" w:after="0"/>
        <w:jc w:val="left"/>
        <w:rPr/>
      </w:pPr>
      <w:r>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6480175" cy="768985"/>
                <wp:effectExtent l="0" t="0" r="0" b="0"/>
                <wp:wrapNone/>
                <wp:docPr id="201" name="Frame201"/>
                <a:graphic xmlns:a="http://schemas.openxmlformats.org/drawingml/2006/main">
                  <a:graphicData uri="http://schemas.microsoft.com/office/word/2010/wordprocessingShape">
                    <wps:wsp>
                      <wps:cNvSpPr txBox="1"/>
                      <wps:spPr>
                        <a:xfrm>
                          <a:off x="0" y="0"/>
                          <a:ext cx="6480175" cy="7689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28</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0.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28</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The terms and provisions contained in the Notes shall constitute, and are hereby expressly made, a part of this Indenture and the Issuer,</w:t>
      </w:r>
      <w:r>
        <w:rPr>
          <w:color w:val="000000"/>
        </w:rPr>
        <w:t xml:space="preserve"> </w:t>
      </w:r>
      <w:r>
        <w:rPr>
          <w:rFonts w:ascii="Times New Roman;serif" w:hAnsi="Times New Roman;serif"/>
          <w:b w:val="false"/>
          <w:color w:val="000000"/>
          <w:sz w:val="24"/>
        </w:rPr>
        <w:t>the Subsidiary Guarantors and the Trustee, by their execution and delivery of this Indenture, expressly agree to such terms and</w:t>
      </w:r>
      <w:r>
        <w:rPr>
          <w:color w:val="000000"/>
        </w:rPr>
        <w:t xml:space="preserve"> </w:t>
      </w:r>
      <w:r>
        <w:rPr>
          <w:rFonts w:ascii="Times New Roman;serif" w:hAnsi="Times New Roman;serif"/>
          <w:b w:val="false"/>
          <w:color w:val="000000"/>
          <w:sz w:val="24"/>
        </w:rPr>
        <w:t>provisions and to be bound thereby.</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u w:val="single"/>
        </w:rPr>
        <w:t>Global</w:t>
      </w:r>
      <w:r>
        <w:rPr>
          <w:color w:val="000000"/>
          <w:u w:val="single"/>
        </w:rPr>
        <w:t xml:space="preserve"> </w:t>
      </w:r>
      <w:r>
        <w:rPr>
          <w:rFonts w:ascii="Times New Roman;serif" w:hAnsi="Times New Roman;serif"/>
          <w:b w:val="false"/>
          <w:color w:val="000000"/>
          <w:sz w:val="24"/>
          <w:u w:val="single"/>
        </w:rPr>
        <w:t>Notes</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(1)Notes</w:t>
      </w:r>
      <w:r>
        <w:rPr>
          <w:color w:val="000000"/>
        </w:rPr>
        <w:t xml:space="preserve"> </w:t>
      </w:r>
      <w:r>
        <w:rPr>
          <w:rFonts w:ascii="Times New Roman;serif" w:hAnsi="Times New Roman;serif"/>
          <w:b w:val="false"/>
          <w:color w:val="000000"/>
          <w:sz w:val="24"/>
        </w:rPr>
        <w:t>issued</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global</w:t>
      </w:r>
      <w:r>
        <w:rPr>
          <w:color w:val="000000"/>
        </w:rPr>
        <w:t xml:space="preserve"> </w:t>
      </w:r>
      <w:r>
        <w:rPr>
          <w:rFonts w:ascii="Times New Roman;serif" w:hAnsi="Times New Roman;serif"/>
          <w:b w:val="false"/>
          <w:color w:val="000000"/>
          <w:sz w:val="24"/>
        </w:rPr>
        <w:t>form</w:t>
      </w:r>
      <w:r>
        <w:rPr>
          <w:color w:val="000000"/>
        </w:rPr>
        <w:t xml:space="preserve"> </w:t>
      </w:r>
      <w:r>
        <w:rPr>
          <w:rFonts w:ascii="Times New Roman;serif" w:hAnsi="Times New Roman;serif"/>
          <w:b w:val="false"/>
          <w:color w:val="000000"/>
          <w:sz w:val="24"/>
        </w:rPr>
        <w:t>shall</w:t>
      </w:r>
      <w:r>
        <w:rPr>
          <w:color w:val="000000"/>
        </w:rPr>
        <w:t xml:space="preserve"> </w:t>
      </w:r>
      <w:r>
        <w:rPr>
          <w:rFonts w:ascii="Times New Roman;serif" w:hAnsi="Times New Roman;serif"/>
          <w:b w:val="false"/>
          <w:color w:val="000000"/>
          <w:sz w:val="24"/>
        </w:rPr>
        <w:t>be</w:t>
      </w:r>
      <w:r>
        <w:rPr>
          <w:color w:val="000000"/>
        </w:rPr>
        <w:t xml:space="preserve"> </w:t>
      </w:r>
      <w:r>
        <w:rPr>
          <w:rFonts w:ascii="Times New Roman;serif" w:hAnsi="Times New Roman;serif"/>
          <w:b w:val="false"/>
          <w:color w:val="000000"/>
          <w:sz w:val="24"/>
        </w:rPr>
        <w:t>substantially</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form</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u w:val="single"/>
        </w:rPr>
        <w:t>Exhibit A</w:t>
      </w:r>
      <w:r>
        <w:rPr>
          <w:color w:val="000000"/>
        </w:rPr>
        <w:t xml:space="preserve"> </w:t>
      </w:r>
      <w:r>
        <w:rPr>
          <w:rFonts w:ascii="Times New Roman;serif" w:hAnsi="Times New Roman;serif"/>
          <w:b w:val="false"/>
          <w:color w:val="000000"/>
          <w:sz w:val="24"/>
        </w:rPr>
        <w:t>attached</w:t>
      </w:r>
      <w:r>
        <w:rPr>
          <w:color w:val="000000"/>
        </w:rPr>
        <w:t xml:space="preserve"> </w:t>
      </w:r>
      <w:r>
        <w:rPr>
          <w:rFonts w:ascii="Times New Roman;serif" w:hAnsi="Times New Roman;serif"/>
          <w:b w:val="false"/>
          <w:color w:val="000000"/>
          <w:sz w:val="24"/>
        </w:rPr>
        <w:t>hereto (including the Global Note Legend thereon and the “Schedule of Exchanges of</w:t>
      </w:r>
      <w:r>
        <w:rPr>
          <w:color w:val="000000"/>
        </w:rPr>
        <w:t xml:space="preserve"> </w:t>
      </w:r>
      <w:r>
        <w:rPr>
          <w:rFonts w:ascii="Times New Roman;serif" w:hAnsi="Times New Roman;serif"/>
          <w:b w:val="false"/>
          <w:color w:val="000000"/>
          <w:sz w:val="24"/>
        </w:rPr>
        <w:t xml:space="preserve">Interests in the Global Note” attached thereto). Notes issued in definitive form shall be substantially in the form of </w:t>
      </w:r>
      <w:r>
        <w:rPr>
          <w:rFonts w:ascii="Times New Roman;serif" w:hAnsi="Times New Roman;serif"/>
          <w:b w:val="false"/>
          <w:color w:val="000000"/>
          <w:sz w:val="24"/>
          <w:u w:val="single"/>
        </w:rPr>
        <w:t>Exhibit A</w:t>
      </w:r>
      <w:r>
        <w:rPr>
          <w:color w:val="000000"/>
        </w:rPr>
        <w:t xml:space="preserve"> </w:t>
      </w:r>
      <w:r>
        <w:rPr>
          <w:rFonts w:ascii="Times New Roman;serif" w:hAnsi="Times New Roman;serif"/>
          <w:b w:val="false"/>
          <w:color w:val="000000"/>
          <w:sz w:val="24"/>
        </w:rPr>
        <w:t>attached hereto (but without the Global Note Legend</w:t>
      </w:r>
      <w:r>
        <w:rPr>
          <w:color w:val="000000"/>
        </w:rPr>
        <w:t xml:space="preserve"> </w:t>
      </w:r>
      <w:r>
        <w:rPr>
          <w:rFonts w:ascii="Times New Roman;serif" w:hAnsi="Times New Roman;serif"/>
          <w:b w:val="false"/>
          <w:color w:val="000000"/>
          <w:sz w:val="24"/>
        </w:rPr>
        <w:t>thereon and without the “Schedule of Exchanges of Interests in the Global Note” attached thereto). Each Global Note shall represent such of the</w:t>
      </w:r>
      <w:r>
        <w:rPr>
          <w:color w:val="000000"/>
        </w:rPr>
        <w:t xml:space="preserve"> </w:t>
      </w:r>
      <w:r>
        <w:rPr>
          <w:rFonts w:ascii="Times New Roman;serif" w:hAnsi="Times New Roman;serif"/>
          <w:b w:val="false"/>
          <w:color w:val="000000"/>
          <w:sz w:val="24"/>
        </w:rPr>
        <w:t>outstanding Notes as will be specified therein and each shall provide that it represents the aggregate principal amount of outstanding Notes from</w:t>
      </w:r>
      <w:r>
        <w:rPr>
          <w:color w:val="000000"/>
        </w:rPr>
        <w:t xml:space="preserve"> </w:t>
      </w:r>
      <w:r>
        <w:rPr>
          <w:rFonts w:ascii="Times New Roman;serif" w:hAnsi="Times New Roman;serif"/>
          <w:b w:val="false"/>
          <w:color w:val="000000"/>
          <w:sz w:val="24"/>
        </w:rPr>
        <w:t>time to time as reflected in the records of the Trustee and that the aggregate principal amount of outstanding Notes represented thereby may from</w:t>
      </w:r>
      <w:r>
        <w:rPr>
          <w:color w:val="000000"/>
        </w:rPr>
        <w:t xml:space="preserve"> </w:t>
      </w:r>
      <w:r>
        <w:rPr>
          <w:rFonts w:ascii="Times New Roman;serif" w:hAnsi="Times New Roman;serif"/>
          <w:b w:val="false"/>
          <w:color w:val="000000"/>
          <w:sz w:val="24"/>
        </w:rPr>
        <w:t>time to time be reduced or increased, as appropriate, to reflect exchanges and redemptions. The Trustee’s records shall be noted to reflect the</w:t>
      </w:r>
      <w:r>
        <w:rPr>
          <w:color w:val="000000"/>
        </w:rPr>
        <w:t xml:space="preserve"> </w:t>
      </w:r>
      <w:r>
        <w:rPr>
          <w:rFonts w:ascii="Times New Roman;serif" w:hAnsi="Times New Roman;serif"/>
          <w:b w:val="false"/>
          <w:color w:val="000000"/>
          <w:sz w:val="24"/>
        </w:rPr>
        <w:t>amount of any increase or decrease in the aggregate principal amount of outstanding Notes represented thereby, in accordance with instructions</w:t>
      </w:r>
      <w:r>
        <w:rPr>
          <w:color w:val="000000"/>
        </w:rPr>
        <w:t xml:space="preserve"> </w:t>
      </w:r>
      <w:r>
        <w:rPr>
          <w:rFonts w:ascii="Times New Roman;serif" w:hAnsi="Times New Roman;serif"/>
          <w:b w:val="false"/>
          <w:color w:val="000000"/>
          <w:sz w:val="24"/>
        </w:rPr>
        <w:t xml:space="preserve">given by the Holder thereof as required by </w:t>
      </w:r>
      <w:r>
        <w:rPr>
          <w:rFonts w:ascii="Times New Roman;serif" w:hAnsi="Times New Roman;serif"/>
          <w:b w:val="false"/>
          <w:color w:val="000000"/>
          <w:sz w:val="24"/>
          <w:u w:val="single"/>
        </w:rPr>
        <w:t>Section 2.06</w:t>
      </w:r>
      <w:r>
        <w:rPr>
          <w:color w:val="000000"/>
        </w:rPr>
        <w:t xml:space="preserve"> </w:t>
      </w:r>
      <w:r>
        <w:rPr>
          <w:rFonts w:ascii="Times New Roman;serif" w:hAnsi="Times New Roman;serif"/>
          <w:b w:val="false"/>
          <w:color w:val="000000"/>
          <w:sz w:val="24"/>
        </w:rPr>
        <w:t>hereof.</w:t>
      </w:r>
    </w:p>
    <w:p>
      <w:pPr>
        <w:pStyle w:val="TextBody"/>
        <w:bidi w:val="0"/>
        <w:spacing w:lineRule="auto" w:line="240" w:before="0" w:after="240"/>
        <w:ind w:left="0" w:right="0" w:firstLine="720"/>
        <w:jc w:val="both"/>
        <w:rPr/>
      </w:pPr>
      <w:r>
        <w:rPr>
          <w:rFonts w:ascii="Times New Roman;serif" w:hAnsi="Times New Roman;serif"/>
          <w:b w:val="false"/>
          <w:color w:val="000000"/>
          <w:sz w:val="24"/>
        </w:rPr>
        <w:t>(2)Notes sold within the</w:t>
      </w:r>
      <w:r>
        <w:rPr>
          <w:color w:val="000000"/>
        </w:rPr>
        <w:t xml:space="preserve"> </w:t>
      </w:r>
      <w:r>
        <w:rPr>
          <w:rFonts w:ascii="Times New Roman;serif" w:hAnsi="Times New Roman;serif"/>
          <w:b w:val="false"/>
          <w:color w:val="000000"/>
          <w:sz w:val="24"/>
        </w:rPr>
        <w:t>United States of America to</w:t>
      </w:r>
      <w:r>
        <w:rPr>
          <w:color w:val="000000"/>
        </w:rPr>
        <w:t xml:space="preserve"> </w:t>
      </w:r>
      <w:r>
        <w:rPr>
          <w:rFonts w:ascii="Times New Roman;serif" w:hAnsi="Times New Roman;serif"/>
          <w:b w:val="false"/>
          <w:color w:val="000000"/>
          <w:sz w:val="24"/>
        </w:rPr>
        <w:t>QIBs pursuant to</w:t>
      </w:r>
      <w:r>
        <w:rPr>
          <w:color w:val="000000"/>
        </w:rPr>
        <w:t xml:space="preserve"> </w:t>
      </w:r>
      <w:r>
        <w:rPr>
          <w:rFonts w:ascii="Times New Roman;serif" w:hAnsi="Times New Roman;serif"/>
          <w:b w:val="false"/>
          <w:color w:val="000000"/>
          <w:sz w:val="24"/>
        </w:rPr>
        <w:t>Rule</w:t>
      </w:r>
      <w:r>
        <w:rPr>
          <w:color w:val="000000"/>
        </w:rPr>
        <w:t xml:space="preserve"> </w:t>
      </w:r>
      <w:r>
        <w:rPr>
          <w:rFonts w:ascii="Times New Roman;serif" w:hAnsi="Times New Roman;serif"/>
          <w:b w:val="false"/>
          <w:color w:val="000000"/>
          <w:sz w:val="24"/>
        </w:rPr>
        <w:t>144A under the</w:t>
      </w:r>
      <w:r>
        <w:rPr>
          <w:color w:val="000000"/>
        </w:rPr>
        <w:t xml:space="preserve"> </w:t>
      </w:r>
      <w:r>
        <w:rPr>
          <w:rFonts w:ascii="Times New Roman;serif" w:hAnsi="Times New Roman;serif"/>
          <w:b w:val="false"/>
          <w:color w:val="000000"/>
          <w:sz w:val="24"/>
        </w:rPr>
        <w:t>Securities Act shall be issued</w:t>
      </w:r>
      <w:r>
        <w:rPr>
          <w:color w:val="000000"/>
        </w:rPr>
        <w:t xml:space="preserve"> </w:t>
      </w:r>
      <w:r>
        <w:rPr>
          <w:rFonts w:ascii="Times New Roman;serif" w:hAnsi="Times New Roman;serif"/>
          <w:b w:val="false"/>
          <w:color w:val="000000"/>
          <w:sz w:val="24"/>
        </w:rPr>
        <w:t>initially</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form</w:t>
      </w:r>
      <w:r>
        <w:rPr>
          <w:color w:val="000000"/>
        </w:rPr>
        <w:t xml:space="preserve"> </w:t>
      </w:r>
      <w:r>
        <w:rPr>
          <w:rFonts w:ascii="Times New Roman;serif" w:hAnsi="Times New Roman;serif"/>
          <w:b w:val="false"/>
          <w:color w:val="000000"/>
          <w:sz w:val="24"/>
        </w:rPr>
        <w:t>of one or more 144A Global Notes, which shall be deposited on behalf of the purchasers of the Notes represented thereby with the Custodian for DTC and registered in the name of Cede &amp; Co., the nominee of</w:t>
      </w:r>
      <w:r>
        <w:rPr>
          <w:color w:val="000000"/>
        </w:rPr>
        <w:t xml:space="preserve"> </w:t>
      </w:r>
      <w:r>
        <w:rPr>
          <w:rFonts w:ascii="Times New Roman;serif" w:hAnsi="Times New Roman;serif"/>
          <w:b w:val="false"/>
          <w:color w:val="000000"/>
          <w:sz w:val="24"/>
        </w:rPr>
        <w:t>DTC, duly executed by the Issuer and authenticated by the Trustee or the authenticating agent as provided herein. The aggregate principal</w:t>
      </w:r>
      <w:r>
        <w:rPr>
          <w:color w:val="000000"/>
        </w:rPr>
        <w:t xml:space="preserve"> </w:t>
      </w:r>
      <w:r>
        <w:rPr>
          <w:rFonts w:ascii="Times New Roman;serif" w:hAnsi="Times New Roman;serif"/>
          <w:b w:val="false"/>
          <w:color w:val="000000"/>
          <w:sz w:val="24"/>
        </w:rPr>
        <w:t>amount of the 144A Global Notes may from time to time be increased or decreased by adjustments made on the records of the Trustee and the</w:t>
      </w:r>
      <w:r>
        <w:rPr>
          <w:color w:val="000000"/>
        </w:rPr>
        <w:t xml:space="preserve"> </w:t>
      </w:r>
      <w:r>
        <w:rPr>
          <w:rFonts w:ascii="Times New Roman;serif" w:hAnsi="Times New Roman;serif"/>
          <w:b w:val="false"/>
          <w:color w:val="000000"/>
          <w:sz w:val="24"/>
        </w:rPr>
        <w:t>Depository or its nominee, as the case may be, in connection with transfers of interests as hereinafter provided.</w:t>
      </w:r>
    </w:p>
    <w:p>
      <w:pPr>
        <w:pStyle w:val="TextBody"/>
        <w:bidi w:val="0"/>
        <w:spacing w:lineRule="auto" w:line="240" w:before="0" w:after="240"/>
        <w:ind w:left="0" w:right="0" w:firstLine="720"/>
        <w:jc w:val="both"/>
        <w:rPr/>
      </w:pPr>
      <w:r>
        <w:rPr>
          <w:rFonts w:ascii="Times New Roman;serif" w:hAnsi="Times New Roman;serif"/>
          <w:b w:val="false"/>
          <w:color w:val="000000"/>
          <w:sz w:val="24"/>
        </w:rPr>
        <w:t>(3)Notes transferred to Institutional Accredited Investors shall be initially</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form</w:t>
      </w:r>
      <w:r>
        <w:rPr>
          <w:color w:val="000000"/>
        </w:rPr>
        <w:t xml:space="preserve"> </w:t>
      </w:r>
      <w:r>
        <w:rPr>
          <w:rFonts w:ascii="Times New Roman;serif" w:hAnsi="Times New Roman;serif"/>
          <w:b w:val="false"/>
          <w:color w:val="000000"/>
          <w:sz w:val="24"/>
        </w:rPr>
        <w:t>of one or more IAI Global Notes, which shall be deposited on behalf of the purchasers of the Notes represented thereby with the Custodian for DTC and registered in the name of Cede &amp; Co., the nominee of</w:t>
      </w:r>
      <w:r>
        <w:rPr>
          <w:color w:val="000000"/>
        </w:rPr>
        <w:t xml:space="preserve"> </w:t>
      </w:r>
      <w:r>
        <w:rPr>
          <w:rFonts w:ascii="Times New Roman;serif" w:hAnsi="Times New Roman;serif"/>
          <w:b w:val="false"/>
          <w:color w:val="000000"/>
          <w:sz w:val="24"/>
        </w:rPr>
        <w:t>DTC, duly executed by the Issuer and authenticated by the Trustee or the authenticating agent as provided herein. The aggregate principal</w:t>
      </w:r>
      <w:r>
        <w:rPr>
          <w:color w:val="000000"/>
        </w:rPr>
        <w:t xml:space="preserve"> </w:t>
      </w:r>
      <w:r>
        <w:rPr>
          <w:rFonts w:ascii="Times New Roman;serif" w:hAnsi="Times New Roman;serif"/>
          <w:b w:val="false"/>
          <w:color w:val="000000"/>
          <w:sz w:val="24"/>
        </w:rPr>
        <w:t>amount of the IAI Global Notes may from time to time be increased or decreased by adjustments made on the records of the Trustee and the</w:t>
      </w:r>
      <w:r>
        <w:rPr>
          <w:color w:val="000000"/>
        </w:rPr>
        <w:t xml:space="preserve"> </w:t>
      </w:r>
      <w:r>
        <w:rPr>
          <w:rFonts w:ascii="Times New Roman;serif" w:hAnsi="Times New Roman;serif"/>
          <w:b w:val="false"/>
          <w:color w:val="000000"/>
          <w:sz w:val="24"/>
        </w:rPr>
        <w:t>Depository or its nominee, as the case may be, in connection with transfers of interests as hereinafter provided.</w:t>
      </w:r>
    </w:p>
    <w:p>
      <w:pPr>
        <w:pStyle w:val="TextBody"/>
        <w:bidi w:val="0"/>
        <w:spacing w:lineRule="auto" w:line="240" w:before="0" w:after="240"/>
        <w:ind w:left="0" w:right="0" w:firstLine="720"/>
        <w:jc w:val="both"/>
        <w:rPr/>
      </w:pPr>
      <w:r>
        <w:rPr>
          <w:rFonts w:ascii="Times New Roman;serif" w:hAnsi="Times New Roman;serif"/>
          <w:b w:val="false"/>
          <w:color w:val="000000"/>
          <w:sz w:val="24"/>
        </w:rPr>
        <w:t>(4)Notes offered and sold in reliance on Regulation S shall be issued initially in the form of one or more Regulation S Temporary Global</w:t>
      </w:r>
      <w:r>
        <w:rPr>
          <w:color w:val="000000"/>
        </w:rPr>
        <w:t xml:space="preserve"> </w:t>
      </w:r>
      <w:r>
        <w:rPr>
          <w:rFonts w:ascii="Times New Roman;serif" w:hAnsi="Times New Roman;serif"/>
          <w:b w:val="false"/>
          <w:color w:val="000000"/>
          <w:sz w:val="24"/>
        </w:rPr>
        <w:t>Notes, which shall be deposited on behalf of the purchasers of the Notes represented thereby with the Custodian for DTC and</w:t>
      </w:r>
      <w:r>
        <w:rPr>
          <w:color w:val="000000"/>
        </w:rPr>
        <w:t xml:space="preserve"> </w:t>
      </w:r>
      <w:r>
        <w:rPr>
          <w:rFonts w:ascii="Times New Roman;serif" w:hAnsi="Times New Roman;serif"/>
          <w:b w:val="false"/>
          <w:color w:val="000000"/>
          <w:sz w:val="24"/>
        </w:rPr>
        <w:t>registered in the name of Cede &amp; Co., the nominee of DTC, duly executed by the Issuer and authenticated by the Trustee or the authenticating agent as provided herein. In no event shall any Issuer hold an interest in a Regulation S Temporary Global Note other than directly or indirectly in or through</w:t>
      </w:r>
      <w:r>
        <w:rPr>
          <w:color w:val="000000"/>
        </w:rPr>
        <w:t xml:space="preserve"> </w:t>
      </w:r>
      <w:r>
        <w:rPr>
          <w:rFonts w:ascii="Times New Roman;serif" w:hAnsi="Times New Roman;serif"/>
          <w:b w:val="false"/>
          <w:color w:val="000000"/>
          <w:sz w:val="24"/>
        </w:rPr>
        <w:t>accounts</w:t>
      </w:r>
      <w:r>
        <w:rPr>
          <w:color w:val="000000"/>
        </w:rPr>
        <w:t xml:space="preserve"> </w:t>
      </w:r>
      <w:r>
        <w:rPr>
          <w:rFonts w:ascii="Times New Roman;serif" w:hAnsi="Times New Roman;serif"/>
          <w:b w:val="false"/>
          <w:color w:val="000000"/>
          <w:sz w:val="24"/>
        </w:rPr>
        <w:t>maintained</w:t>
      </w:r>
      <w:r>
        <w:rPr>
          <w:color w:val="000000"/>
        </w:rPr>
        <w:t xml:space="preserve"> </w:t>
      </w:r>
      <w:r>
        <w:rPr>
          <w:rFonts w:ascii="Times New Roman;serif" w:hAnsi="Times New Roman;serif"/>
          <w:b w:val="false"/>
          <w:color w:val="000000"/>
          <w:sz w:val="24"/>
        </w:rPr>
        <w:t>at</w:t>
      </w:r>
      <w:r>
        <w:rPr>
          <w:color w:val="000000"/>
        </w:rPr>
        <w:t xml:space="preserve"> </w:t>
      </w:r>
      <w:r>
        <w:rPr>
          <w:rFonts w:ascii="Times New Roman;serif" w:hAnsi="Times New Roman;serif"/>
          <w:b w:val="false"/>
          <w:color w:val="000000"/>
          <w:sz w:val="24"/>
        </w:rPr>
        <w:t>Euroclear</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Clearstream</w:t>
      </w:r>
      <w:r>
        <w:rPr>
          <w:color w:val="000000"/>
        </w:rPr>
        <w:t xml:space="preserve"> </w:t>
      </w:r>
      <w:r>
        <w:rPr>
          <w:rFonts w:ascii="Times New Roman;serif" w:hAnsi="Times New Roman;serif"/>
          <w:b w:val="false"/>
          <w:color w:val="000000"/>
          <w:sz w:val="24"/>
        </w:rPr>
        <w:t>as</w:t>
      </w:r>
      <w:r>
        <w:rPr>
          <w:color w:val="000000"/>
        </w:rPr>
        <w:t xml:space="preserve"> </w:t>
      </w:r>
      <w:r>
        <w:rPr>
          <w:rFonts w:ascii="Times New Roman;serif" w:hAnsi="Times New Roman;serif"/>
          <w:b w:val="false"/>
          <w:color w:val="000000"/>
          <w:sz w:val="24"/>
        </w:rPr>
        <w:t>indirect</w:t>
      </w:r>
      <w:r>
        <w:rPr>
          <w:color w:val="000000"/>
        </w:rPr>
        <w:t xml:space="preserve"> </w:t>
      </w:r>
      <w:r>
        <w:rPr>
          <w:rFonts w:ascii="Times New Roman;serif" w:hAnsi="Times New Roman;serif"/>
          <w:b w:val="false"/>
          <w:color w:val="000000"/>
          <w:sz w:val="24"/>
        </w:rPr>
        <w:t>participants</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DTC.</w:t>
      </w:r>
      <w:r>
        <w:rPr>
          <w:color w:val="000000"/>
        </w:rPr>
        <w:t xml:space="preserve"> </w:t>
      </w:r>
      <w:r>
        <w:rPr>
          <w:rFonts w:ascii="Times New Roman;serif" w:hAnsi="Times New Roman;serif"/>
          <w:b w:val="false"/>
          <w:color w:val="000000"/>
          <w:sz w:val="24"/>
        </w:rPr>
        <w:t>Prior</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termination</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Distribution</w:t>
      </w:r>
      <w:r>
        <w:rPr>
          <w:color w:val="000000"/>
        </w:rPr>
        <w:t xml:space="preserve"> </w:t>
      </w:r>
      <w:r>
        <w:rPr>
          <w:rFonts w:ascii="Times New Roman;serif" w:hAnsi="Times New Roman;serif"/>
          <w:b w:val="false"/>
          <w:color w:val="000000"/>
          <w:sz w:val="24"/>
        </w:rPr>
        <w:t>Compliance</w:t>
      </w:r>
      <w:r>
        <w:rPr>
          <w:color w:val="000000"/>
        </w:rPr>
        <w:t xml:space="preserve"> </w:t>
      </w:r>
      <w:r>
        <w:rPr>
          <w:rFonts w:ascii="Times New Roman;serif" w:hAnsi="Times New Roman;serif"/>
          <w:b w:val="false"/>
          <w:color w:val="000000"/>
          <w:sz w:val="24"/>
        </w:rPr>
        <w:t>Period,</w:t>
      </w:r>
      <w:r>
        <w:rPr>
          <w:color w:val="000000"/>
        </w:rPr>
        <w:t xml:space="preserve"> </w:t>
      </w:r>
      <w:r>
        <w:rPr>
          <w:rFonts w:ascii="Times New Roman;serif" w:hAnsi="Times New Roman;serif"/>
          <w:b w:val="false"/>
          <w:color w:val="000000"/>
          <w:sz w:val="24"/>
        </w:rPr>
        <w:t>an</w:t>
      </w:r>
      <w:r>
        <w:rPr>
          <w:color w:val="000000"/>
        </w:rPr>
        <w:t xml:space="preserve"> </w:t>
      </w:r>
      <w:r>
        <w:rPr>
          <w:rFonts w:ascii="Times New Roman;serif" w:hAnsi="Times New Roman;serif"/>
          <w:b w:val="false"/>
          <w:color w:val="000000"/>
          <w:sz w:val="24"/>
        </w:rPr>
        <w:t xml:space="preserve">interest in a Regulation S Temporary Global Note may not be </w:t>
      </w:r>
    </w:p>
    <w:p>
      <w:pPr>
        <w:pStyle w:val="TextBody"/>
        <w:bidi w:val="0"/>
        <w:spacing w:before="0" w:after="0"/>
        <w:jc w:val="left"/>
        <w:rPr/>
      </w:pPr>
      <w:r>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6480175" cy="768985"/>
                <wp:effectExtent l="0" t="0" r="0" b="0"/>
                <wp:wrapNone/>
                <wp:docPr id="202" name="Frame202"/>
                <a:graphic xmlns:a="http://schemas.openxmlformats.org/drawingml/2006/main">
                  <a:graphicData uri="http://schemas.microsoft.com/office/word/2010/wordprocessingShape">
                    <wps:wsp>
                      <wps:cNvSpPr txBox="1"/>
                      <wps:spPr>
                        <a:xfrm>
                          <a:off x="0" y="0"/>
                          <a:ext cx="6480175" cy="7689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29</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0.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29</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rPr>
        <w:t>transferred to or for the account or benefit of a “U.S. Person” (as defined in Rule</w:t>
      </w:r>
      <w:r>
        <w:rPr>
          <w:color w:val="000000"/>
        </w:rPr>
        <w:t xml:space="preserve"> </w:t>
      </w:r>
      <w:r>
        <w:rPr>
          <w:rFonts w:ascii="Times New Roman;serif" w:hAnsi="Times New Roman;serif"/>
          <w:b w:val="false"/>
          <w:color w:val="000000"/>
          <w:sz w:val="24"/>
        </w:rPr>
        <w:t>902(k) of Regulation S) (other than a “distributor” (as defined in Rule 902(d) of Regulation S)).</w:t>
      </w:r>
    </w:p>
    <w:p>
      <w:pPr>
        <w:pStyle w:val="TextBody"/>
        <w:bidi w:val="0"/>
        <w:spacing w:lineRule="auto" w:line="240" w:before="0" w:after="240"/>
        <w:ind w:left="0" w:right="0" w:firstLine="720"/>
        <w:jc w:val="both"/>
        <w:rPr/>
      </w:pPr>
      <w:r>
        <w:rPr>
          <w:rFonts w:ascii="Times New Roman;serif" w:hAnsi="Times New Roman;serif"/>
          <w:b w:val="false"/>
          <w:color w:val="000000"/>
          <w:sz w:val="24"/>
        </w:rPr>
        <w:t>(5)Following the termination of the Distribution Compliance Period, beneficial interests in the Regulation S Temporary Global Note shall be</w:t>
      </w:r>
      <w:r>
        <w:rPr>
          <w:color w:val="000000"/>
        </w:rPr>
        <w:t xml:space="preserve"> </w:t>
      </w:r>
      <w:r>
        <w:rPr>
          <w:rFonts w:ascii="Times New Roman;serif" w:hAnsi="Times New Roman;serif"/>
          <w:b w:val="false"/>
          <w:color w:val="000000"/>
          <w:sz w:val="24"/>
        </w:rPr>
        <w:t>exchanged for beneficial interests in the Regulation S Permanent Global Note pursuant to the Applicable Procedures.</w:t>
      </w:r>
      <w:r>
        <w:rPr>
          <w:color w:val="000000"/>
        </w:rPr>
        <w:t xml:space="preserve"> </w:t>
      </w:r>
      <w:r>
        <w:rPr>
          <w:rFonts w:ascii="Times New Roman;serif" w:hAnsi="Times New Roman;serif"/>
          <w:b w:val="false"/>
          <w:color w:val="000000"/>
          <w:sz w:val="24"/>
        </w:rPr>
        <w:t>Simultaneously with the authentication of such Regulation S Permanent Global Note, the Trustee shall, upon receipt of an Issuer Order, cancel the</w:t>
      </w:r>
      <w:r>
        <w:rPr>
          <w:color w:val="000000"/>
        </w:rPr>
        <w:t xml:space="preserve"> </w:t>
      </w:r>
      <w:r>
        <w:rPr>
          <w:rFonts w:ascii="Times New Roman;serif" w:hAnsi="Times New Roman;serif"/>
          <w:b w:val="false"/>
          <w:color w:val="000000"/>
          <w:sz w:val="24"/>
        </w:rPr>
        <w:t>Regulation S Temporary Global Note. The aggregate principal amount of the Regulation S Temporary Global Notes and the Regulation S Permanent</w:t>
      </w:r>
      <w:r>
        <w:rPr>
          <w:color w:val="000000"/>
        </w:rPr>
        <w:t xml:space="preserve"> </w:t>
      </w:r>
      <w:r>
        <w:rPr>
          <w:rFonts w:ascii="Times New Roman;serif" w:hAnsi="Times New Roman;serif"/>
          <w:b w:val="false"/>
          <w:color w:val="000000"/>
          <w:sz w:val="24"/>
        </w:rPr>
        <w:t>Global</w:t>
      </w:r>
      <w:r>
        <w:rPr>
          <w:color w:val="000000"/>
        </w:rPr>
        <w:t xml:space="preserve"> </w:t>
      </w:r>
      <w:r>
        <w:rPr>
          <w:rFonts w:ascii="Times New Roman;serif" w:hAnsi="Times New Roman;serif"/>
          <w:b w:val="false"/>
          <w:color w:val="000000"/>
          <w:sz w:val="24"/>
        </w:rPr>
        <w:t>Notes</w:t>
      </w:r>
      <w:r>
        <w:rPr>
          <w:color w:val="000000"/>
        </w:rPr>
        <w:t xml:space="preserve"> </w:t>
      </w:r>
      <w:r>
        <w:rPr>
          <w:rFonts w:ascii="Times New Roman;serif" w:hAnsi="Times New Roman;serif"/>
          <w:b w:val="false"/>
          <w:color w:val="000000"/>
          <w:sz w:val="24"/>
        </w:rPr>
        <w:t>may</w:t>
      </w:r>
      <w:r>
        <w:rPr>
          <w:color w:val="000000"/>
        </w:rPr>
        <w:t xml:space="preserve"> </w:t>
      </w:r>
      <w:r>
        <w:rPr>
          <w:rFonts w:ascii="Times New Roman;serif" w:hAnsi="Times New Roman;serif"/>
          <w:b w:val="false"/>
          <w:color w:val="000000"/>
          <w:sz w:val="24"/>
        </w:rPr>
        <w:t>from</w:t>
      </w:r>
      <w:r>
        <w:rPr>
          <w:color w:val="000000"/>
        </w:rPr>
        <w:t xml:space="preserve"> </w:t>
      </w:r>
      <w:r>
        <w:rPr>
          <w:rFonts w:ascii="Times New Roman;serif" w:hAnsi="Times New Roman;serif"/>
          <w:b w:val="false"/>
          <w:color w:val="000000"/>
          <w:sz w:val="24"/>
        </w:rPr>
        <w:t>time</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time</w:t>
      </w:r>
      <w:r>
        <w:rPr>
          <w:color w:val="000000"/>
        </w:rPr>
        <w:t xml:space="preserve"> </w:t>
      </w:r>
      <w:r>
        <w:rPr>
          <w:rFonts w:ascii="Times New Roman;serif" w:hAnsi="Times New Roman;serif"/>
          <w:b w:val="false"/>
          <w:color w:val="000000"/>
          <w:sz w:val="24"/>
        </w:rPr>
        <w:t>be</w:t>
      </w:r>
      <w:r>
        <w:rPr>
          <w:color w:val="000000"/>
        </w:rPr>
        <w:t xml:space="preserve"> </w:t>
      </w:r>
      <w:r>
        <w:rPr>
          <w:rFonts w:ascii="Times New Roman;serif" w:hAnsi="Times New Roman;serif"/>
          <w:b w:val="false"/>
          <w:color w:val="000000"/>
          <w:sz w:val="24"/>
        </w:rPr>
        <w:t>increased</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decreased</w:t>
      </w:r>
      <w:r>
        <w:rPr>
          <w:color w:val="000000"/>
        </w:rPr>
        <w:t xml:space="preserve"> </w:t>
      </w:r>
      <w:r>
        <w:rPr>
          <w:rFonts w:ascii="Times New Roman;serif" w:hAnsi="Times New Roman;serif"/>
          <w:b w:val="false"/>
          <w:color w:val="000000"/>
          <w:sz w:val="24"/>
        </w:rPr>
        <w:t>by</w:t>
      </w:r>
      <w:r>
        <w:rPr>
          <w:color w:val="000000"/>
        </w:rPr>
        <w:t xml:space="preserve"> </w:t>
      </w:r>
      <w:r>
        <w:rPr>
          <w:rFonts w:ascii="Times New Roman;serif" w:hAnsi="Times New Roman;serif"/>
          <w:b w:val="false"/>
          <w:color w:val="000000"/>
          <w:sz w:val="24"/>
        </w:rPr>
        <w:t>adjustments</w:t>
      </w:r>
      <w:r>
        <w:rPr>
          <w:color w:val="000000"/>
        </w:rPr>
        <w:t xml:space="preserve"> </w:t>
      </w:r>
      <w:r>
        <w:rPr>
          <w:rFonts w:ascii="Times New Roman;serif" w:hAnsi="Times New Roman;serif"/>
          <w:b w:val="false"/>
          <w:color w:val="000000"/>
          <w:sz w:val="24"/>
        </w:rPr>
        <w:t>made</w:t>
      </w:r>
      <w:r>
        <w:rPr>
          <w:color w:val="000000"/>
        </w:rPr>
        <w:t xml:space="preserve"> </w:t>
      </w:r>
      <w:r>
        <w:rPr>
          <w:rFonts w:ascii="Times New Roman;serif" w:hAnsi="Times New Roman;serif"/>
          <w:b w:val="false"/>
          <w:color w:val="000000"/>
          <w:sz w:val="24"/>
        </w:rPr>
        <w:t>on</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records</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Trustee</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Depository</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its</w:t>
      </w:r>
      <w:r>
        <w:rPr>
          <w:color w:val="000000"/>
        </w:rPr>
        <w:t xml:space="preserve"> </w:t>
      </w:r>
      <w:r>
        <w:rPr>
          <w:rFonts w:ascii="Times New Roman;serif" w:hAnsi="Times New Roman;serif"/>
          <w:b w:val="false"/>
          <w:color w:val="000000"/>
          <w:sz w:val="24"/>
        </w:rPr>
        <w:t>nominee, as the case may be, in connection with transfers of interests as hereinafter provided.</w:t>
      </w:r>
    </w:p>
    <w:p>
      <w:pPr>
        <w:pStyle w:val="TextBody"/>
        <w:bidi w:val="0"/>
        <w:spacing w:lineRule="auto" w:line="240" w:before="0" w:after="240"/>
        <w:ind w:left="0" w:right="0" w:firstLine="720"/>
        <w:jc w:val="both"/>
        <w:rPr/>
      </w:pPr>
      <w:r>
        <w:rPr>
          <w:rFonts w:ascii="Times New Roman;serif" w:hAnsi="Times New Roman;serif"/>
          <w:b w:val="false"/>
          <w:color w:val="000000"/>
          <w:sz w:val="24"/>
        </w:rPr>
        <w:t>(c)</w:t>
      </w:r>
      <w:r>
        <w:rPr>
          <w:rFonts w:ascii="Times New Roman;serif" w:hAnsi="Times New Roman;serif"/>
          <w:b w:val="false"/>
          <w:i/>
          <w:color w:val="000000"/>
          <w:sz w:val="24"/>
        </w:rPr>
        <w:t>Book-Entry</w:t>
      </w:r>
      <w:r>
        <w:rPr>
          <w:color w:val="000000"/>
        </w:rPr>
        <w:t xml:space="preserve"> </w:t>
      </w:r>
      <w:r>
        <w:rPr>
          <w:rFonts w:ascii="Times New Roman;serif" w:hAnsi="Times New Roman;serif"/>
          <w:b w:val="false"/>
          <w:i/>
          <w:color w:val="000000"/>
          <w:sz w:val="24"/>
        </w:rPr>
        <w:t>Provisions</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Ownership</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beneficial</w:t>
      </w:r>
      <w:r>
        <w:rPr>
          <w:color w:val="000000"/>
        </w:rPr>
        <w:t xml:space="preserve"> </w:t>
      </w:r>
      <w:r>
        <w:rPr>
          <w:rFonts w:ascii="Times New Roman;serif" w:hAnsi="Times New Roman;serif"/>
          <w:b w:val="false"/>
          <w:color w:val="000000"/>
          <w:sz w:val="24"/>
        </w:rPr>
        <w:t>interests</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Global</w:t>
      </w:r>
      <w:r>
        <w:rPr>
          <w:color w:val="000000"/>
        </w:rPr>
        <w:t xml:space="preserve"> </w:t>
      </w:r>
      <w:r>
        <w:rPr>
          <w:rFonts w:ascii="Times New Roman;serif" w:hAnsi="Times New Roman;serif"/>
          <w:b w:val="false"/>
          <w:color w:val="000000"/>
          <w:sz w:val="24"/>
        </w:rPr>
        <w:t>Notes</w:t>
      </w:r>
      <w:r>
        <w:rPr>
          <w:color w:val="000000"/>
        </w:rPr>
        <w:t xml:space="preserve"> </w:t>
      </w:r>
      <w:r>
        <w:rPr>
          <w:rFonts w:ascii="Times New Roman;serif" w:hAnsi="Times New Roman;serif"/>
          <w:b w:val="false"/>
          <w:color w:val="000000"/>
          <w:sz w:val="24"/>
        </w:rPr>
        <w:t>shall</w:t>
      </w:r>
      <w:r>
        <w:rPr>
          <w:color w:val="000000"/>
        </w:rPr>
        <w:t xml:space="preserve"> </w:t>
      </w:r>
      <w:r>
        <w:rPr>
          <w:rFonts w:ascii="Times New Roman;serif" w:hAnsi="Times New Roman;serif"/>
          <w:b w:val="false"/>
          <w:color w:val="000000"/>
          <w:sz w:val="24"/>
        </w:rPr>
        <w:t>be</w:t>
      </w:r>
      <w:r>
        <w:rPr>
          <w:color w:val="000000"/>
        </w:rPr>
        <w:t xml:space="preserve"> </w:t>
      </w:r>
      <w:r>
        <w:rPr>
          <w:rFonts w:ascii="Times New Roman;serif" w:hAnsi="Times New Roman;serif"/>
          <w:b w:val="false"/>
          <w:color w:val="000000"/>
          <w:sz w:val="24"/>
        </w:rPr>
        <w:t>limited</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persons</w:t>
      </w:r>
      <w:r>
        <w:rPr>
          <w:color w:val="000000"/>
        </w:rPr>
        <w:t xml:space="preserve"> </w:t>
      </w:r>
      <w:r>
        <w:rPr>
          <w:rFonts w:ascii="Times New Roman;serif" w:hAnsi="Times New Roman;serif"/>
          <w:b w:val="false"/>
          <w:color w:val="000000"/>
          <w:sz w:val="24"/>
        </w:rPr>
        <w:t>that</w:t>
      </w:r>
      <w:r>
        <w:rPr>
          <w:color w:val="000000"/>
        </w:rPr>
        <w:t xml:space="preserve"> </w:t>
      </w:r>
      <w:r>
        <w:rPr>
          <w:rFonts w:ascii="Times New Roman;serif" w:hAnsi="Times New Roman;serif"/>
          <w:b w:val="false"/>
          <w:color w:val="000000"/>
          <w:sz w:val="24"/>
        </w:rPr>
        <w:t>have</w:t>
      </w:r>
      <w:r>
        <w:rPr>
          <w:color w:val="000000"/>
        </w:rPr>
        <w:t xml:space="preserve"> </w:t>
      </w:r>
      <w:r>
        <w:rPr>
          <w:rFonts w:ascii="Times New Roman;serif" w:hAnsi="Times New Roman;serif"/>
          <w:b w:val="false"/>
          <w:color w:val="000000"/>
          <w:sz w:val="24"/>
        </w:rPr>
        <w:t>accounts</w:t>
      </w:r>
      <w:r>
        <w:rPr>
          <w:color w:val="000000"/>
        </w:rPr>
        <w:t xml:space="preserve"> </w:t>
      </w:r>
      <w:r>
        <w:rPr>
          <w:rFonts w:ascii="Times New Roman;serif" w:hAnsi="Times New Roman;serif"/>
          <w:b w:val="false"/>
          <w:color w:val="000000"/>
          <w:sz w:val="24"/>
        </w:rPr>
        <w:t>with</w:t>
      </w:r>
      <w:r>
        <w:rPr>
          <w:color w:val="000000"/>
        </w:rPr>
        <w:t xml:space="preserve"> </w:t>
      </w:r>
      <w:r>
        <w:rPr>
          <w:rFonts w:ascii="Times New Roman;serif" w:hAnsi="Times New Roman;serif"/>
          <w:b w:val="false"/>
          <w:color w:val="000000"/>
          <w:sz w:val="24"/>
        </w:rPr>
        <w:t>DTC</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persons that may hold interests through such participants, including through Euroclear and Clearstream. Ownership of beneficial interests in the Global</w:t>
      </w:r>
      <w:r>
        <w:rPr>
          <w:color w:val="000000"/>
        </w:rPr>
        <w:t xml:space="preserve"> </w:t>
      </w:r>
      <w:r>
        <w:rPr>
          <w:rFonts w:ascii="Times New Roman;serif" w:hAnsi="Times New Roman;serif"/>
          <w:b w:val="false"/>
          <w:color w:val="000000"/>
          <w:sz w:val="24"/>
        </w:rPr>
        <w:t>Notes and transfers thereof shall be subject to restrictions on transfer and certification requirements as set forth herein. Participants and Indirect</w:t>
      </w:r>
      <w:r>
        <w:rPr>
          <w:color w:val="000000"/>
        </w:rPr>
        <w:t xml:space="preserve"> </w:t>
      </w:r>
      <w:r>
        <w:rPr>
          <w:rFonts w:ascii="Times New Roman;serif" w:hAnsi="Times New Roman;serif"/>
          <w:b w:val="false"/>
          <w:color w:val="000000"/>
          <w:sz w:val="24"/>
        </w:rPr>
        <w:t>Participants shall have no rights under this Indenture or any Global Note with respect to any Global Note held on their behalf by the Depository or by the</w:t>
      </w:r>
      <w:r>
        <w:rPr>
          <w:color w:val="000000"/>
        </w:rPr>
        <w:t xml:space="preserve"> </w:t>
      </w:r>
      <w:r>
        <w:rPr>
          <w:rFonts w:ascii="Times New Roman;serif" w:hAnsi="Times New Roman;serif"/>
          <w:b w:val="false"/>
          <w:color w:val="000000"/>
          <w:sz w:val="24"/>
        </w:rPr>
        <w:t>Trustee</w:t>
      </w:r>
      <w:r>
        <w:rPr>
          <w:color w:val="000000"/>
        </w:rPr>
        <w:t xml:space="preserve"> </w:t>
      </w:r>
      <w:r>
        <w:rPr>
          <w:rFonts w:ascii="Times New Roman;serif" w:hAnsi="Times New Roman;serif"/>
          <w:b w:val="false"/>
          <w:color w:val="000000"/>
          <w:sz w:val="24"/>
        </w:rPr>
        <w:t>as</w:t>
      </w:r>
      <w:r>
        <w:rPr>
          <w:color w:val="000000"/>
        </w:rPr>
        <w:t xml:space="preserve"> </w:t>
      </w:r>
      <w:r>
        <w:rPr>
          <w:rFonts w:ascii="Times New Roman;serif" w:hAnsi="Times New Roman;serif"/>
          <w:b w:val="false"/>
          <w:color w:val="000000"/>
          <w:sz w:val="24"/>
        </w:rPr>
        <w:t>custodian</w:t>
      </w:r>
      <w:r>
        <w:rPr>
          <w:color w:val="000000"/>
        </w:rPr>
        <w:t xml:space="preserve"> </w:t>
      </w:r>
      <w:r>
        <w:rPr>
          <w:rFonts w:ascii="Times New Roman;serif" w:hAnsi="Times New Roman;serif"/>
          <w:b w:val="false"/>
          <w:color w:val="000000"/>
          <w:sz w:val="24"/>
        </w:rPr>
        <w:t>for</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Depository,</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Depository</w:t>
      </w:r>
      <w:r>
        <w:rPr>
          <w:color w:val="000000"/>
        </w:rPr>
        <w:t xml:space="preserve"> </w:t>
      </w:r>
      <w:r>
        <w:rPr>
          <w:rFonts w:ascii="Times New Roman;serif" w:hAnsi="Times New Roman;serif"/>
          <w:b w:val="false"/>
          <w:color w:val="000000"/>
          <w:sz w:val="24"/>
        </w:rPr>
        <w:t>shall</w:t>
      </w:r>
      <w:r>
        <w:rPr>
          <w:color w:val="000000"/>
        </w:rPr>
        <w:t xml:space="preserve"> </w:t>
      </w:r>
      <w:r>
        <w:rPr>
          <w:rFonts w:ascii="Times New Roman;serif" w:hAnsi="Times New Roman;serif"/>
          <w:b w:val="false"/>
          <w:color w:val="000000"/>
          <w:sz w:val="24"/>
        </w:rPr>
        <w:t>be</w:t>
      </w:r>
      <w:r>
        <w:rPr>
          <w:color w:val="000000"/>
        </w:rPr>
        <w:t xml:space="preserve"> </w:t>
      </w:r>
      <w:r>
        <w:rPr>
          <w:rFonts w:ascii="Times New Roman;serif" w:hAnsi="Times New Roman;serif"/>
          <w:b w:val="false"/>
          <w:color w:val="000000"/>
          <w:sz w:val="24"/>
        </w:rPr>
        <w:t>treated</w:t>
      </w:r>
      <w:r>
        <w:rPr>
          <w:color w:val="000000"/>
        </w:rPr>
        <w:t xml:space="preserve"> </w:t>
      </w:r>
      <w:r>
        <w:rPr>
          <w:rFonts w:ascii="Times New Roman;serif" w:hAnsi="Times New Roman;serif"/>
          <w:b w:val="false"/>
          <w:color w:val="000000"/>
          <w:sz w:val="24"/>
        </w:rPr>
        <w:t>by</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Issuer,</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Trustee</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agent</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Issuer</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Trustee</w:t>
      </w:r>
      <w:r>
        <w:rPr>
          <w:color w:val="000000"/>
        </w:rPr>
        <w:t xml:space="preserve"> </w:t>
      </w:r>
      <w:r>
        <w:rPr>
          <w:rFonts w:ascii="Times New Roman;serif" w:hAnsi="Times New Roman;serif"/>
          <w:b w:val="false"/>
          <w:color w:val="000000"/>
          <w:sz w:val="24"/>
        </w:rPr>
        <w:t>as the absolute owner of such Global Note for all purposes whatsoever. Notwithstanding the foregoing, nothing herein shall prevent the Issuer, the</w:t>
      </w:r>
      <w:r>
        <w:rPr>
          <w:color w:val="000000"/>
        </w:rPr>
        <w:t xml:space="preserve"> </w:t>
      </w:r>
      <w:r>
        <w:rPr>
          <w:rFonts w:ascii="Times New Roman;serif" w:hAnsi="Times New Roman;serif"/>
          <w:b w:val="false"/>
          <w:color w:val="000000"/>
          <w:sz w:val="24"/>
        </w:rPr>
        <w:t>Trustee or any agent of the Issuer or the Trustee from giving effect to any written certification, proxy or other authorization furnished by the</w:t>
      </w:r>
      <w:r>
        <w:rPr>
          <w:color w:val="000000"/>
        </w:rPr>
        <w:t xml:space="preserve"> </w:t>
      </w:r>
      <w:r>
        <w:rPr>
          <w:rFonts w:ascii="Times New Roman;serif" w:hAnsi="Times New Roman;serif"/>
          <w:b w:val="false"/>
          <w:color w:val="000000"/>
          <w:sz w:val="24"/>
        </w:rPr>
        <w:t>Depository or impair, as between the Depository and its Participants or Indirect Participants, the Applicable Procedures or the operation of customary</w:t>
      </w:r>
      <w:r>
        <w:rPr>
          <w:color w:val="000000"/>
        </w:rPr>
        <w:t xml:space="preserve"> </w:t>
      </w:r>
      <w:r>
        <w:rPr>
          <w:rFonts w:ascii="Times New Roman;serif" w:hAnsi="Times New Roman;serif"/>
          <w:b w:val="false"/>
          <w:color w:val="000000"/>
          <w:sz w:val="24"/>
        </w:rPr>
        <w:t>practices of the Depository governing the exercise of the rights of a holder of a beneficial interest in any Global Note.</w:t>
      </w:r>
    </w:p>
    <w:p>
      <w:pPr>
        <w:pStyle w:val="TextBody"/>
        <w:bidi w:val="0"/>
        <w:spacing w:lineRule="auto" w:line="240" w:before="0" w:after="240"/>
        <w:ind w:left="0" w:right="0" w:firstLine="720"/>
        <w:jc w:val="both"/>
        <w:rPr/>
      </w:pPr>
      <w:r>
        <w:rPr>
          <w:rFonts w:ascii="Times New Roman;serif" w:hAnsi="Times New Roman;serif"/>
          <w:b w:val="false"/>
          <w:color w:val="000000"/>
          <w:sz w:val="24"/>
        </w:rPr>
        <w:t>(d)</w:t>
      </w:r>
      <w:r>
        <w:rPr>
          <w:rFonts w:ascii="Times New Roman;serif" w:hAnsi="Times New Roman;serif"/>
          <w:b w:val="false"/>
          <w:i/>
          <w:color w:val="000000"/>
          <w:sz w:val="24"/>
        </w:rPr>
        <w:t>DTC, Euroclear and Clearstream Procedures Applicable</w:t>
      </w:r>
      <w:r>
        <w:rPr>
          <w:rFonts w:ascii="Times New Roman;serif" w:hAnsi="Times New Roman;serif"/>
          <w:b w:val="false"/>
          <w:color w:val="000000"/>
          <w:sz w:val="24"/>
        </w:rPr>
        <w:t>. Transfers of beneficial interests in the Global Notes between participants in DTC,</w:t>
      </w:r>
      <w:r>
        <w:rPr>
          <w:color w:val="000000"/>
        </w:rPr>
        <w:t xml:space="preserve"> </w:t>
      </w:r>
      <w:r>
        <w:rPr>
          <w:rFonts w:ascii="Times New Roman;serif" w:hAnsi="Times New Roman;serif"/>
          <w:b w:val="false"/>
          <w:color w:val="000000"/>
          <w:sz w:val="24"/>
        </w:rPr>
        <w:t>participants in Euroclear or participants in Clearstream shall be effected by DTC, Euroclear or Clearstream pursuant to customary procedures and subject</w:t>
      </w:r>
      <w:r>
        <w:rPr>
          <w:color w:val="000000"/>
        </w:rPr>
        <w:t xml:space="preserve"> </w:t>
      </w:r>
      <w:r>
        <w:rPr>
          <w:rFonts w:ascii="Times New Roman;serif" w:hAnsi="Times New Roman;serif"/>
          <w:b w:val="false"/>
          <w:color w:val="000000"/>
          <w:sz w:val="24"/>
        </w:rPr>
        <w:t>to the applicable rules and procedures established by DTC, Euroclear or Clearstream and their respective participants.</w:t>
      </w:r>
    </w:p>
    <w:p>
      <w:pPr>
        <w:pStyle w:val="TextBody"/>
        <w:bidi w:val="0"/>
        <w:spacing w:lineRule="auto" w:line="240" w:before="0" w:after="240"/>
        <w:jc w:val="left"/>
        <w:rPr/>
      </w:pPr>
      <w:r>
        <w:rPr>
          <w:rFonts w:ascii="Times New Roman;serif" w:hAnsi="Times New Roman;serif"/>
          <w:b w:val="false"/>
          <w:color w:val="000000"/>
          <w:sz w:val="24"/>
        </w:rPr>
        <w:t>Section 2.02</w:t>
      </w:r>
      <w:r>
        <w:rPr>
          <w:rFonts w:ascii="Times New Roman;serif" w:hAnsi="Times New Roman;serif"/>
          <w:b w:val="false"/>
          <w:color w:val="000000"/>
          <w:sz w:val="24"/>
          <w:u w:val="single"/>
        </w:rPr>
        <w:t>Execution and Authentication</w:t>
      </w:r>
      <w:r>
        <w:rPr>
          <w:rFonts w:ascii="Times New Roman;serif" w:hAnsi="Times New Roman;serif"/>
          <w:b w:val="false"/>
          <w:color w:val="000000"/>
          <w:sz w:val="24"/>
        </w:rPr>
        <w:t xml:space="preserve">. </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One Officer must sign the Notes for the Issuer by manual, facsimile or .pdf signature.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If an Officer whose signature is on a Note no longer holds that office at the time a Note is authenticated, the Note will nevertheless be valid.</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 Note will not be valid until authenticated by the manual signature of the Trustee. The signature will be conclusive evidence that the Note has been authenticated under this Indenture. A Note shall be dated the date of its authentication.</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The Trustee shall, upon receipt of an Issuer Order, authenticate Notes for original issue under this Indenture. The aggregate principal amount of Notes outstanding at any time may not exceed the aggregate principal amount of Notes authorized for issuance by the Issuer pursuant to one or more Issuer Orders, except as provided in </w:t>
      </w:r>
      <w:r>
        <w:rPr>
          <w:rFonts w:ascii="Times New Roman;serif" w:hAnsi="Times New Roman;serif"/>
          <w:b w:val="false"/>
          <w:color w:val="000000"/>
          <w:sz w:val="24"/>
          <w:u w:val="single"/>
        </w:rPr>
        <w:t>Section 2.07</w:t>
      </w:r>
      <w:r>
        <w:rPr>
          <w:color w:val="000000"/>
        </w:rPr>
        <w:t xml:space="preserve"> </w:t>
      </w:r>
      <w:r>
        <w:rPr>
          <w:rFonts w:ascii="Times New Roman;serif" w:hAnsi="Times New Roman;serif"/>
          <w:b w:val="false"/>
          <w:color w:val="000000"/>
          <w:sz w:val="24"/>
        </w:rPr>
        <w:t>hereof.</w:t>
      </w:r>
    </w:p>
    <w:p>
      <w:pPr>
        <w:pStyle w:val="TextBody"/>
        <w:bidi w:val="0"/>
        <w:spacing w:before="0" w:after="0"/>
        <w:jc w:val="left"/>
        <w:rPr/>
      </w:pPr>
      <w:r>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6480175" cy="768985"/>
                <wp:effectExtent l="0" t="0" r="0" b="0"/>
                <wp:wrapNone/>
                <wp:docPr id="203" name="Frame203"/>
                <a:graphic xmlns:a="http://schemas.openxmlformats.org/drawingml/2006/main">
                  <a:graphicData uri="http://schemas.microsoft.com/office/word/2010/wordprocessingShape">
                    <wps:wsp>
                      <wps:cNvSpPr txBox="1"/>
                      <wps:spPr>
                        <a:xfrm>
                          <a:off x="0" y="0"/>
                          <a:ext cx="6480175" cy="7689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30</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0.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30</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Trustee shall not be required to authenticate such Notes if the issue thereof will adversely affect the Trustee’s own rights, duties or immunities under the Notes and this Indenture or otherwise in a manner which is not reasonably acceptable to the Trustee.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Trustee may appoint an authenticating agent acceptable to the Issuer to authenticate Notes. An authenticating agent may authenticate Notes whenever the Trustee may do so. Each reference in this Indenture to authentication by the Trustee includes authentication by such agent. An authenticating agent has the same rights as an Agent to deal with Holders, the Issuer or an Affiliate of the Issuer.</w:t>
      </w:r>
    </w:p>
    <w:p>
      <w:pPr>
        <w:pStyle w:val="TextBody"/>
        <w:bidi w:val="0"/>
        <w:spacing w:lineRule="auto" w:line="240" w:before="0" w:after="240"/>
        <w:jc w:val="left"/>
        <w:rPr/>
      </w:pPr>
      <w:r>
        <w:rPr>
          <w:rFonts w:ascii="Times New Roman;serif" w:hAnsi="Times New Roman;serif"/>
          <w:b w:val="false"/>
          <w:color w:val="000000"/>
          <w:sz w:val="24"/>
        </w:rPr>
        <w:t>Section 2.03</w:t>
      </w:r>
      <w:r>
        <w:rPr>
          <w:rFonts w:ascii="Times New Roman;serif" w:hAnsi="Times New Roman;serif"/>
          <w:b w:val="false"/>
          <w:color w:val="000000"/>
          <w:sz w:val="24"/>
          <w:u w:val="single"/>
        </w:rPr>
        <w:t>Registrar and Paying Agent</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rPr>
        <w:t>The Issuer will maintain a Registrar and a Paying Agent with respect to the Notes issued pursuant to this Indenture. The Registrar will keep a register of the Holders and the Notes and of their transfer and exchange. The Issuer may appoint one or more co-registrars and one or more additional Paying Agents and may change any Paying Agent or Registrar without notice to any Holder. The Issuer will notify the Trustee in writing of the name and address of any Agent not a party to this Indenture. The Issuer or any of the Issuer’s Subsidiaries may act as Paying Agent or Registrar.</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rPr>
        <w:t>The Issuer initially appoints DTC to act as Depository with respect to the Global Notes.</w:t>
      </w:r>
    </w:p>
    <w:p>
      <w:pPr>
        <w:pStyle w:val="TextBody"/>
        <w:bidi w:val="0"/>
        <w:spacing w:lineRule="auto" w:line="240" w:before="0" w:after="240"/>
        <w:ind w:left="0" w:right="0" w:firstLine="720"/>
        <w:jc w:val="both"/>
        <w:rPr/>
      </w:pPr>
      <w:r>
        <w:rPr>
          <w:rFonts w:ascii="Times New Roman;serif" w:hAnsi="Times New Roman;serif"/>
          <w:b w:val="false"/>
          <w:color w:val="000000"/>
          <w:sz w:val="24"/>
        </w:rPr>
        <w:t>(c)</w:t>
      </w:r>
      <w:r>
        <w:rPr>
          <w:rFonts w:ascii="Times New Roman;serif" w:hAnsi="Times New Roman;serif"/>
          <w:b w:val="false"/>
          <w:color w:val="000000"/>
          <w:sz w:val="24"/>
        </w:rPr>
        <w:t>The Issuer initially appoints the Trustee to act as the Registrar and Paying Agent with respect to the Global Notes.</w:t>
      </w:r>
    </w:p>
    <w:p>
      <w:pPr>
        <w:pStyle w:val="TextBody"/>
        <w:bidi w:val="0"/>
        <w:spacing w:lineRule="auto" w:line="240" w:before="0" w:after="240"/>
        <w:jc w:val="left"/>
        <w:rPr/>
      </w:pPr>
      <w:r>
        <w:rPr>
          <w:rFonts w:ascii="Times New Roman;serif" w:hAnsi="Times New Roman;serif"/>
          <w:b w:val="false"/>
          <w:color w:val="000000"/>
          <w:sz w:val="24"/>
        </w:rPr>
        <w:t>Section 2.04</w:t>
      </w:r>
      <w:r>
        <w:rPr>
          <w:rFonts w:ascii="Times New Roman;serif" w:hAnsi="Times New Roman;serif"/>
          <w:b w:val="false"/>
          <w:color w:val="000000"/>
          <w:sz w:val="24"/>
          <w:u w:val="single"/>
        </w:rPr>
        <w:t>Paying Agent to Hold Money in Trust</w:t>
      </w:r>
      <w:r>
        <w:rPr>
          <w:rFonts w:ascii="Times New Roman;serif" w:hAnsi="Times New Roman;serif"/>
          <w:b w:val="false"/>
          <w:color w:val="000000"/>
          <w:sz w:val="24"/>
        </w:rPr>
        <w: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Issuer will require each Paying Agent other than the Trustee to agree in writing that the Paying Agent (i) will hold in trust for the benefit of Holders or the Trustee all money held by the Paying Agent for the payment of principal, premium or interest on such Notes and (ii) will notify the Trustee in writing of any default by the Issuer in making any such payment. While any such default continues, the Trustee may require a Paying Agent to pay all money held by it to the Trustee. The Issuer at any time may require a Paying Agent to pay all money held by it to the Trustee. Upon payment over to the Trustee, the Paying Agent (if other than the Issuer or a Subsidiary of the Issuer) will have no further liability for the money. If the Issuer or a Subsidiary of the Issuer acts as Paying Agent, it will segregate and hold in a separate trust fund for the benefit of the Holders all money held by it as Paying Agent. Upon any bankruptcy or reorganization proceedings relating to the Issuer, the Trustee will serve as Paying Agent for the Notes. For the avoidance of doubt, the Paying Agent shall be held harmless and have no liability with respect to payments or disbursements to be made by the Paying Agent until the Paying Agent has confirmed receipt of funds sufficient to make such relevant payment.</w:t>
      </w:r>
    </w:p>
    <w:p>
      <w:pPr>
        <w:pStyle w:val="TextBody"/>
        <w:bidi w:val="0"/>
        <w:spacing w:lineRule="auto" w:line="240" w:before="0" w:after="240"/>
        <w:jc w:val="left"/>
        <w:rPr/>
      </w:pPr>
      <w:r>
        <w:rPr>
          <w:rFonts w:ascii="Times New Roman;serif" w:hAnsi="Times New Roman;serif"/>
          <w:b w:val="false"/>
          <w:color w:val="000000"/>
          <w:sz w:val="24"/>
        </w:rPr>
        <w:t>Section 2.05</w:t>
      </w:r>
      <w:r>
        <w:rPr>
          <w:rFonts w:ascii="Times New Roman;serif" w:hAnsi="Times New Roman;serif"/>
          <w:b w:val="false"/>
          <w:color w:val="000000"/>
          <w:sz w:val="24"/>
          <w:u w:val="single"/>
        </w:rPr>
        <w:t>Holder Lists</w:t>
      </w:r>
      <w:r>
        <w:rPr>
          <w:rFonts w:ascii="Times New Roman;serif" w:hAnsi="Times New Roman;serif"/>
          <w:b w:val="false"/>
          <w:color w:val="000000"/>
          <w:sz w:val="24"/>
        </w:rPr>
        <w: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The Trustee shall preserve in as current a form as is reasonably practicable the most recent list available to it of the names and addresses of all Holders. If the Trustee is not the Registrar, the Issuer shall furnish to the Trustee at least seven Business Days before each interest </w:t>
      </w:r>
    </w:p>
    <w:p>
      <w:pPr>
        <w:pStyle w:val="TextBody"/>
        <w:bidi w:val="0"/>
        <w:spacing w:before="0" w:after="0"/>
        <w:jc w:val="left"/>
        <w:rPr/>
      </w:pPr>
      <w:r>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6480175" cy="768985"/>
                <wp:effectExtent l="0" t="0" r="0" b="0"/>
                <wp:wrapNone/>
                <wp:docPr id="204" name="Frame204"/>
                <a:graphic xmlns:a="http://schemas.openxmlformats.org/drawingml/2006/main">
                  <a:graphicData uri="http://schemas.microsoft.com/office/word/2010/wordprocessingShape">
                    <wps:wsp>
                      <wps:cNvSpPr txBox="1"/>
                      <wps:spPr>
                        <a:xfrm>
                          <a:off x="0" y="0"/>
                          <a:ext cx="6480175" cy="7689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31</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0.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31</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payment date and at such other times as the Trustee may request in writing, a list in such form and as of such date as the Trustee may reasonably require of the names and addresses of the Holders.</w:t>
      </w:r>
    </w:p>
    <w:p>
      <w:pPr>
        <w:pStyle w:val="TextBody"/>
        <w:bidi w:val="0"/>
        <w:spacing w:lineRule="auto" w:line="240" w:before="0" w:after="240"/>
        <w:jc w:val="left"/>
        <w:rPr/>
      </w:pPr>
      <w:r>
        <w:rPr>
          <w:rFonts w:ascii="Times New Roman;serif" w:hAnsi="Times New Roman;serif"/>
          <w:b w:val="false"/>
          <w:color w:val="000000"/>
          <w:sz w:val="24"/>
        </w:rPr>
        <w:t>Section 2.06</w:t>
      </w:r>
      <w:r>
        <w:rPr>
          <w:rFonts w:ascii="Times New Roman;serif" w:hAnsi="Times New Roman;serif"/>
          <w:b w:val="false"/>
          <w:color w:val="000000"/>
          <w:sz w:val="24"/>
          <w:u w:val="single"/>
        </w:rPr>
        <w:t>Transfer and Exchange</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i/>
          <w:color w:val="000000"/>
          <w:sz w:val="24"/>
        </w:rPr>
        <w:t>Transfer and Exchange of Global Notes</w:t>
      </w:r>
      <w:r>
        <w:rPr>
          <w:rFonts w:ascii="Times New Roman;serif" w:hAnsi="Times New Roman;serif"/>
          <w:b w:val="false"/>
          <w:color w:val="000000"/>
          <w:sz w:val="24"/>
        </w:rPr>
        <w:t>. A Global Note may not be transferred as a whole except by the Depository to a nominee of the Depository, by a nominee of the Depository to the Depository or to another nominee of the Depository, or by the Depository or any such nominee to a successor Depository or a nominee of such successor Depository. The Issuer shall exchange Global Notes for Definitive Notes if at any time:</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(1)the Issuer delivers to the Trustee notice from the Depository that it is unwilling or unable to continue to act as Depository or that it is no longer a clearing agency registered under the Exchange Act and, in either case, a successor Depository is not appointed by the Issuer within 90 days after the date of such notice from the Depository; or</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(2)upon the written request of a Holder if a Default or Event of Default shall have occurred and be continuing with respect to the Notes.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Upon the occurrence of any of the preceding events in (1) or (2) above, Definitive Notes shall be issued in such names and in any approved denominations as the Depository shall instruct the Trustee.</w:t>
      </w:r>
    </w:p>
    <w:p>
      <w:pPr>
        <w:pStyle w:val="TextBody"/>
        <w:bidi w:val="0"/>
        <w:spacing w:lineRule="auto" w:line="288" w:before="0" w:after="240"/>
        <w:ind w:left="0" w:right="0" w:firstLine="720"/>
        <w:jc w:val="both"/>
        <w:rPr/>
      </w:pP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no</w:t>
      </w:r>
      <w:r>
        <w:rPr>
          <w:color w:val="000000"/>
        </w:rPr>
        <w:t xml:space="preserve"> </w:t>
      </w:r>
      <w:r>
        <w:rPr>
          <w:rFonts w:ascii="Times New Roman;serif" w:hAnsi="Times New Roman;serif"/>
          <w:b w:val="false"/>
          <w:color w:val="000000"/>
          <w:sz w:val="24"/>
        </w:rPr>
        <w:t>event</w:t>
      </w:r>
      <w:r>
        <w:rPr>
          <w:color w:val="000000"/>
        </w:rPr>
        <w:t xml:space="preserve"> </w:t>
      </w:r>
      <w:r>
        <w:rPr>
          <w:rFonts w:ascii="Times New Roman;serif" w:hAnsi="Times New Roman;serif"/>
          <w:b w:val="false"/>
          <w:color w:val="000000"/>
          <w:sz w:val="24"/>
        </w:rPr>
        <w:t>shall</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Regulation</w:t>
      </w:r>
      <w:r>
        <w:rPr>
          <w:color w:val="000000"/>
        </w:rPr>
        <w:t xml:space="preserve"> </w:t>
      </w:r>
      <w:r>
        <w:rPr>
          <w:rFonts w:ascii="Times New Roman;serif" w:hAnsi="Times New Roman;serif"/>
          <w:b w:val="false"/>
          <w:color w:val="000000"/>
          <w:sz w:val="24"/>
        </w:rPr>
        <w:t>S</w:t>
      </w:r>
      <w:r>
        <w:rPr>
          <w:color w:val="000000"/>
        </w:rPr>
        <w:t xml:space="preserve"> </w:t>
      </w:r>
      <w:r>
        <w:rPr>
          <w:rFonts w:ascii="Times New Roman;serif" w:hAnsi="Times New Roman;serif"/>
          <w:b w:val="false"/>
          <w:color w:val="000000"/>
          <w:sz w:val="24"/>
        </w:rPr>
        <w:t>Temporary</w:t>
      </w:r>
      <w:r>
        <w:rPr>
          <w:color w:val="000000"/>
        </w:rPr>
        <w:t xml:space="preserve"> </w:t>
      </w:r>
      <w:r>
        <w:rPr>
          <w:rFonts w:ascii="Times New Roman;serif" w:hAnsi="Times New Roman;serif"/>
          <w:b w:val="false"/>
          <w:color w:val="000000"/>
          <w:sz w:val="24"/>
        </w:rPr>
        <w:t>Global</w:t>
      </w:r>
      <w:r>
        <w:rPr>
          <w:color w:val="000000"/>
        </w:rPr>
        <w:t xml:space="preserve"> </w:t>
      </w:r>
      <w:r>
        <w:rPr>
          <w:rFonts w:ascii="Times New Roman;serif" w:hAnsi="Times New Roman;serif"/>
          <w:b w:val="false"/>
          <w:color w:val="000000"/>
          <w:sz w:val="24"/>
        </w:rPr>
        <w:t>Note</w:t>
      </w:r>
      <w:r>
        <w:rPr>
          <w:color w:val="000000"/>
        </w:rPr>
        <w:t xml:space="preserve"> </w:t>
      </w:r>
      <w:r>
        <w:rPr>
          <w:rFonts w:ascii="Times New Roman;serif" w:hAnsi="Times New Roman;serif"/>
          <w:b w:val="false"/>
          <w:color w:val="000000"/>
          <w:sz w:val="24"/>
        </w:rPr>
        <w:t>be</w:t>
      </w:r>
      <w:r>
        <w:rPr>
          <w:color w:val="000000"/>
        </w:rPr>
        <w:t xml:space="preserve"> </w:t>
      </w:r>
      <w:r>
        <w:rPr>
          <w:rFonts w:ascii="Times New Roman;serif" w:hAnsi="Times New Roman;serif"/>
          <w:b w:val="false"/>
          <w:color w:val="000000"/>
          <w:sz w:val="24"/>
        </w:rPr>
        <w:t>exchanged</w:t>
      </w:r>
      <w:r>
        <w:rPr>
          <w:color w:val="000000"/>
        </w:rPr>
        <w:t xml:space="preserve"> </w:t>
      </w:r>
      <w:r>
        <w:rPr>
          <w:rFonts w:ascii="Times New Roman;serif" w:hAnsi="Times New Roman;serif"/>
          <w:b w:val="false"/>
          <w:color w:val="000000"/>
          <w:sz w:val="24"/>
        </w:rPr>
        <w:t>by</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Issuer</w:t>
      </w:r>
      <w:r>
        <w:rPr>
          <w:color w:val="000000"/>
        </w:rPr>
        <w:t xml:space="preserve"> </w:t>
      </w:r>
      <w:r>
        <w:rPr>
          <w:rFonts w:ascii="Times New Roman;serif" w:hAnsi="Times New Roman;serif"/>
          <w:b w:val="false"/>
          <w:color w:val="000000"/>
          <w:sz w:val="24"/>
        </w:rPr>
        <w:t>for</w:t>
      </w:r>
      <w:r>
        <w:rPr>
          <w:color w:val="000000"/>
        </w:rPr>
        <w:t xml:space="preserve"> </w:t>
      </w:r>
      <w:r>
        <w:rPr>
          <w:rFonts w:ascii="Times New Roman;serif" w:hAnsi="Times New Roman;serif"/>
          <w:b w:val="false"/>
          <w:color w:val="000000"/>
          <w:sz w:val="24"/>
        </w:rPr>
        <w:t>Definitive</w:t>
      </w:r>
      <w:r>
        <w:rPr>
          <w:color w:val="000000"/>
        </w:rPr>
        <w:t xml:space="preserve"> </w:t>
      </w:r>
      <w:r>
        <w:rPr>
          <w:rFonts w:ascii="Times New Roman;serif" w:hAnsi="Times New Roman;serif"/>
          <w:b w:val="false"/>
          <w:color w:val="000000"/>
          <w:sz w:val="24"/>
        </w:rPr>
        <w:t>Notes</w:t>
      </w:r>
      <w:r>
        <w:rPr>
          <w:color w:val="000000"/>
        </w:rPr>
        <w:t xml:space="preserve"> </w:t>
      </w:r>
      <w:r>
        <w:rPr>
          <w:rFonts w:ascii="Times New Roman;serif" w:hAnsi="Times New Roman;serif"/>
          <w:b w:val="false"/>
          <w:color w:val="000000"/>
          <w:sz w:val="24"/>
        </w:rPr>
        <w:t>prior</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(x)</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expiration</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Distribution</w:t>
      </w:r>
      <w:r>
        <w:rPr>
          <w:color w:val="000000"/>
        </w:rPr>
        <w:t xml:space="preserve"> </w:t>
      </w:r>
      <w:r>
        <w:rPr>
          <w:rFonts w:ascii="Times New Roman;serif" w:hAnsi="Times New Roman;serif"/>
          <w:b w:val="false"/>
          <w:color w:val="000000"/>
          <w:sz w:val="24"/>
        </w:rPr>
        <w:t>Compliance</w:t>
      </w:r>
      <w:r>
        <w:rPr>
          <w:color w:val="000000"/>
        </w:rPr>
        <w:t xml:space="preserve"> </w:t>
      </w:r>
      <w:r>
        <w:rPr>
          <w:rFonts w:ascii="Times New Roman;serif" w:hAnsi="Times New Roman;serif"/>
          <w:b w:val="false"/>
          <w:color w:val="000000"/>
          <w:sz w:val="24"/>
        </w:rPr>
        <w:t>Period</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(y)</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receipt</w:t>
      </w:r>
      <w:r>
        <w:rPr>
          <w:color w:val="000000"/>
        </w:rPr>
        <w:t xml:space="preserve"> </w:t>
      </w:r>
      <w:r>
        <w:rPr>
          <w:rFonts w:ascii="Times New Roman;serif" w:hAnsi="Times New Roman;serif"/>
          <w:b w:val="false"/>
          <w:color w:val="000000"/>
          <w:sz w:val="24"/>
        </w:rPr>
        <w:t>by</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Registrar</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certificates</w:t>
      </w:r>
      <w:r>
        <w:rPr>
          <w:color w:val="000000"/>
        </w:rPr>
        <w:t xml:space="preserve"> </w:t>
      </w:r>
      <w:r>
        <w:rPr>
          <w:rFonts w:ascii="Times New Roman;serif" w:hAnsi="Times New Roman;serif"/>
          <w:b w:val="false"/>
          <w:color w:val="000000"/>
          <w:sz w:val="24"/>
        </w:rPr>
        <w:t>required</w:t>
      </w:r>
      <w:r>
        <w:rPr>
          <w:color w:val="000000"/>
        </w:rPr>
        <w:t xml:space="preserve"> </w:t>
      </w:r>
      <w:r>
        <w:rPr>
          <w:rFonts w:ascii="Times New Roman;serif" w:hAnsi="Times New Roman;serif"/>
          <w:b w:val="false"/>
          <w:color w:val="000000"/>
          <w:sz w:val="24"/>
        </w:rPr>
        <w:t>pursuant</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Rule</w:t>
      </w:r>
      <w:r>
        <w:rPr>
          <w:color w:val="000000"/>
        </w:rPr>
        <w:t xml:space="preserve"> </w:t>
      </w:r>
      <w:r>
        <w:rPr>
          <w:rFonts w:ascii="Times New Roman;serif" w:hAnsi="Times New Roman;serif"/>
          <w:b w:val="false"/>
          <w:color w:val="000000"/>
          <w:sz w:val="24"/>
        </w:rPr>
        <w:t>903(b)(3)(ii)(B)</w:t>
      </w:r>
      <w:r>
        <w:rPr>
          <w:color w:val="000000"/>
        </w:rPr>
        <w:t xml:space="preserve"> </w:t>
      </w:r>
      <w:r>
        <w:rPr>
          <w:rFonts w:ascii="Times New Roman;serif" w:hAnsi="Times New Roman;serif"/>
          <w:b w:val="false"/>
          <w:color w:val="000000"/>
          <w:sz w:val="24"/>
        </w:rPr>
        <w:t>under</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Securities</w:t>
      </w:r>
      <w:r>
        <w:rPr>
          <w:color w:val="000000"/>
        </w:rPr>
        <w:t xml:space="preserve"> </w:t>
      </w:r>
      <w:r>
        <w:rPr>
          <w:rFonts w:ascii="Times New Roman;serif" w:hAnsi="Times New Roman;serif"/>
          <w:b w:val="false"/>
          <w:color w:val="000000"/>
          <w:sz w:val="24"/>
        </w:rPr>
        <w:t>Act.</w:t>
      </w:r>
    </w:p>
    <w:p>
      <w:pPr>
        <w:pStyle w:val="TextBody"/>
        <w:bidi w:val="0"/>
        <w:spacing w:lineRule="auto" w:line="288" w:before="0" w:after="240"/>
        <w:ind w:left="0" w:right="0" w:firstLine="720"/>
        <w:jc w:val="both"/>
        <w:rPr/>
      </w:pPr>
      <w:r>
        <w:rPr>
          <w:rFonts w:ascii="Times New Roman;serif" w:hAnsi="Times New Roman;serif"/>
          <w:b w:val="false"/>
          <w:color w:val="000000"/>
          <w:sz w:val="24"/>
        </w:rPr>
        <w:t>Upon the exchange of a Global Note for Definitive Notes, such Global Note shall, upon receipt of an Issuer Order, be cancelled by the</w:t>
      </w:r>
      <w:r>
        <w:rPr>
          <w:color w:val="000000"/>
        </w:rPr>
        <w:t xml:space="preserve"> </w:t>
      </w:r>
      <w:r>
        <w:rPr>
          <w:rFonts w:ascii="Times New Roman;serif" w:hAnsi="Times New Roman;serif"/>
          <w:b w:val="false"/>
          <w:color w:val="000000"/>
          <w:sz w:val="24"/>
        </w:rPr>
        <w:t xml:space="preserve">Trustee. Definitive Notes issued in exchange for a Global Note pursuant to this </w:t>
      </w:r>
      <w:r>
        <w:rPr>
          <w:rFonts w:ascii="Times New Roman;serif" w:hAnsi="Times New Roman;serif"/>
          <w:b w:val="false"/>
          <w:color w:val="000000"/>
          <w:sz w:val="24"/>
          <w:u w:val="single"/>
        </w:rPr>
        <w:t>Section 2.06</w:t>
      </w:r>
      <w:r>
        <w:rPr>
          <w:color w:val="000000"/>
        </w:rPr>
        <w:t xml:space="preserve"> </w:t>
      </w:r>
      <w:r>
        <w:rPr>
          <w:rFonts w:ascii="Times New Roman;serif" w:hAnsi="Times New Roman;serif"/>
          <w:b w:val="false"/>
          <w:color w:val="000000"/>
          <w:sz w:val="24"/>
        </w:rPr>
        <w:t>shall be registered in such names and in such authorized</w:t>
      </w:r>
      <w:r>
        <w:rPr>
          <w:color w:val="000000"/>
        </w:rPr>
        <w:t xml:space="preserve"> </w:t>
      </w:r>
      <w:r>
        <w:rPr>
          <w:rFonts w:ascii="Times New Roman;serif" w:hAnsi="Times New Roman;serif"/>
          <w:b w:val="false"/>
          <w:color w:val="000000"/>
          <w:sz w:val="24"/>
        </w:rPr>
        <w:t>denominations as the Depository, pursuant to written instructions from its Participants or its Applicable Procedures, shall instruct the Trustee in writing.</w:t>
      </w:r>
      <w:r>
        <w:rPr>
          <w:color w:val="000000"/>
        </w:rPr>
        <w:t xml:space="preserve"> </w:t>
      </w:r>
      <w:r>
        <w:rPr>
          <w:rFonts w:ascii="Times New Roman;serif" w:hAnsi="Times New Roman;serif"/>
          <w:b w:val="false"/>
          <w:color w:val="000000"/>
          <w:sz w:val="24"/>
        </w:rPr>
        <w:t>The Trustee shall deliver such Definitive Notes to or as directed by the Persons in whose names such Definitive Notes are so registered or to the</w:t>
      </w:r>
      <w:r>
        <w:rPr>
          <w:color w:val="000000"/>
        </w:rPr>
        <w:t xml:space="preserve"> </w:t>
      </w:r>
      <w:r>
        <w:rPr>
          <w:rFonts w:ascii="Times New Roman;serif" w:hAnsi="Times New Roman;serif"/>
          <w:b w:val="false"/>
          <w:color w:val="000000"/>
          <w:sz w:val="24"/>
        </w:rPr>
        <w:t>Depository.</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A Global Note may not be exchanged for another Note other than as provided in this </w:t>
      </w:r>
      <w:r>
        <w:rPr>
          <w:rFonts w:ascii="Times New Roman;serif" w:hAnsi="Times New Roman;serif"/>
          <w:b w:val="false"/>
          <w:color w:val="000000"/>
          <w:sz w:val="24"/>
          <w:u w:val="single"/>
        </w:rPr>
        <w:t>Section 2.06(a)</w:t>
      </w:r>
      <w:r>
        <w:rPr>
          <w:rFonts w:ascii="Times New Roman;serif" w:hAnsi="Times New Roman;serif"/>
          <w:b w:val="false"/>
          <w:color w:val="000000"/>
          <w:sz w:val="24"/>
        </w:rPr>
        <w:t>,</w:t>
      </w:r>
      <w:r>
        <w:rPr>
          <w:color w:val="000000"/>
        </w:rPr>
        <w:t xml:space="preserve"> </w:t>
      </w:r>
      <w:r>
        <w:rPr>
          <w:rFonts w:ascii="Times New Roman;serif" w:hAnsi="Times New Roman;serif"/>
          <w:b w:val="false"/>
          <w:i/>
          <w:color w:val="000000"/>
          <w:sz w:val="24"/>
        </w:rPr>
        <w:t>however</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beneficial</w:t>
      </w:r>
      <w:r>
        <w:rPr>
          <w:color w:val="000000"/>
        </w:rPr>
        <w:t xml:space="preserve"> </w:t>
      </w:r>
      <w:r>
        <w:rPr>
          <w:rFonts w:ascii="Times New Roman;serif" w:hAnsi="Times New Roman;serif"/>
          <w:b w:val="false"/>
          <w:color w:val="000000"/>
          <w:sz w:val="24"/>
        </w:rPr>
        <w:t>interests</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 xml:space="preserve">Global Note may be transferred and exchanged as provided in </w:t>
      </w:r>
      <w:r>
        <w:rPr>
          <w:rFonts w:ascii="Times New Roman;serif" w:hAnsi="Times New Roman;serif"/>
          <w:b w:val="false"/>
          <w:color w:val="000000"/>
          <w:sz w:val="24"/>
          <w:u w:val="single"/>
        </w:rPr>
        <w:t>Section 2.06(b)</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u w:val="single"/>
        </w:rPr>
        <w:t>(c)</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(d)</w:t>
      </w:r>
      <w:r>
        <w:rPr>
          <w:color w:val="000000"/>
        </w:rPr>
        <w:t xml:space="preserve"> </w:t>
      </w:r>
      <w:r>
        <w:rPr>
          <w:rFonts w:ascii="Times New Roman;serif" w:hAnsi="Times New Roman;serif"/>
          <w:b w:val="false"/>
          <w:color w:val="000000"/>
          <w:sz w:val="24"/>
        </w:rPr>
        <w:t>hereof.</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i/>
          <w:color w:val="000000"/>
          <w:sz w:val="24"/>
        </w:rPr>
        <w:t>Transfer</w:t>
      </w:r>
      <w:r>
        <w:rPr>
          <w:color w:val="000000"/>
        </w:rPr>
        <w:t xml:space="preserve"> </w:t>
      </w:r>
      <w:r>
        <w:rPr>
          <w:rFonts w:ascii="Times New Roman;serif" w:hAnsi="Times New Roman;serif"/>
          <w:b w:val="false"/>
          <w:i/>
          <w:color w:val="000000"/>
          <w:sz w:val="24"/>
        </w:rPr>
        <w:t>and</w:t>
      </w:r>
      <w:r>
        <w:rPr>
          <w:color w:val="000000"/>
        </w:rPr>
        <w:t xml:space="preserve"> </w:t>
      </w:r>
      <w:r>
        <w:rPr>
          <w:rFonts w:ascii="Times New Roman;serif" w:hAnsi="Times New Roman;serif"/>
          <w:b w:val="false"/>
          <w:i/>
          <w:color w:val="000000"/>
          <w:sz w:val="24"/>
        </w:rPr>
        <w:t>Exchange</w:t>
      </w:r>
      <w:r>
        <w:rPr>
          <w:color w:val="000000"/>
        </w:rPr>
        <w:t xml:space="preserve"> </w:t>
      </w:r>
      <w:r>
        <w:rPr>
          <w:rFonts w:ascii="Times New Roman;serif" w:hAnsi="Times New Roman;serif"/>
          <w:b w:val="false"/>
          <w:i/>
          <w:color w:val="000000"/>
          <w:sz w:val="24"/>
        </w:rPr>
        <w:t>of</w:t>
      </w:r>
      <w:r>
        <w:rPr>
          <w:color w:val="000000"/>
        </w:rPr>
        <w:t xml:space="preserve"> </w:t>
      </w:r>
      <w:r>
        <w:rPr>
          <w:rFonts w:ascii="Times New Roman;serif" w:hAnsi="Times New Roman;serif"/>
          <w:b w:val="false"/>
          <w:i/>
          <w:color w:val="000000"/>
          <w:sz w:val="24"/>
        </w:rPr>
        <w:t>Beneficial</w:t>
      </w:r>
      <w:r>
        <w:rPr>
          <w:color w:val="000000"/>
        </w:rPr>
        <w:t xml:space="preserve"> </w:t>
      </w:r>
      <w:r>
        <w:rPr>
          <w:rFonts w:ascii="Times New Roman;serif" w:hAnsi="Times New Roman;serif"/>
          <w:b w:val="false"/>
          <w:i/>
          <w:color w:val="000000"/>
          <w:sz w:val="24"/>
        </w:rPr>
        <w:t>Interests</w:t>
      </w:r>
      <w:r>
        <w:rPr>
          <w:color w:val="000000"/>
        </w:rPr>
        <w:t xml:space="preserve"> </w:t>
      </w:r>
      <w:r>
        <w:rPr>
          <w:rFonts w:ascii="Times New Roman;serif" w:hAnsi="Times New Roman;serif"/>
          <w:b w:val="false"/>
          <w:i/>
          <w:color w:val="000000"/>
          <w:sz w:val="24"/>
        </w:rPr>
        <w:t>in</w:t>
      </w:r>
      <w:r>
        <w:rPr>
          <w:color w:val="000000"/>
        </w:rPr>
        <w:t xml:space="preserve"> </w:t>
      </w:r>
      <w:r>
        <w:rPr>
          <w:rFonts w:ascii="Times New Roman;serif" w:hAnsi="Times New Roman;serif"/>
          <w:b w:val="false"/>
          <w:i/>
          <w:color w:val="000000"/>
          <w:sz w:val="24"/>
        </w:rPr>
        <w:t>the</w:t>
      </w:r>
      <w:r>
        <w:rPr>
          <w:color w:val="000000"/>
        </w:rPr>
        <w:t xml:space="preserve"> </w:t>
      </w:r>
      <w:r>
        <w:rPr>
          <w:rFonts w:ascii="Times New Roman;serif" w:hAnsi="Times New Roman;serif"/>
          <w:b w:val="false"/>
          <w:i/>
          <w:color w:val="000000"/>
          <w:sz w:val="24"/>
        </w:rPr>
        <w:t>Global</w:t>
      </w:r>
      <w:r>
        <w:rPr>
          <w:color w:val="000000"/>
        </w:rPr>
        <w:t xml:space="preserve"> </w:t>
      </w:r>
      <w:r>
        <w:rPr>
          <w:rFonts w:ascii="Times New Roman;serif" w:hAnsi="Times New Roman;serif"/>
          <w:b w:val="false"/>
          <w:i/>
          <w:color w:val="000000"/>
          <w:sz w:val="24"/>
        </w:rPr>
        <w:t>Notes</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transfer</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exchange</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beneficial</w:t>
      </w:r>
      <w:r>
        <w:rPr>
          <w:color w:val="000000"/>
        </w:rPr>
        <w:t xml:space="preserve"> </w:t>
      </w:r>
      <w:r>
        <w:rPr>
          <w:rFonts w:ascii="Times New Roman;serif" w:hAnsi="Times New Roman;serif"/>
          <w:b w:val="false"/>
          <w:color w:val="000000"/>
          <w:sz w:val="24"/>
        </w:rPr>
        <w:t>interests</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Global</w:t>
      </w:r>
      <w:r>
        <w:rPr>
          <w:color w:val="000000"/>
        </w:rPr>
        <w:t xml:space="preserve"> </w:t>
      </w:r>
      <w:r>
        <w:rPr>
          <w:rFonts w:ascii="Times New Roman;serif" w:hAnsi="Times New Roman;serif"/>
          <w:b w:val="false"/>
          <w:color w:val="000000"/>
          <w:sz w:val="24"/>
        </w:rPr>
        <w:t>Notes</w:t>
      </w:r>
      <w:r>
        <w:rPr>
          <w:color w:val="000000"/>
        </w:rPr>
        <w:t xml:space="preserve"> </w:t>
      </w:r>
      <w:r>
        <w:rPr>
          <w:rFonts w:ascii="Times New Roman;serif" w:hAnsi="Times New Roman;serif"/>
          <w:b w:val="false"/>
          <w:color w:val="000000"/>
          <w:sz w:val="24"/>
        </w:rPr>
        <w:t>shall</w:t>
      </w:r>
      <w:r>
        <w:rPr>
          <w:color w:val="000000"/>
        </w:rPr>
        <w:t xml:space="preserve"> </w:t>
      </w:r>
      <w:r>
        <w:rPr>
          <w:rFonts w:ascii="Times New Roman;serif" w:hAnsi="Times New Roman;serif"/>
          <w:b w:val="false"/>
          <w:color w:val="000000"/>
          <w:sz w:val="24"/>
        </w:rPr>
        <w:t>be effected through the Depository, in accordance with the provisions of this Indenture and the Applicable Procedures. Transfers of beneficial interests in</w:t>
      </w:r>
      <w:r>
        <w:rPr>
          <w:color w:val="000000"/>
        </w:rPr>
        <w:t xml:space="preserve"> </w:t>
      </w:r>
      <w:r>
        <w:rPr>
          <w:rFonts w:ascii="Times New Roman;serif" w:hAnsi="Times New Roman;serif"/>
          <w:b w:val="false"/>
          <w:color w:val="000000"/>
          <w:sz w:val="24"/>
        </w:rPr>
        <w:t>the Global Notes also will require compliance with either subparagraph (1) or (2) below, as applicable, as well as one or more of the other following</w:t>
      </w:r>
      <w:r>
        <w:rPr>
          <w:color w:val="000000"/>
        </w:rPr>
        <w:t xml:space="preserve"> </w:t>
      </w:r>
      <w:r>
        <w:rPr>
          <w:rFonts w:ascii="Times New Roman;serif" w:hAnsi="Times New Roman;serif"/>
          <w:b w:val="false"/>
          <w:color w:val="000000"/>
          <w:sz w:val="24"/>
        </w:rPr>
        <w:t>subparagraphs, as applicable:</w:t>
      </w:r>
    </w:p>
    <w:p>
      <w:pPr>
        <w:pStyle w:val="TextBody"/>
        <w:bidi w:val="0"/>
        <w:spacing w:before="0" w:after="0"/>
        <w:jc w:val="left"/>
        <w:rPr/>
      </w:pPr>
      <w:r>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6480175" cy="768985"/>
                <wp:effectExtent l="0" t="0" r="0" b="0"/>
                <wp:wrapNone/>
                <wp:docPr id="205" name="Frame205"/>
                <a:graphic xmlns:a="http://schemas.openxmlformats.org/drawingml/2006/main">
                  <a:graphicData uri="http://schemas.microsoft.com/office/word/2010/wordprocessingShape">
                    <wps:wsp>
                      <wps:cNvSpPr txBox="1"/>
                      <wps:spPr>
                        <a:xfrm>
                          <a:off x="0" y="0"/>
                          <a:ext cx="6480175" cy="7689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32</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0.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32</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00000"/>
          <w:sz w:val="24"/>
        </w:rPr>
        <w:t>(1)</w:t>
      </w:r>
      <w:r>
        <w:rPr>
          <w:rFonts w:ascii="Times New Roman;serif" w:hAnsi="Times New Roman;serif"/>
          <w:b w:val="false"/>
          <w:i/>
          <w:color w:val="000000"/>
          <w:sz w:val="24"/>
        </w:rPr>
        <w:t>Transfer of Beneficial Interests in the Same Global Note</w:t>
      </w:r>
      <w:r>
        <w:rPr>
          <w:rFonts w:ascii="Times New Roman;serif" w:hAnsi="Times New Roman;serif"/>
          <w:b w:val="false"/>
          <w:color w:val="000000"/>
          <w:sz w:val="24"/>
        </w:rPr>
        <w:t>. Beneficial interests in any Restricted Global Note may be transferred to Persons</w:t>
      </w:r>
      <w:r>
        <w:rPr>
          <w:color w:val="000000"/>
        </w:rPr>
        <w:t xml:space="preserve"> </w:t>
      </w:r>
      <w:r>
        <w:rPr>
          <w:rFonts w:ascii="Times New Roman;serif" w:hAnsi="Times New Roman;serif"/>
          <w:b w:val="false"/>
          <w:color w:val="000000"/>
          <w:sz w:val="24"/>
        </w:rPr>
        <w:t>who take delivery thereof in the form of a beneficial interest in the same Restricted Global Note in accordance with the transfer restrictions set forth</w:t>
      </w:r>
      <w:r>
        <w:rPr>
          <w:color w:val="000000"/>
        </w:rPr>
        <w:t xml:space="preserve"> </w:t>
      </w:r>
      <w:r>
        <w:rPr>
          <w:rFonts w:ascii="Times New Roman;serif" w:hAnsi="Times New Roman;serif"/>
          <w:b w:val="false"/>
          <w:color w:val="000000"/>
          <w:sz w:val="24"/>
        </w:rPr>
        <w:t>in the Private Placement Legend;</w:t>
      </w:r>
    </w:p>
    <w:p>
      <w:pPr>
        <w:pStyle w:val="TextBody"/>
        <w:bidi w:val="0"/>
        <w:spacing w:lineRule="auto" w:line="288" w:before="0" w:after="240"/>
        <w:jc w:val="both"/>
        <w:rPr/>
      </w:pPr>
      <w:r>
        <w:rPr>
          <w:rFonts w:ascii="Times New Roman;serif" w:hAnsi="Times New Roman;serif"/>
          <w:b w:val="false"/>
          <w:i/>
          <w:color w:val="000000"/>
          <w:sz w:val="24"/>
        </w:rPr>
        <w:t>provided</w:t>
      </w:r>
      <w:r>
        <w:rPr>
          <w:rFonts w:ascii="Times New Roman;serif" w:hAnsi="Times New Roman;serif"/>
          <w:b w:val="false"/>
          <w:color w:val="000000"/>
          <w:sz w:val="24"/>
        </w:rPr>
        <w:t>,</w:t>
      </w:r>
      <w:r>
        <w:rPr>
          <w:color w:val="000000"/>
        </w:rPr>
        <w:t xml:space="preserve"> </w:t>
      </w:r>
      <w:r>
        <w:rPr>
          <w:rFonts w:ascii="Times New Roman;serif" w:hAnsi="Times New Roman;serif"/>
          <w:b w:val="false"/>
          <w:i/>
          <w:color w:val="000000"/>
          <w:sz w:val="24"/>
        </w:rPr>
        <w:t>however</w:t>
      </w:r>
      <w:r>
        <w:rPr>
          <w:rFonts w:ascii="Times New Roman;serif" w:hAnsi="Times New Roman;serif"/>
          <w:b w:val="false"/>
          <w:color w:val="000000"/>
          <w:sz w:val="24"/>
        </w:rPr>
        <w:t>, that prior to the expiration of the Distribution Compliance Period, transfers of beneficial interests in the Regulation S Temporary</w:t>
      </w:r>
      <w:r>
        <w:rPr>
          <w:color w:val="000000"/>
        </w:rPr>
        <w:t xml:space="preserve"> </w:t>
      </w:r>
      <w:r>
        <w:rPr>
          <w:rFonts w:ascii="Times New Roman;serif" w:hAnsi="Times New Roman;serif"/>
          <w:b w:val="false"/>
          <w:color w:val="000000"/>
          <w:sz w:val="24"/>
        </w:rPr>
        <w:t>Global Note may not be made to or for the account or benefit of a “U.S. Person” (as defined in Rule 902(k) of Regulation S) (other than a</w:t>
      </w:r>
      <w:r>
        <w:rPr>
          <w:color w:val="000000"/>
        </w:rPr>
        <w:t xml:space="preserve"> “</w:t>
      </w:r>
      <w:r>
        <w:rPr>
          <w:rFonts w:ascii="Times New Roman;serif" w:hAnsi="Times New Roman;serif"/>
          <w:b w:val="false"/>
          <w:color w:val="000000"/>
          <w:sz w:val="24"/>
        </w:rPr>
        <w:t>distributor” (as defined in Rule 902(d) of Regulation S)). Beneficial interests in any Unrestricted Global Note may be transferred to Persons who</w:t>
      </w:r>
      <w:r>
        <w:rPr>
          <w:color w:val="000000"/>
        </w:rPr>
        <w:t xml:space="preserve"> </w:t>
      </w:r>
      <w:r>
        <w:rPr>
          <w:rFonts w:ascii="Times New Roman;serif" w:hAnsi="Times New Roman;serif"/>
          <w:b w:val="false"/>
          <w:color w:val="000000"/>
          <w:sz w:val="24"/>
        </w:rPr>
        <w:t>take delivery thereof in the form of a beneficial interest in an Unrestricted Global Note. No written orders or instructions shall be required to be</w:t>
      </w:r>
      <w:r>
        <w:rPr>
          <w:color w:val="000000"/>
        </w:rPr>
        <w:t xml:space="preserve"> </w:t>
      </w:r>
      <w:r>
        <w:rPr>
          <w:rFonts w:ascii="Times New Roman;serif" w:hAnsi="Times New Roman;serif"/>
          <w:b w:val="false"/>
          <w:color w:val="000000"/>
          <w:sz w:val="24"/>
        </w:rPr>
        <w:t xml:space="preserve">delivered to the Registrar to effect the transfers described in this </w:t>
      </w:r>
      <w:r>
        <w:rPr>
          <w:rFonts w:ascii="Times New Roman;serif" w:hAnsi="Times New Roman;serif"/>
          <w:b w:val="false"/>
          <w:color w:val="000000"/>
          <w:sz w:val="24"/>
          <w:u w:val="single"/>
        </w:rPr>
        <w:t>Section 2.06(b)(1)</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(2)</w:t>
      </w:r>
      <w:r>
        <w:rPr>
          <w:rFonts w:ascii="Times New Roman;serif" w:hAnsi="Times New Roman;serif"/>
          <w:b w:val="false"/>
          <w:i/>
          <w:color w:val="000000"/>
          <w:sz w:val="24"/>
        </w:rPr>
        <w:t>All Other Transfers and Exchanges of Beneficial Interests in Global Notes</w:t>
      </w:r>
      <w:r>
        <w:rPr>
          <w:rFonts w:ascii="Times New Roman;serif" w:hAnsi="Times New Roman;serif"/>
          <w:b w:val="false"/>
          <w:color w:val="000000"/>
          <w:sz w:val="24"/>
        </w:rPr>
        <w:t>. In connection with all transfers and exchanges of beneficial</w:t>
      </w:r>
      <w:r>
        <w:rPr>
          <w:color w:val="000000"/>
        </w:rPr>
        <w:t xml:space="preserve"> </w:t>
      </w:r>
      <w:r>
        <w:rPr>
          <w:rFonts w:ascii="Times New Roman;serif" w:hAnsi="Times New Roman;serif"/>
          <w:b w:val="false"/>
          <w:color w:val="000000"/>
          <w:sz w:val="24"/>
        </w:rPr>
        <w:t xml:space="preserve">interests that are not subject to </w:t>
      </w:r>
      <w:r>
        <w:rPr>
          <w:rFonts w:ascii="Times New Roman;serif" w:hAnsi="Times New Roman;serif"/>
          <w:b w:val="false"/>
          <w:color w:val="000000"/>
          <w:sz w:val="24"/>
          <w:u w:val="single"/>
        </w:rPr>
        <w:t>Section 2.06(b)(1)</w:t>
      </w:r>
      <w:r>
        <w:rPr>
          <w:color w:val="000000"/>
        </w:rPr>
        <w:t xml:space="preserve"> </w:t>
      </w:r>
      <w:r>
        <w:rPr>
          <w:rFonts w:ascii="Times New Roman;serif" w:hAnsi="Times New Roman;serif"/>
          <w:b w:val="false"/>
          <w:color w:val="000000"/>
          <w:sz w:val="24"/>
        </w:rPr>
        <w:t>above, the transferor of such beneficial interest must deliver to the Registrar either:</w:t>
      </w:r>
    </w:p>
    <w:p>
      <w:pPr>
        <w:pStyle w:val="TextBody"/>
        <w:bidi w:val="0"/>
        <w:spacing w:lineRule="auto" w:line="240"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(A)both:</w:t>
      </w:r>
    </w:p>
    <w:p>
      <w:pPr>
        <w:pStyle w:val="TextBody"/>
        <w:bidi w:val="0"/>
        <w:spacing w:lineRule="auto" w:line="240" w:before="0" w:after="240"/>
        <w:ind w:left="0" w:right="0" w:firstLine="1440"/>
        <w:jc w:val="both"/>
        <w:rPr/>
      </w:pPr>
      <w:r>
        <w:rPr>
          <w:rFonts w:ascii="Times New Roman;serif" w:hAnsi="Times New Roman;serif"/>
          <w:b w:val="false"/>
          <w:color w:val="000000"/>
          <w:sz w:val="24"/>
        </w:rPr>
        <w:t>(i)a written order from a Participant or an Indirect Participant given to the Depository in accordance with the Applicable</w:t>
      </w:r>
      <w:r>
        <w:rPr>
          <w:color w:val="000000"/>
        </w:rPr>
        <w:t xml:space="preserve"> </w:t>
      </w:r>
      <w:r>
        <w:rPr>
          <w:rFonts w:ascii="Times New Roman;serif" w:hAnsi="Times New Roman;serif"/>
          <w:b w:val="false"/>
          <w:color w:val="000000"/>
          <w:sz w:val="24"/>
        </w:rPr>
        <w:t>Procedures directing the Depository to credit or cause to be credited a beneficial interest in another Global Note in</w:t>
      </w:r>
      <w:r>
        <w:rPr>
          <w:color w:val="000000"/>
        </w:rPr>
        <w:t xml:space="preserve"> </w:t>
      </w:r>
      <w:r>
        <w:rPr>
          <w:rFonts w:ascii="Times New Roman;serif" w:hAnsi="Times New Roman;serif"/>
          <w:b w:val="false"/>
          <w:color w:val="000000"/>
          <w:sz w:val="24"/>
        </w:rPr>
        <w:t xml:space="preserve">an amount equal to the beneficial interest to be transferred or exchanged; and </w:t>
      </w:r>
    </w:p>
    <w:p>
      <w:pPr>
        <w:pStyle w:val="TextBody"/>
        <w:bidi w:val="0"/>
        <w:spacing w:lineRule="auto" w:line="240" w:before="0" w:after="240"/>
        <w:ind w:left="0" w:right="0" w:firstLine="1440"/>
        <w:jc w:val="both"/>
        <w:rPr/>
      </w:pPr>
      <w:r>
        <w:rPr>
          <w:rFonts w:ascii="Times New Roman;serif" w:hAnsi="Times New Roman;serif"/>
          <w:b w:val="false"/>
          <w:color w:val="000000"/>
          <w:sz w:val="24"/>
        </w:rPr>
        <w:t>(ii)instructions given in accordance with the Applicable Procedures containing information regarding the Participant account</w:t>
      </w:r>
      <w:r>
        <w:rPr>
          <w:color w:val="000000"/>
        </w:rPr>
        <w:t xml:space="preserve"> </w:t>
      </w:r>
      <w:r>
        <w:rPr>
          <w:rFonts w:ascii="Times New Roman;serif" w:hAnsi="Times New Roman;serif"/>
          <w:b w:val="false"/>
          <w:color w:val="000000"/>
          <w:sz w:val="24"/>
        </w:rPr>
        <w:t>to be credited with such increase; or</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(B)both:</w:t>
      </w:r>
    </w:p>
    <w:p>
      <w:pPr>
        <w:pStyle w:val="TextBody"/>
        <w:bidi w:val="0"/>
        <w:spacing w:lineRule="auto" w:line="240" w:before="0" w:after="240"/>
        <w:ind w:left="0" w:right="0" w:firstLine="1440"/>
        <w:jc w:val="both"/>
        <w:rPr/>
      </w:pPr>
      <w:r>
        <w:rPr>
          <w:rFonts w:ascii="Times New Roman;serif" w:hAnsi="Times New Roman;serif"/>
          <w:b w:val="false"/>
          <w:color w:val="000000"/>
          <w:sz w:val="24"/>
        </w:rPr>
        <w:t>(i)a written order from a Participant or an Indirect Participant given to the Depository in accordance with the Applicable</w:t>
      </w:r>
      <w:r>
        <w:rPr>
          <w:color w:val="000000"/>
        </w:rPr>
        <w:t xml:space="preserve"> </w:t>
      </w:r>
      <w:r>
        <w:rPr>
          <w:rFonts w:ascii="Times New Roman;serif" w:hAnsi="Times New Roman;serif"/>
          <w:b w:val="false"/>
          <w:color w:val="000000"/>
          <w:sz w:val="24"/>
        </w:rPr>
        <w:t>Procedures directing the Depository to cause to be issued a Definitive Note in an amount equal to the beneficial</w:t>
      </w:r>
      <w:r>
        <w:rPr>
          <w:color w:val="000000"/>
        </w:rPr>
        <w:t xml:space="preserve"> </w:t>
      </w:r>
      <w:r>
        <w:rPr>
          <w:rFonts w:ascii="Times New Roman;serif" w:hAnsi="Times New Roman;serif"/>
          <w:b w:val="false"/>
          <w:color w:val="000000"/>
          <w:sz w:val="24"/>
        </w:rPr>
        <w:t>interest to be transferred or exchanged; and</w:t>
      </w:r>
    </w:p>
    <w:p>
      <w:pPr>
        <w:pStyle w:val="TextBody"/>
        <w:bidi w:val="0"/>
        <w:spacing w:lineRule="auto" w:line="240" w:before="0" w:after="240"/>
        <w:ind w:left="0" w:right="0" w:firstLine="1440"/>
        <w:jc w:val="both"/>
        <w:rPr/>
      </w:pPr>
      <w:r>
        <w:rPr>
          <w:rFonts w:ascii="Times New Roman;serif" w:hAnsi="Times New Roman;serif"/>
          <w:b w:val="false"/>
          <w:color w:val="000000"/>
          <w:sz w:val="24"/>
        </w:rPr>
        <w:t>(ii)instructions given by the Depository to the Registrar containing information regarding the Person in whose name such</w:t>
      </w:r>
      <w:r>
        <w:rPr>
          <w:color w:val="000000"/>
        </w:rPr>
        <w:t xml:space="preserve"> </w:t>
      </w:r>
      <w:r>
        <w:rPr>
          <w:rFonts w:ascii="Times New Roman;serif" w:hAnsi="Times New Roman;serif"/>
          <w:b w:val="false"/>
          <w:color w:val="000000"/>
          <w:sz w:val="24"/>
        </w:rPr>
        <w:t xml:space="preserve">Definitive Note shall be registered to effect the transfer or exchange referred to in (i) above; </w:t>
      </w:r>
      <w:r>
        <w:rPr>
          <w:rFonts w:ascii="Times New Roman;serif" w:hAnsi="Times New Roman;serif"/>
          <w:b w:val="false"/>
          <w:i/>
          <w:color w:val="000000"/>
          <w:sz w:val="24"/>
        </w:rPr>
        <w:t>provided that</w:t>
      </w:r>
      <w:r>
        <w:rPr>
          <w:color w:val="000000"/>
        </w:rPr>
        <w:t xml:space="preserve"> </w:t>
      </w:r>
      <w:r>
        <w:rPr>
          <w:rFonts w:ascii="Times New Roman;serif" w:hAnsi="Times New Roman;serif"/>
          <w:b w:val="false"/>
          <w:color w:val="000000"/>
          <w:sz w:val="24"/>
        </w:rPr>
        <w:t>in no event shall Definitive</w:t>
      </w:r>
      <w:r>
        <w:rPr>
          <w:color w:val="000000"/>
        </w:rPr>
        <w:t xml:space="preserve"> </w:t>
      </w:r>
      <w:r>
        <w:rPr>
          <w:rFonts w:ascii="Times New Roman;serif" w:hAnsi="Times New Roman;serif"/>
          <w:b w:val="false"/>
          <w:color w:val="000000"/>
          <w:sz w:val="24"/>
        </w:rPr>
        <w:t>Notes be issued upon the transfer or exchange of beneficial interests in a Regulation S Temporary Global Note prior to (x) the</w:t>
      </w:r>
      <w:r>
        <w:rPr>
          <w:color w:val="000000"/>
        </w:rPr>
        <w:t xml:space="preserve"> </w:t>
      </w:r>
      <w:r>
        <w:rPr>
          <w:rFonts w:ascii="Times New Roman;serif" w:hAnsi="Times New Roman;serif"/>
          <w:b w:val="false"/>
          <w:color w:val="000000"/>
          <w:sz w:val="24"/>
        </w:rPr>
        <w:t>expiration of the Distribution Compliance Period and (y) the receipt by the Registrar of any certificates required pursuant to Rule</w:t>
      </w:r>
      <w:r>
        <w:rPr>
          <w:color w:val="000000"/>
        </w:rPr>
        <w:t xml:space="preserve"> </w:t>
      </w:r>
      <w:r>
        <w:rPr>
          <w:rFonts w:ascii="Times New Roman;serif" w:hAnsi="Times New Roman;serif"/>
          <w:b w:val="false"/>
          <w:color w:val="000000"/>
          <w:sz w:val="24"/>
        </w:rPr>
        <w:t>903(b)(3)(ii)(B) under the Securities Act.</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Upon satisfaction of all of the requirements for transfer or exchange of beneficial interests in Global Notes contained in this Indenture and the Notes or otherwise applicable under the Securities Act, and upon receipt of an Officer’s Certificate in </w:t>
      </w:r>
    </w:p>
    <w:p>
      <w:pPr>
        <w:pStyle w:val="TextBody"/>
        <w:bidi w:val="0"/>
        <w:spacing w:before="0" w:after="0"/>
        <w:jc w:val="left"/>
        <w:rPr/>
      </w:pPr>
      <w:r>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6480175" cy="768985"/>
                <wp:effectExtent l="0" t="0" r="0" b="0"/>
                <wp:wrapNone/>
                <wp:docPr id="206" name="Frame206"/>
                <a:graphic xmlns:a="http://schemas.openxmlformats.org/drawingml/2006/main">
                  <a:graphicData uri="http://schemas.microsoft.com/office/word/2010/wordprocessingShape">
                    <wps:wsp>
                      <wps:cNvSpPr txBox="1"/>
                      <wps:spPr>
                        <a:xfrm>
                          <a:off x="0" y="0"/>
                          <a:ext cx="6480175" cy="7689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33</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0.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33</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form reasonably satisfactory to the Trustee, the Trustee shall adjust the principal amount of the relevant Global Note(s) pursuant to </w:t>
      </w:r>
      <w:r>
        <w:rPr>
          <w:rFonts w:ascii="Times New Roman;serif" w:hAnsi="Times New Roman;serif"/>
          <w:b w:val="false"/>
          <w:color w:val="000000"/>
          <w:sz w:val="24"/>
          <w:u w:val="single"/>
        </w:rPr>
        <w:t>Section 2.06(g)</w:t>
      </w:r>
      <w:r>
        <w:rPr>
          <w:color w:val="000000"/>
        </w:rPr>
        <w:t xml:space="preserve"> </w:t>
      </w:r>
      <w:r>
        <w:rPr>
          <w:rFonts w:ascii="Times New Roman;serif" w:hAnsi="Times New Roman;serif"/>
          <w:b w:val="false"/>
          <w:color w:val="000000"/>
          <w:sz w:val="24"/>
        </w:rPr>
        <w:t>hereof.</w:t>
      </w:r>
    </w:p>
    <w:p>
      <w:pPr>
        <w:pStyle w:val="TextBody"/>
        <w:bidi w:val="0"/>
        <w:spacing w:lineRule="auto" w:line="240" w:before="0" w:after="240"/>
        <w:ind w:left="0" w:right="0" w:firstLine="720"/>
        <w:jc w:val="both"/>
        <w:rPr/>
      </w:pPr>
      <w:r>
        <w:rPr>
          <w:rFonts w:ascii="Times New Roman;serif" w:hAnsi="Times New Roman;serif"/>
          <w:b w:val="false"/>
          <w:color w:val="000000"/>
          <w:sz w:val="24"/>
        </w:rPr>
        <w:t>(3)</w:t>
      </w:r>
      <w:r>
        <w:rPr>
          <w:rFonts w:ascii="Times New Roman;serif" w:hAnsi="Times New Roman;serif"/>
          <w:b w:val="false"/>
          <w:i/>
          <w:color w:val="000000"/>
          <w:sz w:val="24"/>
        </w:rPr>
        <w:t>Transfer of Beneficial Interests to Another Restricted Global Note</w:t>
      </w:r>
      <w:r>
        <w:rPr>
          <w:rFonts w:ascii="Times New Roman;serif" w:hAnsi="Times New Roman;serif"/>
          <w:b w:val="false"/>
          <w:color w:val="000000"/>
          <w:sz w:val="24"/>
        </w:rPr>
        <w:t>. A beneficial interest in any Restricted Global Note may be transferred</w:t>
      </w:r>
      <w:r>
        <w:rPr>
          <w:color w:val="000000"/>
        </w:rPr>
        <w:t xml:space="preserve"> </w:t>
      </w:r>
      <w:r>
        <w:rPr>
          <w:rFonts w:ascii="Times New Roman;serif" w:hAnsi="Times New Roman;serif"/>
          <w:b w:val="false"/>
          <w:color w:val="000000"/>
          <w:sz w:val="24"/>
        </w:rPr>
        <w:t>to a Person who takes delivery thereof in the form of a beneficial interest in another Restricted Global Note if the transfer</w:t>
      </w:r>
      <w:r>
        <w:rPr>
          <w:color w:val="000000"/>
        </w:rPr>
        <w:t xml:space="preserve"> </w:t>
      </w:r>
      <w:r>
        <w:rPr>
          <w:rFonts w:ascii="Times New Roman;serif" w:hAnsi="Times New Roman;serif"/>
          <w:b w:val="false"/>
          <w:color w:val="000000"/>
          <w:sz w:val="24"/>
        </w:rPr>
        <w:t xml:space="preserve">complies with the requirements of </w:t>
      </w:r>
      <w:r>
        <w:rPr>
          <w:rFonts w:ascii="Times New Roman;serif" w:hAnsi="Times New Roman;serif"/>
          <w:b w:val="false"/>
          <w:color w:val="000000"/>
          <w:sz w:val="24"/>
          <w:u w:val="single"/>
        </w:rPr>
        <w:t>Section 2.06(b)(2)</w:t>
      </w:r>
      <w:r>
        <w:rPr>
          <w:color w:val="000000"/>
        </w:rPr>
        <w:t xml:space="preserve"> </w:t>
      </w:r>
      <w:r>
        <w:rPr>
          <w:rFonts w:ascii="Times New Roman;serif" w:hAnsi="Times New Roman;serif"/>
          <w:b w:val="false"/>
          <w:color w:val="000000"/>
          <w:sz w:val="24"/>
        </w:rPr>
        <w:t>above and the Registrar receives the following:</w:t>
      </w:r>
    </w:p>
    <w:p>
      <w:pPr>
        <w:pStyle w:val="TextBody"/>
        <w:bidi w:val="0"/>
        <w:spacing w:lineRule="auto" w:line="240" w:before="0" w:after="240"/>
        <w:ind w:left="0" w:right="0" w:firstLine="720"/>
        <w:jc w:val="both"/>
        <w:rPr/>
      </w:pPr>
      <w:r>
        <w:rPr>
          <w:rFonts w:ascii="Times New Roman;serif" w:hAnsi="Times New Roman;serif"/>
          <w:b w:val="false"/>
          <w:color w:val="000000"/>
          <w:sz w:val="24"/>
        </w:rPr>
        <w:t>(A)if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transferee</w:t>
      </w:r>
      <w:r>
        <w:rPr>
          <w:color w:val="000000"/>
        </w:rPr>
        <w:t xml:space="preserve"> </w:t>
      </w:r>
      <w:r>
        <w:rPr>
          <w:rFonts w:ascii="Times New Roman;serif" w:hAnsi="Times New Roman;serif"/>
          <w:b w:val="false"/>
          <w:color w:val="000000"/>
          <w:sz w:val="24"/>
        </w:rPr>
        <w:t>will</w:t>
      </w:r>
      <w:r>
        <w:rPr>
          <w:color w:val="000000"/>
        </w:rPr>
        <w:t xml:space="preserve"> </w:t>
      </w:r>
      <w:r>
        <w:rPr>
          <w:rFonts w:ascii="Times New Roman;serif" w:hAnsi="Times New Roman;serif"/>
          <w:b w:val="false"/>
          <w:color w:val="000000"/>
          <w:sz w:val="24"/>
        </w:rPr>
        <w:t>take</w:t>
      </w:r>
      <w:r>
        <w:rPr>
          <w:color w:val="000000"/>
        </w:rPr>
        <w:t xml:space="preserve"> </w:t>
      </w:r>
      <w:r>
        <w:rPr>
          <w:rFonts w:ascii="Times New Roman;serif" w:hAnsi="Times New Roman;serif"/>
          <w:b w:val="false"/>
          <w:color w:val="000000"/>
          <w:sz w:val="24"/>
        </w:rPr>
        <w:t>delivery</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form</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beneficial</w:t>
      </w:r>
      <w:r>
        <w:rPr>
          <w:color w:val="000000"/>
        </w:rPr>
        <w:t xml:space="preserve"> </w:t>
      </w:r>
      <w:r>
        <w:rPr>
          <w:rFonts w:ascii="Times New Roman;serif" w:hAnsi="Times New Roman;serif"/>
          <w:b w:val="false"/>
          <w:color w:val="000000"/>
          <w:sz w:val="24"/>
        </w:rPr>
        <w:t>interest</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144A</w:t>
      </w:r>
      <w:r>
        <w:rPr>
          <w:color w:val="000000"/>
        </w:rPr>
        <w:t xml:space="preserve"> </w:t>
      </w:r>
      <w:r>
        <w:rPr>
          <w:rFonts w:ascii="Times New Roman;serif" w:hAnsi="Times New Roman;serif"/>
          <w:b w:val="false"/>
          <w:color w:val="000000"/>
          <w:sz w:val="24"/>
        </w:rPr>
        <w:t>Global</w:t>
      </w:r>
      <w:r>
        <w:rPr>
          <w:color w:val="000000"/>
        </w:rPr>
        <w:t xml:space="preserve"> </w:t>
      </w:r>
      <w:r>
        <w:rPr>
          <w:rFonts w:ascii="Times New Roman;serif" w:hAnsi="Times New Roman;serif"/>
          <w:b w:val="false"/>
          <w:color w:val="000000"/>
          <w:sz w:val="24"/>
        </w:rPr>
        <w:t>Note,</w:t>
      </w:r>
      <w:r>
        <w:rPr>
          <w:color w:val="000000"/>
        </w:rPr>
        <w:t xml:space="preserve"> </w:t>
      </w:r>
      <w:r>
        <w:rPr>
          <w:rFonts w:ascii="Times New Roman;serif" w:hAnsi="Times New Roman;serif"/>
          <w:b w:val="false"/>
          <w:color w:val="000000"/>
          <w:sz w:val="24"/>
        </w:rPr>
        <w:t>then</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transferor</w:t>
      </w:r>
      <w:r>
        <w:rPr>
          <w:color w:val="000000"/>
        </w:rPr>
        <w:t xml:space="preserve"> </w:t>
      </w:r>
      <w:r>
        <w:rPr>
          <w:rFonts w:ascii="Times New Roman;serif" w:hAnsi="Times New Roman;serif"/>
          <w:b w:val="false"/>
          <w:color w:val="000000"/>
          <w:sz w:val="24"/>
        </w:rPr>
        <w:t>must</w:t>
      </w:r>
      <w:r>
        <w:rPr>
          <w:color w:val="000000"/>
        </w:rPr>
        <w:t xml:space="preserve"> </w:t>
      </w:r>
      <w:r>
        <w:rPr>
          <w:rFonts w:ascii="Times New Roman;serif" w:hAnsi="Times New Roman;serif"/>
          <w:b w:val="false"/>
          <w:color w:val="000000"/>
          <w:sz w:val="24"/>
        </w:rPr>
        <w:t>deliver</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 xml:space="preserve">certificate in the form of </w:t>
      </w:r>
      <w:r>
        <w:rPr>
          <w:rFonts w:ascii="Times New Roman;serif" w:hAnsi="Times New Roman;serif"/>
          <w:b w:val="false"/>
          <w:color w:val="000000"/>
          <w:sz w:val="24"/>
          <w:u w:val="single"/>
        </w:rPr>
        <w:t>Exhibit B</w:t>
      </w:r>
      <w:r>
        <w:rPr>
          <w:color w:val="000000"/>
        </w:rPr>
        <w:t xml:space="preserve"> </w:t>
      </w:r>
      <w:r>
        <w:rPr>
          <w:rFonts w:ascii="Times New Roman;serif" w:hAnsi="Times New Roman;serif"/>
          <w:b w:val="false"/>
          <w:color w:val="000000"/>
          <w:sz w:val="24"/>
        </w:rPr>
        <w:t xml:space="preserve">hereto, including the certifications in item (1) thereof; </w:t>
      </w:r>
    </w:p>
    <w:p>
      <w:pPr>
        <w:pStyle w:val="TextBody"/>
        <w:bidi w:val="0"/>
        <w:spacing w:lineRule="auto" w:line="240" w:before="0" w:after="240"/>
        <w:ind w:left="0" w:right="0" w:firstLine="720"/>
        <w:jc w:val="both"/>
        <w:rPr/>
      </w:pPr>
      <w:r>
        <w:rPr>
          <w:rFonts w:ascii="Times New Roman;serif" w:hAnsi="Times New Roman;serif"/>
          <w:b w:val="false"/>
          <w:color w:val="000000"/>
          <w:sz w:val="24"/>
        </w:rPr>
        <w:t>(B)if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transferee</w:t>
      </w:r>
      <w:r>
        <w:rPr>
          <w:color w:val="000000"/>
        </w:rPr>
        <w:t xml:space="preserve"> </w:t>
      </w:r>
      <w:r>
        <w:rPr>
          <w:rFonts w:ascii="Times New Roman;serif" w:hAnsi="Times New Roman;serif"/>
          <w:b w:val="false"/>
          <w:color w:val="000000"/>
          <w:sz w:val="24"/>
        </w:rPr>
        <w:t>will</w:t>
      </w:r>
      <w:r>
        <w:rPr>
          <w:color w:val="000000"/>
        </w:rPr>
        <w:t xml:space="preserve"> </w:t>
      </w:r>
      <w:r>
        <w:rPr>
          <w:rFonts w:ascii="Times New Roman;serif" w:hAnsi="Times New Roman;serif"/>
          <w:b w:val="false"/>
          <w:color w:val="000000"/>
          <w:sz w:val="24"/>
        </w:rPr>
        <w:t>take</w:t>
      </w:r>
      <w:r>
        <w:rPr>
          <w:color w:val="000000"/>
        </w:rPr>
        <w:t xml:space="preserve"> </w:t>
      </w:r>
      <w:r>
        <w:rPr>
          <w:rFonts w:ascii="Times New Roman;serif" w:hAnsi="Times New Roman;serif"/>
          <w:b w:val="false"/>
          <w:color w:val="000000"/>
          <w:sz w:val="24"/>
        </w:rPr>
        <w:t>delivery</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form</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beneficial</w:t>
      </w:r>
      <w:r>
        <w:rPr>
          <w:color w:val="000000"/>
        </w:rPr>
        <w:t xml:space="preserve"> </w:t>
      </w:r>
      <w:r>
        <w:rPr>
          <w:rFonts w:ascii="Times New Roman;serif" w:hAnsi="Times New Roman;serif"/>
          <w:b w:val="false"/>
          <w:color w:val="000000"/>
          <w:sz w:val="24"/>
        </w:rPr>
        <w:t>interest</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Regulation</w:t>
      </w:r>
      <w:r>
        <w:rPr>
          <w:color w:val="000000"/>
        </w:rPr>
        <w:t xml:space="preserve"> </w:t>
      </w:r>
      <w:r>
        <w:rPr>
          <w:rFonts w:ascii="Times New Roman;serif" w:hAnsi="Times New Roman;serif"/>
          <w:b w:val="false"/>
          <w:color w:val="000000"/>
          <w:sz w:val="24"/>
        </w:rPr>
        <w:t>S</w:t>
      </w:r>
      <w:r>
        <w:rPr>
          <w:color w:val="000000"/>
        </w:rPr>
        <w:t xml:space="preserve"> </w:t>
      </w:r>
      <w:r>
        <w:rPr>
          <w:rFonts w:ascii="Times New Roman;serif" w:hAnsi="Times New Roman;serif"/>
          <w:b w:val="false"/>
          <w:color w:val="000000"/>
          <w:sz w:val="24"/>
        </w:rPr>
        <w:t>Temporary</w:t>
      </w:r>
      <w:r>
        <w:rPr>
          <w:color w:val="000000"/>
        </w:rPr>
        <w:t xml:space="preserve"> </w:t>
      </w:r>
      <w:r>
        <w:rPr>
          <w:rFonts w:ascii="Times New Roman;serif" w:hAnsi="Times New Roman;serif"/>
          <w:b w:val="false"/>
          <w:color w:val="000000"/>
          <w:sz w:val="24"/>
        </w:rPr>
        <w:t>Global</w:t>
      </w:r>
      <w:r>
        <w:rPr>
          <w:color w:val="000000"/>
        </w:rPr>
        <w:t xml:space="preserve"> </w:t>
      </w:r>
      <w:r>
        <w:rPr>
          <w:rFonts w:ascii="Times New Roman;serif" w:hAnsi="Times New Roman;serif"/>
          <w:b w:val="false"/>
          <w:color w:val="000000"/>
          <w:sz w:val="24"/>
        </w:rPr>
        <w:t>Note</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Regulation</w:t>
      </w:r>
      <w:r>
        <w:rPr>
          <w:color w:val="000000"/>
        </w:rPr>
        <w:t xml:space="preserve"> </w:t>
      </w:r>
      <w:r>
        <w:rPr>
          <w:rFonts w:ascii="Times New Roman;serif" w:hAnsi="Times New Roman;serif"/>
          <w:b w:val="false"/>
          <w:color w:val="000000"/>
          <w:sz w:val="24"/>
        </w:rPr>
        <w:t>S</w:t>
      </w:r>
      <w:r>
        <w:rPr>
          <w:color w:val="000000"/>
        </w:rPr>
        <w:t xml:space="preserve"> </w:t>
      </w:r>
      <w:r>
        <w:rPr>
          <w:rFonts w:ascii="Times New Roman;serif" w:hAnsi="Times New Roman;serif"/>
          <w:b w:val="false"/>
          <w:color w:val="000000"/>
          <w:sz w:val="24"/>
        </w:rPr>
        <w:t xml:space="preserve">Permanent Global Note, as the case may be, then the transferor must deliver a certificate in the form of </w:t>
      </w:r>
      <w:r>
        <w:rPr>
          <w:rFonts w:ascii="Times New Roman;serif" w:hAnsi="Times New Roman;serif"/>
          <w:b w:val="false"/>
          <w:color w:val="000000"/>
          <w:sz w:val="24"/>
          <w:u w:val="single"/>
        </w:rPr>
        <w:t>Exhibit B</w:t>
      </w:r>
      <w:r>
        <w:rPr>
          <w:color w:val="000000"/>
        </w:rPr>
        <w:t xml:space="preserve"> </w:t>
      </w:r>
      <w:r>
        <w:rPr>
          <w:rFonts w:ascii="Times New Roman;serif" w:hAnsi="Times New Roman;serif"/>
          <w:b w:val="false"/>
          <w:color w:val="000000"/>
          <w:sz w:val="24"/>
        </w:rPr>
        <w:t>hereto, including the</w:t>
      </w:r>
      <w:r>
        <w:rPr>
          <w:color w:val="000000"/>
        </w:rPr>
        <w:t xml:space="preserve"> </w:t>
      </w:r>
      <w:r>
        <w:rPr>
          <w:rFonts w:ascii="Times New Roman;serif" w:hAnsi="Times New Roman;serif"/>
          <w:b w:val="false"/>
          <w:color w:val="000000"/>
          <w:sz w:val="24"/>
        </w:rPr>
        <w:t>certifications in item (2) thereof; and</w:t>
      </w:r>
    </w:p>
    <w:p>
      <w:pPr>
        <w:pStyle w:val="TextBody"/>
        <w:bidi w:val="0"/>
        <w:spacing w:lineRule="auto" w:line="240" w:before="0" w:after="240"/>
        <w:ind w:left="0" w:right="0" w:firstLine="720"/>
        <w:jc w:val="both"/>
        <w:rPr/>
      </w:pPr>
      <w:r>
        <w:rPr>
          <w:rFonts w:ascii="Times New Roman;serif" w:hAnsi="Times New Roman;serif"/>
          <w:b w:val="false"/>
          <w:color w:val="000000"/>
          <w:sz w:val="24"/>
        </w:rPr>
        <w:t xml:space="preserve">(C)if the transferee will take delivery in the form of a beneficial interest in the IAI Global Note, then the transferor must deliver a certificate in the form of </w:t>
      </w:r>
      <w:r>
        <w:rPr>
          <w:rFonts w:ascii="Times New Roman;serif" w:hAnsi="Times New Roman;serif"/>
          <w:b w:val="false"/>
          <w:color w:val="000000"/>
          <w:sz w:val="24"/>
          <w:u w:val="single"/>
        </w:rPr>
        <w:t>Exhibit B</w:t>
      </w:r>
      <w:r>
        <w:rPr>
          <w:color w:val="000000"/>
        </w:rPr>
        <w:t xml:space="preserve"> </w:t>
      </w:r>
      <w:r>
        <w:rPr>
          <w:rFonts w:ascii="Times New Roman;serif" w:hAnsi="Times New Roman;serif"/>
          <w:b w:val="false"/>
          <w:color w:val="000000"/>
          <w:sz w:val="24"/>
        </w:rPr>
        <w:t>hereto, including the certifications, certificates and Opinion of Counsel required by item (3)(d) thereof, if applicable.</w:t>
      </w:r>
    </w:p>
    <w:p>
      <w:pPr>
        <w:pStyle w:val="TextBody"/>
        <w:bidi w:val="0"/>
        <w:spacing w:lineRule="auto" w:line="240" w:before="0" w:after="240"/>
        <w:ind w:left="0" w:right="0" w:firstLine="720"/>
        <w:jc w:val="both"/>
        <w:rPr/>
      </w:pPr>
      <w:r>
        <w:rPr>
          <w:rFonts w:ascii="Times New Roman;serif" w:hAnsi="Times New Roman;serif"/>
          <w:b w:val="false"/>
          <w:color w:val="000000"/>
          <w:sz w:val="24"/>
        </w:rPr>
        <w:t>(4)</w:t>
      </w:r>
      <w:r>
        <w:rPr>
          <w:rFonts w:ascii="Times New Roman;serif" w:hAnsi="Times New Roman;serif"/>
          <w:b w:val="false"/>
          <w:i/>
          <w:color w:val="000000"/>
          <w:sz w:val="24"/>
        </w:rPr>
        <w:t>Transfer and Exchange of Beneficial Interests in a Restricted Global Note for Beneficial Interests in an Unrestricted Global Note</w:t>
      </w:r>
      <w:r>
        <w:rPr>
          <w:rFonts w:ascii="Times New Roman;serif" w:hAnsi="Times New Roman;serif"/>
          <w:b w:val="false"/>
          <w:color w:val="000000"/>
          <w:sz w:val="24"/>
        </w:rPr>
        <w:t>. A</w:t>
      </w:r>
      <w:r>
        <w:rPr>
          <w:color w:val="000000"/>
        </w:rPr>
        <w:t xml:space="preserve"> </w:t>
      </w:r>
      <w:r>
        <w:rPr>
          <w:rFonts w:ascii="Times New Roman;serif" w:hAnsi="Times New Roman;serif"/>
          <w:b w:val="false"/>
          <w:color w:val="000000"/>
          <w:sz w:val="24"/>
        </w:rPr>
        <w:t>beneficial</w:t>
      </w:r>
      <w:r>
        <w:rPr>
          <w:color w:val="000000"/>
        </w:rPr>
        <w:t xml:space="preserve"> </w:t>
      </w:r>
      <w:r>
        <w:rPr>
          <w:rFonts w:ascii="Times New Roman;serif" w:hAnsi="Times New Roman;serif"/>
          <w:b w:val="false"/>
          <w:color w:val="000000"/>
          <w:sz w:val="24"/>
        </w:rPr>
        <w:t>interest</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Restricted</w:t>
      </w:r>
      <w:r>
        <w:rPr>
          <w:color w:val="000000"/>
        </w:rPr>
        <w:t xml:space="preserve"> </w:t>
      </w:r>
      <w:r>
        <w:rPr>
          <w:rFonts w:ascii="Times New Roman;serif" w:hAnsi="Times New Roman;serif"/>
          <w:b w:val="false"/>
          <w:color w:val="000000"/>
          <w:sz w:val="24"/>
        </w:rPr>
        <w:t>Global</w:t>
      </w:r>
      <w:r>
        <w:rPr>
          <w:color w:val="000000"/>
        </w:rPr>
        <w:t xml:space="preserve"> </w:t>
      </w:r>
      <w:r>
        <w:rPr>
          <w:rFonts w:ascii="Times New Roman;serif" w:hAnsi="Times New Roman;serif"/>
          <w:b w:val="false"/>
          <w:color w:val="000000"/>
          <w:sz w:val="24"/>
        </w:rPr>
        <w:t>Note</w:t>
      </w:r>
      <w:r>
        <w:rPr>
          <w:color w:val="000000"/>
        </w:rPr>
        <w:t xml:space="preserve"> </w:t>
      </w:r>
      <w:r>
        <w:rPr>
          <w:rFonts w:ascii="Times New Roman;serif" w:hAnsi="Times New Roman;serif"/>
          <w:b w:val="false"/>
          <w:color w:val="000000"/>
          <w:sz w:val="24"/>
        </w:rPr>
        <w:t>may</w:t>
      </w:r>
      <w:r>
        <w:rPr>
          <w:color w:val="000000"/>
        </w:rPr>
        <w:t xml:space="preserve"> </w:t>
      </w:r>
      <w:r>
        <w:rPr>
          <w:rFonts w:ascii="Times New Roman;serif" w:hAnsi="Times New Roman;serif"/>
          <w:b w:val="false"/>
          <w:color w:val="000000"/>
          <w:sz w:val="24"/>
        </w:rPr>
        <w:t>be</w:t>
      </w:r>
      <w:r>
        <w:rPr>
          <w:color w:val="000000"/>
        </w:rPr>
        <w:t xml:space="preserve"> </w:t>
      </w:r>
      <w:r>
        <w:rPr>
          <w:rFonts w:ascii="Times New Roman;serif" w:hAnsi="Times New Roman;serif"/>
          <w:b w:val="false"/>
          <w:color w:val="000000"/>
          <w:sz w:val="24"/>
        </w:rPr>
        <w:t>exchanged</w:t>
      </w:r>
      <w:r>
        <w:rPr>
          <w:color w:val="000000"/>
        </w:rPr>
        <w:t xml:space="preserve"> </w:t>
      </w:r>
      <w:r>
        <w:rPr>
          <w:rFonts w:ascii="Times New Roman;serif" w:hAnsi="Times New Roman;serif"/>
          <w:b w:val="false"/>
          <w:color w:val="000000"/>
          <w:sz w:val="24"/>
        </w:rPr>
        <w:t>by</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Holder</w:t>
      </w:r>
      <w:r>
        <w:rPr>
          <w:color w:val="000000"/>
        </w:rPr>
        <w:t xml:space="preserve"> </w:t>
      </w:r>
      <w:r>
        <w:rPr>
          <w:rFonts w:ascii="Times New Roman;serif" w:hAnsi="Times New Roman;serif"/>
          <w:b w:val="false"/>
          <w:color w:val="000000"/>
          <w:sz w:val="24"/>
        </w:rPr>
        <w:t>thereof</w:t>
      </w:r>
      <w:r>
        <w:rPr>
          <w:color w:val="000000"/>
        </w:rPr>
        <w:t xml:space="preserve"> </w:t>
      </w:r>
      <w:r>
        <w:rPr>
          <w:rFonts w:ascii="Times New Roman;serif" w:hAnsi="Times New Roman;serif"/>
          <w:b w:val="false"/>
          <w:color w:val="000000"/>
          <w:sz w:val="24"/>
        </w:rPr>
        <w:t>for</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beneficial</w:t>
      </w:r>
      <w:r>
        <w:rPr>
          <w:color w:val="000000"/>
        </w:rPr>
        <w:t xml:space="preserve"> </w:t>
      </w:r>
      <w:r>
        <w:rPr>
          <w:rFonts w:ascii="Times New Roman;serif" w:hAnsi="Times New Roman;serif"/>
          <w:b w:val="false"/>
          <w:color w:val="000000"/>
          <w:sz w:val="24"/>
        </w:rPr>
        <w:t>interest</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an</w:t>
      </w:r>
      <w:r>
        <w:rPr>
          <w:color w:val="000000"/>
        </w:rPr>
        <w:t xml:space="preserve"> </w:t>
      </w:r>
      <w:r>
        <w:rPr>
          <w:rFonts w:ascii="Times New Roman;serif" w:hAnsi="Times New Roman;serif"/>
          <w:b w:val="false"/>
          <w:color w:val="000000"/>
          <w:sz w:val="24"/>
        </w:rPr>
        <w:t>Unrestricted</w:t>
      </w:r>
      <w:r>
        <w:rPr>
          <w:color w:val="000000"/>
        </w:rPr>
        <w:t xml:space="preserve"> </w:t>
      </w:r>
      <w:r>
        <w:rPr>
          <w:rFonts w:ascii="Times New Roman;serif" w:hAnsi="Times New Roman;serif"/>
          <w:b w:val="false"/>
          <w:color w:val="000000"/>
          <w:sz w:val="24"/>
        </w:rPr>
        <w:t>Global</w:t>
      </w:r>
      <w:r>
        <w:rPr>
          <w:color w:val="000000"/>
        </w:rPr>
        <w:t xml:space="preserve"> </w:t>
      </w:r>
      <w:r>
        <w:rPr>
          <w:rFonts w:ascii="Times New Roman;serif" w:hAnsi="Times New Roman;serif"/>
          <w:b w:val="false"/>
          <w:color w:val="000000"/>
          <w:sz w:val="24"/>
        </w:rPr>
        <w:t>Note</w:t>
      </w:r>
      <w:r>
        <w:rPr>
          <w:color w:val="000000"/>
        </w:rPr>
        <w:t xml:space="preserve"> </w:t>
      </w:r>
      <w:r>
        <w:rPr>
          <w:rFonts w:ascii="Times New Roman;serif" w:hAnsi="Times New Roman;serif"/>
          <w:b w:val="false"/>
          <w:color w:val="000000"/>
          <w:sz w:val="24"/>
        </w:rPr>
        <w:t xml:space="preserve">or transferred to a Person who takes delivery thereof in the form of a beneficial interest in an Unrestricted Global Note if the exchange or transfer complies with the requirements of </w:t>
      </w:r>
      <w:r>
        <w:rPr>
          <w:rFonts w:ascii="Times New Roman;serif" w:hAnsi="Times New Roman;serif"/>
          <w:b w:val="false"/>
          <w:color w:val="000000"/>
          <w:sz w:val="24"/>
          <w:u w:val="single"/>
        </w:rPr>
        <w:t>Section 2.06(b)(2)</w:t>
      </w:r>
      <w:r>
        <w:rPr>
          <w:color w:val="000000"/>
        </w:rPr>
        <w:t xml:space="preserve"> </w:t>
      </w:r>
      <w:r>
        <w:rPr>
          <w:rFonts w:ascii="Times New Roman;serif" w:hAnsi="Times New Roman;serif"/>
          <w:b w:val="false"/>
          <w:color w:val="000000"/>
          <w:sz w:val="24"/>
        </w:rPr>
        <w:t>above and:</w:t>
      </w:r>
    </w:p>
    <w:p>
      <w:pPr>
        <w:pStyle w:val="TextBody"/>
        <w:bidi w:val="0"/>
        <w:spacing w:lineRule="auto" w:line="240" w:before="0" w:after="240"/>
        <w:ind w:left="0" w:right="0" w:firstLine="720"/>
        <w:jc w:val="both"/>
        <w:rPr/>
      </w:pPr>
      <w:r>
        <w:rPr>
          <w:rFonts w:ascii="Times New Roman;serif" w:hAnsi="Times New Roman;serif"/>
          <w:b w:val="false"/>
          <w:color w:val="000000"/>
          <w:sz w:val="24"/>
        </w:rPr>
        <w:t>(A)the</w:t>
      </w:r>
      <w:r>
        <w:rPr>
          <w:color w:val="000000"/>
        </w:rPr>
        <w:t xml:space="preserve"> </w:t>
      </w:r>
      <w:r>
        <w:rPr>
          <w:rFonts w:ascii="Times New Roman;serif" w:hAnsi="Times New Roman;serif"/>
          <w:b w:val="false"/>
          <w:color w:val="000000"/>
          <w:sz w:val="24"/>
        </w:rPr>
        <w:t>Registrar</w:t>
      </w:r>
      <w:r>
        <w:rPr>
          <w:color w:val="000000"/>
        </w:rPr>
        <w:t xml:space="preserve"> </w:t>
      </w:r>
      <w:r>
        <w:rPr>
          <w:rFonts w:ascii="Times New Roman;serif" w:hAnsi="Times New Roman;serif"/>
          <w:b w:val="false"/>
          <w:color w:val="000000"/>
          <w:sz w:val="24"/>
        </w:rPr>
        <w:t>receives</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following:</w:t>
      </w:r>
    </w:p>
    <w:p>
      <w:pPr>
        <w:pStyle w:val="TextBody"/>
        <w:bidi w:val="0"/>
        <w:spacing w:lineRule="auto" w:line="240" w:before="0" w:after="240"/>
        <w:ind w:left="0" w:right="0" w:firstLine="1440"/>
        <w:jc w:val="both"/>
        <w:rPr/>
      </w:pPr>
      <w:r>
        <w:rPr>
          <w:rFonts w:ascii="Times New Roman;serif" w:hAnsi="Times New Roman;serif"/>
          <w:b w:val="false"/>
          <w:color w:val="000000"/>
          <w:sz w:val="24"/>
        </w:rPr>
        <w:t>(i)if the Holder of such beneficial interest in a Restricted Global Note proposes to exchange such beneficial interest for a</w:t>
      </w:r>
      <w:r>
        <w:rPr>
          <w:color w:val="000000"/>
        </w:rPr>
        <w:t xml:space="preserve"> </w:t>
      </w:r>
      <w:r>
        <w:rPr>
          <w:rFonts w:ascii="Times New Roman;serif" w:hAnsi="Times New Roman;serif"/>
          <w:b w:val="false"/>
          <w:color w:val="000000"/>
          <w:sz w:val="24"/>
        </w:rPr>
        <w:t xml:space="preserve">beneficial interest in an Unrestricted Global Note, a certificate from such Holder in the form of </w:t>
      </w:r>
      <w:r>
        <w:rPr>
          <w:rFonts w:ascii="Times New Roman;serif" w:hAnsi="Times New Roman;serif"/>
          <w:b w:val="false"/>
          <w:color w:val="000000"/>
          <w:sz w:val="24"/>
          <w:u w:val="single"/>
        </w:rPr>
        <w:t>Exhibit D</w:t>
      </w:r>
      <w:r>
        <w:rPr>
          <w:color w:val="000000"/>
        </w:rPr>
        <w:t xml:space="preserve"> </w:t>
      </w:r>
      <w:r>
        <w:rPr>
          <w:rFonts w:ascii="Times New Roman;serif" w:hAnsi="Times New Roman;serif"/>
          <w:b w:val="false"/>
          <w:color w:val="000000"/>
          <w:sz w:val="24"/>
        </w:rPr>
        <w:t>hereto, including the</w:t>
      </w:r>
      <w:r>
        <w:rPr>
          <w:color w:val="000000"/>
        </w:rPr>
        <w:t xml:space="preserve"> </w:t>
      </w:r>
      <w:r>
        <w:rPr>
          <w:rFonts w:ascii="Times New Roman;serif" w:hAnsi="Times New Roman;serif"/>
          <w:b w:val="false"/>
          <w:color w:val="000000"/>
          <w:sz w:val="24"/>
        </w:rPr>
        <w:t>certifications in item (1)(a) thereof; or</w:t>
      </w:r>
    </w:p>
    <w:p>
      <w:pPr>
        <w:pStyle w:val="TextBody"/>
        <w:bidi w:val="0"/>
        <w:spacing w:lineRule="auto" w:line="240" w:before="0" w:after="240"/>
        <w:ind w:left="0" w:right="0" w:firstLine="1440"/>
        <w:jc w:val="both"/>
        <w:rPr/>
      </w:pPr>
      <w:r>
        <w:rPr>
          <w:rFonts w:ascii="Times New Roman;serif" w:hAnsi="Times New Roman;serif"/>
          <w:b w:val="false"/>
          <w:color w:val="000000"/>
          <w:sz w:val="24"/>
        </w:rPr>
        <w:t>(ii)if the Holder of such beneficial interest in a Restricted Global Note proposes to transfer such beneficial interest to a Person</w:t>
      </w:r>
      <w:r>
        <w:rPr>
          <w:color w:val="000000"/>
        </w:rPr>
        <w:t xml:space="preserve"> </w:t>
      </w:r>
      <w:r>
        <w:rPr>
          <w:rFonts w:ascii="Times New Roman;serif" w:hAnsi="Times New Roman;serif"/>
          <w:b w:val="false"/>
          <w:color w:val="000000"/>
          <w:sz w:val="24"/>
        </w:rPr>
        <w:t>who</w:t>
      </w:r>
      <w:r>
        <w:rPr>
          <w:color w:val="000000"/>
        </w:rPr>
        <w:t xml:space="preserve"> </w:t>
      </w:r>
      <w:r>
        <w:rPr>
          <w:rFonts w:ascii="Times New Roman;serif" w:hAnsi="Times New Roman;serif"/>
          <w:b w:val="false"/>
          <w:color w:val="000000"/>
          <w:sz w:val="24"/>
        </w:rPr>
        <w:t>shall</w:t>
      </w:r>
      <w:r>
        <w:rPr>
          <w:color w:val="000000"/>
        </w:rPr>
        <w:t xml:space="preserve"> </w:t>
      </w:r>
      <w:r>
        <w:rPr>
          <w:rFonts w:ascii="Times New Roman;serif" w:hAnsi="Times New Roman;serif"/>
          <w:b w:val="false"/>
          <w:color w:val="000000"/>
          <w:sz w:val="24"/>
        </w:rPr>
        <w:t>take</w:t>
      </w:r>
      <w:r>
        <w:rPr>
          <w:color w:val="000000"/>
        </w:rPr>
        <w:t xml:space="preserve"> </w:t>
      </w:r>
      <w:r>
        <w:rPr>
          <w:rFonts w:ascii="Times New Roman;serif" w:hAnsi="Times New Roman;serif"/>
          <w:b w:val="false"/>
          <w:color w:val="000000"/>
          <w:sz w:val="24"/>
        </w:rPr>
        <w:t>delivery</w:t>
      </w:r>
      <w:r>
        <w:rPr>
          <w:color w:val="000000"/>
        </w:rPr>
        <w:t xml:space="preserve"> </w:t>
      </w:r>
      <w:r>
        <w:rPr>
          <w:rFonts w:ascii="Times New Roman;serif" w:hAnsi="Times New Roman;serif"/>
          <w:b w:val="false"/>
          <w:color w:val="000000"/>
          <w:sz w:val="24"/>
        </w:rPr>
        <w:t>thereof</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form</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beneficial</w:t>
      </w:r>
      <w:r>
        <w:rPr>
          <w:color w:val="000000"/>
        </w:rPr>
        <w:t xml:space="preserve"> </w:t>
      </w:r>
      <w:r>
        <w:rPr>
          <w:rFonts w:ascii="Times New Roman;serif" w:hAnsi="Times New Roman;serif"/>
          <w:b w:val="false"/>
          <w:color w:val="000000"/>
          <w:sz w:val="24"/>
        </w:rPr>
        <w:t>interest</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an</w:t>
      </w:r>
      <w:r>
        <w:rPr>
          <w:color w:val="000000"/>
        </w:rPr>
        <w:t xml:space="preserve"> </w:t>
      </w:r>
      <w:r>
        <w:rPr>
          <w:rFonts w:ascii="Times New Roman;serif" w:hAnsi="Times New Roman;serif"/>
          <w:b w:val="false"/>
          <w:color w:val="000000"/>
          <w:sz w:val="24"/>
        </w:rPr>
        <w:t>Unrestricted</w:t>
      </w:r>
      <w:r>
        <w:rPr>
          <w:color w:val="000000"/>
        </w:rPr>
        <w:t xml:space="preserve"> </w:t>
      </w:r>
      <w:r>
        <w:rPr>
          <w:rFonts w:ascii="Times New Roman;serif" w:hAnsi="Times New Roman;serif"/>
          <w:b w:val="false"/>
          <w:color w:val="000000"/>
          <w:sz w:val="24"/>
        </w:rPr>
        <w:t>Global</w:t>
      </w:r>
      <w:r>
        <w:rPr>
          <w:color w:val="000000"/>
        </w:rPr>
        <w:t xml:space="preserve"> </w:t>
      </w:r>
      <w:r>
        <w:rPr>
          <w:rFonts w:ascii="Times New Roman;serif" w:hAnsi="Times New Roman;serif"/>
          <w:b w:val="false"/>
          <w:color w:val="000000"/>
          <w:sz w:val="24"/>
        </w:rPr>
        <w:t>Note,</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certificate</w:t>
      </w:r>
      <w:r>
        <w:rPr>
          <w:color w:val="000000"/>
        </w:rPr>
        <w:t xml:space="preserve"> </w:t>
      </w:r>
      <w:r>
        <w:rPr>
          <w:rFonts w:ascii="Times New Roman;serif" w:hAnsi="Times New Roman;serif"/>
          <w:b w:val="false"/>
          <w:color w:val="000000"/>
          <w:sz w:val="24"/>
        </w:rPr>
        <w:t>from</w:t>
      </w:r>
      <w:r>
        <w:rPr>
          <w:color w:val="000000"/>
        </w:rPr>
        <w:t xml:space="preserve"> </w:t>
      </w:r>
      <w:r>
        <w:rPr>
          <w:rFonts w:ascii="Times New Roman;serif" w:hAnsi="Times New Roman;serif"/>
          <w:b w:val="false"/>
          <w:color w:val="000000"/>
          <w:sz w:val="24"/>
        </w:rPr>
        <w:t>such</w:t>
      </w:r>
      <w:r>
        <w:rPr>
          <w:color w:val="000000"/>
        </w:rPr>
        <w:t xml:space="preserve"> </w:t>
      </w:r>
      <w:r>
        <w:rPr>
          <w:rFonts w:ascii="Times New Roman;serif" w:hAnsi="Times New Roman;serif"/>
          <w:b w:val="false"/>
          <w:color w:val="000000"/>
          <w:sz w:val="24"/>
        </w:rPr>
        <w:t>Holder</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 xml:space="preserve">form of </w:t>
      </w:r>
      <w:r>
        <w:rPr>
          <w:rFonts w:ascii="Times New Roman;serif" w:hAnsi="Times New Roman;serif"/>
          <w:b w:val="false"/>
          <w:color w:val="000000"/>
          <w:sz w:val="24"/>
          <w:u w:val="single"/>
        </w:rPr>
        <w:t>Exhibit B</w:t>
      </w:r>
      <w:r>
        <w:rPr>
          <w:color w:val="000000"/>
        </w:rPr>
        <w:t xml:space="preserve"> </w:t>
      </w:r>
      <w:r>
        <w:rPr>
          <w:rFonts w:ascii="Times New Roman;serif" w:hAnsi="Times New Roman;serif"/>
          <w:b w:val="false"/>
          <w:color w:val="000000"/>
          <w:sz w:val="24"/>
        </w:rPr>
        <w:t>hereto, including the certifications in item (4) thereof;</w:t>
      </w:r>
    </w:p>
    <w:p>
      <w:pPr>
        <w:pStyle w:val="TextBody"/>
        <w:bidi w:val="0"/>
        <w:spacing w:lineRule="auto" w:line="288" w:before="0" w:after="240"/>
        <w:jc w:val="both"/>
        <w:rPr/>
      </w:pPr>
      <w:r>
        <w:rPr>
          <w:rFonts w:ascii="Times New Roman;serif" w:hAnsi="Times New Roman;serif"/>
          <w:b w:val="false"/>
          <w:color w:val="000000"/>
          <w:sz w:val="24"/>
        </w:rPr>
        <w:t>and, in each such case set forth in this subparagraph (A), if the Registrar so requests or if the Applicable Procedures so require, an Opinion</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Counsel in form</w:t>
      </w:r>
      <w:r>
        <w:rPr>
          <w:color w:val="000000"/>
        </w:rPr>
        <w:t xml:space="preserve"> </w:t>
      </w:r>
      <w:r>
        <w:rPr>
          <w:rFonts w:ascii="Times New Roman;serif" w:hAnsi="Times New Roman;serif"/>
          <w:b w:val="false"/>
          <w:color w:val="000000"/>
          <w:sz w:val="24"/>
        </w:rPr>
        <w:t>reasonably</w:t>
      </w:r>
      <w:r>
        <w:rPr>
          <w:color w:val="000000"/>
        </w:rPr>
        <w:t xml:space="preserve"> </w:t>
      </w:r>
      <w:r>
        <w:rPr>
          <w:rFonts w:ascii="Times New Roman;serif" w:hAnsi="Times New Roman;serif"/>
          <w:b w:val="false"/>
          <w:color w:val="000000"/>
          <w:sz w:val="24"/>
        </w:rPr>
        <w:t>acceptable to the Registrar to the effect that such</w:t>
      </w:r>
      <w:r>
        <w:rPr>
          <w:color w:val="000000"/>
        </w:rPr>
        <w:t xml:space="preserve"> </w:t>
      </w:r>
      <w:r>
        <w:rPr>
          <w:rFonts w:ascii="Times New Roman;serif" w:hAnsi="Times New Roman;serif"/>
          <w:b w:val="false"/>
          <w:color w:val="000000"/>
          <w:sz w:val="24"/>
        </w:rPr>
        <w:t>exchange or</w:t>
      </w:r>
      <w:r>
        <w:rPr>
          <w:color w:val="000000"/>
        </w:rPr>
        <w:t xml:space="preserve"> </w:t>
      </w:r>
      <w:r>
        <w:rPr>
          <w:rFonts w:ascii="Times New Roman;serif" w:hAnsi="Times New Roman;serif"/>
          <w:b w:val="false"/>
          <w:color w:val="000000"/>
          <w:sz w:val="24"/>
        </w:rPr>
        <w:t>transfer is in compliance with</w:t>
      </w:r>
      <w:r>
        <w:rPr>
          <w:color w:val="000000"/>
        </w:rPr>
        <w:t xml:space="preserve"> </w:t>
      </w:r>
      <w:r>
        <w:rPr>
          <w:rFonts w:ascii="Times New Roman;serif" w:hAnsi="Times New Roman;serif"/>
          <w:b w:val="false"/>
          <w:color w:val="000000"/>
          <w:sz w:val="24"/>
        </w:rPr>
        <w:t>the Securities</w:t>
      </w:r>
      <w:r>
        <w:rPr>
          <w:color w:val="000000"/>
        </w:rPr>
        <w:t xml:space="preserve"> </w:t>
      </w:r>
      <w:r>
        <w:rPr>
          <w:rFonts w:ascii="Times New Roman;serif" w:hAnsi="Times New Roman;serif"/>
          <w:b w:val="false"/>
          <w:color w:val="000000"/>
          <w:sz w:val="24"/>
        </w:rPr>
        <w:t>Act and that the restrictions on transfer contained herein and in the Private Placement Legend are no longer required in order to maintain</w:t>
      </w:r>
      <w:r>
        <w:rPr>
          <w:color w:val="000000"/>
        </w:rPr>
        <w:t xml:space="preserve"> </w:t>
      </w:r>
      <w:r>
        <w:rPr>
          <w:rFonts w:ascii="Times New Roman;serif" w:hAnsi="Times New Roman;serif"/>
          <w:b w:val="false"/>
          <w:color w:val="000000"/>
          <w:sz w:val="24"/>
        </w:rPr>
        <w:t>compliance with the Securities Act.</w:t>
      </w:r>
    </w:p>
    <w:p>
      <w:pPr>
        <w:pStyle w:val="TextBody"/>
        <w:bidi w:val="0"/>
        <w:spacing w:before="0" w:after="0"/>
        <w:jc w:val="left"/>
        <w:rPr/>
      </w:pPr>
      <w:r>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6480175" cy="768985"/>
                <wp:effectExtent l="0" t="0" r="0" b="0"/>
                <wp:wrapNone/>
                <wp:docPr id="207" name="Frame207"/>
                <a:graphic xmlns:a="http://schemas.openxmlformats.org/drawingml/2006/main">
                  <a:graphicData uri="http://schemas.microsoft.com/office/word/2010/wordprocessingShape">
                    <wps:wsp>
                      <wps:cNvSpPr txBox="1"/>
                      <wps:spPr>
                        <a:xfrm>
                          <a:off x="0" y="0"/>
                          <a:ext cx="6480175" cy="7689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34</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0.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34</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If any such transfer is effected pursuant to subparagraph (A) above at a time when an Unrestricted Global Note has not yet been issued,</w:t>
      </w:r>
      <w:r>
        <w:rPr>
          <w:color w:val="000000"/>
        </w:rPr>
        <w:t xml:space="preserve"> </w:t>
      </w:r>
      <w:r>
        <w:rPr>
          <w:rFonts w:ascii="Times New Roman;serif" w:hAnsi="Times New Roman;serif"/>
          <w:b w:val="false"/>
          <w:color w:val="000000"/>
          <w:sz w:val="24"/>
        </w:rPr>
        <w:t xml:space="preserve">the Issuer shall issue and, upon receipt of an Issuer Order in accordance with </w:t>
      </w:r>
      <w:r>
        <w:rPr>
          <w:rFonts w:ascii="Times New Roman;serif" w:hAnsi="Times New Roman;serif"/>
          <w:b w:val="false"/>
          <w:color w:val="000000"/>
          <w:sz w:val="24"/>
          <w:u w:val="single"/>
        </w:rPr>
        <w:t>Section 2.02</w:t>
      </w:r>
      <w:r>
        <w:rPr>
          <w:color w:val="000000"/>
        </w:rPr>
        <w:t xml:space="preserve"> </w:t>
      </w:r>
      <w:r>
        <w:rPr>
          <w:rFonts w:ascii="Times New Roman;serif" w:hAnsi="Times New Roman;serif"/>
          <w:b w:val="false"/>
          <w:color w:val="000000"/>
          <w:sz w:val="24"/>
        </w:rPr>
        <w:t>hereof, the Trustee shall authenticate one or more</w:t>
      </w:r>
      <w:r>
        <w:rPr>
          <w:color w:val="000000"/>
        </w:rPr>
        <w:t xml:space="preserve"> </w:t>
      </w:r>
      <w:r>
        <w:rPr>
          <w:rFonts w:ascii="Times New Roman;serif" w:hAnsi="Times New Roman;serif"/>
          <w:b w:val="false"/>
          <w:color w:val="000000"/>
          <w:sz w:val="24"/>
        </w:rPr>
        <w:t>Unrestricted Global Notes in an aggregate principal amount equal to the aggregate principal amount of beneficial interests transferred pursuant to</w:t>
      </w:r>
      <w:r>
        <w:rPr>
          <w:color w:val="000000"/>
        </w:rPr>
        <w:t xml:space="preserve"> </w:t>
      </w:r>
      <w:r>
        <w:rPr>
          <w:rFonts w:ascii="Times New Roman;serif" w:hAnsi="Times New Roman;serif"/>
          <w:b w:val="false"/>
          <w:color w:val="000000"/>
          <w:sz w:val="24"/>
        </w:rPr>
        <w:t>subparagraph (A) above.</w:t>
      </w:r>
    </w:p>
    <w:p>
      <w:pPr>
        <w:pStyle w:val="TextBody"/>
        <w:bidi w:val="0"/>
        <w:spacing w:lineRule="auto" w:line="288" w:before="0" w:after="240"/>
        <w:jc w:val="both"/>
        <w:rPr/>
      </w:pPr>
      <w:r>
        <w:rPr>
          <w:rFonts w:ascii="Times New Roman;serif" w:hAnsi="Times New Roman;serif"/>
          <w:b w:val="false"/>
          <w:color w:val="000000"/>
          <w:sz w:val="24"/>
        </w:rPr>
        <w:t>Beneficial interests in an Unrestricted Global Note cannot be exchanged for, or transferred to Persons who take delivery thereof in the form</w:t>
      </w:r>
      <w:r>
        <w:rPr>
          <w:color w:val="000000"/>
        </w:rPr>
        <w:t xml:space="preserve"> </w:t>
      </w:r>
      <w:r>
        <w:rPr>
          <w:rFonts w:ascii="Times New Roman;serif" w:hAnsi="Times New Roman;serif"/>
          <w:b w:val="false"/>
          <w:color w:val="000000"/>
          <w:sz w:val="24"/>
        </w:rPr>
        <w:t>of, a beneficial interest in a Restricted Global Note.</w:t>
      </w:r>
    </w:p>
    <w:p>
      <w:pPr>
        <w:pStyle w:val="TextBody"/>
        <w:bidi w:val="0"/>
        <w:spacing w:lineRule="auto" w:line="240" w:before="0" w:after="240"/>
        <w:ind w:left="0" w:right="0" w:firstLine="720"/>
        <w:jc w:val="both"/>
        <w:rPr/>
      </w:pPr>
      <w:r>
        <w:rPr>
          <w:rFonts w:ascii="Times New Roman;serif" w:hAnsi="Times New Roman;serif"/>
          <w:b w:val="false"/>
          <w:color w:val="000000"/>
          <w:sz w:val="24"/>
        </w:rPr>
        <w:t>(c)</w:t>
      </w:r>
      <w:r>
        <w:rPr>
          <w:rFonts w:ascii="Times New Roman;serif" w:hAnsi="Times New Roman;serif"/>
          <w:b w:val="false"/>
          <w:i/>
          <w:color w:val="000000"/>
          <w:sz w:val="24"/>
        </w:rPr>
        <w:t>Transfer or Exchange of Beneficial Interests in Global Notes for Definitive Notes</w:t>
      </w:r>
      <w:r>
        <w:rPr>
          <w:rFonts w:ascii="Times New Roman;serif" w:hAnsi="Times New Roman;serif"/>
          <w:b w:val="false"/>
          <w:color w:val="000000"/>
          <w:sz w:val="24"/>
        </w:rPr>
        <w:t>. Transfers or exchanges of beneficial interests in Global Notes</w:t>
      </w:r>
      <w:r>
        <w:rPr>
          <w:color w:val="000000"/>
        </w:rPr>
        <w:t xml:space="preserve"> </w:t>
      </w:r>
      <w:r>
        <w:rPr>
          <w:rFonts w:ascii="Times New Roman;serif" w:hAnsi="Times New Roman;serif"/>
          <w:b w:val="false"/>
          <w:color w:val="000000"/>
          <w:sz w:val="24"/>
        </w:rPr>
        <w:t xml:space="preserve">for Definitive Notes shall in each case be subject to the satisfaction of any applicable conditions set forth in </w:t>
      </w:r>
      <w:r>
        <w:rPr>
          <w:rFonts w:ascii="Times New Roman;serif" w:hAnsi="Times New Roman;serif"/>
          <w:b w:val="false"/>
          <w:color w:val="000000"/>
          <w:sz w:val="24"/>
          <w:u w:val="single"/>
        </w:rPr>
        <w:t>Section 2.06(b)(2)</w:t>
      </w:r>
      <w:r>
        <w:rPr>
          <w:color w:val="000000"/>
        </w:rPr>
        <w:t xml:space="preserve"> </w:t>
      </w:r>
      <w:r>
        <w:rPr>
          <w:rFonts w:ascii="Times New Roman;serif" w:hAnsi="Times New Roman;serif"/>
          <w:b w:val="false"/>
          <w:color w:val="000000"/>
          <w:sz w:val="24"/>
        </w:rPr>
        <w:t>hereof, and to the</w:t>
      </w:r>
      <w:r>
        <w:rPr>
          <w:color w:val="000000"/>
        </w:rPr>
        <w:t xml:space="preserve"> </w:t>
      </w:r>
      <w:r>
        <w:rPr>
          <w:rFonts w:ascii="Times New Roman;serif" w:hAnsi="Times New Roman;serif"/>
          <w:b w:val="false"/>
          <w:color w:val="000000"/>
          <w:sz w:val="24"/>
        </w:rPr>
        <w:t xml:space="preserve">requirements set forth below in this </w:t>
      </w:r>
      <w:r>
        <w:rPr>
          <w:rFonts w:ascii="Times New Roman;serif" w:hAnsi="Times New Roman;serif"/>
          <w:b w:val="false"/>
          <w:color w:val="000000"/>
          <w:sz w:val="24"/>
          <w:u w:val="single"/>
        </w:rPr>
        <w:t>Section 2.06(c)</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(1)</w:t>
      </w:r>
      <w:r>
        <w:rPr>
          <w:rFonts w:ascii="Times New Roman;serif" w:hAnsi="Times New Roman;serif"/>
          <w:b w:val="false"/>
          <w:i/>
          <w:color w:val="000000"/>
          <w:sz w:val="24"/>
        </w:rPr>
        <w:t>Beneficial Interests in Restricted Global Notes to Restricted Definitive Notes</w:t>
      </w:r>
      <w:r>
        <w:rPr>
          <w:rFonts w:ascii="Times New Roman;serif" w:hAnsi="Times New Roman;serif"/>
          <w:b w:val="false"/>
          <w:color w:val="000000"/>
          <w:sz w:val="24"/>
        </w:rPr>
        <w:t>. If any Holder of a beneficial interest in a Restricted Global</w:t>
      </w:r>
      <w:r>
        <w:rPr>
          <w:color w:val="000000"/>
        </w:rPr>
        <w:t xml:space="preserve"> </w:t>
      </w:r>
      <w:r>
        <w:rPr>
          <w:rFonts w:ascii="Times New Roman;serif" w:hAnsi="Times New Roman;serif"/>
          <w:b w:val="false"/>
          <w:color w:val="000000"/>
          <w:sz w:val="24"/>
        </w:rPr>
        <w:t>Note proposes to exchange such beneficial interest for a Restricted Definitive Note or to transfer such beneficial interest to a</w:t>
      </w:r>
      <w:r>
        <w:rPr>
          <w:color w:val="000000"/>
        </w:rPr>
        <w:t xml:space="preserve"> </w:t>
      </w:r>
      <w:r>
        <w:rPr>
          <w:rFonts w:ascii="Times New Roman;serif" w:hAnsi="Times New Roman;serif"/>
          <w:b w:val="false"/>
          <w:color w:val="000000"/>
          <w:sz w:val="24"/>
        </w:rPr>
        <w:t>Person who takes delivery thereof in the form of a Restricted Definitive Note, then, upon receipt by the Registrar of the following</w:t>
      </w:r>
      <w:r>
        <w:rPr>
          <w:color w:val="000000"/>
        </w:rPr>
        <w:t xml:space="preserve"> </w:t>
      </w:r>
      <w:r>
        <w:rPr>
          <w:rFonts w:ascii="Times New Roman;serif" w:hAnsi="Times New Roman;serif"/>
          <w:b w:val="false"/>
          <w:color w:val="000000"/>
          <w:sz w:val="24"/>
        </w:rPr>
        <w:t>documentation:</w:t>
      </w:r>
    </w:p>
    <w:p>
      <w:pPr>
        <w:pStyle w:val="TextBody"/>
        <w:bidi w:val="0"/>
        <w:spacing w:lineRule="auto" w:line="240" w:before="0" w:after="240"/>
        <w:ind w:left="0" w:right="0" w:firstLine="720"/>
        <w:jc w:val="both"/>
        <w:rPr/>
      </w:pPr>
      <w:r>
        <w:rPr>
          <w:rFonts w:ascii="Times New Roman;serif" w:hAnsi="Times New Roman;serif"/>
          <w:b w:val="false"/>
          <w:color w:val="000000"/>
          <w:sz w:val="24"/>
        </w:rPr>
        <w:t>(A)if the Holder of such beneficial interest in a Restricted Global Note proposes to exchange such beneficial interest for a Restricted</w:t>
      </w:r>
      <w:r>
        <w:rPr>
          <w:color w:val="000000"/>
        </w:rPr>
        <w:t xml:space="preserve"> </w:t>
      </w:r>
      <w:r>
        <w:rPr>
          <w:rFonts w:ascii="Times New Roman;serif" w:hAnsi="Times New Roman;serif"/>
          <w:b w:val="false"/>
          <w:color w:val="000000"/>
          <w:sz w:val="24"/>
        </w:rPr>
        <w:t xml:space="preserve">Definitive Note, a certificate from such Holder in the form of </w:t>
      </w:r>
      <w:r>
        <w:rPr>
          <w:rFonts w:ascii="Times New Roman;serif" w:hAnsi="Times New Roman;serif"/>
          <w:b w:val="false"/>
          <w:color w:val="000000"/>
          <w:sz w:val="24"/>
          <w:u w:val="single"/>
        </w:rPr>
        <w:t>Exhibit C</w:t>
      </w:r>
      <w:r>
        <w:rPr>
          <w:color w:val="000000"/>
        </w:rPr>
        <w:t xml:space="preserve"> </w:t>
      </w:r>
      <w:r>
        <w:rPr>
          <w:rFonts w:ascii="Times New Roman;serif" w:hAnsi="Times New Roman;serif"/>
          <w:b w:val="false"/>
          <w:color w:val="000000"/>
          <w:sz w:val="24"/>
        </w:rPr>
        <w:t>hereto, including the certifications in item (2)(a) thereof;</w:t>
      </w:r>
    </w:p>
    <w:p>
      <w:pPr>
        <w:pStyle w:val="TextBody"/>
        <w:bidi w:val="0"/>
        <w:spacing w:lineRule="auto" w:line="240" w:before="0" w:after="240"/>
        <w:ind w:left="0" w:right="0" w:firstLine="720"/>
        <w:jc w:val="both"/>
        <w:rPr/>
      </w:pPr>
      <w:r>
        <w:rPr>
          <w:rFonts w:ascii="Times New Roman;serif" w:hAnsi="Times New Roman;serif"/>
          <w:b w:val="false"/>
          <w:color w:val="000000"/>
          <w:sz w:val="24"/>
        </w:rPr>
        <w:t>(B)if</w:t>
      </w:r>
      <w:r>
        <w:rPr>
          <w:color w:val="000000"/>
        </w:rPr>
        <w:t xml:space="preserve"> </w:t>
      </w:r>
      <w:r>
        <w:rPr>
          <w:rFonts w:ascii="Times New Roman;serif" w:hAnsi="Times New Roman;serif"/>
          <w:b w:val="false"/>
          <w:color w:val="000000"/>
          <w:sz w:val="24"/>
        </w:rPr>
        <w:t>such</w:t>
      </w:r>
      <w:r>
        <w:rPr>
          <w:color w:val="000000"/>
        </w:rPr>
        <w:t xml:space="preserve"> </w:t>
      </w:r>
      <w:r>
        <w:rPr>
          <w:rFonts w:ascii="Times New Roman;serif" w:hAnsi="Times New Roman;serif"/>
          <w:b w:val="false"/>
          <w:color w:val="000000"/>
          <w:sz w:val="24"/>
        </w:rPr>
        <w:t>beneficial</w:t>
      </w:r>
      <w:r>
        <w:rPr>
          <w:color w:val="000000"/>
        </w:rPr>
        <w:t xml:space="preserve"> </w:t>
      </w:r>
      <w:r>
        <w:rPr>
          <w:rFonts w:ascii="Times New Roman;serif" w:hAnsi="Times New Roman;serif"/>
          <w:b w:val="false"/>
          <w:color w:val="000000"/>
          <w:sz w:val="24"/>
        </w:rPr>
        <w:t>interest</w:t>
      </w:r>
      <w:r>
        <w:rPr>
          <w:color w:val="000000"/>
        </w:rPr>
        <w:t xml:space="preserve"> </w:t>
      </w:r>
      <w:r>
        <w:rPr>
          <w:rFonts w:ascii="Times New Roman;serif" w:hAnsi="Times New Roman;serif"/>
          <w:b w:val="false"/>
          <w:color w:val="000000"/>
          <w:sz w:val="24"/>
        </w:rPr>
        <w:t>is</w:t>
      </w:r>
      <w:r>
        <w:rPr>
          <w:color w:val="000000"/>
        </w:rPr>
        <w:t xml:space="preserve"> </w:t>
      </w:r>
      <w:r>
        <w:rPr>
          <w:rFonts w:ascii="Times New Roman;serif" w:hAnsi="Times New Roman;serif"/>
          <w:b w:val="false"/>
          <w:color w:val="000000"/>
          <w:sz w:val="24"/>
        </w:rPr>
        <w:t>being</w:t>
      </w:r>
      <w:r>
        <w:rPr>
          <w:color w:val="000000"/>
        </w:rPr>
        <w:t xml:space="preserve"> </w:t>
      </w:r>
      <w:r>
        <w:rPr>
          <w:rFonts w:ascii="Times New Roman;serif" w:hAnsi="Times New Roman;serif"/>
          <w:b w:val="false"/>
          <w:color w:val="000000"/>
          <w:sz w:val="24"/>
        </w:rPr>
        <w:t>transferred</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QIB</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accordance</w:t>
      </w:r>
      <w:r>
        <w:rPr>
          <w:color w:val="000000"/>
        </w:rPr>
        <w:t xml:space="preserve"> </w:t>
      </w:r>
      <w:r>
        <w:rPr>
          <w:rFonts w:ascii="Times New Roman;serif" w:hAnsi="Times New Roman;serif"/>
          <w:b w:val="false"/>
          <w:color w:val="000000"/>
          <w:sz w:val="24"/>
        </w:rPr>
        <w:t>with</w:t>
      </w:r>
      <w:r>
        <w:rPr>
          <w:color w:val="000000"/>
        </w:rPr>
        <w:t xml:space="preserve"> </w:t>
      </w:r>
      <w:r>
        <w:rPr>
          <w:rFonts w:ascii="Times New Roman;serif" w:hAnsi="Times New Roman;serif"/>
          <w:b w:val="false"/>
          <w:color w:val="000000"/>
          <w:sz w:val="24"/>
        </w:rPr>
        <w:t>Rule</w:t>
      </w:r>
      <w:r>
        <w:rPr>
          <w:color w:val="000000"/>
        </w:rPr>
        <w:t xml:space="preserve"> </w:t>
      </w:r>
      <w:r>
        <w:rPr>
          <w:rFonts w:ascii="Times New Roman;serif" w:hAnsi="Times New Roman;serif"/>
          <w:b w:val="false"/>
          <w:color w:val="000000"/>
          <w:sz w:val="24"/>
        </w:rPr>
        <w:t>144A,</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certificate</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effect</w:t>
      </w:r>
      <w:r>
        <w:rPr>
          <w:color w:val="000000"/>
        </w:rPr>
        <w:t xml:space="preserve"> </w:t>
      </w:r>
      <w:r>
        <w:rPr>
          <w:rFonts w:ascii="Times New Roman;serif" w:hAnsi="Times New Roman;serif"/>
          <w:b w:val="false"/>
          <w:color w:val="000000"/>
          <w:sz w:val="24"/>
        </w:rPr>
        <w:t>set</w:t>
      </w:r>
      <w:r>
        <w:rPr>
          <w:color w:val="000000"/>
        </w:rPr>
        <w:t xml:space="preserve"> </w:t>
      </w:r>
      <w:r>
        <w:rPr>
          <w:rFonts w:ascii="Times New Roman;serif" w:hAnsi="Times New Roman;serif"/>
          <w:b w:val="false"/>
          <w:color w:val="000000"/>
          <w:sz w:val="24"/>
        </w:rPr>
        <w:t>forth</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u w:val="single"/>
        </w:rPr>
        <w:t>Exhibit B</w:t>
      </w:r>
      <w:r>
        <w:rPr>
          <w:color w:val="000000"/>
        </w:rPr>
        <w:t xml:space="preserve"> </w:t>
      </w:r>
      <w:r>
        <w:rPr>
          <w:rFonts w:ascii="Times New Roman;serif" w:hAnsi="Times New Roman;serif"/>
          <w:b w:val="false"/>
          <w:color w:val="000000"/>
          <w:sz w:val="24"/>
        </w:rPr>
        <w:t>hereto, including the certifications in item (1) thereof;</w:t>
      </w:r>
    </w:p>
    <w:p>
      <w:pPr>
        <w:pStyle w:val="TextBody"/>
        <w:bidi w:val="0"/>
        <w:spacing w:lineRule="auto" w:line="240" w:before="0" w:after="240"/>
        <w:ind w:left="0" w:right="0" w:firstLine="720"/>
        <w:jc w:val="both"/>
        <w:rPr/>
      </w:pPr>
      <w:r>
        <w:rPr>
          <w:rFonts w:ascii="Times New Roman;serif" w:hAnsi="Times New Roman;serif"/>
          <w:b w:val="false"/>
          <w:color w:val="000000"/>
          <w:sz w:val="24"/>
        </w:rPr>
        <w:t>(C)if</w:t>
      </w:r>
      <w:r>
        <w:rPr>
          <w:color w:val="000000"/>
        </w:rPr>
        <w:t xml:space="preserve"> </w:t>
      </w:r>
      <w:r>
        <w:rPr>
          <w:rFonts w:ascii="Times New Roman;serif" w:hAnsi="Times New Roman;serif"/>
          <w:b w:val="false"/>
          <w:color w:val="000000"/>
          <w:sz w:val="24"/>
        </w:rPr>
        <w:t>such</w:t>
      </w:r>
      <w:r>
        <w:rPr>
          <w:color w:val="000000"/>
        </w:rPr>
        <w:t xml:space="preserve"> </w:t>
      </w:r>
      <w:r>
        <w:rPr>
          <w:rFonts w:ascii="Times New Roman;serif" w:hAnsi="Times New Roman;serif"/>
          <w:b w:val="false"/>
          <w:color w:val="000000"/>
          <w:sz w:val="24"/>
        </w:rPr>
        <w:t>beneficial</w:t>
      </w:r>
      <w:r>
        <w:rPr>
          <w:color w:val="000000"/>
        </w:rPr>
        <w:t xml:space="preserve"> </w:t>
      </w:r>
      <w:r>
        <w:rPr>
          <w:rFonts w:ascii="Times New Roman;serif" w:hAnsi="Times New Roman;serif"/>
          <w:b w:val="false"/>
          <w:color w:val="000000"/>
          <w:sz w:val="24"/>
        </w:rPr>
        <w:t>interest</w:t>
      </w:r>
      <w:r>
        <w:rPr>
          <w:color w:val="000000"/>
        </w:rPr>
        <w:t xml:space="preserve"> </w:t>
      </w:r>
      <w:r>
        <w:rPr>
          <w:rFonts w:ascii="Times New Roman;serif" w:hAnsi="Times New Roman;serif"/>
          <w:b w:val="false"/>
          <w:color w:val="000000"/>
          <w:sz w:val="24"/>
        </w:rPr>
        <w:t>is</w:t>
      </w:r>
      <w:r>
        <w:rPr>
          <w:color w:val="000000"/>
        </w:rPr>
        <w:t xml:space="preserve"> </w:t>
      </w:r>
      <w:r>
        <w:rPr>
          <w:rFonts w:ascii="Times New Roman;serif" w:hAnsi="Times New Roman;serif"/>
          <w:b w:val="false"/>
          <w:color w:val="000000"/>
          <w:sz w:val="24"/>
        </w:rPr>
        <w:t>being</w:t>
      </w:r>
      <w:r>
        <w:rPr>
          <w:color w:val="000000"/>
        </w:rPr>
        <w:t xml:space="preserve"> </w:t>
      </w:r>
      <w:r>
        <w:rPr>
          <w:rFonts w:ascii="Times New Roman;serif" w:hAnsi="Times New Roman;serif"/>
          <w:b w:val="false"/>
          <w:color w:val="000000"/>
          <w:sz w:val="24"/>
        </w:rPr>
        <w:t>transferred</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a non-U.S.</w:t>
      </w:r>
      <w:r>
        <w:rPr>
          <w:color w:val="000000"/>
        </w:rPr>
        <w:t xml:space="preserve"> </w:t>
      </w:r>
      <w:r>
        <w:rPr>
          <w:rFonts w:ascii="Times New Roman;serif" w:hAnsi="Times New Roman;serif"/>
          <w:b w:val="false"/>
          <w:color w:val="000000"/>
          <w:sz w:val="24"/>
        </w:rPr>
        <w:t>Person</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an</w:t>
      </w:r>
      <w:r>
        <w:rPr>
          <w:color w:val="000000"/>
        </w:rPr>
        <w:t xml:space="preserve"> </w:t>
      </w:r>
      <w:r>
        <w:rPr>
          <w:rFonts w:ascii="Times New Roman;serif" w:hAnsi="Times New Roman;serif"/>
          <w:b w:val="false"/>
          <w:color w:val="000000"/>
          <w:sz w:val="24"/>
        </w:rPr>
        <w:t>offshore</w:t>
      </w:r>
      <w:r>
        <w:rPr>
          <w:color w:val="000000"/>
        </w:rPr>
        <w:t xml:space="preserve"> </w:t>
      </w:r>
      <w:r>
        <w:rPr>
          <w:rFonts w:ascii="Times New Roman;serif" w:hAnsi="Times New Roman;serif"/>
          <w:b w:val="false"/>
          <w:color w:val="000000"/>
          <w:sz w:val="24"/>
        </w:rPr>
        <w:t>transaction</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accordance</w:t>
      </w:r>
      <w:r>
        <w:rPr>
          <w:color w:val="000000"/>
        </w:rPr>
        <w:t xml:space="preserve"> </w:t>
      </w:r>
      <w:r>
        <w:rPr>
          <w:rFonts w:ascii="Times New Roman;serif" w:hAnsi="Times New Roman;serif"/>
          <w:b w:val="false"/>
          <w:color w:val="000000"/>
          <w:sz w:val="24"/>
        </w:rPr>
        <w:t>with</w:t>
      </w:r>
      <w:r>
        <w:rPr>
          <w:color w:val="000000"/>
        </w:rPr>
        <w:t xml:space="preserve"> </w:t>
      </w:r>
      <w:r>
        <w:rPr>
          <w:rFonts w:ascii="Times New Roman;serif" w:hAnsi="Times New Roman;serif"/>
          <w:b w:val="false"/>
          <w:color w:val="000000"/>
          <w:sz w:val="24"/>
        </w:rPr>
        <w:t>Rule</w:t>
      </w:r>
      <w:r>
        <w:rPr>
          <w:color w:val="000000"/>
        </w:rPr>
        <w:t xml:space="preserve"> </w:t>
      </w:r>
      <w:r>
        <w:rPr>
          <w:rFonts w:ascii="Times New Roman;serif" w:hAnsi="Times New Roman;serif"/>
          <w:b w:val="false"/>
          <w:color w:val="000000"/>
          <w:sz w:val="24"/>
        </w:rPr>
        <w:t>903</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Rule</w:t>
      </w:r>
      <w:r>
        <w:rPr>
          <w:color w:val="000000"/>
        </w:rPr>
        <w:t xml:space="preserve"> </w:t>
      </w:r>
      <w:r>
        <w:rPr>
          <w:rFonts w:ascii="Times New Roman;serif" w:hAnsi="Times New Roman;serif"/>
          <w:b w:val="false"/>
          <w:color w:val="000000"/>
          <w:sz w:val="24"/>
        </w:rPr>
        <w:t xml:space="preserve">904 of Regulation S, a certificate to the effect set forth in </w:t>
      </w:r>
      <w:r>
        <w:rPr>
          <w:rFonts w:ascii="Times New Roman;serif" w:hAnsi="Times New Roman;serif"/>
          <w:b w:val="false"/>
          <w:color w:val="000000"/>
          <w:sz w:val="24"/>
          <w:u w:val="single"/>
        </w:rPr>
        <w:t>Exhibit B</w:t>
      </w:r>
      <w:r>
        <w:rPr>
          <w:color w:val="000000"/>
        </w:rPr>
        <w:t xml:space="preserve"> </w:t>
      </w:r>
      <w:r>
        <w:rPr>
          <w:rFonts w:ascii="Times New Roman;serif" w:hAnsi="Times New Roman;serif"/>
          <w:b w:val="false"/>
          <w:color w:val="000000"/>
          <w:sz w:val="24"/>
        </w:rPr>
        <w:t>hereto, including the certifications in item (2) thereof;</w:t>
      </w:r>
    </w:p>
    <w:p>
      <w:pPr>
        <w:pStyle w:val="TextBody"/>
        <w:bidi w:val="0"/>
        <w:spacing w:lineRule="auto" w:line="240" w:before="0" w:after="240"/>
        <w:ind w:left="0" w:right="0" w:firstLine="720"/>
        <w:jc w:val="both"/>
        <w:rPr/>
      </w:pPr>
      <w:r>
        <w:rPr>
          <w:rFonts w:ascii="Times New Roman;serif" w:hAnsi="Times New Roman;serif"/>
          <w:b w:val="false"/>
          <w:color w:val="000000"/>
          <w:sz w:val="24"/>
        </w:rPr>
        <w:t>(D)if such beneficial interest is being transferred pursuant to an exemption from the registration requirements of the Securities Act in</w:t>
      </w:r>
      <w:r>
        <w:rPr>
          <w:color w:val="000000"/>
        </w:rPr>
        <w:t xml:space="preserve"> </w:t>
      </w:r>
      <w:r>
        <w:rPr>
          <w:rFonts w:ascii="Times New Roman;serif" w:hAnsi="Times New Roman;serif"/>
          <w:b w:val="false"/>
          <w:color w:val="000000"/>
          <w:sz w:val="24"/>
        </w:rPr>
        <w:t xml:space="preserve">accordance with Rule 144, a certificate to the effect set forth in </w:t>
      </w:r>
      <w:r>
        <w:rPr>
          <w:rFonts w:ascii="Times New Roman;serif" w:hAnsi="Times New Roman;serif"/>
          <w:b w:val="false"/>
          <w:color w:val="000000"/>
          <w:sz w:val="24"/>
          <w:u w:val="single"/>
        </w:rPr>
        <w:t>Exhibit B</w:t>
      </w:r>
      <w:r>
        <w:rPr>
          <w:color w:val="000000"/>
        </w:rPr>
        <w:t xml:space="preserve"> </w:t>
      </w:r>
      <w:r>
        <w:rPr>
          <w:rFonts w:ascii="Times New Roman;serif" w:hAnsi="Times New Roman;serif"/>
          <w:b w:val="false"/>
          <w:color w:val="000000"/>
          <w:sz w:val="24"/>
        </w:rPr>
        <w:t>hereto, including the certifications in item (3)(a) thereof;</w:t>
      </w:r>
    </w:p>
    <w:p>
      <w:pPr>
        <w:pStyle w:val="TextBody"/>
        <w:bidi w:val="0"/>
        <w:spacing w:lineRule="auto" w:line="240" w:before="0" w:after="240"/>
        <w:ind w:left="0" w:right="0" w:firstLine="720"/>
        <w:jc w:val="both"/>
        <w:rPr/>
      </w:pPr>
      <w:r>
        <w:rPr>
          <w:rFonts w:ascii="Times New Roman;serif" w:hAnsi="Times New Roman;serif"/>
          <w:b w:val="false"/>
          <w:color w:val="000000"/>
          <w:sz w:val="24"/>
        </w:rPr>
        <w:t>(E)if such beneficial interest is being transferred to the Issuer or any of its Subsidiaries, a certificate to the effect set forth in</w:t>
      </w:r>
      <w:r>
        <w:rPr>
          <w:color w:val="000000"/>
        </w:rPr>
        <w:t xml:space="preserve"> </w:t>
      </w:r>
      <w:r>
        <w:rPr>
          <w:rFonts w:ascii="Times New Roman;serif" w:hAnsi="Times New Roman;serif"/>
          <w:b w:val="false"/>
          <w:color w:val="000000"/>
          <w:sz w:val="24"/>
          <w:u w:val="single"/>
        </w:rPr>
        <w:t>Exhibit B</w:t>
      </w:r>
      <w:r>
        <w:rPr>
          <w:color w:val="000000"/>
        </w:rPr>
        <w:t xml:space="preserve"> </w:t>
      </w:r>
      <w:r>
        <w:rPr>
          <w:rFonts w:ascii="Times New Roman;serif" w:hAnsi="Times New Roman;serif"/>
          <w:b w:val="false"/>
          <w:color w:val="000000"/>
          <w:sz w:val="24"/>
        </w:rPr>
        <w:t>hereto, including the certifications in item (3)(b) thereof;</w:t>
      </w:r>
    </w:p>
    <w:p>
      <w:pPr>
        <w:pStyle w:val="TextBody"/>
        <w:bidi w:val="0"/>
        <w:spacing w:lineRule="auto" w:line="240" w:before="0" w:after="240"/>
        <w:ind w:left="0" w:right="0" w:firstLine="720"/>
        <w:jc w:val="both"/>
        <w:rPr/>
      </w:pPr>
      <w:r>
        <w:rPr>
          <w:rFonts w:ascii="Times New Roman;serif" w:hAnsi="Times New Roman;serif"/>
          <w:b w:val="false"/>
          <w:color w:val="000000"/>
          <w:sz w:val="24"/>
        </w:rPr>
        <w:t>(F)if such beneficial interest is being transferred pursuant to an effective registration statement under the Securities Act in</w:t>
      </w:r>
      <w:r>
        <w:rPr>
          <w:color w:val="000000"/>
        </w:rPr>
        <w:t xml:space="preserve"> </w:t>
      </w:r>
      <w:r>
        <w:rPr>
          <w:rFonts w:ascii="Times New Roman;serif" w:hAnsi="Times New Roman;serif"/>
          <w:b w:val="false"/>
          <w:color w:val="000000"/>
          <w:sz w:val="24"/>
        </w:rPr>
        <w:t xml:space="preserve">compliance with the prospectus delivery requirements of the Securities Act, a certificate to the effect set forth in </w:t>
      </w:r>
      <w:r>
        <w:rPr>
          <w:rFonts w:ascii="Times New Roman;serif" w:hAnsi="Times New Roman;serif"/>
          <w:b w:val="false"/>
          <w:color w:val="000000"/>
          <w:sz w:val="24"/>
          <w:u w:val="single"/>
        </w:rPr>
        <w:t>Exhibit B</w:t>
      </w:r>
      <w:r>
        <w:rPr>
          <w:color w:val="000000"/>
        </w:rPr>
        <w:t xml:space="preserve"> </w:t>
      </w:r>
      <w:r>
        <w:rPr>
          <w:rFonts w:ascii="Times New Roman;serif" w:hAnsi="Times New Roman;serif"/>
          <w:b w:val="false"/>
          <w:color w:val="000000"/>
          <w:sz w:val="24"/>
        </w:rPr>
        <w:t>hereto, including</w:t>
      </w:r>
      <w:r>
        <w:rPr>
          <w:color w:val="000000"/>
        </w:rPr>
        <w:t xml:space="preserve"> </w:t>
      </w:r>
      <w:r>
        <w:rPr>
          <w:rFonts w:ascii="Times New Roman;serif" w:hAnsi="Times New Roman;serif"/>
          <w:b w:val="false"/>
          <w:color w:val="000000"/>
          <w:sz w:val="24"/>
        </w:rPr>
        <w:t>the certifications in item (3)(c) thereof; or</w:t>
      </w:r>
    </w:p>
    <w:p>
      <w:pPr>
        <w:pStyle w:val="TextBody"/>
        <w:bidi w:val="0"/>
        <w:spacing w:before="0" w:after="0"/>
        <w:jc w:val="left"/>
        <w:rPr/>
      </w:pPr>
      <w:r>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6480175" cy="768985"/>
                <wp:effectExtent l="0" t="0" r="0" b="0"/>
                <wp:wrapNone/>
                <wp:docPr id="208" name="Frame208"/>
                <a:graphic xmlns:a="http://schemas.openxmlformats.org/drawingml/2006/main">
                  <a:graphicData uri="http://schemas.microsoft.com/office/word/2010/wordprocessingShape">
                    <wps:wsp>
                      <wps:cNvSpPr txBox="1"/>
                      <wps:spPr>
                        <a:xfrm>
                          <a:off x="0" y="0"/>
                          <a:ext cx="6480175" cy="7689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35</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0.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35</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00000"/>
          <w:sz w:val="24"/>
        </w:rPr>
        <w:t>(G)if such beneficial interest is being transferred to an Institutional Accredited Investor pursuant to an exemption from the registration requirements of the Securities Act</w:t>
      </w:r>
      <w:r>
        <w:rPr>
          <w:color w:val="000000"/>
        </w:rPr>
        <w:t xml:space="preserve"> </w:t>
      </w:r>
      <w:r>
        <w:rPr>
          <w:rFonts w:ascii="Times New Roman;serif" w:hAnsi="Times New Roman;serif"/>
          <w:b w:val="false"/>
          <w:color w:val="000000"/>
          <w:sz w:val="24"/>
        </w:rPr>
        <w:t>other</w:t>
      </w:r>
      <w:r>
        <w:rPr>
          <w:color w:val="000000"/>
        </w:rPr>
        <w:t xml:space="preserve"> </w:t>
      </w:r>
      <w:r>
        <w:rPr>
          <w:rFonts w:ascii="Times New Roman;serif" w:hAnsi="Times New Roman;serif"/>
          <w:b w:val="false"/>
          <w:color w:val="000000"/>
          <w:sz w:val="24"/>
        </w:rPr>
        <w:t>than</w:t>
      </w:r>
      <w:r>
        <w:rPr>
          <w:color w:val="000000"/>
        </w:rPr>
        <w:t xml:space="preserve"> </w:t>
      </w:r>
      <w:r>
        <w:rPr>
          <w:rFonts w:ascii="Times New Roman;serif" w:hAnsi="Times New Roman;serif"/>
          <w:b w:val="false"/>
          <w:color w:val="000000"/>
          <w:sz w:val="24"/>
        </w:rPr>
        <w:t>Rule</w:t>
      </w:r>
      <w:r>
        <w:rPr>
          <w:color w:val="000000"/>
        </w:rPr>
        <w:t xml:space="preserve"> </w:t>
      </w:r>
      <w:r>
        <w:rPr>
          <w:rFonts w:ascii="Times New Roman;serif" w:hAnsi="Times New Roman;serif"/>
          <w:b w:val="false"/>
          <w:color w:val="000000"/>
          <w:sz w:val="24"/>
        </w:rPr>
        <w:t>144A,</w:t>
      </w:r>
      <w:r>
        <w:rPr>
          <w:color w:val="000000"/>
        </w:rPr>
        <w:t xml:space="preserve"> </w:t>
      </w:r>
      <w:r>
        <w:rPr>
          <w:rFonts w:ascii="Times New Roman;serif" w:hAnsi="Times New Roman;serif"/>
          <w:b w:val="false"/>
          <w:color w:val="000000"/>
          <w:sz w:val="24"/>
        </w:rPr>
        <w:t>Rule</w:t>
      </w:r>
      <w:r>
        <w:rPr>
          <w:color w:val="000000"/>
        </w:rPr>
        <w:t xml:space="preserve"> </w:t>
      </w:r>
      <w:r>
        <w:rPr>
          <w:rFonts w:ascii="Times New Roman;serif" w:hAnsi="Times New Roman;serif"/>
          <w:b w:val="false"/>
          <w:color w:val="000000"/>
          <w:sz w:val="24"/>
        </w:rPr>
        <w:t>144,</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Rule</w:t>
      </w:r>
      <w:r>
        <w:rPr>
          <w:color w:val="000000"/>
        </w:rPr>
        <w:t xml:space="preserve"> </w:t>
      </w:r>
      <w:r>
        <w:rPr>
          <w:rFonts w:ascii="Times New Roman;serif" w:hAnsi="Times New Roman;serif"/>
          <w:b w:val="false"/>
          <w:color w:val="000000"/>
          <w:sz w:val="24"/>
        </w:rPr>
        <w:t>903</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Rule</w:t>
      </w:r>
      <w:r>
        <w:rPr>
          <w:color w:val="000000"/>
        </w:rPr>
        <w:t xml:space="preserve"> </w:t>
      </w:r>
      <w:r>
        <w:rPr>
          <w:rFonts w:ascii="Times New Roman;serif" w:hAnsi="Times New Roman;serif"/>
          <w:b w:val="false"/>
          <w:color w:val="000000"/>
          <w:sz w:val="24"/>
        </w:rPr>
        <w:t>904</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Regulation</w:t>
      </w:r>
      <w:r>
        <w:rPr>
          <w:color w:val="000000"/>
        </w:rPr>
        <w:t xml:space="preserve"> </w:t>
      </w:r>
      <w:r>
        <w:rPr>
          <w:rFonts w:ascii="Times New Roman;serif" w:hAnsi="Times New Roman;serif"/>
          <w:b w:val="false"/>
          <w:color w:val="000000"/>
          <w:sz w:val="24"/>
        </w:rPr>
        <w:t>S,</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certificate</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effect</w:t>
      </w:r>
      <w:r>
        <w:rPr>
          <w:color w:val="000000"/>
        </w:rPr>
        <w:t xml:space="preserve"> </w:t>
      </w:r>
      <w:r>
        <w:rPr>
          <w:rFonts w:ascii="Times New Roman;serif" w:hAnsi="Times New Roman;serif"/>
          <w:b w:val="false"/>
          <w:color w:val="000000"/>
          <w:sz w:val="24"/>
        </w:rPr>
        <w:t>set</w:t>
      </w:r>
      <w:r>
        <w:rPr>
          <w:color w:val="000000"/>
        </w:rPr>
        <w:t xml:space="preserve"> </w:t>
      </w:r>
      <w:r>
        <w:rPr>
          <w:rFonts w:ascii="Times New Roman;serif" w:hAnsi="Times New Roman;serif"/>
          <w:b w:val="false"/>
          <w:color w:val="000000"/>
          <w:sz w:val="24"/>
        </w:rPr>
        <w:t>forth</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u w:val="single"/>
        </w:rPr>
        <w:t>Exhibit B</w:t>
      </w:r>
      <w:r>
        <w:rPr>
          <w:color w:val="000000"/>
        </w:rPr>
        <w:t xml:space="preserve"> </w:t>
      </w:r>
      <w:r>
        <w:rPr>
          <w:rFonts w:ascii="Times New Roman;serif" w:hAnsi="Times New Roman;serif"/>
          <w:b w:val="false"/>
          <w:color w:val="000000"/>
          <w:sz w:val="24"/>
        </w:rPr>
        <w:t>hereto,</w:t>
      </w:r>
      <w:r>
        <w:rPr>
          <w:color w:val="000000"/>
        </w:rPr>
        <w:t xml:space="preserve"> </w:t>
      </w:r>
      <w:r>
        <w:rPr>
          <w:rFonts w:ascii="Times New Roman;serif" w:hAnsi="Times New Roman;serif"/>
          <w:b w:val="false"/>
          <w:color w:val="000000"/>
          <w:sz w:val="24"/>
        </w:rPr>
        <w:t>including the certifications, certificates and Opinion of Counsel required by item (3)(d) thereof, if applicable;</w:t>
      </w:r>
    </w:p>
    <w:p>
      <w:pPr>
        <w:pStyle w:val="TextBody"/>
        <w:bidi w:val="0"/>
        <w:spacing w:lineRule="auto" w:line="288" w:before="0" w:after="240"/>
        <w:jc w:val="both"/>
        <w:rPr/>
      </w:pPr>
      <w:r>
        <w:rPr>
          <w:rFonts w:ascii="Times New Roman;serif" w:hAnsi="Times New Roman;serif"/>
          <w:b w:val="false"/>
          <w:color w:val="000000"/>
          <w:sz w:val="24"/>
        </w:rPr>
        <w:t>the Trustee shall cause the aggregate principal amount of the applicable Global Note to be reduced accordingly pursuant to</w:t>
      </w:r>
      <w:r>
        <w:rPr>
          <w:color w:val="000000"/>
        </w:rPr>
        <w:t xml:space="preserve"> </w:t>
      </w:r>
      <w:r>
        <w:rPr>
          <w:rFonts w:ascii="Times New Roman;serif" w:hAnsi="Times New Roman;serif"/>
          <w:b w:val="false"/>
          <w:color w:val="000000"/>
          <w:sz w:val="24"/>
          <w:u w:val="single"/>
        </w:rPr>
        <w:t>Section 2.06(g)</w:t>
      </w:r>
      <w:r>
        <w:rPr>
          <w:color w:val="000000"/>
        </w:rPr>
        <w:t xml:space="preserve"> </w:t>
      </w:r>
      <w:r>
        <w:rPr>
          <w:rFonts w:ascii="Times New Roman;serif" w:hAnsi="Times New Roman;serif"/>
          <w:b w:val="false"/>
          <w:color w:val="000000"/>
          <w:sz w:val="24"/>
        </w:rPr>
        <w:t>hereof,</w:t>
      </w:r>
      <w:r>
        <w:rPr>
          <w:color w:val="000000"/>
        </w:rPr>
        <w:t xml:space="preserve"> </w:t>
      </w:r>
      <w:r>
        <w:rPr>
          <w:rFonts w:ascii="Times New Roman;serif" w:hAnsi="Times New Roman;serif"/>
          <w:b w:val="false"/>
          <w:color w:val="000000"/>
          <w:sz w:val="24"/>
        </w:rPr>
        <w:t xml:space="preserve">and the Issuer shall execute and, upon receipt of an Issuer Order in accordance with </w:t>
      </w:r>
      <w:r>
        <w:rPr>
          <w:rFonts w:ascii="Times New Roman;serif" w:hAnsi="Times New Roman;serif"/>
          <w:b w:val="false"/>
          <w:color w:val="000000"/>
          <w:sz w:val="24"/>
          <w:u w:val="single"/>
        </w:rPr>
        <w:t>Section 2.02</w:t>
      </w:r>
      <w:r>
        <w:rPr>
          <w:color w:val="000000"/>
        </w:rPr>
        <w:t xml:space="preserve"> </w:t>
      </w:r>
      <w:r>
        <w:rPr>
          <w:rFonts w:ascii="Times New Roman;serif" w:hAnsi="Times New Roman;serif"/>
          <w:b w:val="false"/>
          <w:color w:val="000000"/>
          <w:sz w:val="24"/>
        </w:rPr>
        <w:t>hereof, the Trustee shall authenticate and</w:t>
      </w:r>
      <w:r>
        <w:rPr>
          <w:color w:val="000000"/>
        </w:rPr>
        <w:t xml:space="preserve"> </w:t>
      </w:r>
      <w:r>
        <w:rPr>
          <w:rFonts w:ascii="Times New Roman;serif" w:hAnsi="Times New Roman;serif"/>
          <w:b w:val="false"/>
          <w:color w:val="000000"/>
          <w:sz w:val="24"/>
        </w:rPr>
        <w:t>deliver</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Person</w:t>
      </w:r>
      <w:r>
        <w:rPr>
          <w:color w:val="000000"/>
        </w:rPr>
        <w:t xml:space="preserve"> </w:t>
      </w:r>
      <w:r>
        <w:rPr>
          <w:rFonts w:ascii="Times New Roman;serif" w:hAnsi="Times New Roman;serif"/>
          <w:b w:val="false"/>
          <w:color w:val="000000"/>
          <w:sz w:val="24"/>
        </w:rPr>
        <w:t>designated</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instructions</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Definitive</w:t>
      </w:r>
      <w:r>
        <w:rPr>
          <w:color w:val="000000"/>
        </w:rPr>
        <w:t xml:space="preserve"> </w:t>
      </w:r>
      <w:r>
        <w:rPr>
          <w:rFonts w:ascii="Times New Roman;serif" w:hAnsi="Times New Roman;serif"/>
          <w:b w:val="false"/>
          <w:color w:val="000000"/>
          <w:sz w:val="24"/>
        </w:rPr>
        <w:t>Note</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appropriate</w:t>
      </w:r>
      <w:r>
        <w:rPr>
          <w:color w:val="000000"/>
        </w:rPr>
        <w:t xml:space="preserve"> </w:t>
      </w:r>
      <w:r>
        <w:rPr>
          <w:rFonts w:ascii="Times New Roman;serif" w:hAnsi="Times New Roman;serif"/>
          <w:b w:val="false"/>
          <w:color w:val="000000"/>
          <w:sz w:val="24"/>
        </w:rPr>
        <w:t>principal</w:t>
      </w:r>
      <w:r>
        <w:rPr>
          <w:color w:val="000000"/>
        </w:rPr>
        <w:t xml:space="preserve"> </w:t>
      </w:r>
      <w:r>
        <w:rPr>
          <w:rFonts w:ascii="Times New Roman;serif" w:hAnsi="Times New Roman;serif"/>
          <w:b w:val="false"/>
          <w:color w:val="000000"/>
          <w:sz w:val="24"/>
        </w:rPr>
        <w:t>amount.</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Definitive</w:t>
      </w:r>
      <w:r>
        <w:rPr>
          <w:color w:val="000000"/>
        </w:rPr>
        <w:t xml:space="preserve"> </w:t>
      </w:r>
      <w:r>
        <w:rPr>
          <w:rFonts w:ascii="Times New Roman;serif" w:hAnsi="Times New Roman;serif"/>
          <w:b w:val="false"/>
          <w:color w:val="000000"/>
          <w:sz w:val="24"/>
        </w:rPr>
        <w:t>Note</w:t>
      </w:r>
      <w:r>
        <w:rPr>
          <w:color w:val="000000"/>
        </w:rPr>
        <w:t xml:space="preserve"> </w:t>
      </w:r>
      <w:r>
        <w:rPr>
          <w:rFonts w:ascii="Times New Roman;serif" w:hAnsi="Times New Roman;serif"/>
          <w:b w:val="false"/>
          <w:color w:val="000000"/>
          <w:sz w:val="24"/>
        </w:rPr>
        <w:t>issued</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exchange</w:t>
      </w:r>
      <w:r>
        <w:rPr>
          <w:color w:val="000000"/>
        </w:rPr>
        <w:t xml:space="preserve"> </w:t>
      </w:r>
      <w:r>
        <w:rPr>
          <w:rFonts w:ascii="Times New Roman;serif" w:hAnsi="Times New Roman;serif"/>
          <w:b w:val="false"/>
          <w:color w:val="000000"/>
          <w:sz w:val="24"/>
        </w:rPr>
        <w:t xml:space="preserve">for a beneficial interest in a Restricted Global Note pursuant to this </w:t>
      </w:r>
      <w:r>
        <w:rPr>
          <w:rFonts w:ascii="Times New Roman;serif" w:hAnsi="Times New Roman;serif"/>
          <w:b w:val="false"/>
          <w:color w:val="000000"/>
          <w:sz w:val="24"/>
          <w:u w:val="single"/>
        </w:rPr>
        <w:t>Section 2.06(c)</w:t>
      </w:r>
      <w:r>
        <w:rPr>
          <w:color w:val="000000"/>
        </w:rPr>
        <w:t xml:space="preserve"> </w:t>
      </w:r>
      <w:r>
        <w:rPr>
          <w:rFonts w:ascii="Times New Roman;serif" w:hAnsi="Times New Roman;serif"/>
          <w:b w:val="false"/>
          <w:color w:val="000000"/>
          <w:sz w:val="24"/>
        </w:rPr>
        <w:t>shall be registered in such name or names and in such authorized</w:t>
      </w:r>
      <w:r>
        <w:rPr>
          <w:color w:val="000000"/>
        </w:rPr>
        <w:t xml:space="preserve"> </w:t>
      </w:r>
      <w:r>
        <w:rPr>
          <w:rFonts w:ascii="Times New Roman;serif" w:hAnsi="Times New Roman;serif"/>
          <w:b w:val="false"/>
          <w:color w:val="000000"/>
          <w:sz w:val="24"/>
        </w:rPr>
        <w:t>denomination</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denominations</w:t>
      </w:r>
      <w:r>
        <w:rPr>
          <w:color w:val="000000"/>
        </w:rPr>
        <w:t xml:space="preserve"> </w:t>
      </w:r>
      <w:r>
        <w:rPr>
          <w:rFonts w:ascii="Times New Roman;serif" w:hAnsi="Times New Roman;serif"/>
          <w:b w:val="false"/>
          <w:color w:val="000000"/>
          <w:sz w:val="24"/>
        </w:rPr>
        <w:t>as</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Holder</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such</w:t>
      </w:r>
      <w:r>
        <w:rPr>
          <w:color w:val="000000"/>
        </w:rPr>
        <w:t xml:space="preserve"> </w:t>
      </w:r>
      <w:r>
        <w:rPr>
          <w:rFonts w:ascii="Times New Roman;serif" w:hAnsi="Times New Roman;serif"/>
          <w:b w:val="false"/>
          <w:color w:val="000000"/>
          <w:sz w:val="24"/>
        </w:rPr>
        <w:t>beneficial</w:t>
      </w:r>
      <w:r>
        <w:rPr>
          <w:color w:val="000000"/>
        </w:rPr>
        <w:t xml:space="preserve"> </w:t>
      </w:r>
      <w:r>
        <w:rPr>
          <w:rFonts w:ascii="Times New Roman;serif" w:hAnsi="Times New Roman;serif"/>
          <w:b w:val="false"/>
          <w:color w:val="000000"/>
          <w:sz w:val="24"/>
        </w:rPr>
        <w:t>interest</w:t>
      </w:r>
      <w:r>
        <w:rPr>
          <w:color w:val="000000"/>
        </w:rPr>
        <w:t xml:space="preserve"> </w:t>
      </w:r>
      <w:r>
        <w:rPr>
          <w:rFonts w:ascii="Times New Roman;serif" w:hAnsi="Times New Roman;serif"/>
          <w:b w:val="false"/>
          <w:color w:val="000000"/>
          <w:sz w:val="24"/>
        </w:rPr>
        <w:t>shall</w:t>
      </w:r>
      <w:r>
        <w:rPr>
          <w:color w:val="000000"/>
        </w:rPr>
        <w:t xml:space="preserve"> </w:t>
      </w:r>
      <w:r>
        <w:rPr>
          <w:rFonts w:ascii="Times New Roman;serif" w:hAnsi="Times New Roman;serif"/>
          <w:b w:val="false"/>
          <w:color w:val="000000"/>
          <w:sz w:val="24"/>
        </w:rPr>
        <w:t>instruct</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Registrar</w:t>
      </w:r>
      <w:r>
        <w:rPr>
          <w:color w:val="000000"/>
        </w:rPr>
        <w:t xml:space="preserve"> </w:t>
      </w:r>
      <w:r>
        <w:rPr>
          <w:rFonts w:ascii="Times New Roman;serif" w:hAnsi="Times New Roman;serif"/>
          <w:b w:val="false"/>
          <w:color w:val="000000"/>
          <w:sz w:val="24"/>
        </w:rPr>
        <w:t>through</w:t>
      </w:r>
      <w:r>
        <w:rPr>
          <w:color w:val="000000"/>
        </w:rPr>
        <w:t xml:space="preserve"> </w:t>
      </w:r>
      <w:r>
        <w:rPr>
          <w:rFonts w:ascii="Times New Roman;serif" w:hAnsi="Times New Roman;serif"/>
          <w:b w:val="false"/>
          <w:color w:val="000000"/>
          <w:sz w:val="24"/>
        </w:rPr>
        <w:t>instructions</w:t>
      </w:r>
      <w:r>
        <w:rPr>
          <w:color w:val="000000"/>
        </w:rPr>
        <w:t xml:space="preserve"> </w:t>
      </w:r>
      <w:r>
        <w:rPr>
          <w:rFonts w:ascii="Times New Roman;serif" w:hAnsi="Times New Roman;serif"/>
          <w:b w:val="false"/>
          <w:color w:val="000000"/>
          <w:sz w:val="24"/>
        </w:rPr>
        <w:t>from</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Depository</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the Participant or Indirect Participant. The Trustee shall deliver such Definitive Notes to the Persons in whose names such Notes are so registered.</w:t>
      </w:r>
      <w:r>
        <w:rPr>
          <w:color w:val="000000"/>
        </w:rPr>
        <w:t xml:space="preserve"> </w:t>
      </w:r>
      <w:r>
        <w:rPr>
          <w:rFonts w:ascii="Times New Roman;serif" w:hAnsi="Times New Roman;serif"/>
          <w:b w:val="false"/>
          <w:color w:val="000000"/>
          <w:sz w:val="24"/>
        </w:rPr>
        <w:t xml:space="preserve">Any Definitive Note issued in exchange for a beneficial interest in a Restricted Global Note pursuant to this </w:t>
      </w:r>
      <w:r>
        <w:rPr>
          <w:rFonts w:ascii="Times New Roman;serif" w:hAnsi="Times New Roman;serif"/>
          <w:b w:val="false"/>
          <w:color w:val="000000"/>
          <w:sz w:val="24"/>
          <w:u w:val="single"/>
        </w:rPr>
        <w:t>Section 2.06(c)(1)</w:t>
      </w:r>
      <w:r>
        <w:rPr>
          <w:color w:val="000000"/>
        </w:rPr>
        <w:t xml:space="preserve"> </w:t>
      </w:r>
      <w:r>
        <w:rPr>
          <w:rFonts w:ascii="Times New Roman;serif" w:hAnsi="Times New Roman;serif"/>
          <w:b w:val="false"/>
          <w:color w:val="000000"/>
          <w:sz w:val="24"/>
        </w:rPr>
        <w:t>shall bear the Private</w:t>
      </w:r>
      <w:r>
        <w:rPr>
          <w:color w:val="000000"/>
        </w:rPr>
        <w:t xml:space="preserve"> </w:t>
      </w:r>
      <w:r>
        <w:rPr>
          <w:rFonts w:ascii="Times New Roman;serif" w:hAnsi="Times New Roman;serif"/>
          <w:b w:val="false"/>
          <w:color w:val="000000"/>
          <w:sz w:val="24"/>
        </w:rPr>
        <w:t>Placement Legend and shall be subject to all restrictions on transfer contained therein.</w:t>
      </w:r>
    </w:p>
    <w:p>
      <w:pPr>
        <w:pStyle w:val="TextBody"/>
        <w:bidi w:val="0"/>
        <w:spacing w:lineRule="auto" w:line="240" w:before="0" w:after="240"/>
        <w:ind w:left="0" w:right="0" w:firstLine="720"/>
        <w:jc w:val="both"/>
        <w:rPr/>
      </w:pPr>
      <w:r>
        <w:rPr>
          <w:rFonts w:ascii="Times New Roman;serif" w:hAnsi="Times New Roman;serif"/>
          <w:b w:val="false"/>
          <w:color w:val="000000"/>
          <w:sz w:val="24"/>
        </w:rPr>
        <w:t>(2)</w:t>
      </w:r>
      <w:r>
        <w:rPr>
          <w:rFonts w:ascii="Times New Roman;serif" w:hAnsi="Times New Roman;serif"/>
          <w:b w:val="false"/>
          <w:i/>
          <w:color w:val="000000"/>
          <w:sz w:val="24"/>
        </w:rPr>
        <w:t>Beneficial Interests in Regulation S Temporary Global Notes to Definitive Notes</w:t>
      </w:r>
      <w:r>
        <w:rPr>
          <w:rFonts w:ascii="Times New Roman;serif" w:hAnsi="Times New Roman;serif"/>
          <w:b w:val="false"/>
          <w:color w:val="000000"/>
          <w:sz w:val="24"/>
        </w:rPr>
        <w:t xml:space="preserve">. Notwithstanding </w:t>
      </w:r>
      <w:r>
        <w:rPr>
          <w:rFonts w:ascii="Times New Roman;serif" w:hAnsi="Times New Roman;serif"/>
          <w:b w:val="false"/>
          <w:color w:val="000000"/>
          <w:sz w:val="24"/>
          <w:u w:val="single"/>
        </w:rPr>
        <w:t>Sections 2.06(c)(1)(A)</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(C)</w:t>
      </w:r>
      <w:r>
        <w:rPr>
          <w:rFonts w:ascii="Times New Roman;serif" w:hAnsi="Times New Roman;serif"/>
          <w:b w:val="false"/>
          <w:color w:val="000000"/>
          <w:sz w:val="24"/>
        </w:rPr>
        <w:t>, a</w:t>
      </w:r>
      <w:r>
        <w:rPr>
          <w:color w:val="000000"/>
        </w:rPr>
        <w:t xml:space="preserve"> </w:t>
      </w:r>
      <w:r>
        <w:rPr>
          <w:rFonts w:ascii="Times New Roman;serif" w:hAnsi="Times New Roman;serif"/>
          <w:b w:val="false"/>
          <w:color w:val="000000"/>
          <w:sz w:val="24"/>
        </w:rPr>
        <w:t>beneficial interest in the Regulation S Temporary Global Note may not be exchanged for a Definitive Note or transferred to a Person who takes</w:t>
      </w:r>
      <w:r>
        <w:rPr>
          <w:color w:val="000000"/>
        </w:rPr>
        <w:t xml:space="preserve"> </w:t>
      </w:r>
      <w:r>
        <w:rPr>
          <w:rFonts w:ascii="Times New Roman;serif" w:hAnsi="Times New Roman;serif"/>
          <w:b w:val="false"/>
          <w:color w:val="000000"/>
          <w:sz w:val="24"/>
        </w:rPr>
        <w:t>delivery</w:t>
      </w:r>
      <w:r>
        <w:rPr>
          <w:color w:val="000000"/>
        </w:rPr>
        <w:t xml:space="preserve"> </w:t>
      </w:r>
      <w:r>
        <w:rPr>
          <w:rFonts w:ascii="Times New Roman;serif" w:hAnsi="Times New Roman;serif"/>
          <w:b w:val="false"/>
          <w:color w:val="000000"/>
          <w:sz w:val="24"/>
        </w:rPr>
        <w:t>thereof</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form</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Definitive</w:t>
      </w:r>
      <w:r>
        <w:rPr>
          <w:color w:val="000000"/>
        </w:rPr>
        <w:t xml:space="preserve"> </w:t>
      </w:r>
      <w:r>
        <w:rPr>
          <w:rFonts w:ascii="Times New Roman;serif" w:hAnsi="Times New Roman;serif"/>
          <w:b w:val="false"/>
          <w:color w:val="000000"/>
          <w:sz w:val="24"/>
        </w:rPr>
        <w:t>Note</w:t>
      </w:r>
      <w:r>
        <w:rPr>
          <w:color w:val="000000"/>
        </w:rPr>
        <w:t xml:space="preserve"> </w:t>
      </w:r>
      <w:r>
        <w:rPr>
          <w:rFonts w:ascii="Times New Roman;serif" w:hAnsi="Times New Roman;serif"/>
          <w:b w:val="false"/>
          <w:color w:val="000000"/>
          <w:sz w:val="24"/>
        </w:rPr>
        <w:t>prior</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(x)</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expiration</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Distribution</w:t>
      </w:r>
      <w:r>
        <w:rPr>
          <w:color w:val="000000"/>
        </w:rPr>
        <w:t xml:space="preserve"> </w:t>
      </w:r>
      <w:r>
        <w:rPr>
          <w:rFonts w:ascii="Times New Roman;serif" w:hAnsi="Times New Roman;serif"/>
          <w:b w:val="false"/>
          <w:color w:val="000000"/>
          <w:sz w:val="24"/>
        </w:rPr>
        <w:t>Compliance</w:t>
      </w:r>
      <w:r>
        <w:rPr>
          <w:color w:val="000000"/>
        </w:rPr>
        <w:t xml:space="preserve"> </w:t>
      </w:r>
      <w:r>
        <w:rPr>
          <w:rFonts w:ascii="Times New Roman;serif" w:hAnsi="Times New Roman;serif"/>
          <w:b w:val="false"/>
          <w:color w:val="000000"/>
          <w:sz w:val="24"/>
        </w:rPr>
        <w:t>Period</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(y)</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receipt</w:t>
      </w:r>
      <w:r>
        <w:rPr>
          <w:color w:val="000000"/>
        </w:rPr>
        <w:t xml:space="preserve"> </w:t>
      </w:r>
      <w:r>
        <w:rPr>
          <w:rFonts w:ascii="Times New Roman;serif" w:hAnsi="Times New Roman;serif"/>
          <w:b w:val="false"/>
          <w:color w:val="000000"/>
          <w:sz w:val="24"/>
        </w:rPr>
        <w:t>by</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Registrar</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certificates</w:t>
      </w:r>
      <w:r>
        <w:rPr>
          <w:color w:val="000000"/>
        </w:rPr>
        <w:t xml:space="preserve"> </w:t>
      </w:r>
      <w:r>
        <w:rPr>
          <w:rFonts w:ascii="Times New Roman;serif" w:hAnsi="Times New Roman;serif"/>
          <w:b w:val="false"/>
          <w:color w:val="000000"/>
          <w:sz w:val="24"/>
        </w:rPr>
        <w:t>required</w:t>
      </w:r>
      <w:r>
        <w:rPr>
          <w:color w:val="000000"/>
        </w:rPr>
        <w:t xml:space="preserve"> </w:t>
      </w:r>
      <w:r>
        <w:rPr>
          <w:rFonts w:ascii="Times New Roman;serif" w:hAnsi="Times New Roman;serif"/>
          <w:b w:val="false"/>
          <w:color w:val="000000"/>
          <w:sz w:val="24"/>
        </w:rPr>
        <w:t>pursuant</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Rule</w:t>
      </w:r>
      <w:r>
        <w:rPr>
          <w:color w:val="000000"/>
        </w:rPr>
        <w:t xml:space="preserve"> </w:t>
      </w:r>
      <w:r>
        <w:rPr>
          <w:rFonts w:ascii="Times New Roman;serif" w:hAnsi="Times New Roman;serif"/>
          <w:b w:val="false"/>
          <w:color w:val="000000"/>
          <w:sz w:val="24"/>
        </w:rPr>
        <w:t>903(b)(3)(ii)(B)</w:t>
      </w:r>
      <w:r>
        <w:rPr>
          <w:color w:val="000000"/>
        </w:rPr>
        <w:t xml:space="preserve"> </w:t>
      </w:r>
      <w:r>
        <w:rPr>
          <w:rFonts w:ascii="Times New Roman;serif" w:hAnsi="Times New Roman;serif"/>
          <w:b w:val="false"/>
          <w:color w:val="000000"/>
          <w:sz w:val="24"/>
        </w:rPr>
        <w:t>under</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Securities</w:t>
      </w:r>
      <w:r>
        <w:rPr>
          <w:color w:val="000000"/>
        </w:rPr>
        <w:t xml:space="preserve"> </w:t>
      </w:r>
      <w:r>
        <w:rPr>
          <w:rFonts w:ascii="Times New Roman;serif" w:hAnsi="Times New Roman;serif"/>
          <w:b w:val="false"/>
          <w:color w:val="000000"/>
          <w:sz w:val="24"/>
        </w:rPr>
        <w:t>Act,</w:t>
      </w:r>
      <w:r>
        <w:rPr>
          <w:color w:val="000000"/>
        </w:rPr>
        <w:t xml:space="preserve"> </w:t>
      </w:r>
      <w:r>
        <w:rPr>
          <w:rFonts w:ascii="Times New Roman;serif" w:hAnsi="Times New Roman;serif"/>
          <w:b w:val="false"/>
          <w:color w:val="000000"/>
          <w:sz w:val="24"/>
        </w:rPr>
        <w:t>except</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case</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transfer</w:t>
      </w:r>
      <w:r>
        <w:rPr>
          <w:color w:val="000000"/>
        </w:rPr>
        <w:t xml:space="preserve"> </w:t>
      </w:r>
      <w:r>
        <w:rPr>
          <w:rFonts w:ascii="Times New Roman;serif" w:hAnsi="Times New Roman;serif"/>
          <w:b w:val="false"/>
          <w:color w:val="000000"/>
          <w:sz w:val="24"/>
        </w:rPr>
        <w:t>pursuant</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an</w:t>
      </w:r>
      <w:r>
        <w:rPr>
          <w:color w:val="000000"/>
        </w:rPr>
        <w:t xml:space="preserve"> </w:t>
      </w:r>
      <w:r>
        <w:rPr>
          <w:rFonts w:ascii="Times New Roman;serif" w:hAnsi="Times New Roman;serif"/>
          <w:b w:val="false"/>
          <w:color w:val="000000"/>
          <w:sz w:val="24"/>
        </w:rPr>
        <w:t>exemption</w:t>
      </w:r>
      <w:r>
        <w:rPr>
          <w:color w:val="000000"/>
        </w:rPr>
        <w:t xml:space="preserve"> </w:t>
      </w:r>
      <w:r>
        <w:rPr>
          <w:rFonts w:ascii="Times New Roman;serif" w:hAnsi="Times New Roman;serif"/>
          <w:b w:val="false"/>
          <w:color w:val="000000"/>
          <w:sz w:val="24"/>
        </w:rPr>
        <w:t>from</w:t>
      </w:r>
      <w:r>
        <w:rPr>
          <w:color w:val="000000"/>
        </w:rPr>
        <w:t xml:space="preserve"> </w:t>
      </w:r>
      <w:r>
        <w:rPr>
          <w:rFonts w:ascii="Times New Roman;serif" w:hAnsi="Times New Roman;serif"/>
          <w:b w:val="false"/>
          <w:color w:val="000000"/>
          <w:sz w:val="24"/>
        </w:rPr>
        <w:t>the registration requirements of the Securities Act other than Rule 903 or Rule 904.</w:t>
      </w:r>
    </w:p>
    <w:p>
      <w:pPr>
        <w:pStyle w:val="TextBody"/>
        <w:bidi w:val="0"/>
        <w:spacing w:lineRule="auto" w:line="300" w:before="0" w:after="240"/>
        <w:ind w:left="0" w:right="0" w:firstLine="720"/>
        <w:jc w:val="both"/>
        <w:rPr/>
      </w:pPr>
      <w:r>
        <w:rPr>
          <w:rFonts w:ascii="Times New Roman;serif" w:hAnsi="Times New Roman;serif"/>
          <w:b w:val="false"/>
          <w:color w:val="000000"/>
          <w:sz w:val="24"/>
        </w:rPr>
        <w:t>(3)</w:t>
      </w:r>
      <w:r>
        <w:rPr>
          <w:rFonts w:ascii="Times New Roman;serif" w:hAnsi="Times New Roman;serif"/>
          <w:b w:val="false"/>
          <w:i/>
          <w:color w:val="000000"/>
          <w:sz w:val="24"/>
        </w:rPr>
        <w:t>Beneficial Interests in Restricted Global Notes to Unrestricted Definitive Notes</w:t>
      </w:r>
      <w:r>
        <w:rPr>
          <w:rFonts w:ascii="Times New Roman;serif" w:hAnsi="Times New Roman;serif"/>
          <w:b w:val="false"/>
          <w:color w:val="000000"/>
          <w:sz w:val="24"/>
        </w:rPr>
        <w:t>. A Holder of a beneficial interest in a Restricted Global</w:t>
      </w:r>
      <w:r>
        <w:rPr>
          <w:color w:val="000000"/>
        </w:rPr>
        <w:t xml:space="preserve"> </w:t>
      </w:r>
      <w:r>
        <w:rPr>
          <w:rFonts w:ascii="Times New Roman;serif" w:hAnsi="Times New Roman;serif"/>
          <w:b w:val="false"/>
          <w:color w:val="000000"/>
          <w:sz w:val="24"/>
        </w:rPr>
        <w:t>Note may exchange such beneficial interest for an Unrestricted Definitive Note or may transfer such beneficial interest to a</w:t>
      </w:r>
      <w:r>
        <w:rPr>
          <w:color w:val="000000"/>
        </w:rPr>
        <w:t xml:space="preserve"> </w:t>
      </w:r>
      <w:r>
        <w:rPr>
          <w:rFonts w:ascii="Times New Roman;serif" w:hAnsi="Times New Roman;serif"/>
          <w:b w:val="false"/>
          <w:color w:val="000000"/>
          <w:sz w:val="24"/>
        </w:rPr>
        <w:t>Person who takes delivery thereof in the form of an Unrestricted Definitive Note only if:</w:t>
      </w:r>
    </w:p>
    <w:p>
      <w:pPr>
        <w:pStyle w:val="TextBody"/>
        <w:bidi w:val="0"/>
        <w:spacing w:lineRule="auto" w:line="300" w:before="0" w:after="240"/>
        <w:ind w:left="0" w:right="0" w:firstLine="720"/>
        <w:jc w:val="left"/>
        <w:rPr/>
      </w:pPr>
      <w:r>
        <w:rPr>
          <w:rFonts w:ascii="Times New Roman;serif" w:hAnsi="Times New Roman;serif"/>
          <w:b w:val="false"/>
          <w:color w:val="000000"/>
          <w:sz w:val="24"/>
        </w:rPr>
        <w:t>(A)the</w:t>
      </w:r>
      <w:r>
        <w:rPr>
          <w:color w:val="000000"/>
        </w:rPr>
        <w:t xml:space="preserve"> </w:t>
      </w:r>
      <w:r>
        <w:rPr>
          <w:rFonts w:ascii="Times New Roman;serif" w:hAnsi="Times New Roman;serif"/>
          <w:b w:val="false"/>
          <w:color w:val="000000"/>
          <w:sz w:val="24"/>
        </w:rPr>
        <w:t>Registrar</w:t>
      </w:r>
      <w:r>
        <w:rPr>
          <w:color w:val="000000"/>
        </w:rPr>
        <w:t xml:space="preserve"> </w:t>
      </w:r>
      <w:r>
        <w:rPr>
          <w:rFonts w:ascii="Times New Roman;serif" w:hAnsi="Times New Roman;serif"/>
          <w:b w:val="false"/>
          <w:color w:val="000000"/>
          <w:sz w:val="24"/>
        </w:rPr>
        <w:t>receives</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following:</w:t>
      </w:r>
    </w:p>
    <w:p>
      <w:pPr>
        <w:pStyle w:val="TextBody"/>
        <w:bidi w:val="0"/>
        <w:spacing w:lineRule="auto" w:line="300" w:before="0" w:after="240"/>
        <w:ind w:left="0" w:right="0" w:firstLine="1440"/>
        <w:jc w:val="both"/>
        <w:rPr/>
      </w:pPr>
      <w:r>
        <w:rPr>
          <w:rFonts w:ascii="Times New Roman;serif" w:hAnsi="Times New Roman;serif"/>
          <w:b w:val="false"/>
          <w:color w:val="000000"/>
          <w:sz w:val="24"/>
        </w:rPr>
        <w:t>(i)if the Holder of such beneficial interest in a Restricted Global Note proposes to exchange such beneficial interest for an</w:t>
      </w:r>
      <w:r>
        <w:rPr>
          <w:color w:val="000000"/>
        </w:rPr>
        <w:t xml:space="preserve"> </w:t>
      </w:r>
      <w:r>
        <w:rPr>
          <w:rFonts w:ascii="Times New Roman;serif" w:hAnsi="Times New Roman;serif"/>
          <w:b w:val="false"/>
          <w:color w:val="000000"/>
          <w:sz w:val="24"/>
        </w:rPr>
        <w:t>Unrestricted</w:t>
      </w:r>
      <w:r>
        <w:rPr>
          <w:color w:val="000000"/>
        </w:rPr>
        <w:t xml:space="preserve"> </w:t>
      </w:r>
      <w:r>
        <w:rPr>
          <w:rFonts w:ascii="Times New Roman;serif" w:hAnsi="Times New Roman;serif"/>
          <w:b w:val="false"/>
          <w:color w:val="000000"/>
          <w:sz w:val="24"/>
        </w:rPr>
        <w:t>Definitive</w:t>
      </w:r>
      <w:r>
        <w:rPr>
          <w:color w:val="000000"/>
        </w:rPr>
        <w:t xml:space="preserve"> </w:t>
      </w:r>
      <w:r>
        <w:rPr>
          <w:rFonts w:ascii="Times New Roman;serif" w:hAnsi="Times New Roman;serif"/>
          <w:b w:val="false"/>
          <w:color w:val="000000"/>
          <w:sz w:val="24"/>
        </w:rPr>
        <w:t>Note,</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certificate</w:t>
      </w:r>
      <w:r>
        <w:rPr>
          <w:color w:val="000000"/>
        </w:rPr>
        <w:t xml:space="preserve"> </w:t>
      </w:r>
      <w:r>
        <w:rPr>
          <w:rFonts w:ascii="Times New Roman;serif" w:hAnsi="Times New Roman;serif"/>
          <w:b w:val="false"/>
          <w:color w:val="000000"/>
          <w:sz w:val="24"/>
        </w:rPr>
        <w:t>from</w:t>
      </w:r>
      <w:r>
        <w:rPr>
          <w:color w:val="000000"/>
        </w:rPr>
        <w:t xml:space="preserve"> </w:t>
      </w:r>
      <w:r>
        <w:rPr>
          <w:rFonts w:ascii="Times New Roman;serif" w:hAnsi="Times New Roman;serif"/>
          <w:b w:val="false"/>
          <w:color w:val="000000"/>
          <w:sz w:val="24"/>
        </w:rPr>
        <w:t>such</w:t>
      </w:r>
      <w:r>
        <w:rPr>
          <w:color w:val="000000"/>
        </w:rPr>
        <w:t xml:space="preserve"> </w:t>
      </w:r>
      <w:r>
        <w:rPr>
          <w:rFonts w:ascii="Times New Roman;serif" w:hAnsi="Times New Roman;serif"/>
          <w:b w:val="false"/>
          <w:color w:val="000000"/>
          <w:sz w:val="24"/>
        </w:rPr>
        <w:t>Holder</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form</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u w:val="single"/>
        </w:rPr>
        <w:t>Exhibit D</w:t>
      </w:r>
      <w:r>
        <w:rPr>
          <w:color w:val="000000"/>
        </w:rPr>
        <w:t xml:space="preserve"> </w:t>
      </w:r>
      <w:r>
        <w:rPr>
          <w:rFonts w:ascii="Times New Roman;serif" w:hAnsi="Times New Roman;serif"/>
          <w:b w:val="false"/>
          <w:color w:val="000000"/>
          <w:sz w:val="24"/>
        </w:rPr>
        <w:t>hereto,</w:t>
      </w:r>
      <w:r>
        <w:rPr>
          <w:color w:val="000000"/>
        </w:rPr>
        <w:t xml:space="preserve"> </w:t>
      </w:r>
      <w:r>
        <w:rPr>
          <w:rFonts w:ascii="Times New Roman;serif" w:hAnsi="Times New Roman;serif"/>
          <w:b w:val="false"/>
          <w:color w:val="000000"/>
          <w:sz w:val="24"/>
        </w:rPr>
        <w:t>including</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certifications</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item</w:t>
      </w:r>
      <w:r>
        <w:rPr>
          <w:color w:val="000000"/>
        </w:rPr>
        <w:t xml:space="preserve"> </w:t>
      </w:r>
      <w:r>
        <w:rPr>
          <w:rFonts w:ascii="Times New Roman;serif" w:hAnsi="Times New Roman;serif"/>
          <w:b w:val="false"/>
          <w:color w:val="000000"/>
          <w:sz w:val="24"/>
        </w:rPr>
        <w:t>(1)(b)</w:t>
      </w:r>
      <w:r>
        <w:rPr>
          <w:color w:val="000000"/>
        </w:rPr>
        <w:t xml:space="preserve"> </w:t>
      </w:r>
      <w:r>
        <w:rPr>
          <w:rFonts w:ascii="Times New Roman;serif" w:hAnsi="Times New Roman;serif"/>
          <w:b w:val="false"/>
          <w:color w:val="000000"/>
          <w:sz w:val="24"/>
        </w:rPr>
        <w:t>thereof; or</w:t>
      </w:r>
    </w:p>
    <w:p>
      <w:pPr>
        <w:pStyle w:val="TextBody"/>
        <w:bidi w:val="0"/>
        <w:spacing w:lineRule="auto" w:line="300" w:before="0" w:after="240"/>
        <w:ind w:left="0" w:right="0" w:firstLine="1440"/>
        <w:jc w:val="both"/>
        <w:rPr/>
      </w:pPr>
      <w:r>
        <w:rPr>
          <w:rFonts w:ascii="Times New Roman;serif" w:hAnsi="Times New Roman;serif"/>
          <w:b w:val="false"/>
          <w:color w:val="000000"/>
          <w:sz w:val="24"/>
        </w:rPr>
        <w:t>(ii)if the Holder of such beneficial interest in a Restricted Global Note proposes to transfer such beneficial interest to a Person</w:t>
      </w:r>
      <w:r>
        <w:rPr>
          <w:color w:val="000000"/>
        </w:rPr>
        <w:t xml:space="preserve"> </w:t>
      </w:r>
      <w:r>
        <w:rPr>
          <w:rFonts w:ascii="Times New Roman;serif" w:hAnsi="Times New Roman;serif"/>
          <w:b w:val="false"/>
          <w:color w:val="000000"/>
          <w:sz w:val="24"/>
        </w:rPr>
        <w:t xml:space="preserve">who shall take delivery thereof in the form of an Unrestricted Definitive Note, a certificate </w:t>
      </w:r>
    </w:p>
    <w:p>
      <w:pPr>
        <w:pStyle w:val="TextBody"/>
        <w:bidi w:val="0"/>
        <w:spacing w:before="0" w:after="0"/>
        <w:jc w:val="left"/>
        <w:rPr/>
      </w:pPr>
      <w:r>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6480175" cy="768985"/>
                <wp:effectExtent l="0" t="0" r="0" b="0"/>
                <wp:wrapNone/>
                <wp:docPr id="209" name="Frame209"/>
                <a:graphic xmlns:a="http://schemas.openxmlformats.org/drawingml/2006/main">
                  <a:graphicData uri="http://schemas.microsoft.com/office/word/2010/wordprocessingShape">
                    <wps:wsp>
                      <wps:cNvSpPr txBox="1"/>
                      <wps:spPr>
                        <a:xfrm>
                          <a:off x="0" y="0"/>
                          <a:ext cx="6480175" cy="7689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36</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0.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36</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300" w:before="0" w:after="240"/>
        <w:jc w:val="both"/>
        <w:rPr/>
      </w:pPr>
      <w:r>
        <w:rPr>
          <w:rFonts w:ascii="Times New Roman;serif" w:hAnsi="Times New Roman;serif"/>
          <w:b w:val="false"/>
          <w:color w:val="000000"/>
          <w:sz w:val="24"/>
        </w:rPr>
        <w:t xml:space="preserve">from such Holder in the form of </w:t>
      </w:r>
      <w:r>
        <w:rPr>
          <w:rFonts w:ascii="Times New Roman;serif" w:hAnsi="Times New Roman;serif"/>
          <w:b w:val="false"/>
          <w:color w:val="000000"/>
          <w:sz w:val="24"/>
          <w:u w:val="single"/>
        </w:rPr>
        <w:t>Exhibit C</w:t>
      </w:r>
      <w:r>
        <w:rPr>
          <w:color w:val="000000"/>
        </w:rPr>
        <w:t xml:space="preserve"> </w:t>
      </w:r>
      <w:r>
        <w:rPr>
          <w:rFonts w:ascii="Times New Roman;serif" w:hAnsi="Times New Roman;serif"/>
          <w:b w:val="false"/>
          <w:color w:val="000000"/>
          <w:sz w:val="24"/>
        </w:rPr>
        <w:t>hereto, including the certifications in item (4) thereof;</w:t>
      </w:r>
    </w:p>
    <w:p>
      <w:pPr>
        <w:pStyle w:val="TextBody"/>
        <w:bidi w:val="0"/>
        <w:spacing w:lineRule="auto" w:line="300" w:before="0" w:after="240"/>
        <w:jc w:val="both"/>
        <w:rPr>
          <w:rFonts w:ascii="Times New Roman;serif" w:hAnsi="Times New Roman;serif"/>
          <w:b w:val="false"/>
          <w:color w:val="000000"/>
          <w:sz w:val="24"/>
        </w:rPr>
      </w:pPr>
      <w:r>
        <w:rPr>
          <w:rFonts w:ascii="Times New Roman;serif" w:hAnsi="Times New Roman;serif"/>
          <w:b w:val="false"/>
          <w:color w:val="000000"/>
          <w:sz w:val="24"/>
        </w:rPr>
        <w:t>and, in each such case set forth in this subparagraph (A), if the Registrar so requests or if the Applicable Procedures so require, an Opinion of Counsel in form reasonably acceptable to the Registrar to the effect that such exchange or transfer is in compliance with the Securities Act and that the restrictions on transfer contained herein and in the Private Placement Legend are no longer required in order to maintain compliance with the Securities Act.</w:t>
      </w:r>
    </w:p>
    <w:p>
      <w:pPr>
        <w:pStyle w:val="TextBody"/>
        <w:bidi w:val="0"/>
        <w:spacing w:lineRule="auto" w:line="300" w:before="0" w:after="240"/>
        <w:jc w:val="both"/>
        <w:rPr/>
      </w:pPr>
      <w:r>
        <w:rPr>
          <w:rFonts w:ascii="Times New Roman;serif" w:hAnsi="Times New Roman;serif"/>
          <w:b w:val="false"/>
          <w:color w:val="000000"/>
          <w:sz w:val="24"/>
        </w:rPr>
        <w:t xml:space="preserve">The Trustee shall cause the aggregate principal amount of the applicable Global Note to be reduced accordingly pursuant to </w:t>
      </w:r>
      <w:r>
        <w:rPr>
          <w:rFonts w:ascii="Times New Roman;serif" w:hAnsi="Times New Roman;serif"/>
          <w:b w:val="false"/>
          <w:color w:val="000000"/>
          <w:sz w:val="24"/>
          <w:u w:val="single"/>
        </w:rPr>
        <w:t>Section 2.06(g)</w:t>
      </w:r>
      <w:r>
        <w:rPr>
          <w:color w:val="000000"/>
        </w:rPr>
        <w:t xml:space="preserve"> </w:t>
      </w:r>
      <w:r>
        <w:rPr>
          <w:rFonts w:ascii="Times New Roman;serif" w:hAnsi="Times New Roman;serif"/>
          <w:b w:val="false"/>
          <w:color w:val="000000"/>
          <w:sz w:val="24"/>
        </w:rPr>
        <w:t xml:space="preserve">hereof, and the Issuer shall execute and, upon receipt of an Issuer Order in accordance with </w:t>
      </w:r>
      <w:r>
        <w:rPr>
          <w:rFonts w:ascii="Times New Roman;serif" w:hAnsi="Times New Roman;serif"/>
          <w:b w:val="false"/>
          <w:color w:val="000000"/>
          <w:sz w:val="24"/>
          <w:u w:val="single"/>
        </w:rPr>
        <w:t>Section 2.02</w:t>
      </w:r>
      <w:r>
        <w:rPr>
          <w:color w:val="000000"/>
        </w:rPr>
        <w:t xml:space="preserve"> </w:t>
      </w:r>
      <w:r>
        <w:rPr>
          <w:rFonts w:ascii="Times New Roman;serif" w:hAnsi="Times New Roman;serif"/>
          <w:b w:val="false"/>
          <w:color w:val="000000"/>
          <w:sz w:val="24"/>
        </w:rPr>
        <w:t xml:space="preserve">hereof, the Trustee shall authenticate and deliver to the Person designated in the Issuer Order a Definitive Note in the appropriate principal amount. Any Definitive Note issued in exchange for a beneficial interest in a Restricted Global Note pursuant to this </w:t>
      </w:r>
      <w:r>
        <w:rPr>
          <w:rFonts w:ascii="Times New Roman;serif" w:hAnsi="Times New Roman;serif"/>
          <w:b w:val="false"/>
          <w:color w:val="000000"/>
          <w:sz w:val="24"/>
          <w:u w:val="single"/>
        </w:rPr>
        <w:t>Section 2.06(c)</w:t>
      </w:r>
      <w:r>
        <w:rPr>
          <w:color w:val="000000"/>
        </w:rPr>
        <w:t xml:space="preserve"> </w:t>
      </w:r>
      <w:r>
        <w:rPr>
          <w:rFonts w:ascii="Times New Roman;serif" w:hAnsi="Times New Roman;serif"/>
          <w:b w:val="false"/>
          <w:color w:val="000000"/>
          <w:sz w:val="24"/>
        </w:rPr>
        <w:t>shall be registered in such name or names and in such authorized denomination or denominations as the Depository shall instruct, pursuant to written instruction from its Participants or its Applicable Procedures. The Trustee shall deliver such Definitive Notes to, or as directed by, the Persons in whose names such Definitive Notes are so registered.</w:t>
      </w:r>
    </w:p>
    <w:p>
      <w:pPr>
        <w:pStyle w:val="TextBody"/>
        <w:bidi w:val="0"/>
        <w:spacing w:lineRule="auto" w:line="300" w:before="0" w:after="240"/>
        <w:ind w:left="0" w:right="0" w:firstLine="720"/>
        <w:jc w:val="both"/>
        <w:rPr/>
      </w:pPr>
      <w:r>
        <w:rPr>
          <w:rFonts w:ascii="Times New Roman;serif" w:hAnsi="Times New Roman;serif"/>
          <w:b w:val="false"/>
          <w:color w:val="000000"/>
          <w:sz w:val="24"/>
        </w:rPr>
        <w:t>(4)</w:t>
      </w:r>
      <w:r>
        <w:rPr>
          <w:rFonts w:ascii="Times New Roman;serif" w:hAnsi="Times New Roman;serif"/>
          <w:b w:val="false"/>
          <w:i/>
          <w:color w:val="000000"/>
          <w:sz w:val="24"/>
        </w:rPr>
        <w:t>Beneficial Interests in Unrestricted Global Notes to Unrestricted Definitive Notes</w:t>
      </w:r>
      <w:r>
        <w:rPr>
          <w:rFonts w:ascii="Times New Roman;serif" w:hAnsi="Times New Roman;serif"/>
          <w:b w:val="false"/>
          <w:color w:val="000000"/>
          <w:sz w:val="24"/>
        </w:rPr>
        <w:t>. If any Holder of a beneficial interest in an Unrestricted</w:t>
      </w:r>
      <w:r>
        <w:rPr>
          <w:color w:val="000000"/>
        </w:rPr>
        <w:t xml:space="preserve"> </w:t>
      </w:r>
      <w:r>
        <w:rPr>
          <w:rFonts w:ascii="Times New Roman;serif" w:hAnsi="Times New Roman;serif"/>
          <w:b w:val="false"/>
          <w:color w:val="000000"/>
          <w:sz w:val="24"/>
        </w:rPr>
        <w:t>Global</w:t>
      </w:r>
      <w:r>
        <w:rPr>
          <w:color w:val="000000"/>
        </w:rPr>
        <w:t xml:space="preserve"> </w:t>
      </w:r>
      <w:r>
        <w:rPr>
          <w:rFonts w:ascii="Times New Roman;serif" w:hAnsi="Times New Roman;serif"/>
          <w:b w:val="false"/>
          <w:color w:val="000000"/>
          <w:sz w:val="24"/>
        </w:rPr>
        <w:t>Note</w:t>
      </w:r>
      <w:r>
        <w:rPr>
          <w:color w:val="000000"/>
        </w:rPr>
        <w:t xml:space="preserve"> </w:t>
      </w:r>
      <w:r>
        <w:rPr>
          <w:rFonts w:ascii="Times New Roman;serif" w:hAnsi="Times New Roman;serif"/>
          <w:b w:val="false"/>
          <w:color w:val="000000"/>
          <w:sz w:val="24"/>
        </w:rPr>
        <w:t>proposes</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exchange</w:t>
      </w:r>
      <w:r>
        <w:rPr>
          <w:color w:val="000000"/>
        </w:rPr>
        <w:t xml:space="preserve"> </w:t>
      </w:r>
      <w:r>
        <w:rPr>
          <w:rFonts w:ascii="Times New Roman;serif" w:hAnsi="Times New Roman;serif"/>
          <w:b w:val="false"/>
          <w:color w:val="000000"/>
          <w:sz w:val="24"/>
        </w:rPr>
        <w:t>such</w:t>
      </w:r>
      <w:r>
        <w:rPr>
          <w:color w:val="000000"/>
        </w:rPr>
        <w:t xml:space="preserve"> </w:t>
      </w:r>
      <w:r>
        <w:rPr>
          <w:rFonts w:ascii="Times New Roman;serif" w:hAnsi="Times New Roman;serif"/>
          <w:b w:val="false"/>
          <w:color w:val="000000"/>
          <w:sz w:val="24"/>
        </w:rPr>
        <w:t>beneficial</w:t>
      </w:r>
      <w:r>
        <w:rPr>
          <w:color w:val="000000"/>
        </w:rPr>
        <w:t xml:space="preserve"> </w:t>
      </w:r>
      <w:r>
        <w:rPr>
          <w:rFonts w:ascii="Times New Roman;serif" w:hAnsi="Times New Roman;serif"/>
          <w:b w:val="false"/>
          <w:color w:val="000000"/>
          <w:sz w:val="24"/>
        </w:rPr>
        <w:t>interest</w:t>
      </w:r>
      <w:r>
        <w:rPr>
          <w:color w:val="000000"/>
        </w:rPr>
        <w:t xml:space="preserve"> </w:t>
      </w:r>
      <w:r>
        <w:rPr>
          <w:rFonts w:ascii="Times New Roman;serif" w:hAnsi="Times New Roman;serif"/>
          <w:b w:val="false"/>
          <w:color w:val="000000"/>
          <w:sz w:val="24"/>
        </w:rPr>
        <w:t>for</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Definitive</w:t>
      </w:r>
      <w:r>
        <w:rPr>
          <w:color w:val="000000"/>
        </w:rPr>
        <w:t xml:space="preserve"> </w:t>
      </w:r>
      <w:r>
        <w:rPr>
          <w:rFonts w:ascii="Times New Roman;serif" w:hAnsi="Times New Roman;serif"/>
          <w:b w:val="false"/>
          <w:color w:val="000000"/>
          <w:sz w:val="24"/>
        </w:rPr>
        <w:t>Note</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transfer</w:t>
      </w:r>
      <w:r>
        <w:rPr>
          <w:color w:val="000000"/>
        </w:rPr>
        <w:t xml:space="preserve"> </w:t>
      </w:r>
      <w:r>
        <w:rPr>
          <w:rFonts w:ascii="Times New Roman;serif" w:hAnsi="Times New Roman;serif"/>
          <w:b w:val="false"/>
          <w:color w:val="000000"/>
          <w:sz w:val="24"/>
        </w:rPr>
        <w:t>such</w:t>
      </w:r>
      <w:r>
        <w:rPr>
          <w:color w:val="000000"/>
        </w:rPr>
        <w:t xml:space="preserve"> </w:t>
      </w:r>
      <w:r>
        <w:rPr>
          <w:rFonts w:ascii="Times New Roman;serif" w:hAnsi="Times New Roman;serif"/>
          <w:b w:val="false"/>
          <w:color w:val="000000"/>
          <w:sz w:val="24"/>
        </w:rPr>
        <w:t>beneficial</w:t>
      </w:r>
      <w:r>
        <w:rPr>
          <w:color w:val="000000"/>
        </w:rPr>
        <w:t xml:space="preserve"> </w:t>
      </w:r>
      <w:r>
        <w:rPr>
          <w:rFonts w:ascii="Times New Roman;serif" w:hAnsi="Times New Roman;serif"/>
          <w:b w:val="false"/>
          <w:color w:val="000000"/>
          <w:sz w:val="24"/>
        </w:rPr>
        <w:t>interest</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Person</w:t>
      </w:r>
      <w:r>
        <w:rPr>
          <w:color w:val="000000"/>
        </w:rPr>
        <w:t xml:space="preserve"> </w:t>
      </w:r>
      <w:r>
        <w:rPr>
          <w:rFonts w:ascii="Times New Roman;serif" w:hAnsi="Times New Roman;serif"/>
          <w:b w:val="false"/>
          <w:color w:val="000000"/>
          <w:sz w:val="24"/>
        </w:rPr>
        <w:t>who</w:t>
      </w:r>
      <w:r>
        <w:rPr>
          <w:color w:val="000000"/>
        </w:rPr>
        <w:t xml:space="preserve"> </w:t>
      </w:r>
      <w:r>
        <w:rPr>
          <w:rFonts w:ascii="Times New Roman;serif" w:hAnsi="Times New Roman;serif"/>
          <w:b w:val="false"/>
          <w:color w:val="000000"/>
          <w:sz w:val="24"/>
        </w:rPr>
        <w:t>takes</w:t>
      </w:r>
      <w:r>
        <w:rPr>
          <w:color w:val="000000"/>
        </w:rPr>
        <w:t xml:space="preserve"> </w:t>
      </w:r>
      <w:r>
        <w:rPr>
          <w:rFonts w:ascii="Times New Roman;serif" w:hAnsi="Times New Roman;serif"/>
          <w:b w:val="false"/>
          <w:color w:val="000000"/>
          <w:sz w:val="24"/>
        </w:rPr>
        <w:t>delivery thereof in the form of a Definitive Note, then the Trustee shall cause the aggregate principal amount of the applicable Global Note to be</w:t>
      </w:r>
      <w:r>
        <w:rPr>
          <w:color w:val="000000"/>
        </w:rPr>
        <w:t xml:space="preserve"> </w:t>
      </w:r>
      <w:r>
        <w:rPr>
          <w:rFonts w:ascii="Times New Roman;serif" w:hAnsi="Times New Roman;serif"/>
          <w:b w:val="false"/>
          <w:color w:val="000000"/>
          <w:sz w:val="24"/>
        </w:rPr>
        <w:t xml:space="preserve">reduced accordingly pursuant to </w:t>
      </w:r>
      <w:r>
        <w:rPr>
          <w:rFonts w:ascii="Times New Roman;serif" w:hAnsi="Times New Roman;serif"/>
          <w:b w:val="false"/>
          <w:color w:val="000000"/>
          <w:sz w:val="24"/>
          <w:u w:val="single"/>
        </w:rPr>
        <w:t>Section 2.06(g)</w:t>
      </w:r>
      <w:r>
        <w:rPr>
          <w:color w:val="000000"/>
        </w:rPr>
        <w:t xml:space="preserve"> </w:t>
      </w:r>
      <w:r>
        <w:rPr>
          <w:rFonts w:ascii="Times New Roman;serif" w:hAnsi="Times New Roman;serif"/>
          <w:b w:val="false"/>
          <w:color w:val="000000"/>
          <w:sz w:val="24"/>
        </w:rPr>
        <w:t>hereof, and the Issuer shall execute and, upon receipt of an Issuer Order in accordance with</w:t>
      </w:r>
      <w:r>
        <w:rPr>
          <w:color w:val="000000"/>
        </w:rPr>
        <w:t xml:space="preserve"> </w:t>
      </w:r>
      <w:r>
        <w:rPr>
          <w:rFonts w:ascii="Times New Roman;serif" w:hAnsi="Times New Roman;serif"/>
          <w:b w:val="false"/>
          <w:color w:val="000000"/>
          <w:sz w:val="24"/>
          <w:u w:val="single"/>
        </w:rPr>
        <w:t>Section 2.02</w:t>
      </w:r>
      <w:r>
        <w:rPr>
          <w:color w:val="000000"/>
        </w:rPr>
        <w:t xml:space="preserve"> </w:t>
      </w:r>
      <w:r>
        <w:rPr>
          <w:rFonts w:ascii="Times New Roman;serif" w:hAnsi="Times New Roman;serif"/>
          <w:b w:val="false"/>
          <w:color w:val="000000"/>
          <w:sz w:val="24"/>
        </w:rPr>
        <w:t>hereof, the Trustee shall authenticate and deliver to the Person designated in the instructions a Definitive Note in the appropriate</w:t>
      </w:r>
      <w:r>
        <w:rPr>
          <w:color w:val="000000"/>
        </w:rPr>
        <w:t xml:space="preserve"> </w:t>
      </w:r>
      <w:r>
        <w:rPr>
          <w:rFonts w:ascii="Times New Roman;serif" w:hAnsi="Times New Roman;serif"/>
          <w:b w:val="false"/>
          <w:color w:val="000000"/>
          <w:sz w:val="24"/>
        </w:rPr>
        <w:t>principal amount. Any Definitive Note issued in exchange for a beneficial interest pursuant to this</w:t>
      </w:r>
      <w:r>
        <w:rPr>
          <w:color w:val="000000"/>
        </w:rPr>
        <w:t xml:space="preserve"> </w:t>
      </w:r>
      <w:r>
        <w:rPr>
          <w:rFonts w:ascii="Times New Roman;serif" w:hAnsi="Times New Roman;serif"/>
          <w:b w:val="false"/>
          <w:color w:val="000000"/>
          <w:sz w:val="24"/>
          <w:u w:val="single"/>
        </w:rPr>
        <w:t>Section 2.06(c)(4)</w:t>
      </w:r>
      <w:r>
        <w:rPr>
          <w:color w:val="000000"/>
        </w:rPr>
        <w:t xml:space="preserve"> </w:t>
      </w:r>
      <w:r>
        <w:rPr>
          <w:rFonts w:ascii="Times New Roman;serif" w:hAnsi="Times New Roman;serif"/>
          <w:b w:val="false"/>
          <w:color w:val="000000"/>
          <w:sz w:val="24"/>
        </w:rPr>
        <w:t>shall be registered in such</w:t>
      </w:r>
      <w:r>
        <w:rPr>
          <w:color w:val="000000"/>
        </w:rPr>
        <w:t xml:space="preserve"> </w:t>
      </w:r>
      <w:r>
        <w:rPr>
          <w:rFonts w:ascii="Times New Roman;serif" w:hAnsi="Times New Roman;serif"/>
          <w:b w:val="false"/>
          <w:color w:val="000000"/>
          <w:sz w:val="24"/>
        </w:rPr>
        <w:t>name</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names</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such</w:t>
      </w:r>
      <w:r>
        <w:rPr>
          <w:color w:val="000000"/>
        </w:rPr>
        <w:t xml:space="preserve"> </w:t>
      </w:r>
      <w:r>
        <w:rPr>
          <w:rFonts w:ascii="Times New Roman;serif" w:hAnsi="Times New Roman;serif"/>
          <w:b w:val="false"/>
          <w:color w:val="000000"/>
          <w:sz w:val="24"/>
        </w:rPr>
        <w:t>authorized</w:t>
      </w:r>
      <w:r>
        <w:rPr>
          <w:color w:val="000000"/>
        </w:rPr>
        <w:t xml:space="preserve"> </w:t>
      </w:r>
      <w:r>
        <w:rPr>
          <w:rFonts w:ascii="Times New Roman;serif" w:hAnsi="Times New Roman;serif"/>
          <w:b w:val="false"/>
          <w:color w:val="000000"/>
          <w:sz w:val="24"/>
        </w:rPr>
        <w:t>denomination</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denominations</w:t>
      </w:r>
      <w:r>
        <w:rPr>
          <w:color w:val="000000"/>
        </w:rPr>
        <w:t xml:space="preserve"> </w:t>
      </w:r>
      <w:r>
        <w:rPr>
          <w:rFonts w:ascii="Times New Roman;serif" w:hAnsi="Times New Roman;serif"/>
          <w:b w:val="false"/>
          <w:color w:val="000000"/>
          <w:sz w:val="24"/>
        </w:rPr>
        <w:t>as</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Holder</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such</w:t>
      </w:r>
      <w:r>
        <w:rPr>
          <w:color w:val="000000"/>
        </w:rPr>
        <w:t xml:space="preserve"> </w:t>
      </w:r>
      <w:r>
        <w:rPr>
          <w:rFonts w:ascii="Times New Roman;serif" w:hAnsi="Times New Roman;serif"/>
          <w:b w:val="false"/>
          <w:color w:val="000000"/>
          <w:sz w:val="24"/>
        </w:rPr>
        <w:t>beneficial</w:t>
      </w:r>
      <w:r>
        <w:rPr>
          <w:color w:val="000000"/>
        </w:rPr>
        <w:t xml:space="preserve"> </w:t>
      </w:r>
      <w:r>
        <w:rPr>
          <w:rFonts w:ascii="Times New Roman;serif" w:hAnsi="Times New Roman;serif"/>
          <w:b w:val="false"/>
          <w:color w:val="000000"/>
          <w:sz w:val="24"/>
        </w:rPr>
        <w:t>interest</w:t>
      </w:r>
      <w:r>
        <w:rPr>
          <w:color w:val="000000"/>
        </w:rPr>
        <w:t xml:space="preserve"> </w:t>
      </w:r>
      <w:r>
        <w:rPr>
          <w:rFonts w:ascii="Times New Roman;serif" w:hAnsi="Times New Roman;serif"/>
          <w:b w:val="false"/>
          <w:color w:val="000000"/>
          <w:sz w:val="24"/>
        </w:rPr>
        <w:t>requests</w:t>
      </w:r>
      <w:r>
        <w:rPr>
          <w:color w:val="000000"/>
        </w:rPr>
        <w:t xml:space="preserve"> </w:t>
      </w:r>
      <w:r>
        <w:rPr>
          <w:rFonts w:ascii="Times New Roman;serif" w:hAnsi="Times New Roman;serif"/>
          <w:b w:val="false"/>
          <w:color w:val="000000"/>
          <w:sz w:val="24"/>
        </w:rPr>
        <w:t>through</w:t>
      </w:r>
      <w:r>
        <w:rPr>
          <w:color w:val="000000"/>
        </w:rPr>
        <w:t xml:space="preserve"> </w:t>
      </w:r>
      <w:r>
        <w:rPr>
          <w:rFonts w:ascii="Times New Roman;serif" w:hAnsi="Times New Roman;serif"/>
          <w:b w:val="false"/>
          <w:color w:val="000000"/>
          <w:sz w:val="24"/>
        </w:rPr>
        <w:t>instructions</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the Registrar from or through the Depository and the Participant or Indirect Participant. The Trustee shall deliver such Definitive Notes to the</w:t>
      </w:r>
      <w:r>
        <w:rPr>
          <w:color w:val="000000"/>
        </w:rPr>
        <w:t xml:space="preserve"> </w:t>
      </w:r>
      <w:r>
        <w:rPr>
          <w:rFonts w:ascii="Times New Roman;serif" w:hAnsi="Times New Roman;serif"/>
          <w:b w:val="false"/>
          <w:color w:val="000000"/>
          <w:sz w:val="24"/>
        </w:rPr>
        <w:t xml:space="preserve">Persons in whose names such Notes are so registered. Any Definitive Note issued in exchange for a beneficial interest pursuant to this </w:t>
      </w:r>
      <w:r>
        <w:rPr>
          <w:rFonts w:ascii="Times New Roman;serif" w:hAnsi="Times New Roman;serif"/>
          <w:b w:val="false"/>
          <w:color w:val="000000"/>
          <w:sz w:val="24"/>
          <w:u w:val="single"/>
        </w:rPr>
        <w:t>Section 2.06(c)(4)</w:t>
      </w:r>
      <w:r>
        <w:rPr>
          <w:color w:val="000000"/>
        </w:rPr>
        <w:t xml:space="preserve"> </w:t>
      </w:r>
      <w:r>
        <w:rPr>
          <w:rFonts w:ascii="Times New Roman;serif" w:hAnsi="Times New Roman;serif"/>
          <w:b w:val="false"/>
          <w:color w:val="000000"/>
          <w:sz w:val="24"/>
        </w:rPr>
        <w:t>will not bear the Private Placement Legend.</w:t>
      </w:r>
    </w:p>
    <w:p>
      <w:pPr>
        <w:pStyle w:val="TextBody"/>
        <w:bidi w:val="0"/>
        <w:spacing w:lineRule="auto" w:line="300" w:before="0" w:after="240"/>
        <w:ind w:left="0" w:right="0" w:firstLine="720"/>
        <w:jc w:val="both"/>
        <w:rPr/>
      </w:pPr>
      <w:r>
        <w:rPr>
          <w:rFonts w:ascii="Times New Roman;serif" w:hAnsi="Times New Roman;serif"/>
          <w:b w:val="false"/>
          <w:color w:val="000000"/>
          <w:sz w:val="24"/>
        </w:rPr>
        <w:t>(d)</w:t>
      </w:r>
      <w:r>
        <w:rPr>
          <w:rFonts w:ascii="Times New Roman;serif" w:hAnsi="Times New Roman;serif"/>
          <w:b w:val="false"/>
          <w:i/>
          <w:color w:val="000000"/>
          <w:sz w:val="24"/>
        </w:rPr>
        <w:t>Transfer</w:t>
      </w:r>
      <w:r>
        <w:rPr>
          <w:color w:val="000000"/>
        </w:rPr>
        <w:t xml:space="preserve"> </w:t>
      </w:r>
      <w:r>
        <w:rPr>
          <w:rFonts w:ascii="Times New Roman;serif" w:hAnsi="Times New Roman;serif"/>
          <w:b w:val="false"/>
          <w:i/>
          <w:color w:val="000000"/>
          <w:sz w:val="24"/>
        </w:rPr>
        <w:t>and</w:t>
      </w:r>
      <w:r>
        <w:rPr>
          <w:color w:val="000000"/>
        </w:rPr>
        <w:t xml:space="preserve"> </w:t>
      </w:r>
      <w:r>
        <w:rPr>
          <w:rFonts w:ascii="Times New Roman;serif" w:hAnsi="Times New Roman;serif"/>
          <w:b w:val="false"/>
          <w:i/>
          <w:color w:val="000000"/>
          <w:sz w:val="24"/>
        </w:rPr>
        <w:t>Exchange</w:t>
      </w:r>
      <w:r>
        <w:rPr>
          <w:color w:val="000000"/>
        </w:rPr>
        <w:t xml:space="preserve"> </w:t>
      </w:r>
      <w:r>
        <w:rPr>
          <w:rFonts w:ascii="Times New Roman;serif" w:hAnsi="Times New Roman;serif"/>
          <w:b w:val="false"/>
          <w:i/>
          <w:color w:val="000000"/>
          <w:sz w:val="24"/>
        </w:rPr>
        <w:t>of</w:t>
      </w:r>
      <w:r>
        <w:rPr>
          <w:color w:val="000000"/>
        </w:rPr>
        <w:t xml:space="preserve"> </w:t>
      </w:r>
      <w:r>
        <w:rPr>
          <w:rFonts w:ascii="Times New Roman;serif" w:hAnsi="Times New Roman;serif"/>
          <w:b w:val="false"/>
          <w:i/>
          <w:color w:val="000000"/>
          <w:sz w:val="24"/>
        </w:rPr>
        <w:t>Definitive</w:t>
      </w:r>
      <w:r>
        <w:rPr>
          <w:color w:val="000000"/>
        </w:rPr>
        <w:t xml:space="preserve"> </w:t>
      </w:r>
      <w:r>
        <w:rPr>
          <w:rFonts w:ascii="Times New Roman;serif" w:hAnsi="Times New Roman;serif"/>
          <w:b w:val="false"/>
          <w:i/>
          <w:color w:val="000000"/>
          <w:sz w:val="24"/>
        </w:rPr>
        <w:t>Notes</w:t>
      </w:r>
      <w:r>
        <w:rPr>
          <w:color w:val="000000"/>
        </w:rPr>
        <w:t xml:space="preserve"> </w:t>
      </w:r>
      <w:r>
        <w:rPr>
          <w:rFonts w:ascii="Times New Roman;serif" w:hAnsi="Times New Roman;serif"/>
          <w:b w:val="false"/>
          <w:i/>
          <w:color w:val="000000"/>
          <w:sz w:val="24"/>
        </w:rPr>
        <w:t>for</w:t>
      </w:r>
      <w:r>
        <w:rPr>
          <w:color w:val="000000"/>
        </w:rPr>
        <w:t xml:space="preserve"> </w:t>
      </w:r>
      <w:r>
        <w:rPr>
          <w:rFonts w:ascii="Times New Roman;serif" w:hAnsi="Times New Roman;serif"/>
          <w:b w:val="false"/>
          <w:i/>
          <w:color w:val="000000"/>
          <w:sz w:val="24"/>
        </w:rPr>
        <w:t>Beneficial</w:t>
      </w:r>
      <w:r>
        <w:rPr>
          <w:color w:val="000000"/>
        </w:rPr>
        <w:t xml:space="preserve"> </w:t>
      </w:r>
      <w:r>
        <w:rPr>
          <w:rFonts w:ascii="Times New Roman;serif" w:hAnsi="Times New Roman;serif"/>
          <w:b w:val="false"/>
          <w:i/>
          <w:color w:val="000000"/>
          <w:sz w:val="24"/>
        </w:rPr>
        <w:t>Interests</w:t>
      </w:r>
      <w:r>
        <w:rPr>
          <w:color w:val="000000"/>
        </w:rPr>
        <w:t xml:space="preserve"> </w:t>
      </w:r>
      <w:r>
        <w:rPr>
          <w:rFonts w:ascii="Times New Roman;serif" w:hAnsi="Times New Roman;serif"/>
          <w:b w:val="false"/>
          <w:i/>
          <w:color w:val="000000"/>
          <w:sz w:val="24"/>
        </w:rPr>
        <w:t>in</w:t>
      </w:r>
      <w:r>
        <w:rPr>
          <w:color w:val="000000"/>
        </w:rPr>
        <w:t xml:space="preserve"> </w:t>
      </w:r>
      <w:r>
        <w:rPr>
          <w:rFonts w:ascii="Times New Roman;serif" w:hAnsi="Times New Roman;serif"/>
          <w:b w:val="false"/>
          <w:i/>
          <w:color w:val="000000"/>
          <w:sz w:val="24"/>
        </w:rPr>
        <w:t>Global</w:t>
      </w:r>
      <w:r>
        <w:rPr>
          <w:color w:val="000000"/>
        </w:rPr>
        <w:t xml:space="preserve"> </w:t>
      </w:r>
      <w:r>
        <w:rPr>
          <w:rFonts w:ascii="Times New Roman;serif" w:hAnsi="Times New Roman;serif"/>
          <w:b w:val="false"/>
          <w:i/>
          <w:color w:val="000000"/>
          <w:sz w:val="24"/>
        </w:rPr>
        <w:t>Notes</w:t>
      </w:r>
      <w:r>
        <w:rPr>
          <w:rFonts w:ascii="Times New Roman;serif" w:hAnsi="Times New Roman;serif"/>
          <w:b w:val="false"/>
          <w:color w:val="000000"/>
          <w:sz w:val="24"/>
        </w:rPr>
        <w:t>.</w:t>
      </w:r>
    </w:p>
    <w:p>
      <w:pPr>
        <w:pStyle w:val="TextBody"/>
        <w:bidi w:val="0"/>
        <w:spacing w:before="0" w:after="0"/>
        <w:jc w:val="left"/>
        <w:rPr/>
      </w:pPr>
      <w:r>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6480175" cy="768985"/>
                <wp:effectExtent l="0" t="0" r="0" b="0"/>
                <wp:wrapNone/>
                <wp:docPr id="210" name="Frame210"/>
                <a:graphic xmlns:a="http://schemas.openxmlformats.org/drawingml/2006/main">
                  <a:graphicData uri="http://schemas.microsoft.com/office/word/2010/wordprocessingShape">
                    <wps:wsp>
                      <wps:cNvSpPr txBox="1"/>
                      <wps:spPr>
                        <a:xfrm>
                          <a:off x="0" y="0"/>
                          <a:ext cx="6480175" cy="7689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37</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0.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37</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300" w:before="0" w:after="240"/>
        <w:ind w:left="0" w:right="0" w:firstLine="720"/>
        <w:jc w:val="both"/>
        <w:rPr/>
      </w:pPr>
      <w:r>
        <w:rPr>
          <w:rFonts w:ascii="Times New Roman;serif" w:hAnsi="Times New Roman;serif"/>
          <w:b w:val="false"/>
          <w:color w:val="000000"/>
          <w:sz w:val="24"/>
        </w:rPr>
        <w:t>(1)</w:t>
      </w:r>
      <w:r>
        <w:rPr>
          <w:rFonts w:ascii="Times New Roman;serif" w:hAnsi="Times New Roman;serif"/>
          <w:b w:val="false"/>
          <w:i/>
          <w:color w:val="000000"/>
          <w:sz w:val="24"/>
        </w:rPr>
        <w:t>Restricted Definitive Notes to Beneficial Interests in Restricted Global Notes</w:t>
      </w:r>
      <w:r>
        <w:rPr>
          <w:rFonts w:ascii="Times New Roman;serif" w:hAnsi="Times New Roman;serif"/>
          <w:b w:val="false"/>
          <w:color w:val="000000"/>
          <w:sz w:val="24"/>
        </w:rPr>
        <w:t>. If any Holder of a Restricted Definitive Note proposes to</w:t>
      </w:r>
      <w:r>
        <w:rPr>
          <w:color w:val="000000"/>
        </w:rPr>
        <w:t xml:space="preserve"> </w:t>
      </w:r>
      <w:r>
        <w:rPr>
          <w:rFonts w:ascii="Times New Roman;serif" w:hAnsi="Times New Roman;serif"/>
          <w:b w:val="false"/>
          <w:color w:val="000000"/>
          <w:sz w:val="24"/>
        </w:rPr>
        <w:t>exchange such Note for a beneficial interest in a Restricted Global Note or to transfer such Restricted Definitive Notes to a</w:t>
      </w:r>
      <w:r>
        <w:rPr>
          <w:color w:val="000000"/>
        </w:rPr>
        <w:t xml:space="preserve"> </w:t>
      </w:r>
      <w:r>
        <w:rPr>
          <w:rFonts w:ascii="Times New Roman;serif" w:hAnsi="Times New Roman;serif"/>
          <w:b w:val="false"/>
          <w:color w:val="000000"/>
          <w:sz w:val="24"/>
        </w:rPr>
        <w:t>Person who takes delivery thereof in the form of a beneficial interest in a Restricted Global Note, then, upon receipt by the</w:t>
      </w:r>
      <w:r>
        <w:rPr>
          <w:color w:val="000000"/>
        </w:rPr>
        <w:t xml:space="preserve"> </w:t>
      </w:r>
      <w:r>
        <w:rPr>
          <w:rFonts w:ascii="Times New Roman;serif" w:hAnsi="Times New Roman;serif"/>
          <w:b w:val="false"/>
          <w:color w:val="000000"/>
          <w:sz w:val="24"/>
        </w:rPr>
        <w:t>Registrar of the following documentation:</w:t>
      </w:r>
    </w:p>
    <w:p>
      <w:pPr>
        <w:pStyle w:val="TextBody"/>
        <w:bidi w:val="0"/>
        <w:spacing w:lineRule="auto" w:line="300" w:before="0" w:after="240"/>
        <w:ind w:left="0" w:right="0" w:firstLine="720"/>
        <w:jc w:val="both"/>
        <w:rPr/>
      </w:pPr>
      <w:r>
        <w:rPr>
          <w:rFonts w:ascii="Times New Roman;serif" w:hAnsi="Times New Roman;serif"/>
          <w:b w:val="false"/>
          <w:color w:val="000000"/>
          <w:sz w:val="24"/>
        </w:rPr>
        <w:t>(A)if the Holder of such Restricted Definitive Note proposes to exchange such Note for a beneficial interest in a Restricted Global Note, a</w:t>
      </w:r>
      <w:r>
        <w:rPr>
          <w:color w:val="000000"/>
        </w:rPr>
        <w:t xml:space="preserve"> </w:t>
      </w:r>
      <w:r>
        <w:rPr>
          <w:rFonts w:ascii="Times New Roman;serif" w:hAnsi="Times New Roman;serif"/>
          <w:b w:val="false"/>
          <w:color w:val="000000"/>
          <w:sz w:val="24"/>
        </w:rPr>
        <w:t xml:space="preserve">certificate from such Holder in the form of </w:t>
      </w:r>
      <w:r>
        <w:rPr>
          <w:rFonts w:ascii="Times New Roman;serif" w:hAnsi="Times New Roman;serif"/>
          <w:b w:val="false"/>
          <w:color w:val="000000"/>
          <w:sz w:val="24"/>
          <w:u w:val="single"/>
        </w:rPr>
        <w:t>Exhibit B</w:t>
      </w:r>
      <w:r>
        <w:rPr>
          <w:color w:val="000000"/>
        </w:rPr>
        <w:t xml:space="preserve"> </w:t>
      </w:r>
      <w:r>
        <w:rPr>
          <w:rFonts w:ascii="Times New Roman;serif" w:hAnsi="Times New Roman;serif"/>
          <w:b w:val="false"/>
          <w:color w:val="000000"/>
          <w:sz w:val="24"/>
        </w:rPr>
        <w:t>hereto, including the certifications in item (2)(b) thereof;</w:t>
      </w:r>
    </w:p>
    <w:p>
      <w:pPr>
        <w:pStyle w:val="TextBody"/>
        <w:bidi w:val="0"/>
        <w:spacing w:lineRule="auto" w:line="300" w:before="0" w:after="240"/>
        <w:ind w:left="0" w:right="0" w:firstLine="720"/>
        <w:jc w:val="both"/>
        <w:rPr/>
      </w:pPr>
      <w:r>
        <w:rPr>
          <w:rFonts w:ascii="Times New Roman;serif" w:hAnsi="Times New Roman;serif"/>
          <w:b w:val="false"/>
          <w:color w:val="000000"/>
          <w:sz w:val="24"/>
        </w:rPr>
        <w:t>(B)if</w:t>
      </w:r>
      <w:r>
        <w:rPr>
          <w:color w:val="000000"/>
        </w:rPr>
        <w:t xml:space="preserve"> </w:t>
      </w:r>
      <w:r>
        <w:rPr>
          <w:rFonts w:ascii="Times New Roman;serif" w:hAnsi="Times New Roman;serif"/>
          <w:b w:val="false"/>
          <w:color w:val="000000"/>
          <w:sz w:val="24"/>
        </w:rPr>
        <w:t>such</w:t>
      </w:r>
      <w:r>
        <w:rPr>
          <w:color w:val="000000"/>
        </w:rPr>
        <w:t xml:space="preserve"> </w:t>
      </w:r>
      <w:r>
        <w:rPr>
          <w:rFonts w:ascii="Times New Roman;serif" w:hAnsi="Times New Roman;serif"/>
          <w:b w:val="false"/>
          <w:color w:val="000000"/>
          <w:sz w:val="24"/>
        </w:rPr>
        <w:t>Restricted</w:t>
      </w:r>
      <w:r>
        <w:rPr>
          <w:color w:val="000000"/>
        </w:rPr>
        <w:t xml:space="preserve"> </w:t>
      </w:r>
      <w:r>
        <w:rPr>
          <w:rFonts w:ascii="Times New Roman;serif" w:hAnsi="Times New Roman;serif"/>
          <w:b w:val="false"/>
          <w:color w:val="000000"/>
          <w:sz w:val="24"/>
        </w:rPr>
        <w:t>Definitive</w:t>
      </w:r>
      <w:r>
        <w:rPr>
          <w:color w:val="000000"/>
        </w:rPr>
        <w:t xml:space="preserve"> </w:t>
      </w:r>
      <w:r>
        <w:rPr>
          <w:rFonts w:ascii="Times New Roman;serif" w:hAnsi="Times New Roman;serif"/>
          <w:b w:val="false"/>
          <w:color w:val="000000"/>
          <w:sz w:val="24"/>
        </w:rPr>
        <w:t>Note</w:t>
      </w:r>
      <w:r>
        <w:rPr>
          <w:color w:val="000000"/>
        </w:rPr>
        <w:t xml:space="preserve"> </w:t>
      </w:r>
      <w:r>
        <w:rPr>
          <w:rFonts w:ascii="Times New Roman;serif" w:hAnsi="Times New Roman;serif"/>
          <w:b w:val="false"/>
          <w:color w:val="000000"/>
          <w:sz w:val="24"/>
        </w:rPr>
        <w:t>is</w:t>
      </w:r>
      <w:r>
        <w:rPr>
          <w:color w:val="000000"/>
        </w:rPr>
        <w:t xml:space="preserve"> </w:t>
      </w:r>
      <w:r>
        <w:rPr>
          <w:rFonts w:ascii="Times New Roman;serif" w:hAnsi="Times New Roman;serif"/>
          <w:b w:val="false"/>
          <w:color w:val="000000"/>
          <w:sz w:val="24"/>
        </w:rPr>
        <w:t>being</w:t>
      </w:r>
      <w:r>
        <w:rPr>
          <w:color w:val="000000"/>
        </w:rPr>
        <w:t xml:space="preserve"> </w:t>
      </w:r>
      <w:r>
        <w:rPr>
          <w:rFonts w:ascii="Times New Roman;serif" w:hAnsi="Times New Roman;serif"/>
          <w:b w:val="false"/>
          <w:color w:val="000000"/>
          <w:sz w:val="24"/>
        </w:rPr>
        <w:t>transferred</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QIB</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accordance</w:t>
      </w:r>
      <w:r>
        <w:rPr>
          <w:color w:val="000000"/>
        </w:rPr>
        <w:t xml:space="preserve"> </w:t>
      </w:r>
      <w:r>
        <w:rPr>
          <w:rFonts w:ascii="Times New Roman;serif" w:hAnsi="Times New Roman;serif"/>
          <w:b w:val="false"/>
          <w:color w:val="000000"/>
          <w:sz w:val="24"/>
        </w:rPr>
        <w:t>with</w:t>
      </w:r>
      <w:r>
        <w:rPr>
          <w:color w:val="000000"/>
        </w:rPr>
        <w:t xml:space="preserve"> </w:t>
      </w:r>
      <w:r>
        <w:rPr>
          <w:rFonts w:ascii="Times New Roman;serif" w:hAnsi="Times New Roman;serif"/>
          <w:b w:val="false"/>
          <w:color w:val="000000"/>
          <w:sz w:val="24"/>
        </w:rPr>
        <w:t>Rule</w:t>
      </w:r>
      <w:r>
        <w:rPr>
          <w:color w:val="000000"/>
        </w:rPr>
        <w:t xml:space="preserve"> </w:t>
      </w:r>
      <w:r>
        <w:rPr>
          <w:rFonts w:ascii="Times New Roman;serif" w:hAnsi="Times New Roman;serif"/>
          <w:b w:val="false"/>
          <w:color w:val="000000"/>
          <w:sz w:val="24"/>
        </w:rPr>
        <w:t>144A,</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certificate</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effect</w:t>
      </w:r>
      <w:r>
        <w:rPr>
          <w:color w:val="000000"/>
        </w:rPr>
        <w:t xml:space="preserve"> </w:t>
      </w:r>
      <w:r>
        <w:rPr>
          <w:rFonts w:ascii="Times New Roman;serif" w:hAnsi="Times New Roman;serif"/>
          <w:b w:val="false"/>
          <w:color w:val="000000"/>
          <w:sz w:val="24"/>
        </w:rPr>
        <w:t>set</w:t>
      </w:r>
      <w:r>
        <w:rPr>
          <w:color w:val="000000"/>
        </w:rPr>
        <w:t xml:space="preserve"> </w:t>
      </w:r>
      <w:r>
        <w:rPr>
          <w:rFonts w:ascii="Times New Roman;serif" w:hAnsi="Times New Roman;serif"/>
          <w:b w:val="false"/>
          <w:color w:val="000000"/>
          <w:sz w:val="24"/>
        </w:rPr>
        <w:t>forth</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u w:val="single"/>
        </w:rPr>
        <w:t>Exhibit B</w:t>
      </w:r>
      <w:r>
        <w:rPr>
          <w:color w:val="000000"/>
        </w:rPr>
        <w:t xml:space="preserve"> </w:t>
      </w:r>
      <w:r>
        <w:rPr>
          <w:rFonts w:ascii="Times New Roman;serif" w:hAnsi="Times New Roman;serif"/>
          <w:b w:val="false"/>
          <w:color w:val="000000"/>
          <w:sz w:val="24"/>
        </w:rPr>
        <w:t>hereto, including the certifications in item (1) thereof;</w:t>
      </w:r>
    </w:p>
    <w:p>
      <w:pPr>
        <w:pStyle w:val="TextBody"/>
        <w:bidi w:val="0"/>
        <w:spacing w:lineRule="auto" w:line="300" w:before="0" w:after="240"/>
        <w:ind w:left="0" w:right="0" w:firstLine="720"/>
        <w:jc w:val="both"/>
        <w:rPr/>
      </w:pPr>
      <w:r>
        <w:rPr>
          <w:rFonts w:ascii="Times New Roman;serif" w:hAnsi="Times New Roman;serif"/>
          <w:b w:val="false"/>
          <w:color w:val="000000"/>
          <w:sz w:val="24"/>
        </w:rPr>
        <w:t>(C)if</w:t>
      </w:r>
      <w:r>
        <w:rPr>
          <w:color w:val="000000"/>
        </w:rPr>
        <w:t xml:space="preserve"> </w:t>
      </w:r>
      <w:r>
        <w:rPr>
          <w:rFonts w:ascii="Times New Roman;serif" w:hAnsi="Times New Roman;serif"/>
          <w:b w:val="false"/>
          <w:color w:val="000000"/>
          <w:sz w:val="24"/>
        </w:rPr>
        <w:t>such</w:t>
      </w:r>
      <w:r>
        <w:rPr>
          <w:color w:val="000000"/>
        </w:rPr>
        <w:t xml:space="preserve"> </w:t>
      </w:r>
      <w:r>
        <w:rPr>
          <w:rFonts w:ascii="Times New Roman;serif" w:hAnsi="Times New Roman;serif"/>
          <w:b w:val="false"/>
          <w:color w:val="000000"/>
          <w:sz w:val="24"/>
        </w:rPr>
        <w:t>Restricted</w:t>
      </w:r>
      <w:r>
        <w:rPr>
          <w:color w:val="000000"/>
        </w:rPr>
        <w:t xml:space="preserve"> </w:t>
      </w:r>
      <w:r>
        <w:rPr>
          <w:rFonts w:ascii="Times New Roman;serif" w:hAnsi="Times New Roman;serif"/>
          <w:b w:val="false"/>
          <w:color w:val="000000"/>
          <w:sz w:val="24"/>
        </w:rPr>
        <w:t>Definitive</w:t>
      </w:r>
      <w:r>
        <w:rPr>
          <w:color w:val="000000"/>
        </w:rPr>
        <w:t xml:space="preserve"> </w:t>
      </w:r>
      <w:r>
        <w:rPr>
          <w:rFonts w:ascii="Times New Roman;serif" w:hAnsi="Times New Roman;serif"/>
          <w:b w:val="false"/>
          <w:color w:val="000000"/>
          <w:sz w:val="24"/>
        </w:rPr>
        <w:t>Note</w:t>
      </w:r>
      <w:r>
        <w:rPr>
          <w:color w:val="000000"/>
        </w:rPr>
        <w:t xml:space="preserve"> </w:t>
      </w:r>
      <w:r>
        <w:rPr>
          <w:rFonts w:ascii="Times New Roman;serif" w:hAnsi="Times New Roman;serif"/>
          <w:b w:val="false"/>
          <w:color w:val="000000"/>
          <w:sz w:val="24"/>
        </w:rPr>
        <w:t>is</w:t>
      </w:r>
      <w:r>
        <w:rPr>
          <w:color w:val="000000"/>
        </w:rPr>
        <w:t xml:space="preserve"> </w:t>
      </w:r>
      <w:r>
        <w:rPr>
          <w:rFonts w:ascii="Times New Roman;serif" w:hAnsi="Times New Roman;serif"/>
          <w:b w:val="false"/>
          <w:color w:val="000000"/>
          <w:sz w:val="24"/>
        </w:rPr>
        <w:t>being</w:t>
      </w:r>
      <w:r>
        <w:rPr>
          <w:color w:val="000000"/>
        </w:rPr>
        <w:t xml:space="preserve"> </w:t>
      </w:r>
      <w:r>
        <w:rPr>
          <w:rFonts w:ascii="Times New Roman;serif" w:hAnsi="Times New Roman;serif"/>
          <w:b w:val="false"/>
          <w:color w:val="000000"/>
          <w:sz w:val="24"/>
        </w:rPr>
        <w:t>transferred</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non-U.S.</w:t>
      </w:r>
      <w:r>
        <w:rPr>
          <w:color w:val="000000"/>
        </w:rPr>
        <w:t xml:space="preserve"> </w:t>
      </w:r>
      <w:r>
        <w:rPr>
          <w:rFonts w:ascii="Times New Roman;serif" w:hAnsi="Times New Roman;serif"/>
          <w:b w:val="false"/>
          <w:color w:val="000000"/>
          <w:sz w:val="24"/>
        </w:rPr>
        <w:t>Person</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an</w:t>
      </w:r>
      <w:r>
        <w:rPr>
          <w:color w:val="000000"/>
        </w:rPr>
        <w:t xml:space="preserve"> </w:t>
      </w:r>
      <w:r>
        <w:rPr>
          <w:rFonts w:ascii="Times New Roman;serif" w:hAnsi="Times New Roman;serif"/>
          <w:b w:val="false"/>
          <w:color w:val="000000"/>
          <w:sz w:val="24"/>
        </w:rPr>
        <w:t>offshore</w:t>
      </w:r>
      <w:r>
        <w:rPr>
          <w:color w:val="000000"/>
        </w:rPr>
        <w:t xml:space="preserve"> </w:t>
      </w:r>
      <w:r>
        <w:rPr>
          <w:rFonts w:ascii="Times New Roman;serif" w:hAnsi="Times New Roman;serif"/>
          <w:b w:val="false"/>
          <w:color w:val="000000"/>
          <w:sz w:val="24"/>
        </w:rPr>
        <w:t>transaction</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accordance</w:t>
      </w:r>
      <w:r>
        <w:rPr>
          <w:color w:val="000000"/>
        </w:rPr>
        <w:t xml:space="preserve"> </w:t>
      </w:r>
      <w:r>
        <w:rPr>
          <w:rFonts w:ascii="Times New Roman;serif" w:hAnsi="Times New Roman;serif"/>
          <w:b w:val="false"/>
          <w:color w:val="000000"/>
          <w:sz w:val="24"/>
        </w:rPr>
        <w:t>with</w:t>
      </w:r>
      <w:r>
        <w:rPr>
          <w:color w:val="000000"/>
        </w:rPr>
        <w:t xml:space="preserve"> </w:t>
      </w:r>
      <w:r>
        <w:rPr>
          <w:rFonts w:ascii="Times New Roman;serif" w:hAnsi="Times New Roman;serif"/>
          <w:b w:val="false"/>
          <w:color w:val="000000"/>
          <w:sz w:val="24"/>
        </w:rPr>
        <w:t>Rule</w:t>
      </w:r>
      <w:r>
        <w:rPr>
          <w:color w:val="000000"/>
        </w:rPr>
        <w:t xml:space="preserve"> </w:t>
      </w:r>
      <w:r>
        <w:rPr>
          <w:rFonts w:ascii="Times New Roman;serif" w:hAnsi="Times New Roman;serif"/>
          <w:b w:val="false"/>
          <w:color w:val="000000"/>
          <w:sz w:val="24"/>
        </w:rPr>
        <w:t>903</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Rule</w:t>
      </w:r>
      <w:r>
        <w:rPr>
          <w:color w:val="000000"/>
        </w:rPr>
        <w:t xml:space="preserve"> </w:t>
      </w:r>
      <w:r>
        <w:rPr>
          <w:rFonts w:ascii="Times New Roman;serif" w:hAnsi="Times New Roman;serif"/>
          <w:b w:val="false"/>
          <w:color w:val="000000"/>
          <w:sz w:val="24"/>
        </w:rPr>
        <w:t xml:space="preserve">904 of Regulation S, a certificate to the effect set forth in </w:t>
      </w:r>
      <w:r>
        <w:rPr>
          <w:rFonts w:ascii="Times New Roman;serif" w:hAnsi="Times New Roman;serif"/>
          <w:b w:val="false"/>
          <w:color w:val="000000"/>
          <w:sz w:val="24"/>
          <w:u w:val="single"/>
        </w:rPr>
        <w:t>Exhibit B</w:t>
      </w:r>
      <w:r>
        <w:rPr>
          <w:color w:val="000000"/>
        </w:rPr>
        <w:t xml:space="preserve"> </w:t>
      </w:r>
      <w:r>
        <w:rPr>
          <w:rFonts w:ascii="Times New Roman;serif" w:hAnsi="Times New Roman;serif"/>
          <w:b w:val="false"/>
          <w:color w:val="000000"/>
          <w:sz w:val="24"/>
        </w:rPr>
        <w:t>hereto, including the certifications in item (2) thereof;</w:t>
      </w:r>
    </w:p>
    <w:p>
      <w:pPr>
        <w:pStyle w:val="TextBody"/>
        <w:bidi w:val="0"/>
        <w:spacing w:lineRule="auto" w:line="300" w:before="0" w:after="240"/>
        <w:ind w:left="0" w:right="0" w:firstLine="720"/>
        <w:jc w:val="both"/>
        <w:rPr/>
      </w:pPr>
      <w:r>
        <w:rPr>
          <w:rFonts w:ascii="Times New Roman;serif" w:hAnsi="Times New Roman;serif"/>
          <w:b w:val="false"/>
          <w:color w:val="000000"/>
          <w:sz w:val="24"/>
        </w:rPr>
        <w:t>(D)if such Restricted Definitive Note is being transferred pursuant to an exemption from the registration requirements of the Securities Act in</w:t>
      </w:r>
      <w:r>
        <w:rPr>
          <w:color w:val="000000"/>
        </w:rPr>
        <w:t xml:space="preserve"> </w:t>
      </w:r>
      <w:r>
        <w:rPr>
          <w:rFonts w:ascii="Times New Roman;serif" w:hAnsi="Times New Roman;serif"/>
          <w:b w:val="false"/>
          <w:color w:val="000000"/>
          <w:sz w:val="24"/>
        </w:rPr>
        <w:t xml:space="preserve">accordance with Rule 144, a certificate to the effect set forth in </w:t>
      </w:r>
      <w:r>
        <w:rPr>
          <w:rFonts w:ascii="Times New Roman;serif" w:hAnsi="Times New Roman;serif"/>
          <w:b w:val="false"/>
          <w:color w:val="000000"/>
          <w:sz w:val="24"/>
          <w:u w:val="single"/>
        </w:rPr>
        <w:t>Exhibit B</w:t>
      </w:r>
      <w:r>
        <w:rPr>
          <w:color w:val="000000"/>
        </w:rPr>
        <w:t xml:space="preserve"> </w:t>
      </w:r>
      <w:r>
        <w:rPr>
          <w:rFonts w:ascii="Times New Roman;serif" w:hAnsi="Times New Roman;serif"/>
          <w:b w:val="false"/>
          <w:color w:val="000000"/>
          <w:sz w:val="24"/>
        </w:rPr>
        <w:t>hereto, including the certifications in item (3)(a) thereof;</w:t>
      </w:r>
    </w:p>
    <w:p>
      <w:pPr>
        <w:pStyle w:val="TextBody"/>
        <w:bidi w:val="0"/>
        <w:spacing w:lineRule="auto" w:line="300" w:before="0" w:after="240"/>
        <w:ind w:left="0" w:right="0" w:firstLine="720"/>
        <w:jc w:val="both"/>
        <w:rPr/>
      </w:pPr>
      <w:r>
        <w:rPr>
          <w:rFonts w:ascii="Times New Roman;serif" w:hAnsi="Times New Roman;serif"/>
          <w:b w:val="false"/>
          <w:color w:val="000000"/>
          <w:sz w:val="24"/>
        </w:rPr>
        <w:t>(E)if such Restricted Definitive Note is being transferred to the Issuer or any of its Subsidiaries, a certificate to the effect set forth in</w:t>
      </w:r>
      <w:r>
        <w:rPr>
          <w:color w:val="000000"/>
        </w:rPr>
        <w:t xml:space="preserve"> </w:t>
      </w:r>
      <w:r>
        <w:rPr>
          <w:rFonts w:ascii="Times New Roman;serif" w:hAnsi="Times New Roman;serif"/>
          <w:b w:val="false"/>
          <w:color w:val="000000"/>
          <w:sz w:val="24"/>
          <w:u w:val="single"/>
        </w:rPr>
        <w:t>Exhibit B</w:t>
      </w:r>
      <w:r>
        <w:rPr>
          <w:color w:val="000000"/>
        </w:rPr>
        <w:t xml:space="preserve"> </w:t>
      </w:r>
      <w:r>
        <w:rPr>
          <w:rFonts w:ascii="Times New Roman;serif" w:hAnsi="Times New Roman;serif"/>
          <w:b w:val="false"/>
          <w:color w:val="000000"/>
          <w:sz w:val="24"/>
        </w:rPr>
        <w:t>hereto, including the certifications in item (3)(b) thereof;</w:t>
      </w:r>
    </w:p>
    <w:p>
      <w:pPr>
        <w:pStyle w:val="TextBody"/>
        <w:bidi w:val="0"/>
        <w:spacing w:lineRule="auto" w:line="300" w:before="0" w:after="240"/>
        <w:ind w:left="0" w:right="0" w:firstLine="720"/>
        <w:jc w:val="both"/>
        <w:rPr/>
      </w:pPr>
      <w:r>
        <w:rPr>
          <w:rFonts w:ascii="Times New Roman;serif" w:hAnsi="Times New Roman;serif"/>
          <w:b w:val="false"/>
          <w:color w:val="000000"/>
          <w:sz w:val="24"/>
        </w:rPr>
        <w:t>(F)if such beneficial interest is being transferred pursuant to an effective registration statement under the Securities Act in compliance with</w:t>
      </w:r>
      <w:r>
        <w:rPr>
          <w:color w:val="000000"/>
        </w:rPr>
        <w:t xml:space="preserve"> </w:t>
      </w:r>
      <w:r>
        <w:rPr>
          <w:rFonts w:ascii="Times New Roman;serif" w:hAnsi="Times New Roman;serif"/>
          <w:b w:val="false"/>
          <w:color w:val="000000"/>
          <w:sz w:val="24"/>
        </w:rPr>
        <w:t xml:space="preserve">the prospectus delivery requirements of the Securities Act, a certificate to the effect set forth in </w:t>
      </w:r>
      <w:r>
        <w:rPr>
          <w:rFonts w:ascii="Times New Roman;serif" w:hAnsi="Times New Roman;serif"/>
          <w:b w:val="false"/>
          <w:color w:val="000000"/>
          <w:sz w:val="24"/>
          <w:u w:val="single"/>
        </w:rPr>
        <w:t>Exhibit B</w:t>
      </w:r>
      <w:r>
        <w:rPr>
          <w:color w:val="000000"/>
        </w:rPr>
        <w:t xml:space="preserve"> </w:t>
      </w:r>
      <w:r>
        <w:rPr>
          <w:rFonts w:ascii="Times New Roman;serif" w:hAnsi="Times New Roman;serif"/>
          <w:b w:val="false"/>
          <w:color w:val="000000"/>
          <w:sz w:val="24"/>
        </w:rPr>
        <w:t>hereto, including the certifications in item</w:t>
      </w:r>
      <w:r>
        <w:rPr>
          <w:color w:val="000000"/>
        </w:rPr>
        <w:t xml:space="preserve"> </w:t>
      </w:r>
      <w:r>
        <w:rPr>
          <w:rFonts w:ascii="Times New Roman;serif" w:hAnsi="Times New Roman;serif"/>
          <w:b w:val="false"/>
          <w:color w:val="000000"/>
          <w:sz w:val="24"/>
        </w:rPr>
        <w:t>(3)(c) thereof; or</w:t>
      </w:r>
    </w:p>
    <w:p>
      <w:pPr>
        <w:pStyle w:val="TextBody"/>
        <w:bidi w:val="0"/>
        <w:spacing w:lineRule="auto" w:line="300" w:before="0" w:after="240"/>
        <w:ind w:left="0" w:right="0" w:firstLine="720"/>
        <w:jc w:val="both"/>
        <w:rPr/>
      </w:pPr>
      <w:r>
        <w:rPr>
          <w:rFonts w:ascii="Times New Roman;serif" w:hAnsi="Times New Roman;serif"/>
          <w:b w:val="false"/>
          <w:color w:val="000000"/>
          <w:sz w:val="24"/>
        </w:rPr>
        <w:t>(G)if such beneficial interest is being transferred to an Institutional Accredit Investor pursuant to an exemption from the registration requirements of the Securities Act other than</w:t>
      </w:r>
      <w:r>
        <w:rPr>
          <w:color w:val="000000"/>
        </w:rPr>
        <w:t xml:space="preserve"> </w:t>
      </w:r>
      <w:r>
        <w:rPr>
          <w:rFonts w:ascii="Times New Roman;serif" w:hAnsi="Times New Roman;serif"/>
          <w:b w:val="false"/>
          <w:color w:val="000000"/>
          <w:sz w:val="24"/>
        </w:rPr>
        <w:t>Rule</w:t>
      </w:r>
      <w:r>
        <w:rPr>
          <w:color w:val="000000"/>
        </w:rPr>
        <w:t xml:space="preserve"> </w:t>
      </w:r>
      <w:r>
        <w:rPr>
          <w:rFonts w:ascii="Times New Roman;serif" w:hAnsi="Times New Roman;serif"/>
          <w:b w:val="false"/>
          <w:color w:val="000000"/>
          <w:sz w:val="24"/>
        </w:rPr>
        <w:t>144A,</w:t>
      </w:r>
      <w:r>
        <w:rPr>
          <w:color w:val="000000"/>
        </w:rPr>
        <w:t xml:space="preserve"> </w:t>
      </w:r>
      <w:r>
        <w:rPr>
          <w:rFonts w:ascii="Times New Roman;serif" w:hAnsi="Times New Roman;serif"/>
          <w:b w:val="false"/>
          <w:color w:val="000000"/>
          <w:sz w:val="24"/>
        </w:rPr>
        <w:t>Rule</w:t>
      </w:r>
      <w:r>
        <w:rPr>
          <w:color w:val="000000"/>
        </w:rPr>
        <w:t xml:space="preserve"> </w:t>
      </w:r>
      <w:r>
        <w:rPr>
          <w:rFonts w:ascii="Times New Roman;serif" w:hAnsi="Times New Roman;serif"/>
          <w:b w:val="false"/>
          <w:color w:val="000000"/>
          <w:sz w:val="24"/>
        </w:rPr>
        <w:t>144,</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Rule</w:t>
      </w:r>
      <w:r>
        <w:rPr>
          <w:color w:val="000000"/>
        </w:rPr>
        <w:t xml:space="preserve"> </w:t>
      </w:r>
      <w:r>
        <w:rPr>
          <w:rFonts w:ascii="Times New Roman;serif" w:hAnsi="Times New Roman;serif"/>
          <w:b w:val="false"/>
          <w:color w:val="000000"/>
          <w:sz w:val="24"/>
        </w:rPr>
        <w:t>903</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Rule</w:t>
      </w:r>
      <w:r>
        <w:rPr>
          <w:color w:val="000000"/>
        </w:rPr>
        <w:t xml:space="preserve"> </w:t>
      </w:r>
      <w:r>
        <w:rPr>
          <w:rFonts w:ascii="Times New Roman;serif" w:hAnsi="Times New Roman;serif"/>
          <w:b w:val="false"/>
          <w:color w:val="000000"/>
          <w:sz w:val="24"/>
        </w:rPr>
        <w:t>904</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Regulation</w:t>
      </w:r>
      <w:r>
        <w:rPr>
          <w:color w:val="000000"/>
        </w:rPr>
        <w:t xml:space="preserve"> </w:t>
      </w:r>
      <w:r>
        <w:rPr>
          <w:rFonts w:ascii="Times New Roman;serif" w:hAnsi="Times New Roman;serif"/>
          <w:b w:val="false"/>
          <w:color w:val="000000"/>
          <w:sz w:val="24"/>
        </w:rPr>
        <w:t>S,</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certificate</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effect</w:t>
      </w:r>
      <w:r>
        <w:rPr>
          <w:color w:val="000000"/>
        </w:rPr>
        <w:t xml:space="preserve"> </w:t>
      </w:r>
      <w:r>
        <w:rPr>
          <w:rFonts w:ascii="Times New Roman;serif" w:hAnsi="Times New Roman;serif"/>
          <w:b w:val="false"/>
          <w:color w:val="000000"/>
          <w:sz w:val="24"/>
        </w:rPr>
        <w:t>set</w:t>
      </w:r>
      <w:r>
        <w:rPr>
          <w:color w:val="000000"/>
        </w:rPr>
        <w:t xml:space="preserve"> </w:t>
      </w:r>
      <w:r>
        <w:rPr>
          <w:rFonts w:ascii="Times New Roman;serif" w:hAnsi="Times New Roman;serif"/>
          <w:b w:val="false"/>
          <w:color w:val="000000"/>
          <w:sz w:val="24"/>
        </w:rPr>
        <w:t>forth</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u w:val="single"/>
        </w:rPr>
        <w:t>Exhibit B</w:t>
      </w:r>
      <w:r>
        <w:rPr>
          <w:color w:val="000000"/>
        </w:rPr>
        <w:t xml:space="preserve"> </w:t>
      </w:r>
      <w:r>
        <w:rPr>
          <w:rFonts w:ascii="Times New Roman;serif" w:hAnsi="Times New Roman;serif"/>
          <w:b w:val="false"/>
          <w:color w:val="000000"/>
          <w:sz w:val="24"/>
        </w:rPr>
        <w:t>hereto,</w:t>
      </w:r>
      <w:r>
        <w:rPr>
          <w:color w:val="000000"/>
        </w:rPr>
        <w:t xml:space="preserve"> </w:t>
      </w:r>
      <w:r>
        <w:rPr>
          <w:rFonts w:ascii="Times New Roman;serif" w:hAnsi="Times New Roman;serif"/>
          <w:b w:val="false"/>
          <w:color w:val="000000"/>
          <w:sz w:val="24"/>
        </w:rPr>
        <w:t>including</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certifications, certificates and Opinion of Counsel required by item (3)(d) thereof, if applicable;</w:t>
      </w:r>
    </w:p>
    <w:p>
      <w:pPr>
        <w:pStyle w:val="TextBody"/>
        <w:bidi w:val="0"/>
        <w:spacing w:lineRule="auto" w:line="300" w:before="0" w:after="240"/>
        <w:jc w:val="both"/>
        <w:rPr/>
      </w:pPr>
      <w:r>
        <w:rPr>
          <w:rFonts w:ascii="Times New Roman;serif" w:hAnsi="Times New Roman;serif"/>
          <w:b w:val="false"/>
          <w:color w:val="000000"/>
          <w:sz w:val="24"/>
        </w:rPr>
        <w:t>the Trustee, upon receipt of an Issuer Order, shall cancel the Restricted Definitive Note, and increase or cause to be increased in a corresponding</w:t>
      </w:r>
      <w:r>
        <w:rPr>
          <w:color w:val="000000"/>
        </w:rPr>
        <w:t xml:space="preserve"> </w:t>
      </w:r>
      <w:r>
        <w:rPr>
          <w:rFonts w:ascii="Times New Roman;serif" w:hAnsi="Times New Roman;serif"/>
          <w:b w:val="false"/>
          <w:color w:val="000000"/>
          <w:sz w:val="24"/>
        </w:rPr>
        <w:t xml:space="preserve">amount pursuant </w:t>
      </w:r>
    </w:p>
    <w:p>
      <w:pPr>
        <w:pStyle w:val="TextBody"/>
        <w:bidi w:val="0"/>
        <w:spacing w:before="0" w:after="0"/>
        <w:jc w:val="left"/>
        <w:rPr/>
      </w:pPr>
      <w:r>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6480175" cy="768985"/>
                <wp:effectExtent l="0" t="0" r="0" b="0"/>
                <wp:wrapNone/>
                <wp:docPr id="211" name="Frame211"/>
                <a:graphic xmlns:a="http://schemas.openxmlformats.org/drawingml/2006/main">
                  <a:graphicData uri="http://schemas.microsoft.com/office/word/2010/wordprocessingShape">
                    <wps:wsp>
                      <wps:cNvSpPr txBox="1"/>
                      <wps:spPr>
                        <a:xfrm>
                          <a:off x="0" y="0"/>
                          <a:ext cx="6480175" cy="7689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38</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0.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38</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300" w:before="0" w:after="240"/>
        <w:jc w:val="both"/>
        <w:rPr/>
      </w:pPr>
      <w:r>
        <w:rPr>
          <w:rFonts w:ascii="Times New Roman;serif" w:hAnsi="Times New Roman;serif"/>
          <w:b w:val="false"/>
          <w:color w:val="000000"/>
          <w:sz w:val="24"/>
        </w:rPr>
        <w:t xml:space="preserve">to </w:t>
      </w:r>
      <w:r>
        <w:rPr>
          <w:rFonts w:ascii="Times New Roman;serif" w:hAnsi="Times New Roman;serif"/>
          <w:b w:val="false"/>
          <w:color w:val="000000"/>
          <w:sz w:val="24"/>
          <w:u w:val="single"/>
        </w:rPr>
        <w:t>Section 2.06(g)</w:t>
      </w:r>
      <w:r>
        <w:rPr>
          <w:color w:val="000000"/>
        </w:rPr>
        <w:t xml:space="preserve"> </w:t>
      </w:r>
      <w:r>
        <w:rPr>
          <w:rFonts w:ascii="Times New Roman;serif" w:hAnsi="Times New Roman;serif"/>
          <w:b w:val="false"/>
          <w:color w:val="000000"/>
          <w:sz w:val="24"/>
        </w:rPr>
        <w:t>the aggregate principal amount of, in the case of clause (A) above, the appropriate Restricted Global Note, in the case</w:t>
      </w:r>
      <w:r>
        <w:rPr>
          <w:color w:val="000000"/>
        </w:rPr>
        <w:t xml:space="preserve"> </w:t>
      </w:r>
      <w:r>
        <w:rPr>
          <w:rFonts w:ascii="Times New Roman;serif" w:hAnsi="Times New Roman;serif"/>
          <w:b w:val="false"/>
          <w:color w:val="000000"/>
          <w:sz w:val="24"/>
        </w:rPr>
        <w:t>of clause (B) above, a 144A Global Note, and, in the case of clause (C) above, a Regulation S Global Note, and in the case of clause (G) above, the IAI Global Note.</w:t>
      </w:r>
    </w:p>
    <w:p>
      <w:pPr>
        <w:pStyle w:val="TextBody"/>
        <w:bidi w:val="0"/>
        <w:spacing w:lineRule="auto" w:line="300" w:before="0" w:after="240"/>
        <w:ind w:left="0" w:right="0" w:firstLine="720"/>
        <w:jc w:val="both"/>
        <w:rPr/>
      </w:pPr>
      <w:r>
        <w:rPr>
          <w:rFonts w:ascii="Times New Roman;serif" w:hAnsi="Times New Roman;serif"/>
          <w:b w:val="false"/>
          <w:color w:val="000000"/>
          <w:sz w:val="24"/>
        </w:rPr>
        <w:t>(2)</w:t>
      </w:r>
      <w:r>
        <w:rPr>
          <w:rFonts w:ascii="Times New Roman;serif" w:hAnsi="Times New Roman;serif"/>
          <w:b w:val="false"/>
          <w:i/>
          <w:color w:val="000000"/>
          <w:sz w:val="24"/>
        </w:rPr>
        <w:t>Restricted Definitive Notes to Beneficial Interests in Unrestricted Global Notes</w:t>
      </w:r>
      <w:r>
        <w:rPr>
          <w:rFonts w:ascii="Times New Roman;serif" w:hAnsi="Times New Roman;serif"/>
          <w:b w:val="false"/>
          <w:color w:val="000000"/>
          <w:sz w:val="24"/>
        </w:rPr>
        <w:t>. A Holder of a Restricted Definitive Note may exchange such</w:t>
      </w:r>
      <w:r>
        <w:rPr>
          <w:color w:val="000000"/>
        </w:rPr>
        <w:t xml:space="preserve"> </w:t>
      </w:r>
      <w:r>
        <w:rPr>
          <w:rFonts w:ascii="Times New Roman;serif" w:hAnsi="Times New Roman;serif"/>
          <w:b w:val="false"/>
          <w:color w:val="000000"/>
          <w:sz w:val="24"/>
        </w:rPr>
        <w:t>Note for a beneficial interest in an Unrestricted Global Note or transfer such Restricted Definitive Note to a Person who takes delivery</w:t>
      </w:r>
      <w:r>
        <w:rPr>
          <w:color w:val="000000"/>
        </w:rPr>
        <w:t xml:space="preserve"> </w:t>
      </w:r>
      <w:r>
        <w:rPr>
          <w:rFonts w:ascii="Times New Roman;serif" w:hAnsi="Times New Roman;serif"/>
          <w:b w:val="false"/>
          <w:color w:val="000000"/>
          <w:sz w:val="24"/>
        </w:rPr>
        <w:t>thereof in the form of a beneficial interest in an Unrestricted Global Note only if:</w:t>
      </w:r>
    </w:p>
    <w:p>
      <w:pPr>
        <w:pStyle w:val="TextBody"/>
        <w:bidi w:val="0"/>
        <w:spacing w:lineRule="auto" w:line="300" w:before="0" w:after="240"/>
        <w:ind w:left="0" w:right="0" w:firstLine="720"/>
        <w:jc w:val="both"/>
        <w:rPr/>
      </w:pPr>
      <w:r>
        <w:rPr>
          <w:rFonts w:ascii="Times New Roman;serif" w:hAnsi="Times New Roman;serif"/>
          <w:b w:val="false"/>
          <w:color w:val="000000"/>
          <w:sz w:val="24"/>
        </w:rPr>
        <w:t>(A)the</w:t>
      </w:r>
      <w:r>
        <w:rPr>
          <w:color w:val="000000"/>
        </w:rPr>
        <w:t xml:space="preserve"> </w:t>
      </w:r>
      <w:r>
        <w:rPr>
          <w:rFonts w:ascii="Times New Roman;serif" w:hAnsi="Times New Roman;serif"/>
          <w:b w:val="false"/>
          <w:color w:val="000000"/>
          <w:sz w:val="24"/>
        </w:rPr>
        <w:t>Registrar</w:t>
      </w:r>
      <w:r>
        <w:rPr>
          <w:color w:val="000000"/>
        </w:rPr>
        <w:t xml:space="preserve"> </w:t>
      </w:r>
      <w:r>
        <w:rPr>
          <w:rFonts w:ascii="Times New Roman;serif" w:hAnsi="Times New Roman;serif"/>
          <w:b w:val="false"/>
          <w:color w:val="000000"/>
          <w:sz w:val="24"/>
        </w:rPr>
        <w:t>receives</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following:</w:t>
      </w:r>
    </w:p>
    <w:p>
      <w:pPr>
        <w:pStyle w:val="TextBody"/>
        <w:bidi w:val="0"/>
        <w:spacing w:lineRule="auto" w:line="300" w:before="0" w:after="240"/>
        <w:ind w:left="0" w:right="0" w:firstLine="1440"/>
        <w:jc w:val="both"/>
        <w:rPr/>
      </w:pPr>
      <w:r>
        <w:rPr>
          <w:rFonts w:ascii="Times New Roman;serif" w:hAnsi="Times New Roman;serif"/>
          <w:b w:val="false"/>
          <w:color w:val="000000"/>
          <w:sz w:val="24"/>
        </w:rPr>
        <w:t>(i)if the Holder of such Restricted Definitive Notes proposes to exchange such Notes for a beneficial interest in the</w:t>
      </w:r>
      <w:r>
        <w:rPr>
          <w:color w:val="000000"/>
        </w:rPr>
        <w:t xml:space="preserve"> </w:t>
      </w:r>
      <w:r>
        <w:rPr>
          <w:rFonts w:ascii="Times New Roman;serif" w:hAnsi="Times New Roman;serif"/>
          <w:b w:val="false"/>
          <w:color w:val="000000"/>
          <w:sz w:val="24"/>
        </w:rPr>
        <w:t>Unrestricted</w:t>
      </w:r>
      <w:r>
        <w:rPr>
          <w:color w:val="000000"/>
        </w:rPr>
        <w:t xml:space="preserve"> </w:t>
      </w:r>
      <w:r>
        <w:rPr>
          <w:rFonts w:ascii="Times New Roman;serif" w:hAnsi="Times New Roman;serif"/>
          <w:b w:val="false"/>
          <w:color w:val="000000"/>
          <w:sz w:val="24"/>
        </w:rPr>
        <w:t>Global</w:t>
      </w:r>
      <w:r>
        <w:rPr>
          <w:color w:val="000000"/>
        </w:rPr>
        <w:t xml:space="preserve"> </w:t>
      </w:r>
      <w:r>
        <w:rPr>
          <w:rFonts w:ascii="Times New Roman;serif" w:hAnsi="Times New Roman;serif"/>
          <w:b w:val="false"/>
          <w:color w:val="000000"/>
          <w:sz w:val="24"/>
        </w:rPr>
        <w:t>Note,</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certificate</w:t>
      </w:r>
      <w:r>
        <w:rPr>
          <w:color w:val="000000"/>
        </w:rPr>
        <w:t xml:space="preserve"> </w:t>
      </w:r>
      <w:r>
        <w:rPr>
          <w:rFonts w:ascii="Times New Roman;serif" w:hAnsi="Times New Roman;serif"/>
          <w:b w:val="false"/>
          <w:color w:val="000000"/>
          <w:sz w:val="24"/>
        </w:rPr>
        <w:t>from</w:t>
      </w:r>
      <w:r>
        <w:rPr>
          <w:color w:val="000000"/>
        </w:rPr>
        <w:t xml:space="preserve"> </w:t>
      </w:r>
      <w:r>
        <w:rPr>
          <w:rFonts w:ascii="Times New Roman;serif" w:hAnsi="Times New Roman;serif"/>
          <w:b w:val="false"/>
          <w:color w:val="000000"/>
          <w:sz w:val="24"/>
        </w:rPr>
        <w:t>such</w:t>
      </w:r>
      <w:r>
        <w:rPr>
          <w:color w:val="000000"/>
        </w:rPr>
        <w:t xml:space="preserve"> </w:t>
      </w:r>
      <w:r>
        <w:rPr>
          <w:rFonts w:ascii="Times New Roman;serif" w:hAnsi="Times New Roman;serif"/>
          <w:b w:val="false"/>
          <w:color w:val="000000"/>
          <w:sz w:val="24"/>
        </w:rPr>
        <w:t>Holder</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form</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u w:val="single"/>
        </w:rPr>
        <w:t>Exhibit D</w:t>
      </w:r>
      <w:r>
        <w:rPr>
          <w:color w:val="000000"/>
        </w:rPr>
        <w:t xml:space="preserve"> </w:t>
      </w:r>
      <w:r>
        <w:rPr>
          <w:rFonts w:ascii="Times New Roman;serif" w:hAnsi="Times New Roman;serif"/>
          <w:b w:val="false"/>
          <w:color w:val="000000"/>
          <w:sz w:val="24"/>
        </w:rPr>
        <w:t>hereto,</w:t>
      </w:r>
      <w:r>
        <w:rPr>
          <w:color w:val="000000"/>
        </w:rPr>
        <w:t xml:space="preserve"> </w:t>
      </w:r>
      <w:r>
        <w:rPr>
          <w:rFonts w:ascii="Times New Roman;serif" w:hAnsi="Times New Roman;serif"/>
          <w:b w:val="false"/>
          <w:color w:val="000000"/>
          <w:sz w:val="24"/>
        </w:rPr>
        <w:t>including</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certifications</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item</w:t>
      </w:r>
      <w:r>
        <w:rPr>
          <w:color w:val="000000"/>
        </w:rPr>
        <w:t xml:space="preserve"> </w:t>
      </w:r>
      <w:r>
        <w:rPr>
          <w:rFonts w:ascii="Times New Roman;serif" w:hAnsi="Times New Roman;serif"/>
          <w:b w:val="false"/>
          <w:color w:val="000000"/>
          <w:sz w:val="24"/>
        </w:rPr>
        <w:t>(1)(c)</w:t>
      </w:r>
      <w:r>
        <w:rPr>
          <w:color w:val="000000"/>
        </w:rPr>
        <w:t xml:space="preserve"> </w:t>
      </w:r>
      <w:r>
        <w:rPr>
          <w:rFonts w:ascii="Times New Roman;serif" w:hAnsi="Times New Roman;serif"/>
          <w:b w:val="false"/>
          <w:color w:val="000000"/>
          <w:sz w:val="24"/>
        </w:rPr>
        <w:t>thereof; or</w:t>
      </w:r>
    </w:p>
    <w:p>
      <w:pPr>
        <w:pStyle w:val="TextBody"/>
        <w:bidi w:val="0"/>
        <w:spacing w:lineRule="auto" w:line="300" w:before="0" w:after="240"/>
        <w:ind w:left="0" w:right="0" w:firstLine="1440"/>
        <w:jc w:val="both"/>
        <w:rPr/>
      </w:pPr>
      <w:r>
        <w:rPr>
          <w:rFonts w:ascii="Times New Roman;serif" w:hAnsi="Times New Roman;serif"/>
          <w:b w:val="false"/>
          <w:color w:val="000000"/>
          <w:sz w:val="24"/>
        </w:rPr>
        <w:t>(ii)if the Holder of such Restricted Definitive Notes proposes to transfer such Notes to a Person who shall take delivery thereof</w:t>
      </w:r>
      <w:r>
        <w:rPr>
          <w:color w:val="000000"/>
        </w:rPr>
        <w:t xml:space="preserve"> </w:t>
      </w:r>
      <w:r>
        <w:rPr>
          <w:rFonts w:ascii="Times New Roman;serif" w:hAnsi="Times New Roman;serif"/>
          <w:b w:val="false"/>
          <w:color w:val="000000"/>
          <w:sz w:val="24"/>
        </w:rPr>
        <w:t xml:space="preserve">in the form of a beneficial interest in the Unrestricted Global Note, a certificate from such Holder in the form of </w:t>
      </w:r>
      <w:r>
        <w:rPr>
          <w:rFonts w:ascii="Times New Roman;serif" w:hAnsi="Times New Roman;serif"/>
          <w:b w:val="false"/>
          <w:color w:val="000000"/>
          <w:sz w:val="24"/>
          <w:u w:val="single"/>
        </w:rPr>
        <w:t>Exhibit C</w:t>
      </w:r>
      <w:r>
        <w:rPr>
          <w:color w:val="000000"/>
        </w:rPr>
        <w:t xml:space="preserve"> </w:t>
      </w:r>
      <w:r>
        <w:rPr>
          <w:rFonts w:ascii="Times New Roman;serif" w:hAnsi="Times New Roman;serif"/>
          <w:b w:val="false"/>
          <w:color w:val="000000"/>
          <w:sz w:val="24"/>
        </w:rPr>
        <w:t>hereto,</w:t>
      </w:r>
      <w:r>
        <w:rPr>
          <w:color w:val="000000"/>
        </w:rPr>
        <w:t xml:space="preserve"> </w:t>
      </w:r>
      <w:r>
        <w:rPr>
          <w:rFonts w:ascii="Times New Roman;serif" w:hAnsi="Times New Roman;serif"/>
          <w:b w:val="false"/>
          <w:color w:val="000000"/>
          <w:sz w:val="24"/>
        </w:rPr>
        <w:t>including the certifications in item (4) thereof;</w:t>
      </w:r>
    </w:p>
    <w:p>
      <w:pPr>
        <w:pStyle w:val="TextBody"/>
        <w:bidi w:val="0"/>
        <w:spacing w:lineRule="auto" w:line="300" w:before="0" w:after="240"/>
        <w:jc w:val="both"/>
        <w:rPr/>
      </w:pPr>
      <w:r>
        <w:rPr>
          <w:rFonts w:ascii="Times New Roman;serif" w:hAnsi="Times New Roman;serif"/>
          <w:b w:val="false"/>
          <w:color w:val="000000"/>
          <w:sz w:val="24"/>
        </w:rPr>
        <w:t>and, in each such case set forth in this subparagraph (A), if the Registrar so requests or if the Applicable Procedures so require, an Opinion</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Counsel in form</w:t>
      </w:r>
      <w:r>
        <w:rPr>
          <w:color w:val="000000"/>
        </w:rPr>
        <w:t xml:space="preserve"> </w:t>
      </w:r>
      <w:r>
        <w:rPr>
          <w:rFonts w:ascii="Times New Roman;serif" w:hAnsi="Times New Roman;serif"/>
          <w:b w:val="false"/>
          <w:color w:val="000000"/>
          <w:sz w:val="24"/>
        </w:rPr>
        <w:t>reasonably</w:t>
      </w:r>
      <w:r>
        <w:rPr>
          <w:color w:val="000000"/>
        </w:rPr>
        <w:t xml:space="preserve"> </w:t>
      </w:r>
      <w:r>
        <w:rPr>
          <w:rFonts w:ascii="Times New Roman;serif" w:hAnsi="Times New Roman;serif"/>
          <w:b w:val="false"/>
          <w:color w:val="000000"/>
          <w:sz w:val="24"/>
        </w:rPr>
        <w:t>acceptable to the Registrar to the effect that such</w:t>
      </w:r>
      <w:r>
        <w:rPr>
          <w:color w:val="000000"/>
        </w:rPr>
        <w:t xml:space="preserve"> </w:t>
      </w:r>
      <w:r>
        <w:rPr>
          <w:rFonts w:ascii="Times New Roman;serif" w:hAnsi="Times New Roman;serif"/>
          <w:b w:val="false"/>
          <w:color w:val="000000"/>
          <w:sz w:val="24"/>
        </w:rPr>
        <w:t>exchange or</w:t>
      </w:r>
      <w:r>
        <w:rPr>
          <w:color w:val="000000"/>
        </w:rPr>
        <w:t xml:space="preserve"> </w:t>
      </w:r>
      <w:r>
        <w:rPr>
          <w:rFonts w:ascii="Times New Roman;serif" w:hAnsi="Times New Roman;serif"/>
          <w:b w:val="false"/>
          <w:color w:val="000000"/>
          <w:sz w:val="24"/>
        </w:rPr>
        <w:t>transfer is in compliance with</w:t>
      </w:r>
      <w:r>
        <w:rPr>
          <w:color w:val="000000"/>
        </w:rPr>
        <w:t xml:space="preserve"> </w:t>
      </w:r>
      <w:r>
        <w:rPr>
          <w:rFonts w:ascii="Times New Roman;serif" w:hAnsi="Times New Roman;serif"/>
          <w:b w:val="false"/>
          <w:color w:val="000000"/>
          <w:sz w:val="24"/>
        </w:rPr>
        <w:t>the Securities</w:t>
      </w:r>
      <w:r>
        <w:rPr>
          <w:color w:val="000000"/>
        </w:rPr>
        <w:t xml:space="preserve"> </w:t>
      </w:r>
      <w:r>
        <w:rPr>
          <w:rFonts w:ascii="Times New Roman;serif" w:hAnsi="Times New Roman;serif"/>
          <w:b w:val="false"/>
          <w:color w:val="000000"/>
          <w:sz w:val="24"/>
        </w:rPr>
        <w:t>Act and that the restrictions on transfer contained herein and in the Private Placement Legend are no longer required in order to maintain</w:t>
      </w:r>
      <w:r>
        <w:rPr>
          <w:color w:val="000000"/>
        </w:rPr>
        <w:t xml:space="preserve"> </w:t>
      </w:r>
      <w:r>
        <w:rPr>
          <w:rFonts w:ascii="Times New Roman;serif" w:hAnsi="Times New Roman;serif"/>
          <w:b w:val="false"/>
          <w:color w:val="000000"/>
          <w:sz w:val="24"/>
        </w:rPr>
        <w:t>compliance with the Securities Act.</w:t>
      </w:r>
    </w:p>
    <w:p>
      <w:pPr>
        <w:pStyle w:val="TextBody"/>
        <w:bidi w:val="0"/>
        <w:spacing w:lineRule="auto" w:line="300" w:before="0" w:after="240"/>
        <w:jc w:val="both"/>
        <w:rPr/>
      </w:pPr>
      <w:r>
        <w:rPr>
          <w:rFonts w:ascii="Times New Roman;serif" w:hAnsi="Times New Roman;serif"/>
          <w:b w:val="false"/>
          <w:color w:val="000000"/>
          <w:sz w:val="24"/>
        </w:rPr>
        <w:t xml:space="preserve">Upon satisfaction of the conditions of any of the subparagraphs in this </w:t>
      </w:r>
      <w:r>
        <w:rPr>
          <w:rFonts w:ascii="Times New Roman;serif" w:hAnsi="Times New Roman;serif"/>
          <w:b w:val="false"/>
          <w:color w:val="000000"/>
          <w:sz w:val="24"/>
          <w:u w:val="single"/>
        </w:rPr>
        <w:t>Section 2.06(d)(2)</w:t>
      </w:r>
      <w:r>
        <w:rPr>
          <w:rFonts w:ascii="Times New Roman;serif" w:hAnsi="Times New Roman;serif"/>
          <w:b w:val="false"/>
          <w:color w:val="000000"/>
          <w:sz w:val="24"/>
        </w:rPr>
        <w:t>, the Trustee, upon receipt of an Issuer Order,</w:t>
      </w:r>
      <w:r>
        <w:rPr>
          <w:color w:val="000000"/>
        </w:rPr>
        <w:t xml:space="preserve"> </w:t>
      </w:r>
      <w:r>
        <w:rPr>
          <w:rFonts w:ascii="Times New Roman;serif" w:hAnsi="Times New Roman;serif"/>
          <w:b w:val="false"/>
          <w:color w:val="000000"/>
          <w:sz w:val="24"/>
        </w:rPr>
        <w:t>will cancel the Restricted Definitive Notes and increase or cause to be increased the aggregate principal amount of the Unrestricted Global Note.</w:t>
      </w:r>
    </w:p>
    <w:p>
      <w:pPr>
        <w:pStyle w:val="TextBody"/>
        <w:bidi w:val="0"/>
        <w:spacing w:lineRule="auto" w:line="300" w:before="0" w:after="240"/>
        <w:ind w:left="0" w:right="0" w:firstLine="720"/>
        <w:jc w:val="both"/>
        <w:rPr/>
      </w:pPr>
      <w:r>
        <w:rPr>
          <w:rFonts w:ascii="Times New Roman;serif" w:hAnsi="Times New Roman;serif"/>
          <w:b w:val="false"/>
          <w:color w:val="000000"/>
          <w:sz w:val="24"/>
        </w:rPr>
        <w:t>(3)</w:t>
      </w:r>
      <w:r>
        <w:rPr>
          <w:rFonts w:ascii="Times New Roman;serif" w:hAnsi="Times New Roman;serif"/>
          <w:b w:val="false"/>
          <w:i/>
          <w:color w:val="000000"/>
          <w:sz w:val="24"/>
        </w:rPr>
        <w:t>Unrestricted Definitive Notes to Beneficial Interests in Unrestricted Global Notes</w:t>
      </w:r>
      <w:r>
        <w:rPr>
          <w:rFonts w:ascii="Times New Roman;serif" w:hAnsi="Times New Roman;serif"/>
          <w:b w:val="false"/>
          <w:color w:val="000000"/>
          <w:sz w:val="24"/>
        </w:rPr>
        <w:t>. A Holder of an Unrestricted Definitive Note may</w:t>
      </w:r>
      <w:r>
        <w:rPr>
          <w:color w:val="000000"/>
        </w:rPr>
        <w:t xml:space="preserve"> </w:t>
      </w:r>
      <w:r>
        <w:rPr>
          <w:rFonts w:ascii="Times New Roman;serif" w:hAnsi="Times New Roman;serif"/>
          <w:b w:val="false"/>
          <w:color w:val="000000"/>
          <w:sz w:val="24"/>
        </w:rPr>
        <w:t>exchange such Note for a beneficial interest in an Unrestricted Global Note or transfer such Definitive Notes to a Person who</w:t>
      </w:r>
      <w:r>
        <w:rPr>
          <w:color w:val="000000"/>
        </w:rPr>
        <w:t xml:space="preserve"> </w:t>
      </w:r>
      <w:r>
        <w:rPr>
          <w:rFonts w:ascii="Times New Roman;serif" w:hAnsi="Times New Roman;serif"/>
          <w:b w:val="false"/>
          <w:color w:val="000000"/>
          <w:sz w:val="24"/>
        </w:rPr>
        <w:t>takes</w:t>
      </w:r>
      <w:r>
        <w:rPr>
          <w:color w:val="000000"/>
        </w:rPr>
        <w:t xml:space="preserve"> </w:t>
      </w:r>
      <w:r>
        <w:rPr>
          <w:rFonts w:ascii="Times New Roman;serif" w:hAnsi="Times New Roman;serif"/>
          <w:b w:val="false"/>
          <w:color w:val="000000"/>
          <w:sz w:val="24"/>
        </w:rPr>
        <w:t>delivery</w:t>
      </w:r>
      <w:r>
        <w:rPr>
          <w:color w:val="000000"/>
        </w:rPr>
        <w:t xml:space="preserve"> </w:t>
      </w:r>
      <w:r>
        <w:rPr>
          <w:rFonts w:ascii="Times New Roman;serif" w:hAnsi="Times New Roman;serif"/>
          <w:b w:val="false"/>
          <w:color w:val="000000"/>
          <w:sz w:val="24"/>
        </w:rPr>
        <w:t>thereof</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form</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beneficial</w:t>
      </w:r>
      <w:r>
        <w:rPr>
          <w:color w:val="000000"/>
        </w:rPr>
        <w:t xml:space="preserve"> </w:t>
      </w:r>
      <w:r>
        <w:rPr>
          <w:rFonts w:ascii="Times New Roman;serif" w:hAnsi="Times New Roman;serif"/>
          <w:b w:val="false"/>
          <w:color w:val="000000"/>
          <w:sz w:val="24"/>
        </w:rPr>
        <w:t>interest</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an</w:t>
      </w:r>
      <w:r>
        <w:rPr>
          <w:color w:val="000000"/>
        </w:rPr>
        <w:t xml:space="preserve"> </w:t>
      </w:r>
      <w:r>
        <w:rPr>
          <w:rFonts w:ascii="Times New Roman;serif" w:hAnsi="Times New Roman;serif"/>
          <w:b w:val="false"/>
          <w:color w:val="000000"/>
          <w:sz w:val="24"/>
        </w:rPr>
        <w:t>Unrestricted</w:t>
      </w:r>
      <w:r>
        <w:rPr>
          <w:color w:val="000000"/>
        </w:rPr>
        <w:t xml:space="preserve"> </w:t>
      </w:r>
      <w:r>
        <w:rPr>
          <w:rFonts w:ascii="Times New Roman;serif" w:hAnsi="Times New Roman;serif"/>
          <w:b w:val="false"/>
          <w:color w:val="000000"/>
          <w:sz w:val="24"/>
        </w:rPr>
        <w:t>Global</w:t>
      </w:r>
      <w:r>
        <w:rPr>
          <w:color w:val="000000"/>
        </w:rPr>
        <w:t xml:space="preserve"> </w:t>
      </w:r>
      <w:r>
        <w:rPr>
          <w:rFonts w:ascii="Times New Roman;serif" w:hAnsi="Times New Roman;serif"/>
          <w:b w:val="false"/>
          <w:color w:val="000000"/>
          <w:sz w:val="24"/>
        </w:rPr>
        <w:t>Note</w:t>
      </w:r>
      <w:r>
        <w:rPr>
          <w:color w:val="000000"/>
        </w:rPr>
        <w:t xml:space="preserve"> </w:t>
      </w:r>
      <w:r>
        <w:rPr>
          <w:rFonts w:ascii="Times New Roman;serif" w:hAnsi="Times New Roman;serif"/>
          <w:b w:val="false"/>
          <w:color w:val="000000"/>
          <w:sz w:val="24"/>
        </w:rPr>
        <w:t>at</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time.</w:t>
      </w:r>
      <w:r>
        <w:rPr>
          <w:color w:val="000000"/>
        </w:rPr>
        <w:t xml:space="preserve"> </w:t>
      </w:r>
      <w:r>
        <w:rPr>
          <w:rFonts w:ascii="Times New Roman;serif" w:hAnsi="Times New Roman;serif"/>
          <w:b w:val="false"/>
          <w:color w:val="000000"/>
          <w:sz w:val="24"/>
        </w:rPr>
        <w:t>Upon</w:t>
      </w:r>
      <w:r>
        <w:rPr>
          <w:color w:val="000000"/>
        </w:rPr>
        <w:t xml:space="preserve"> </w:t>
      </w:r>
      <w:r>
        <w:rPr>
          <w:rFonts w:ascii="Times New Roman;serif" w:hAnsi="Times New Roman;serif"/>
          <w:b w:val="false"/>
          <w:color w:val="000000"/>
          <w:sz w:val="24"/>
        </w:rPr>
        <w:t>receipt</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request</w:t>
      </w:r>
      <w:r>
        <w:rPr>
          <w:color w:val="000000"/>
        </w:rPr>
        <w:t xml:space="preserve"> </w:t>
      </w:r>
      <w:r>
        <w:rPr>
          <w:rFonts w:ascii="Times New Roman;serif" w:hAnsi="Times New Roman;serif"/>
          <w:b w:val="false"/>
          <w:color w:val="000000"/>
          <w:sz w:val="24"/>
        </w:rPr>
        <w:t>for</w:t>
      </w:r>
      <w:r>
        <w:rPr>
          <w:color w:val="000000"/>
        </w:rPr>
        <w:t xml:space="preserve"> </w:t>
      </w:r>
      <w:r>
        <w:rPr>
          <w:rFonts w:ascii="Times New Roman;serif" w:hAnsi="Times New Roman;serif"/>
          <w:b w:val="false"/>
          <w:color w:val="000000"/>
          <w:sz w:val="24"/>
        </w:rPr>
        <w:t>such</w:t>
      </w:r>
      <w:r>
        <w:rPr>
          <w:color w:val="000000"/>
        </w:rPr>
        <w:t xml:space="preserve"> </w:t>
      </w:r>
      <w:r>
        <w:rPr>
          <w:rFonts w:ascii="Times New Roman;serif" w:hAnsi="Times New Roman;serif"/>
          <w:b w:val="false"/>
          <w:color w:val="000000"/>
          <w:sz w:val="24"/>
        </w:rPr>
        <w:t>an</w:t>
      </w:r>
      <w:r>
        <w:rPr>
          <w:color w:val="000000"/>
        </w:rPr>
        <w:t xml:space="preserve"> </w:t>
      </w:r>
      <w:r>
        <w:rPr>
          <w:rFonts w:ascii="Times New Roman;serif" w:hAnsi="Times New Roman;serif"/>
          <w:b w:val="false"/>
          <w:color w:val="000000"/>
          <w:sz w:val="24"/>
        </w:rPr>
        <w:t>exchange</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transfer,</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Trustee</w:t>
      </w:r>
      <w:r>
        <w:rPr>
          <w:color w:val="000000"/>
        </w:rPr>
        <w:t xml:space="preserve"> </w:t>
      </w:r>
      <w:r>
        <w:rPr>
          <w:rFonts w:ascii="Times New Roman;serif" w:hAnsi="Times New Roman;serif"/>
          <w:b w:val="false"/>
          <w:color w:val="000000"/>
          <w:sz w:val="24"/>
        </w:rPr>
        <w:t>will</w:t>
      </w:r>
      <w:r>
        <w:rPr>
          <w:color w:val="000000"/>
        </w:rPr>
        <w:t xml:space="preserve"> </w:t>
      </w:r>
      <w:r>
        <w:rPr>
          <w:rFonts w:ascii="Times New Roman;serif" w:hAnsi="Times New Roman;serif"/>
          <w:b w:val="false"/>
          <w:color w:val="000000"/>
          <w:sz w:val="24"/>
        </w:rPr>
        <w:t>cancel</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applicable</w:t>
      </w:r>
      <w:r>
        <w:rPr>
          <w:color w:val="000000"/>
        </w:rPr>
        <w:t xml:space="preserve"> </w:t>
      </w:r>
      <w:r>
        <w:rPr>
          <w:rFonts w:ascii="Times New Roman;serif" w:hAnsi="Times New Roman;serif"/>
          <w:b w:val="false"/>
          <w:color w:val="000000"/>
          <w:sz w:val="24"/>
        </w:rPr>
        <w:t>Unrestricted</w:t>
      </w:r>
      <w:r>
        <w:rPr>
          <w:color w:val="000000"/>
        </w:rPr>
        <w:t xml:space="preserve"> </w:t>
      </w:r>
      <w:r>
        <w:rPr>
          <w:rFonts w:ascii="Times New Roman;serif" w:hAnsi="Times New Roman;serif"/>
          <w:b w:val="false"/>
          <w:color w:val="000000"/>
          <w:sz w:val="24"/>
        </w:rPr>
        <w:t>Definitive</w:t>
      </w:r>
      <w:r>
        <w:rPr>
          <w:color w:val="000000"/>
        </w:rPr>
        <w:t xml:space="preserve"> </w:t>
      </w:r>
      <w:r>
        <w:rPr>
          <w:rFonts w:ascii="Times New Roman;serif" w:hAnsi="Times New Roman;serif"/>
          <w:b w:val="false"/>
          <w:color w:val="000000"/>
          <w:sz w:val="24"/>
        </w:rPr>
        <w:t>Note</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increase</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cause</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be</w:t>
      </w:r>
      <w:r>
        <w:rPr>
          <w:color w:val="000000"/>
        </w:rPr>
        <w:t xml:space="preserve"> </w:t>
      </w:r>
      <w:r>
        <w:rPr>
          <w:rFonts w:ascii="Times New Roman;serif" w:hAnsi="Times New Roman;serif"/>
          <w:b w:val="false"/>
          <w:color w:val="000000"/>
          <w:sz w:val="24"/>
        </w:rPr>
        <w:t>increased</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aggregate principal amount of one of the Unrestricted Global Notes.</w:t>
      </w:r>
    </w:p>
    <w:p>
      <w:pPr>
        <w:pStyle w:val="TextBody"/>
        <w:bidi w:val="0"/>
        <w:spacing w:before="0" w:after="0"/>
        <w:jc w:val="left"/>
        <w:rPr/>
      </w:pPr>
      <w:r>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6480175" cy="768985"/>
                <wp:effectExtent l="0" t="0" r="0" b="0"/>
                <wp:wrapNone/>
                <wp:docPr id="212" name="Frame212"/>
                <a:graphic xmlns:a="http://schemas.openxmlformats.org/drawingml/2006/main">
                  <a:graphicData uri="http://schemas.microsoft.com/office/word/2010/wordprocessingShape">
                    <wps:wsp>
                      <wps:cNvSpPr txBox="1"/>
                      <wps:spPr>
                        <a:xfrm>
                          <a:off x="0" y="0"/>
                          <a:ext cx="6480175" cy="7689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39</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0.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39</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300" w:before="0" w:after="240"/>
        <w:ind w:left="0" w:right="0" w:firstLine="720"/>
        <w:jc w:val="both"/>
        <w:rPr/>
      </w:pPr>
      <w:r>
        <w:rPr>
          <w:rFonts w:ascii="Times New Roman;serif" w:hAnsi="Times New Roman;serif"/>
          <w:b w:val="false"/>
          <w:color w:val="000000"/>
          <w:sz w:val="24"/>
        </w:rPr>
        <w:t>(4)</w:t>
      </w:r>
      <w:r>
        <w:rPr>
          <w:rFonts w:ascii="Times New Roman;serif" w:hAnsi="Times New Roman;serif"/>
          <w:b w:val="false"/>
          <w:i/>
          <w:color w:val="000000"/>
          <w:sz w:val="24"/>
        </w:rPr>
        <w:t>Unrestricted Definitive Notes to Beneficial Interests in Restricted Global Notes Prohibited</w:t>
      </w:r>
      <w:r>
        <w:rPr>
          <w:rFonts w:ascii="Times New Roman;serif" w:hAnsi="Times New Roman;serif"/>
          <w:b w:val="false"/>
          <w:color w:val="000000"/>
          <w:sz w:val="24"/>
        </w:rPr>
        <w:t>. An Unrestricted Definitive Note may not be</w:t>
      </w:r>
      <w:r>
        <w:rPr>
          <w:color w:val="000000"/>
        </w:rPr>
        <w:t xml:space="preserve"> </w:t>
      </w:r>
      <w:r>
        <w:rPr>
          <w:rFonts w:ascii="Times New Roman;serif" w:hAnsi="Times New Roman;serif"/>
          <w:b w:val="false"/>
          <w:color w:val="000000"/>
          <w:sz w:val="24"/>
        </w:rPr>
        <w:t>exchanged for, or transferred to Persons who take delivery thereof in the form of, beneficial interests in a Restricted Global Note.</w:t>
      </w:r>
    </w:p>
    <w:p>
      <w:pPr>
        <w:pStyle w:val="TextBody"/>
        <w:bidi w:val="0"/>
        <w:spacing w:lineRule="auto" w:line="300" w:before="0" w:after="240"/>
        <w:jc w:val="both"/>
        <w:rPr/>
      </w:pPr>
      <w:r>
        <w:rPr>
          <w:rFonts w:ascii="Times New Roman;serif" w:hAnsi="Times New Roman;serif"/>
          <w:b w:val="false"/>
          <w:color w:val="000000"/>
          <w:sz w:val="24"/>
        </w:rPr>
        <w:t>If any such exchange or transfer from a Definitive Note to a beneficial interest is effected pursuant to subparagraphs 2.06(d)(2)(A) or (3) above at a</w:t>
      </w:r>
      <w:r>
        <w:rPr>
          <w:color w:val="000000"/>
        </w:rPr>
        <w:t xml:space="preserve"> </w:t>
      </w:r>
      <w:r>
        <w:rPr>
          <w:rFonts w:ascii="Times New Roman;serif" w:hAnsi="Times New Roman;serif"/>
          <w:b w:val="false"/>
          <w:color w:val="000000"/>
          <w:sz w:val="24"/>
        </w:rPr>
        <w:t>time</w:t>
      </w:r>
      <w:r>
        <w:rPr>
          <w:color w:val="000000"/>
        </w:rPr>
        <w:t xml:space="preserve"> </w:t>
      </w:r>
      <w:r>
        <w:rPr>
          <w:rFonts w:ascii="Times New Roman;serif" w:hAnsi="Times New Roman;serif"/>
          <w:b w:val="false"/>
          <w:color w:val="000000"/>
          <w:sz w:val="24"/>
        </w:rPr>
        <w:t>when</w:t>
      </w:r>
      <w:r>
        <w:rPr>
          <w:color w:val="000000"/>
        </w:rPr>
        <w:t xml:space="preserve"> </w:t>
      </w:r>
      <w:r>
        <w:rPr>
          <w:rFonts w:ascii="Times New Roman;serif" w:hAnsi="Times New Roman;serif"/>
          <w:b w:val="false"/>
          <w:color w:val="000000"/>
          <w:sz w:val="24"/>
        </w:rPr>
        <w:t>an</w:t>
      </w:r>
      <w:r>
        <w:rPr>
          <w:color w:val="000000"/>
        </w:rPr>
        <w:t xml:space="preserve"> </w:t>
      </w:r>
      <w:r>
        <w:rPr>
          <w:rFonts w:ascii="Times New Roman;serif" w:hAnsi="Times New Roman;serif"/>
          <w:b w:val="false"/>
          <w:color w:val="000000"/>
          <w:sz w:val="24"/>
        </w:rPr>
        <w:t>Unrestricted</w:t>
      </w:r>
      <w:r>
        <w:rPr>
          <w:color w:val="000000"/>
        </w:rPr>
        <w:t xml:space="preserve"> </w:t>
      </w:r>
      <w:r>
        <w:rPr>
          <w:rFonts w:ascii="Times New Roman;serif" w:hAnsi="Times New Roman;serif"/>
          <w:b w:val="false"/>
          <w:color w:val="000000"/>
          <w:sz w:val="24"/>
        </w:rPr>
        <w:t>Global</w:t>
      </w:r>
      <w:r>
        <w:rPr>
          <w:color w:val="000000"/>
        </w:rPr>
        <w:t xml:space="preserve"> </w:t>
      </w:r>
      <w:r>
        <w:rPr>
          <w:rFonts w:ascii="Times New Roman;serif" w:hAnsi="Times New Roman;serif"/>
          <w:b w:val="false"/>
          <w:color w:val="000000"/>
          <w:sz w:val="24"/>
        </w:rPr>
        <w:t>Note</w:t>
      </w:r>
      <w:r>
        <w:rPr>
          <w:color w:val="000000"/>
        </w:rPr>
        <w:t xml:space="preserve"> </w:t>
      </w:r>
      <w:r>
        <w:rPr>
          <w:rFonts w:ascii="Times New Roman;serif" w:hAnsi="Times New Roman;serif"/>
          <w:b w:val="false"/>
          <w:color w:val="000000"/>
          <w:sz w:val="24"/>
        </w:rPr>
        <w:t>has</w:t>
      </w:r>
      <w:r>
        <w:rPr>
          <w:color w:val="000000"/>
        </w:rPr>
        <w:t xml:space="preserve"> </w:t>
      </w:r>
      <w:r>
        <w:rPr>
          <w:rFonts w:ascii="Times New Roman;serif" w:hAnsi="Times New Roman;serif"/>
          <w:b w:val="false"/>
          <w:color w:val="000000"/>
          <w:sz w:val="24"/>
        </w:rPr>
        <w:t>not</w:t>
      </w:r>
      <w:r>
        <w:rPr>
          <w:color w:val="000000"/>
        </w:rPr>
        <w:t xml:space="preserve"> </w:t>
      </w:r>
      <w:r>
        <w:rPr>
          <w:rFonts w:ascii="Times New Roman;serif" w:hAnsi="Times New Roman;serif"/>
          <w:b w:val="false"/>
          <w:color w:val="000000"/>
          <w:sz w:val="24"/>
        </w:rPr>
        <w:t>yet</w:t>
      </w:r>
      <w:r>
        <w:rPr>
          <w:color w:val="000000"/>
        </w:rPr>
        <w:t xml:space="preserve"> </w:t>
      </w:r>
      <w:r>
        <w:rPr>
          <w:rFonts w:ascii="Times New Roman;serif" w:hAnsi="Times New Roman;serif"/>
          <w:b w:val="false"/>
          <w:color w:val="000000"/>
          <w:sz w:val="24"/>
        </w:rPr>
        <w:t>been</w:t>
      </w:r>
      <w:r>
        <w:rPr>
          <w:color w:val="000000"/>
        </w:rPr>
        <w:t xml:space="preserve"> </w:t>
      </w:r>
      <w:r>
        <w:rPr>
          <w:rFonts w:ascii="Times New Roman;serif" w:hAnsi="Times New Roman;serif"/>
          <w:b w:val="false"/>
          <w:color w:val="000000"/>
          <w:sz w:val="24"/>
        </w:rPr>
        <w:t>issued,</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Issuer</w:t>
      </w:r>
      <w:r>
        <w:rPr>
          <w:color w:val="000000"/>
        </w:rPr>
        <w:t xml:space="preserve"> </w:t>
      </w:r>
      <w:r>
        <w:rPr>
          <w:rFonts w:ascii="Times New Roman;serif" w:hAnsi="Times New Roman;serif"/>
          <w:b w:val="false"/>
          <w:color w:val="000000"/>
          <w:sz w:val="24"/>
        </w:rPr>
        <w:t>will</w:t>
      </w:r>
      <w:r>
        <w:rPr>
          <w:color w:val="000000"/>
        </w:rPr>
        <w:t xml:space="preserve"> </w:t>
      </w:r>
      <w:r>
        <w:rPr>
          <w:rFonts w:ascii="Times New Roman;serif" w:hAnsi="Times New Roman;serif"/>
          <w:b w:val="false"/>
          <w:color w:val="000000"/>
          <w:sz w:val="24"/>
        </w:rPr>
        <w:t>issue</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upon</w:t>
      </w:r>
      <w:r>
        <w:rPr>
          <w:color w:val="000000"/>
        </w:rPr>
        <w:t xml:space="preserve"> </w:t>
      </w:r>
      <w:r>
        <w:rPr>
          <w:rFonts w:ascii="Times New Roman;serif" w:hAnsi="Times New Roman;serif"/>
          <w:b w:val="false"/>
          <w:color w:val="000000"/>
          <w:sz w:val="24"/>
        </w:rPr>
        <w:t>receipt</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an Issuer Order</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accordance</w:t>
      </w:r>
      <w:r>
        <w:rPr>
          <w:color w:val="000000"/>
        </w:rPr>
        <w:t xml:space="preserve"> </w:t>
      </w:r>
      <w:r>
        <w:rPr>
          <w:rFonts w:ascii="Times New Roman;serif" w:hAnsi="Times New Roman;serif"/>
          <w:b w:val="false"/>
          <w:color w:val="000000"/>
          <w:sz w:val="24"/>
        </w:rPr>
        <w:t>with</w:t>
      </w:r>
      <w:r>
        <w:rPr>
          <w:color w:val="000000"/>
        </w:rPr>
        <w:t xml:space="preserve"> </w:t>
      </w:r>
      <w:r>
        <w:rPr>
          <w:rFonts w:ascii="Times New Roman;serif" w:hAnsi="Times New Roman;serif"/>
          <w:b w:val="false"/>
          <w:color w:val="000000"/>
          <w:sz w:val="24"/>
          <w:u w:val="single"/>
        </w:rPr>
        <w:t>Section 2.02</w:t>
      </w:r>
      <w:r>
        <w:rPr>
          <w:color w:val="000000"/>
        </w:rPr>
        <w:t xml:space="preserve"> </w:t>
      </w:r>
      <w:r>
        <w:rPr>
          <w:rFonts w:ascii="Times New Roman;serif" w:hAnsi="Times New Roman;serif"/>
          <w:b w:val="false"/>
          <w:color w:val="000000"/>
          <w:sz w:val="24"/>
        </w:rPr>
        <w:t>hereof, the Trustee shall authenticate one or more Unrestricted Global Notes in an aggregate principal amount equal to the principal amount of</w:t>
      </w:r>
      <w:r>
        <w:rPr>
          <w:color w:val="000000"/>
        </w:rPr>
        <w:t xml:space="preserve"> </w:t>
      </w:r>
      <w:r>
        <w:rPr>
          <w:rFonts w:ascii="Times New Roman;serif" w:hAnsi="Times New Roman;serif"/>
          <w:b w:val="false"/>
          <w:color w:val="000000"/>
          <w:sz w:val="24"/>
        </w:rPr>
        <w:t>Definitive Notes so transferred.</w:t>
      </w:r>
    </w:p>
    <w:p>
      <w:pPr>
        <w:pStyle w:val="TextBody"/>
        <w:bidi w:val="0"/>
        <w:spacing w:lineRule="auto" w:line="300" w:before="0" w:after="240"/>
        <w:ind w:left="0" w:right="0" w:firstLine="720"/>
        <w:jc w:val="both"/>
        <w:rPr/>
      </w:pPr>
      <w:r>
        <w:rPr>
          <w:rFonts w:ascii="Times New Roman;serif" w:hAnsi="Times New Roman;serif"/>
          <w:b w:val="false"/>
          <w:color w:val="000000"/>
          <w:sz w:val="24"/>
        </w:rPr>
        <w:t>(e)</w:t>
      </w:r>
      <w:r>
        <w:rPr>
          <w:rFonts w:ascii="Times New Roman;serif" w:hAnsi="Times New Roman;serif"/>
          <w:b w:val="false"/>
          <w:i/>
          <w:color w:val="000000"/>
          <w:sz w:val="24"/>
        </w:rPr>
        <w:t>Transfer and Exchange of Definitive Notes for Definitive Notes</w:t>
      </w:r>
      <w:r>
        <w:rPr>
          <w:rFonts w:ascii="Times New Roman;serif" w:hAnsi="Times New Roman;serif"/>
          <w:b w:val="false"/>
          <w:color w:val="000000"/>
          <w:sz w:val="24"/>
        </w:rPr>
        <w:t>. Upon request by a Holder of Definitive Notes and such Holder’s compliance</w:t>
      </w:r>
      <w:r>
        <w:rPr>
          <w:color w:val="000000"/>
        </w:rPr>
        <w:t xml:space="preserve"> </w:t>
      </w:r>
      <w:r>
        <w:rPr>
          <w:rFonts w:ascii="Times New Roman;serif" w:hAnsi="Times New Roman;serif"/>
          <w:b w:val="false"/>
          <w:color w:val="000000"/>
          <w:sz w:val="24"/>
        </w:rPr>
        <w:t xml:space="preserve">with the provisions of this </w:t>
      </w:r>
      <w:r>
        <w:rPr>
          <w:rFonts w:ascii="Times New Roman;serif" w:hAnsi="Times New Roman;serif"/>
          <w:b w:val="false"/>
          <w:color w:val="000000"/>
          <w:sz w:val="24"/>
          <w:u w:val="single"/>
        </w:rPr>
        <w:t>Section 2.06(e)</w:t>
      </w:r>
      <w:r>
        <w:rPr>
          <w:rFonts w:ascii="Times New Roman;serif" w:hAnsi="Times New Roman;serif"/>
          <w:b w:val="false"/>
          <w:color w:val="000000"/>
          <w:sz w:val="24"/>
        </w:rPr>
        <w:t>, the Registrar shall register the transfer or exchange of Definitive Notes. Prior to such registration of transfer or</w:t>
      </w:r>
      <w:r>
        <w:rPr>
          <w:color w:val="000000"/>
        </w:rPr>
        <w:t xml:space="preserve"> </w:t>
      </w:r>
      <w:r>
        <w:rPr>
          <w:rFonts w:ascii="Times New Roman;serif" w:hAnsi="Times New Roman;serif"/>
          <w:b w:val="false"/>
          <w:color w:val="000000"/>
          <w:sz w:val="24"/>
        </w:rPr>
        <w:t>exchange, the requesting Holder must present or surrender to the Registrar the Definitive Notes duly endorsed or accompanied by a written instruction of</w:t>
      </w:r>
      <w:r>
        <w:rPr>
          <w:color w:val="000000"/>
        </w:rPr>
        <w:t xml:space="preserve"> </w:t>
      </w:r>
      <w:r>
        <w:rPr>
          <w:rFonts w:ascii="Times New Roman;serif" w:hAnsi="Times New Roman;serif"/>
          <w:b w:val="false"/>
          <w:color w:val="000000"/>
          <w:sz w:val="24"/>
        </w:rPr>
        <w:t>transfer in form satisfactory to the Registrar duly executed by such Holder or by its attorney, duly authorized in writing. In addition, the requesting Holder</w:t>
      </w:r>
      <w:r>
        <w:rPr>
          <w:color w:val="000000"/>
        </w:rPr>
        <w:t xml:space="preserve"> </w:t>
      </w:r>
      <w:r>
        <w:rPr>
          <w:rFonts w:ascii="Times New Roman;serif" w:hAnsi="Times New Roman;serif"/>
          <w:b w:val="false"/>
          <w:color w:val="000000"/>
          <w:sz w:val="24"/>
        </w:rPr>
        <w:t>must</w:t>
      </w:r>
      <w:r>
        <w:rPr>
          <w:color w:val="000000"/>
        </w:rPr>
        <w:t xml:space="preserve"> </w:t>
      </w:r>
      <w:r>
        <w:rPr>
          <w:rFonts w:ascii="Times New Roman;serif" w:hAnsi="Times New Roman;serif"/>
          <w:b w:val="false"/>
          <w:color w:val="000000"/>
          <w:sz w:val="24"/>
        </w:rPr>
        <w:t>provide</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additional</w:t>
      </w:r>
      <w:r>
        <w:rPr>
          <w:color w:val="000000"/>
        </w:rPr>
        <w:t xml:space="preserve"> </w:t>
      </w:r>
      <w:r>
        <w:rPr>
          <w:rFonts w:ascii="Times New Roman;serif" w:hAnsi="Times New Roman;serif"/>
          <w:b w:val="false"/>
          <w:color w:val="000000"/>
          <w:sz w:val="24"/>
        </w:rPr>
        <w:t>certifications,</w:t>
      </w:r>
      <w:r>
        <w:rPr>
          <w:color w:val="000000"/>
        </w:rPr>
        <w:t xml:space="preserve"> </w:t>
      </w:r>
      <w:r>
        <w:rPr>
          <w:rFonts w:ascii="Times New Roman;serif" w:hAnsi="Times New Roman;serif"/>
          <w:b w:val="false"/>
          <w:color w:val="000000"/>
          <w:sz w:val="24"/>
        </w:rPr>
        <w:t>documents</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information,</w:t>
      </w:r>
      <w:r>
        <w:rPr>
          <w:color w:val="000000"/>
        </w:rPr>
        <w:t xml:space="preserve"> </w:t>
      </w:r>
      <w:r>
        <w:rPr>
          <w:rFonts w:ascii="Times New Roman;serif" w:hAnsi="Times New Roman;serif"/>
          <w:b w:val="false"/>
          <w:color w:val="000000"/>
          <w:sz w:val="24"/>
        </w:rPr>
        <w:t>as</w:t>
      </w:r>
      <w:r>
        <w:rPr>
          <w:color w:val="000000"/>
        </w:rPr>
        <w:t xml:space="preserve"> </w:t>
      </w:r>
      <w:r>
        <w:rPr>
          <w:rFonts w:ascii="Times New Roman;serif" w:hAnsi="Times New Roman;serif"/>
          <w:b w:val="false"/>
          <w:color w:val="000000"/>
          <w:sz w:val="24"/>
        </w:rPr>
        <w:t>applicable,</w:t>
      </w:r>
      <w:r>
        <w:rPr>
          <w:color w:val="000000"/>
        </w:rPr>
        <w:t xml:space="preserve"> </w:t>
      </w:r>
      <w:r>
        <w:rPr>
          <w:rFonts w:ascii="Times New Roman;serif" w:hAnsi="Times New Roman;serif"/>
          <w:b w:val="false"/>
          <w:color w:val="000000"/>
          <w:sz w:val="24"/>
        </w:rPr>
        <w:t>required</w:t>
      </w:r>
      <w:r>
        <w:rPr>
          <w:color w:val="000000"/>
        </w:rPr>
        <w:t xml:space="preserve"> </w:t>
      </w:r>
      <w:r>
        <w:rPr>
          <w:rFonts w:ascii="Times New Roman;serif" w:hAnsi="Times New Roman;serif"/>
          <w:b w:val="false"/>
          <w:color w:val="000000"/>
          <w:sz w:val="24"/>
        </w:rPr>
        <w:t>pursuant</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following</w:t>
      </w:r>
      <w:r>
        <w:rPr>
          <w:color w:val="000000"/>
        </w:rPr>
        <w:t xml:space="preserve"> </w:t>
      </w:r>
      <w:r>
        <w:rPr>
          <w:rFonts w:ascii="Times New Roman;serif" w:hAnsi="Times New Roman;serif"/>
          <w:b w:val="false"/>
          <w:color w:val="000000"/>
          <w:sz w:val="24"/>
        </w:rPr>
        <w:t>provisions</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this</w:t>
      </w:r>
      <w:r>
        <w:rPr>
          <w:color w:val="000000"/>
        </w:rPr>
        <w:t xml:space="preserve"> </w:t>
      </w:r>
      <w:r>
        <w:rPr>
          <w:rFonts w:ascii="Times New Roman;serif" w:hAnsi="Times New Roman;serif"/>
          <w:b w:val="false"/>
          <w:color w:val="000000"/>
          <w:sz w:val="24"/>
          <w:u w:val="single"/>
        </w:rPr>
        <w:t>Section 2.06(e)</w:t>
      </w:r>
      <w:r>
        <w:rPr>
          <w:rFonts w:ascii="Times New Roman;serif" w:hAnsi="Times New Roman;serif"/>
          <w:b w:val="false"/>
          <w:color w:val="000000"/>
          <w:sz w:val="24"/>
        </w:rPr>
        <w:t>.</w:t>
      </w:r>
    </w:p>
    <w:p>
      <w:pPr>
        <w:pStyle w:val="TextBody"/>
        <w:bidi w:val="0"/>
        <w:spacing w:lineRule="auto" w:line="300" w:before="0" w:after="240"/>
        <w:ind w:left="0" w:right="0" w:firstLine="720"/>
        <w:jc w:val="both"/>
        <w:rPr/>
      </w:pPr>
      <w:r>
        <w:rPr>
          <w:rFonts w:ascii="Times New Roman;serif" w:hAnsi="Times New Roman;serif"/>
          <w:b w:val="false"/>
          <w:color w:val="000000"/>
          <w:sz w:val="24"/>
        </w:rPr>
        <w:t>(1)</w:t>
      </w:r>
      <w:r>
        <w:rPr>
          <w:rFonts w:ascii="Times New Roman;serif" w:hAnsi="Times New Roman;serif"/>
          <w:b w:val="false"/>
          <w:i/>
          <w:color w:val="000000"/>
          <w:sz w:val="24"/>
        </w:rPr>
        <w:t>Restricted Definitive Notes to Restricted Definitive Notes</w:t>
      </w:r>
      <w:r>
        <w:rPr>
          <w:rFonts w:ascii="Times New Roman;serif" w:hAnsi="Times New Roman;serif"/>
          <w:b w:val="false"/>
          <w:color w:val="000000"/>
          <w:sz w:val="24"/>
        </w:rPr>
        <w:t>. Any Restricted Definitive Note may be transferred to and registered in the</w:t>
      </w:r>
      <w:r>
        <w:rPr>
          <w:color w:val="000000"/>
        </w:rPr>
        <w:t xml:space="preserve"> </w:t>
      </w:r>
      <w:r>
        <w:rPr>
          <w:rFonts w:ascii="Times New Roman;serif" w:hAnsi="Times New Roman;serif"/>
          <w:b w:val="false"/>
          <w:color w:val="000000"/>
          <w:sz w:val="24"/>
        </w:rPr>
        <w:t>name of Persons who take delivery thereof in the form of a Restricted Definitive Note if the Registrar receives the following:</w:t>
      </w:r>
    </w:p>
    <w:p>
      <w:pPr>
        <w:pStyle w:val="TextBody"/>
        <w:bidi w:val="0"/>
        <w:spacing w:lineRule="auto" w:line="300" w:before="0" w:after="240"/>
        <w:ind w:left="0" w:right="0" w:firstLine="720"/>
        <w:jc w:val="both"/>
        <w:rPr/>
      </w:pPr>
      <w:r>
        <w:rPr>
          <w:rFonts w:ascii="Times New Roman;serif" w:hAnsi="Times New Roman;serif"/>
          <w:b w:val="false"/>
          <w:color w:val="000000"/>
          <w:sz w:val="24"/>
        </w:rPr>
        <w:t>(A)if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transfer</w:t>
      </w:r>
      <w:r>
        <w:rPr>
          <w:color w:val="000000"/>
        </w:rPr>
        <w:t xml:space="preserve"> </w:t>
      </w:r>
      <w:r>
        <w:rPr>
          <w:rFonts w:ascii="Times New Roman;serif" w:hAnsi="Times New Roman;serif"/>
          <w:b w:val="false"/>
          <w:color w:val="000000"/>
          <w:sz w:val="24"/>
        </w:rPr>
        <w:t>will</w:t>
      </w:r>
      <w:r>
        <w:rPr>
          <w:color w:val="000000"/>
        </w:rPr>
        <w:t xml:space="preserve"> </w:t>
      </w:r>
      <w:r>
        <w:rPr>
          <w:rFonts w:ascii="Times New Roman;serif" w:hAnsi="Times New Roman;serif"/>
          <w:b w:val="false"/>
          <w:color w:val="000000"/>
          <w:sz w:val="24"/>
        </w:rPr>
        <w:t>be</w:t>
      </w:r>
      <w:r>
        <w:rPr>
          <w:color w:val="000000"/>
        </w:rPr>
        <w:t xml:space="preserve"> </w:t>
      </w:r>
      <w:r>
        <w:rPr>
          <w:rFonts w:ascii="Times New Roman;serif" w:hAnsi="Times New Roman;serif"/>
          <w:b w:val="false"/>
          <w:color w:val="000000"/>
          <w:sz w:val="24"/>
        </w:rPr>
        <w:t>made</w:t>
      </w:r>
      <w:r>
        <w:rPr>
          <w:color w:val="000000"/>
        </w:rPr>
        <w:t xml:space="preserve"> </w:t>
      </w:r>
      <w:r>
        <w:rPr>
          <w:rFonts w:ascii="Times New Roman;serif" w:hAnsi="Times New Roman;serif"/>
          <w:b w:val="false"/>
          <w:color w:val="000000"/>
          <w:sz w:val="24"/>
        </w:rPr>
        <w:t>pursuant</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Rule</w:t>
      </w:r>
      <w:r>
        <w:rPr>
          <w:color w:val="000000"/>
        </w:rPr>
        <w:t xml:space="preserve"> </w:t>
      </w:r>
      <w:r>
        <w:rPr>
          <w:rFonts w:ascii="Times New Roman;serif" w:hAnsi="Times New Roman;serif"/>
          <w:b w:val="false"/>
          <w:color w:val="000000"/>
          <w:sz w:val="24"/>
        </w:rPr>
        <w:t>144A,</w:t>
      </w:r>
      <w:r>
        <w:rPr>
          <w:color w:val="000000"/>
        </w:rPr>
        <w:t xml:space="preserve"> </w:t>
      </w:r>
      <w:r>
        <w:rPr>
          <w:rFonts w:ascii="Times New Roman;serif" w:hAnsi="Times New Roman;serif"/>
          <w:b w:val="false"/>
          <w:color w:val="000000"/>
          <w:sz w:val="24"/>
        </w:rPr>
        <w:t>then</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transferor</w:t>
      </w:r>
      <w:r>
        <w:rPr>
          <w:color w:val="000000"/>
        </w:rPr>
        <w:t xml:space="preserve"> </w:t>
      </w:r>
      <w:r>
        <w:rPr>
          <w:rFonts w:ascii="Times New Roman;serif" w:hAnsi="Times New Roman;serif"/>
          <w:b w:val="false"/>
          <w:color w:val="000000"/>
          <w:sz w:val="24"/>
        </w:rPr>
        <w:t>must</w:t>
      </w:r>
      <w:r>
        <w:rPr>
          <w:color w:val="000000"/>
        </w:rPr>
        <w:t xml:space="preserve"> </w:t>
      </w:r>
      <w:r>
        <w:rPr>
          <w:rFonts w:ascii="Times New Roman;serif" w:hAnsi="Times New Roman;serif"/>
          <w:b w:val="false"/>
          <w:color w:val="000000"/>
          <w:sz w:val="24"/>
        </w:rPr>
        <w:t>deliver</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certificate</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form</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u w:val="single"/>
        </w:rPr>
        <w:t>Exhibit C</w:t>
      </w:r>
      <w:r>
        <w:rPr>
          <w:color w:val="000000"/>
        </w:rPr>
        <w:t xml:space="preserve"> </w:t>
      </w:r>
      <w:r>
        <w:rPr>
          <w:rFonts w:ascii="Times New Roman;serif" w:hAnsi="Times New Roman;serif"/>
          <w:b w:val="false"/>
          <w:color w:val="000000"/>
          <w:sz w:val="24"/>
        </w:rPr>
        <w:t>hereto,</w:t>
      </w:r>
      <w:r>
        <w:rPr>
          <w:color w:val="000000"/>
        </w:rPr>
        <w:t xml:space="preserve"> </w:t>
      </w:r>
      <w:r>
        <w:rPr>
          <w:rFonts w:ascii="Times New Roman;serif" w:hAnsi="Times New Roman;serif"/>
          <w:b w:val="false"/>
          <w:color w:val="000000"/>
          <w:sz w:val="24"/>
        </w:rPr>
        <w:t>including the certifications in item (1) thereof;</w:t>
      </w:r>
    </w:p>
    <w:p>
      <w:pPr>
        <w:pStyle w:val="TextBody"/>
        <w:bidi w:val="0"/>
        <w:spacing w:lineRule="auto" w:line="300" w:before="0" w:after="240"/>
        <w:ind w:left="0" w:right="0" w:firstLine="720"/>
        <w:jc w:val="both"/>
        <w:rPr/>
      </w:pPr>
      <w:r>
        <w:rPr>
          <w:rFonts w:ascii="Times New Roman;serif" w:hAnsi="Times New Roman;serif"/>
          <w:b w:val="false"/>
          <w:color w:val="000000"/>
          <w:sz w:val="24"/>
        </w:rPr>
        <w:t>(B)if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transfer</w:t>
      </w:r>
      <w:r>
        <w:rPr>
          <w:color w:val="000000"/>
        </w:rPr>
        <w:t xml:space="preserve"> </w:t>
      </w:r>
      <w:r>
        <w:rPr>
          <w:rFonts w:ascii="Times New Roman;serif" w:hAnsi="Times New Roman;serif"/>
          <w:b w:val="false"/>
          <w:color w:val="000000"/>
          <w:sz w:val="24"/>
        </w:rPr>
        <w:t>will</w:t>
      </w:r>
      <w:r>
        <w:rPr>
          <w:color w:val="000000"/>
        </w:rPr>
        <w:t xml:space="preserve"> </w:t>
      </w:r>
      <w:r>
        <w:rPr>
          <w:rFonts w:ascii="Times New Roman;serif" w:hAnsi="Times New Roman;serif"/>
          <w:b w:val="false"/>
          <w:color w:val="000000"/>
          <w:sz w:val="24"/>
        </w:rPr>
        <w:t>be</w:t>
      </w:r>
      <w:r>
        <w:rPr>
          <w:color w:val="000000"/>
        </w:rPr>
        <w:t xml:space="preserve"> </w:t>
      </w:r>
      <w:r>
        <w:rPr>
          <w:rFonts w:ascii="Times New Roman;serif" w:hAnsi="Times New Roman;serif"/>
          <w:b w:val="false"/>
          <w:color w:val="000000"/>
          <w:sz w:val="24"/>
        </w:rPr>
        <w:t>made</w:t>
      </w:r>
      <w:r>
        <w:rPr>
          <w:color w:val="000000"/>
        </w:rPr>
        <w:t xml:space="preserve"> </w:t>
      </w:r>
      <w:r>
        <w:rPr>
          <w:rFonts w:ascii="Times New Roman;serif" w:hAnsi="Times New Roman;serif"/>
          <w:b w:val="false"/>
          <w:color w:val="000000"/>
          <w:sz w:val="24"/>
        </w:rPr>
        <w:t>pursuant</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Rule</w:t>
      </w:r>
      <w:r>
        <w:rPr>
          <w:color w:val="000000"/>
        </w:rPr>
        <w:t xml:space="preserve"> </w:t>
      </w:r>
      <w:r>
        <w:rPr>
          <w:rFonts w:ascii="Times New Roman;serif" w:hAnsi="Times New Roman;serif"/>
          <w:b w:val="false"/>
          <w:color w:val="000000"/>
          <w:sz w:val="24"/>
        </w:rPr>
        <w:t>903</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Rule</w:t>
      </w:r>
      <w:r>
        <w:rPr>
          <w:color w:val="000000"/>
        </w:rPr>
        <w:t xml:space="preserve"> </w:t>
      </w:r>
      <w:r>
        <w:rPr>
          <w:rFonts w:ascii="Times New Roman;serif" w:hAnsi="Times New Roman;serif"/>
          <w:b w:val="false"/>
          <w:color w:val="000000"/>
          <w:sz w:val="24"/>
        </w:rPr>
        <w:t>904</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Regulation</w:t>
      </w:r>
      <w:r>
        <w:rPr>
          <w:color w:val="000000"/>
        </w:rPr>
        <w:t xml:space="preserve"> </w:t>
      </w:r>
      <w:r>
        <w:rPr>
          <w:rFonts w:ascii="Times New Roman;serif" w:hAnsi="Times New Roman;serif"/>
          <w:b w:val="false"/>
          <w:color w:val="000000"/>
          <w:sz w:val="24"/>
        </w:rPr>
        <w:t>S,</w:t>
      </w:r>
      <w:r>
        <w:rPr>
          <w:color w:val="000000"/>
        </w:rPr>
        <w:t xml:space="preserve"> </w:t>
      </w:r>
      <w:r>
        <w:rPr>
          <w:rFonts w:ascii="Times New Roman;serif" w:hAnsi="Times New Roman;serif"/>
          <w:b w:val="false"/>
          <w:color w:val="000000"/>
          <w:sz w:val="24"/>
        </w:rPr>
        <w:t>then</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transferor</w:t>
      </w:r>
      <w:r>
        <w:rPr>
          <w:color w:val="000000"/>
        </w:rPr>
        <w:t xml:space="preserve"> </w:t>
      </w:r>
      <w:r>
        <w:rPr>
          <w:rFonts w:ascii="Times New Roman;serif" w:hAnsi="Times New Roman;serif"/>
          <w:b w:val="false"/>
          <w:color w:val="000000"/>
          <w:sz w:val="24"/>
        </w:rPr>
        <w:t>must</w:t>
      </w:r>
      <w:r>
        <w:rPr>
          <w:color w:val="000000"/>
        </w:rPr>
        <w:t xml:space="preserve"> </w:t>
      </w:r>
      <w:r>
        <w:rPr>
          <w:rFonts w:ascii="Times New Roman;serif" w:hAnsi="Times New Roman;serif"/>
          <w:b w:val="false"/>
          <w:color w:val="000000"/>
          <w:sz w:val="24"/>
        </w:rPr>
        <w:t>deliver</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certificate</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 xml:space="preserve">form of </w:t>
      </w:r>
      <w:r>
        <w:rPr>
          <w:rFonts w:ascii="Times New Roman;serif" w:hAnsi="Times New Roman;serif"/>
          <w:b w:val="false"/>
          <w:color w:val="000000"/>
          <w:sz w:val="24"/>
          <w:u w:val="single"/>
        </w:rPr>
        <w:t>Exhibit C</w:t>
      </w:r>
      <w:r>
        <w:rPr>
          <w:color w:val="000000"/>
        </w:rPr>
        <w:t xml:space="preserve"> </w:t>
      </w:r>
      <w:r>
        <w:rPr>
          <w:rFonts w:ascii="Times New Roman;serif" w:hAnsi="Times New Roman;serif"/>
          <w:b w:val="false"/>
          <w:color w:val="000000"/>
          <w:sz w:val="24"/>
        </w:rPr>
        <w:t>hereto, including the certifications in item (2) thereof; and</w:t>
      </w:r>
    </w:p>
    <w:p>
      <w:pPr>
        <w:pStyle w:val="TextBody"/>
        <w:bidi w:val="0"/>
        <w:spacing w:lineRule="auto" w:line="300" w:before="0" w:after="240"/>
        <w:ind w:left="0" w:right="0" w:firstLine="720"/>
        <w:jc w:val="both"/>
        <w:rPr/>
      </w:pPr>
      <w:r>
        <w:rPr>
          <w:rFonts w:ascii="Times New Roman;serif" w:hAnsi="Times New Roman;serif"/>
          <w:b w:val="false"/>
          <w:color w:val="000000"/>
          <w:sz w:val="24"/>
        </w:rPr>
        <w:t>(C)if the transfer will be made pursuant to any other exemption from the registration requirements of the Securities Act, then the</w:t>
      </w:r>
      <w:r>
        <w:rPr>
          <w:color w:val="000000"/>
        </w:rPr>
        <w:t xml:space="preserve"> </w:t>
      </w:r>
      <w:r>
        <w:rPr>
          <w:rFonts w:ascii="Times New Roman;serif" w:hAnsi="Times New Roman;serif"/>
          <w:b w:val="false"/>
          <w:color w:val="000000"/>
          <w:sz w:val="24"/>
        </w:rPr>
        <w:t>transferor</w:t>
      </w:r>
      <w:r>
        <w:rPr>
          <w:color w:val="000000"/>
        </w:rPr>
        <w:t xml:space="preserve"> </w:t>
      </w:r>
      <w:r>
        <w:rPr>
          <w:rFonts w:ascii="Times New Roman;serif" w:hAnsi="Times New Roman;serif"/>
          <w:b w:val="false"/>
          <w:color w:val="000000"/>
          <w:sz w:val="24"/>
        </w:rPr>
        <w:t>must</w:t>
      </w:r>
      <w:r>
        <w:rPr>
          <w:color w:val="000000"/>
        </w:rPr>
        <w:t xml:space="preserve"> </w:t>
      </w:r>
      <w:r>
        <w:rPr>
          <w:rFonts w:ascii="Times New Roman;serif" w:hAnsi="Times New Roman;serif"/>
          <w:b w:val="false"/>
          <w:color w:val="000000"/>
          <w:sz w:val="24"/>
        </w:rPr>
        <w:t>deliver</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certificate</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form</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u w:val="single"/>
        </w:rPr>
        <w:t>Exhibit C</w:t>
      </w:r>
      <w:r>
        <w:rPr>
          <w:color w:val="000000"/>
        </w:rPr>
        <w:t xml:space="preserve"> </w:t>
      </w:r>
      <w:r>
        <w:rPr>
          <w:rFonts w:ascii="Times New Roman;serif" w:hAnsi="Times New Roman;serif"/>
          <w:b w:val="false"/>
          <w:color w:val="000000"/>
          <w:sz w:val="24"/>
        </w:rPr>
        <w:t>hereto,</w:t>
      </w:r>
      <w:r>
        <w:rPr>
          <w:color w:val="000000"/>
        </w:rPr>
        <w:t xml:space="preserve"> </w:t>
      </w:r>
      <w:r>
        <w:rPr>
          <w:rFonts w:ascii="Times New Roman;serif" w:hAnsi="Times New Roman;serif"/>
          <w:b w:val="false"/>
          <w:color w:val="000000"/>
          <w:sz w:val="24"/>
        </w:rPr>
        <w:t>including</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certifications,</w:t>
      </w:r>
      <w:r>
        <w:rPr>
          <w:color w:val="000000"/>
        </w:rPr>
        <w:t xml:space="preserve"> </w:t>
      </w:r>
      <w:r>
        <w:rPr>
          <w:rFonts w:ascii="Times New Roman;serif" w:hAnsi="Times New Roman;serif"/>
          <w:b w:val="false"/>
          <w:color w:val="000000"/>
          <w:sz w:val="24"/>
        </w:rPr>
        <w:t>certificates</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Opinion</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Counsel</w:t>
      </w:r>
      <w:r>
        <w:rPr>
          <w:color w:val="000000"/>
        </w:rPr>
        <w:t xml:space="preserve"> </w:t>
      </w:r>
      <w:r>
        <w:rPr>
          <w:rFonts w:ascii="Times New Roman;serif" w:hAnsi="Times New Roman;serif"/>
          <w:b w:val="false"/>
          <w:color w:val="000000"/>
          <w:sz w:val="24"/>
        </w:rPr>
        <w:t>required</w:t>
      </w:r>
      <w:r>
        <w:rPr>
          <w:color w:val="000000"/>
        </w:rPr>
        <w:t xml:space="preserve"> </w:t>
      </w:r>
      <w:r>
        <w:rPr>
          <w:rFonts w:ascii="Times New Roman;serif" w:hAnsi="Times New Roman;serif"/>
          <w:b w:val="false"/>
          <w:color w:val="000000"/>
          <w:sz w:val="24"/>
        </w:rPr>
        <w:t>by item (3) thereof, if applicable.</w:t>
      </w:r>
    </w:p>
    <w:p>
      <w:pPr>
        <w:pStyle w:val="TextBody"/>
        <w:bidi w:val="0"/>
        <w:spacing w:lineRule="auto" w:line="300" w:before="0" w:after="240"/>
        <w:ind w:left="0" w:right="0" w:firstLine="720"/>
        <w:jc w:val="both"/>
        <w:rPr/>
      </w:pPr>
      <w:r>
        <w:rPr>
          <w:rFonts w:ascii="Times New Roman;serif" w:hAnsi="Times New Roman;serif"/>
          <w:b w:val="false"/>
          <w:color w:val="000000"/>
          <w:sz w:val="24"/>
        </w:rPr>
        <w:t>(2)</w:t>
      </w:r>
      <w:r>
        <w:rPr>
          <w:rFonts w:ascii="Times New Roman;serif" w:hAnsi="Times New Roman;serif"/>
          <w:b w:val="false"/>
          <w:i/>
          <w:color w:val="000000"/>
          <w:sz w:val="24"/>
        </w:rPr>
        <w:t>Restricted Definitive Notes to Unrestricted Definitive Notes</w:t>
      </w:r>
      <w:r>
        <w:rPr>
          <w:rFonts w:ascii="Times New Roman;serif" w:hAnsi="Times New Roman;serif"/>
          <w:b w:val="false"/>
          <w:color w:val="000000"/>
          <w:sz w:val="24"/>
        </w:rPr>
        <w:t>. Any Restricted Definitive Note may be exchanged by the Holder thereof for</w:t>
      </w:r>
      <w:r>
        <w:rPr>
          <w:color w:val="000000"/>
        </w:rPr>
        <w:t xml:space="preserve"> </w:t>
      </w:r>
      <w:r>
        <w:rPr>
          <w:rFonts w:ascii="Times New Roman;serif" w:hAnsi="Times New Roman;serif"/>
          <w:b w:val="false"/>
          <w:color w:val="000000"/>
          <w:sz w:val="24"/>
        </w:rPr>
        <w:t>an Unrestricted Definitive Note or transferred to a Person or Persons who take delivery thereof in the form of an Unrestricted</w:t>
      </w:r>
      <w:r>
        <w:rPr>
          <w:color w:val="000000"/>
        </w:rPr>
        <w:t xml:space="preserve"> </w:t>
      </w:r>
      <w:r>
        <w:rPr>
          <w:rFonts w:ascii="Times New Roman;serif" w:hAnsi="Times New Roman;serif"/>
          <w:b w:val="false"/>
          <w:color w:val="000000"/>
          <w:sz w:val="24"/>
        </w:rPr>
        <w:t>Definitive Note if:</w:t>
      </w:r>
    </w:p>
    <w:p>
      <w:pPr>
        <w:pStyle w:val="TextBody"/>
        <w:bidi w:val="0"/>
        <w:spacing w:before="0" w:after="0"/>
        <w:jc w:val="left"/>
        <w:rPr/>
      </w:pPr>
      <w:r>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6480175" cy="768985"/>
                <wp:effectExtent l="0" t="0" r="0" b="0"/>
                <wp:wrapNone/>
                <wp:docPr id="213" name="Frame213"/>
                <a:graphic xmlns:a="http://schemas.openxmlformats.org/drawingml/2006/main">
                  <a:graphicData uri="http://schemas.microsoft.com/office/word/2010/wordprocessingShape">
                    <wps:wsp>
                      <wps:cNvSpPr txBox="1"/>
                      <wps:spPr>
                        <a:xfrm>
                          <a:off x="0" y="0"/>
                          <a:ext cx="6480175" cy="7689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40</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0.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40</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300" w:before="0" w:after="240"/>
        <w:ind w:left="0" w:right="0" w:firstLine="720"/>
        <w:jc w:val="both"/>
        <w:rPr/>
      </w:pPr>
      <w:r>
        <w:rPr>
          <w:rFonts w:ascii="Times New Roman;serif" w:hAnsi="Times New Roman;serif"/>
          <w:b w:val="false"/>
          <w:color w:val="000000"/>
          <w:sz w:val="24"/>
        </w:rPr>
        <w:t>(A)the</w:t>
      </w:r>
      <w:r>
        <w:rPr>
          <w:color w:val="000000"/>
        </w:rPr>
        <w:t xml:space="preserve"> </w:t>
      </w:r>
      <w:r>
        <w:rPr>
          <w:rFonts w:ascii="Times New Roman;serif" w:hAnsi="Times New Roman;serif"/>
          <w:b w:val="false"/>
          <w:color w:val="000000"/>
          <w:sz w:val="24"/>
        </w:rPr>
        <w:t>Registrar</w:t>
      </w:r>
      <w:r>
        <w:rPr>
          <w:color w:val="000000"/>
        </w:rPr>
        <w:t xml:space="preserve"> </w:t>
      </w:r>
      <w:r>
        <w:rPr>
          <w:rFonts w:ascii="Times New Roman;serif" w:hAnsi="Times New Roman;serif"/>
          <w:b w:val="false"/>
          <w:color w:val="000000"/>
          <w:sz w:val="24"/>
        </w:rPr>
        <w:t>receives</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following:</w:t>
      </w:r>
    </w:p>
    <w:p>
      <w:pPr>
        <w:pStyle w:val="TextBody"/>
        <w:bidi w:val="0"/>
        <w:spacing w:lineRule="auto" w:line="300" w:before="0" w:after="240"/>
        <w:ind w:left="0" w:right="0" w:firstLine="1440"/>
        <w:jc w:val="both"/>
        <w:rPr/>
      </w:pPr>
      <w:r>
        <w:rPr>
          <w:rFonts w:ascii="Times New Roman;serif" w:hAnsi="Times New Roman;serif"/>
          <w:b w:val="false"/>
          <w:color w:val="000000"/>
          <w:sz w:val="24"/>
        </w:rPr>
        <w:t>(i)if the Holder of such Restricted Definitive Notes proposes to exchange such Notes for an Unrestricted Definitive Note, a</w:t>
      </w:r>
      <w:r>
        <w:rPr>
          <w:color w:val="000000"/>
        </w:rPr>
        <w:t xml:space="preserve"> </w:t>
      </w:r>
      <w:r>
        <w:rPr>
          <w:rFonts w:ascii="Times New Roman;serif" w:hAnsi="Times New Roman;serif"/>
          <w:b w:val="false"/>
          <w:color w:val="000000"/>
          <w:sz w:val="24"/>
        </w:rPr>
        <w:t xml:space="preserve">certificate from such Holder in the form of </w:t>
      </w:r>
      <w:r>
        <w:rPr>
          <w:rFonts w:ascii="Times New Roman;serif" w:hAnsi="Times New Roman;serif"/>
          <w:b w:val="false"/>
          <w:color w:val="000000"/>
          <w:sz w:val="24"/>
          <w:u w:val="single"/>
        </w:rPr>
        <w:t>Exhibit C</w:t>
      </w:r>
      <w:r>
        <w:rPr>
          <w:color w:val="000000"/>
        </w:rPr>
        <w:t xml:space="preserve"> </w:t>
      </w:r>
      <w:r>
        <w:rPr>
          <w:rFonts w:ascii="Times New Roman;serif" w:hAnsi="Times New Roman;serif"/>
          <w:b w:val="false"/>
          <w:color w:val="000000"/>
          <w:sz w:val="24"/>
        </w:rPr>
        <w:t>hereto, including the certifications in item (1)(d) thereof; or</w:t>
      </w:r>
    </w:p>
    <w:p>
      <w:pPr>
        <w:pStyle w:val="TextBody"/>
        <w:bidi w:val="0"/>
        <w:spacing w:lineRule="auto" w:line="300" w:before="0" w:after="240"/>
        <w:ind w:left="0" w:right="0" w:firstLine="1440"/>
        <w:jc w:val="both"/>
        <w:rPr/>
      </w:pPr>
      <w:r>
        <w:rPr>
          <w:rFonts w:ascii="Times New Roman;serif" w:hAnsi="Times New Roman;serif"/>
          <w:b w:val="false"/>
          <w:color w:val="000000"/>
          <w:sz w:val="24"/>
        </w:rPr>
        <w:t>(ii)if the Holder of such Restricted Definitive Notes proposes to transfer such Notes to a Person who shall take delivery thereof</w:t>
      </w:r>
      <w:r>
        <w:rPr>
          <w:color w:val="000000"/>
        </w:rPr>
        <w:t xml:space="preserve"> </w:t>
      </w:r>
      <w:r>
        <w:rPr>
          <w:rFonts w:ascii="Times New Roman;serif" w:hAnsi="Times New Roman;serif"/>
          <w:b w:val="false"/>
          <w:color w:val="000000"/>
          <w:sz w:val="24"/>
        </w:rPr>
        <w:t xml:space="preserve">in the form of an Unrestricted Definitive Note, a certificate from such Holder in the form of </w:t>
      </w:r>
      <w:r>
        <w:rPr>
          <w:rFonts w:ascii="Times New Roman;serif" w:hAnsi="Times New Roman;serif"/>
          <w:b w:val="false"/>
          <w:color w:val="000000"/>
          <w:sz w:val="24"/>
          <w:u w:val="single"/>
        </w:rPr>
        <w:t>Exhibit B</w:t>
      </w:r>
      <w:r>
        <w:rPr>
          <w:color w:val="000000"/>
        </w:rPr>
        <w:t xml:space="preserve"> </w:t>
      </w:r>
      <w:r>
        <w:rPr>
          <w:rFonts w:ascii="Times New Roman;serif" w:hAnsi="Times New Roman;serif"/>
          <w:b w:val="false"/>
          <w:color w:val="000000"/>
          <w:sz w:val="24"/>
        </w:rPr>
        <w:t>hereto, including the certifications</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item</w:t>
      </w:r>
      <w:r>
        <w:rPr>
          <w:color w:val="000000"/>
        </w:rPr>
        <w:t xml:space="preserve"> </w:t>
      </w:r>
      <w:r>
        <w:rPr>
          <w:rFonts w:ascii="Times New Roman;serif" w:hAnsi="Times New Roman;serif"/>
          <w:b w:val="false"/>
          <w:color w:val="000000"/>
          <w:sz w:val="24"/>
        </w:rPr>
        <w:t>(4)</w:t>
      </w:r>
      <w:r>
        <w:rPr>
          <w:color w:val="000000"/>
        </w:rPr>
        <w:t xml:space="preserve"> </w:t>
      </w:r>
      <w:r>
        <w:rPr>
          <w:rFonts w:ascii="Times New Roman;serif" w:hAnsi="Times New Roman;serif"/>
          <w:b w:val="false"/>
          <w:color w:val="000000"/>
          <w:sz w:val="24"/>
        </w:rPr>
        <w:t>thereof;</w:t>
      </w:r>
    </w:p>
    <w:p>
      <w:pPr>
        <w:pStyle w:val="TextBody"/>
        <w:bidi w:val="0"/>
        <w:spacing w:lineRule="auto" w:line="300" w:before="0" w:after="240"/>
        <w:jc w:val="both"/>
        <w:rPr/>
      </w:pPr>
      <w:r>
        <w:rPr>
          <w:rFonts w:ascii="Times New Roman;serif" w:hAnsi="Times New Roman;serif"/>
          <w:b w:val="false"/>
          <w:color w:val="000000"/>
          <w:sz w:val="24"/>
        </w:rPr>
        <w:t>and, in each such case set forth in this subparagraph (A), if the Registrar so requests, an Opinion of Counsel in form reasonably acceptable</w:t>
      </w:r>
      <w:r>
        <w:rPr>
          <w:color w:val="000000"/>
        </w:rPr>
        <w:t xml:space="preserve"> </w:t>
      </w:r>
      <w:r>
        <w:rPr>
          <w:rFonts w:ascii="Times New Roman;serif" w:hAnsi="Times New Roman;serif"/>
          <w:b w:val="false"/>
          <w:color w:val="000000"/>
          <w:sz w:val="24"/>
        </w:rPr>
        <w:t>to the Registrar to the effect that such exchange or transfer is in compliance with the Securities Act and that the restrictions on transfer</w:t>
      </w:r>
      <w:r>
        <w:rPr>
          <w:color w:val="000000"/>
        </w:rPr>
        <w:t xml:space="preserve"> </w:t>
      </w:r>
      <w:r>
        <w:rPr>
          <w:rFonts w:ascii="Times New Roman;serif" w:hAnsi="Times New Roman;serif"/>
          <w:b w:val="false"/>
          <w:color w:val="000000"/>
          <w:sz w:val="24"/>
        </w:rPr>
        <w:t>contained herein and in the Private Placement Legend are no longer required in order to maintain compliance with the Securities Act.</w:t>
      </w:r>
    </w:p>
    <w:p>
      <w:pPr>
        <w:pStyle w:val="TextBody"/>
        <w:bidi w:val="0"/>
        <w:spacing w:lineRule="auto" w:line="300" w:before="0" w:after="240"/>
        <w:jc w:val="both"/>
        <w:rPr/>
      </w:pPr>
      <w:r>
        <w:rPr>
          <w:rFonts w:ascii="Times New Roman;serif" w:hAnsi="Times New Roman;serif"/>
          <w:b w:val="false"/>
          <w:color w:val="000000"/>
          <w:sz w:val="24"/>
        </w:rPr>
        <w:t xml:space="preserve">Upon satisfaction of the conditions of any of the clauses of this </w:t>
      </w:r>
      <w:r>
        <w:rPr>
          <w:rFonts w:ascii="Times New Roman;serif" w:hAnsi="Times New Roman;serif"/>
          <w:b w:val="false"/>
          <w:color w:val="000000"/>
          <w:sz w:val="24"/>
          <w:u w:val="single"/>
        </w:rPr>
        <w:t>Section 2.06(e)</w:t>
      </w:r>
      <w:r>
        <w:rPr>
          <w:rFonts w:ascii="Times New Roman;serif" w:hAnsi="Times New Roman;serif"/>
          <w:b w:val="false"/>
          <w:color w:val="000000"/>
          <w:sz w:val="24"/>
        </w:rPr>
        <w:t>, the Trustee shall, upon receipt of an Issuer Order, cancel</w:t>
      </w:r>
      <w:r>
        <w:rPr>
          <w:color w:val="000000"/>
        </w:rPr>
        <w:t xml:space="preserve"> </w:t>
      </w:r>
      <w:r>
        <w:rPr>
          <w:rFonts w:ascii="Times New Roman;serif" w:hAnsi="Times New Roman;serif"/>
          <w:b w:val="false"/>
          <w:color w:val="000000"/>
          <w:sz w:val="24"/>
        </w:rPr>
        <w:t xml:space="preserve">the prior Restricted Definitive Note and the Issuer will execute, and upon receipt of an Issuer Order in accordance with </w:t>
      </w:r>
      <w:r>
        <w:rPr>
          <w:rFonts w:ascii="Times New Roman;serif" w:hAnsi="Times New Roman;serif"/>
          <w:b w:val="false"/>
          <w:color w:val="000000"/>
          <w:sz w:val="24"/>
          <w:u w:val="single"/>
        </w:rPr>
        <w:t>Section 2.02</w:t>
      </w:r>
      <w:r>
        <w:rPr>
          <w:rFonts w:ascii="Times New Roman;serif" w:hAnsi="Times New Roman;serif"/>
          <w:b w:val="false"/>
          <w:color w:val="000000"/>
          <w:sz w:val="24"/>
        </w:rPr>
        <w:t>, the</w:t>
      </w:r>
      <w:r>
        <w:rPr>
          <w:color w:val="000000"/>
        </w:rPr>
        <w:t xml:space="preserve"> </w:t>
      </w:r>
      <w:r>
        <w:rPr>
          <w:rFonts w:ascii="Times New Roman;serif" w:hAnsi="Times New Roman;serif"/>
          <w:b w:val="false"/>
          <w:color w:val="000000"/>
          <w:sz w:val="24"/>
        </w:rPr>
        <w:t>Trustee shall authenticate and deliver an Unrestricted Definitive Note in the appropriate aggregate principal amount to the Person designated by</w:t>
      </w:r>
      <w:r>
        <w:rPr>
          <w:color w:val="000000"/>
        </w:rPr>
        <w:t xml:space="preserve"> </w:t>
      </w:r>
      <w:r>
        <w:rPr>
          <w:rFonts w:ascii="Times New Roman;serif" w:hAnsi="Times New Roman;serif"/>
          <w:b w:val="false"/>
          <w:color w:val="000000"/>
          <w:sz w:val="24"/>
        </w:rPr>
        <w:t>the Holder of such prior Restricted Definitive Note in written instructions delivered to the Registrar by such Holder.</w:t>
      </w:r>
    </w:p>
    <w:p>
      <w:pPr>
        <w:pStyle w:val="TextBody"/>
        <w:bidi w:val="0"/>
        <w:spacing w:lineRule="auto" w:line="300" w:before="0" w:after="240"/>
        <w:ind w:left="0" w:right="0" w:firstLine="720"/>
        <w:jc w:val="both"/>
        <w:rPr/>
      </w:pPr>
      <w:r>
        <w:rPr>
          <w:rFonts w:ascii="Times New Roman;serif" w:hAnsi="Times New Roman;serif"/>
          <w:b w:val="false"/>
          <w:color w:val="000000"/>
          <w:sz w:val="24"/>
        </w:rPr>
        <w:t>(3)</w:t>
      </w:r>
      <w:r>
        <w:rPr>
          <w:rFonts w:ascii="Times New Roman;serif" w:hAnsi="Times New Roman;serif"/>
          <w:b w:val="false"/>
          <w:i/>
          <w:color w:val="000000"/>
          <w:sz w:val="24"/>
        </w:rPr>
        <w:t>Unrestricted Definitive Notes to Unrestricted Definitive Notes</w:t>
      </w:r>
      <w:r>
        <w:rPr>
          <w:rFonts w:ascii="Times New Roman;serif" w:hAnsi="Times New Roman;serif"/>
          <w:b w:val="false"/>
          <w:color w:val="000000"/>
          <w:sz w:val="24"/>
        </w:rPr>
        <w:t>. A Holder of Unrestricted Definitive Notes may transfer such Notes to a</w:t>
      </w:r>
      <w:r>
        <w:rPr>
          <w:color w:val="000000"/>
        </w:rPr>
        <w:t xml:space="preserve"> </w:t>
      </w:r>
      <w:r>
        <w:rPr>
          <w:rFonts w:ascii="Times New Roman;serif" w:hAnsi="Times New Roman;serif"/>
          <w:b w:val="false"/>
          <w:color w:val="000000"/>
          <w:sz w:val="24"/>
        </w:rPr>
        <w:t>Person who takes delivery thereof in the form of an Unrestricted Definitive Note. Upon receipt of a request to register such a</w:t>
      </w:r>
      <w:r>
        <w:rPr>
          <w:color w:val="000000"/>
        </w:rPr>
        <w:t xml:space="preserve"> </w:t>
      </w:r>
      <w:r>
        <w:rPr>
          <w:rFonts w:ascii="Times New Roman;serif" w:hAnsi="Times New Roman;serif"/>
          <w:b w:val="false"/>
          <w:color w:val="000000"/>
          <w:sz w:val="24"/>
        </w:rPr>
        <w:t>transfer, the Registrar shall register the Unrestricted Definitive Notes pursuant to the instructions from the Holder thereof.</w:t>
      </w:r>
    </w:p>
    <w:p>
      <w:pPr>
        <w:pStyle w:val="TextBody"/>
        <w:bidi w:val="0"/>
        <w:spacing w:lineRule="auto" w:line="300" w:before="0" w:after="240"/>
        <w:ind w:left="0" w:right="0" w:firstLine="720"/>
        <w:jc w:val="both"/>
        <w:rPr/>
      </w:pPr>
      <w:r>
        <w:rPr>
          <w:rFonts w:ascii="Times New Roman;serif" w:hAnsi="Times New Roman;serif"/>
          <w:b w:val="false"/>
          <w:color w:val="000000"/>
          <w:sz w:val="24"/>
        </w:rPr>
        <w:t>(f)</w:t>
      </w:r>
      <w:r>
        <w:rPr>
          <w:rFonts w:ascii="Times New Roman;serif" w:hAnsi="Times New Roman;serif"/>
          <w:b w:val="false"/>
          <w:i/>
          <w:color w:val="000000"/>
          <w:sz w:val="24"/>
        </w:rPr>
        <w:t>Legends</w:t>
      </w:r>
      <w:r>
        <w:rPr>
          <w:rFonts w:ascii="Times New Roman;serif" w:hAnsi="Times New Roman;serif"/>
          <w:b w:val="false"/>
          <w:color w:val="000000"/>
          <w:sz w:val="24"/>
        </w:rPr>
        <w:t>. The following legends will appear on the face of all Global Notes and Definitive Notes issued under this Indenture unless specifically</w:t>
      </w:r>
      <w:r>
        <w:rPr>
          <w:color w:val="000000"/>
        </w:rPr>
        <w:t xml:space="preserve"> </w:t>
      </w:r>
      <w:r>
        <w:rPr>
          <w:rFonts w:ascii="Times New Roman;serif" w:hAnsi="Times New Roman;serif"/>
          <w:b w:val="false"/>
          <w:color w:val="000000"/>
          <w:sz w:val="24"/>
        </w:rPr>
        <w:t>stated otherwise in the applicable provisions of this Indenture.</w:t>
      </w:r>
    </w:p>
    <w:p>
      <w:pPr>
        <w:pStyle w:val="TextBody"/>
        <w:bidi w:val="0"/>
        <w:spacing w:lineRule="auto" w:line="300" w:before="0" w:after="240"/>
        <w:ind w:left="0" w:right="0" w:firstLine="720"/>
        <w:jc w:val="both"/>
        <w:rPr/>
      </w:pPr>
      <w:r>
        <w:rPr>
          <w:rFonts w:ascii="Times New Roman;serif" w:hAnsi="Times New Roman;serif"/>
          <w:b w:val="false"/>
          <w:color w:val="000000"/>
          <w:sz w:val="24"/>
        </w:rPr>
        <w:t>(1)Private</w:t>
      </w:r>
      <w:r>
        <w:rPr>
          <w:color w:val="000000"/>
        </w:rPr>
        <w:t xml:space="preserve"> </w:t>
      </w:r>
      <w:r>
        <w:rPr>
          <w:rFonts w:ascii="Times New Roman;serif" w:hAnsi="Times New Roman;serif"/>
          <w:b w:val="false"/>
          <w:color w:val="000000"/>
          <w:sz w:val="24"/>
        </w:rPr>
        <w:t>Placement</w:t>
      </w:r>
      <w:r>
        <w:rPr>
          <w:color w:val="000000"/>
        </w:rPr>
        <w:t xml:space="preserve"> </w:t>
      </w:r>
      <w:r>
        <w:rPr>
          <w:rFonts w:ascii="Times New Roman;serif" w:hAnsi="Times New Roman;serif"/>
          <w:b w:val="false"/>
          <w:color w:val="000000"/>
          <w:sz w:val="24"/>
        </w:rPr>
        <w:t>Legend.</w:t>
      </w:r>
    </w:p>
    <w:p>
      <w:pPr>
        <w:pStyle w:val="TextBody"/>
        <w:bidi w:val="0"/>
        <w:spacing w:lineRule="auto" w:line="300" w:before="0" w:after="240"/>
        <w:ind w:left="0" w:right="0" w:firstLine="720"/>
        <w:jc w:val="both"/>
        <w:rPr/>
      </w:pPr>
      <w:r>
        <w:rPr>
          <w:rFonts w:ascii="Times New Roman;serif" w:hAnsi="Times New Roman;serif"/>
          <w:b w:val="false"/>
          <w:color w:val="000000"/>
          <w:sz w:val="24"/>
        </w:rPr>
        <w:t>(A)Except</w:t>
      </w:r>
      <w:r>
        <w:rPr>
          <w:color w:val="000000"/>
        </w:rPr>
        <w:t xml:space="preserve"> </w:t>
      </w:r>
      <w:r>
        <w:rPr>
          <w:rFonts w:ascii="Times New Roman;serif" w:hAnsi="Times New Roman;serif"/>
          <w:b w:val="false"/>
          <w:color w:val="000000"/>
          <w:sz w:val="24"/>
        </w:rPr>
        <w:t>as</w:t>
      </w:r>
      <w:r>
        <w:rPr>
          <w:color w:val="000000"/>
        </w:rPr>
        <w:t xml:space="preserve"> </w:t>
      </w:r>
      <w:r>
        <w:rPr>
          <w:rFonts w:ascii="Times New Roman;serif" w:hAnsi="Times New Roman;serif"/>
          <w:b w:val="false"/>
          <w:color w:val="000000"/>
          <w:sz w:val="24"/>
        </w:rPr>
        <w:t>permitted by subparagraph (B) below, each</w:t>
      </w:r>
      <w:r>
        <w:rPr>
          <w:color w:val="000000"/>
        </w:rPr>
        <w:t xml:space="preserve"> </w:t>
      </w:r>
      <w:r>
        <w:rPr>
          <w:rFonts w:ascii="Times New Roman;serif" w:hAnsi="Times New Roman;serif"/>
          <w:b w:val="false"/>
          <w:color w:val="000000"/>
          <w:sz w:val="24"/>
        </w:rPr>
        <w:t>Global Note and</w:t>
      </w:r>
      <w:r>
        <w:rPr>
          <w:color w:val="000000"/>
        </w:rPr>
        <w:t xml:space="preserve"> </w:t>
      </w:r>
      <w:r>
        <w:rPr>
          <w:rFonts w:ascii="Times New Roman;serif" w:hAnsi="Times New Roman;serif"/>
          <w:b w:val="false"/>
          <w:color w:val="000000"/>
          <w:sz w:val="24"/>
        </w:rPr>
        <w:t>each</w:t>
      </w:r>
      <w:r>
        <w:rPr>
          <w:color w:val="000000"/>
        </w:rPr>
        <w:t xml:space="preserve"> </w:t>
      </w:r>
      <w:r>
        <w:rPr>
          <w:rFonts w:ascii="Times New Roman;serif" w:hAnsi="Times New Roman;serif"/>
          <w:b w:val="false"/>
          <w:color w:val="000000"/>
          <w:sz w:val="24"/>
        </w:rPr>
        <w:t>Definitive Note (and all</w:t>
      </w:r>
      <w:r>
        <w:rPr>
          <w:color w:val="000000"/>
        </w:rPr>
        <w:t xml:space="preserve"> </w:t>
      </w:r>
      <w:r>
        <w:rPr>
          <w:rFonts w:ascii="Times New Roman;serif" w:hAnsi="Times New Roman;serif"/>
          <w:b w:val="false"/>
          <w:color w:val="000000"/>
          <w:sz w:val="24"/>
        </w:rPr>
        <w:t>Notes issued</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exchange</w:t>
      </w:r>
      <w:r>
        <w:rPr>
          <w:color w:val="000000"/>
        </w:rPr>
        <w:t xml:space="preserve"> </w:t>
      </w:r>
      <w:r>
        <w:rPr>
          <w:rFonts w:ascii="Times New Roman;serif" w:hAnsi="Times New Roman;serif"/>
          <w:b w:val="false"/>
          <w:color w:val="000000"/>
          <w:sz w:val="24"/>
        </w:rPr>
        <w:t>therefor or substitution thereof) shall bear the legend in substantially the following form:</w:t>
      </w:r>
    </w:p>
    <w:p>
      <w:pPr>
        <w:pStyle w:val="TextBody"/>
        <w:bidi w:val="0"/>
        <w:spacing w:before="0" w:after="0"/>
        <w:jc w:val="left"/>
        <w:rPr/>
      </w:pPr>
      <w:r>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6480175" cy="768985"/>
                <wp:effectExtent l="0" t="0" r="0" b="0"/>
                <wp:wrapNone/>
                <wp:docPr id="214" name="Frame214"/>
                <a:graphic xmlns:a="http://schemas.openxmlformats.org/drawingml/2006/main">
                  <a:graphicData uri="http://schemas.microsoft.com/office/word/2010/wordprocessingShape">
                    <wps:wsp>
                      <wps:cNvSpPr txBox="1"/>
                      <wps:spPr>
                        <a:xfrm>
                          <a:off x="0" y="0"/>
                          <a:ext cx="6480175" cy="7689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41</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0.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41</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300" w:before="0" w:after="240"/>
        <w:jc w:val="both"/>
        <w:rPr>
          <w:rFonts w:ascii="Times New Roman;serif" w:hAnsi="Times New Roman;serif"/>
          <w:b w:val="false"/>
          <w:color w:val="000000"/>
          <w:sz w:val="24"/>
        </w:rPr>
      </w:pPr>
      <w:r>
        <w:rPr>
          <w:rFonts w:ascii="Times New Roman;serif" w:hAnsi="Times New Roman;serif"/>
          <w:b w:val="false"/>
          <w:color w:val="000000"/>
          <w:sz w:val="24"/>
        </w:rPr>
        <w:t>THIS NOTE HAS NOT BEEN REGISTERED UNDER THE SECURITIES ACT OF 1933, AS AMENDED (THE “SECURITIES ACT”), AND MAY NOT BE OFFERED, SOLD, PLEDGED OR OTHERWISE TRANSFERRED EXCEPT IN ACCORDANCE WITH THE FOLLOWING SENTENCE. BY ITS ACQUISITION HEREOF OR OF A BENEFICIAL INTEREST HEREIN, THE ACQUIRER (1) REPRESENTS THAT (A) IT AND ANY ACCOUNT FOR WHICH IT IS ACTING IS A “QUALIFIED INSTITUTIONAL BUYER” (WITHIN THE MEANING OF RULE 144A UNDER THE SECURITIES ACT) AND THAT IT EXERCISES SOLE INVESTMENT DISCRETION WITH RESPECT TO EACH SUCH ACCOUNT, OR (B) IT IS NOT A U.S. PERSON (WITHIN THE MEANING OF REGULATION S UNDER THE SECURITIES ACT) AND (2) AGREES FOR THE BENEFIT OF TALEN ENERGY SUPPLY, LLC THAT IT WILL NOT OFFER, SELL, PLEDGE OR OTHERWISE TRANSFER THIS NOTE OR ANY BENEFICIAL INTEREST HEREIN, EXCEPT IN ACCORDANCE WITH THE SECURITIES ACT AND ANY APPLICABLE SECURITIES LAWS OF ANY STATE OF THE UNITED STATES AND ONLY (A) TO TALEN ENERGY SUPPLY, LLC, (B) PURSUANT TO A REGISTRATION STATEMENT WHICH HAS BECOME EFFECTIVE UNDER THE SECURITIES ACT, (C) TO A QUALIFIED INSTITUTIONAL BUYER IN COMPLIANCE WITH RULE 144A UNDER THE SECURITIES ACT, (D) IN AN OFFSHORE TRANSACTION IN COMPLIANCE WITH RULE 904 OF REGULATION S UNDER THE SECURITIES ACT, (E) TO AN INSTITUTIONAL “ACCREDITED INVESTOR” WITHIN THE MEANING OF RULE 501(a)(1), (2), (3) OR (7) UNDER THE SECURITIES ACT THAT IS NOT A QUALIFIED INSTITUTIONAL BUYER AND THAT IS PURCHASING FOR ITS OWN ACCOUNT OR FOR THE ACCOUNT OF ANOTHER INSTITUTIONAL ACCREDITED INVESTOR, IN EACH CASE IN A MINIMUM PRINCIPAL AMOUNT OF SECURITIES OF $250,000, OR (F) PURSUANT TO AN EXEMPTION FROM REGISTRATION PROVIDED BY RULE 144 UNDER THE SECURITIES ACT OR ANY OTHER AVAILABLE EXEMPTION FROM THE REGISTRATION REQUIREMENTS OF THE SECURITIES ACT.</w:t>
      </w:r>
    </w:p>
    <w:p>
      <w:pPr>
        <w:pStyle w:val="TextBody"/>
        <w:bidi w:val="0"/>
        <w:spacing w:lineRule="auto" w:line="300"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PRIOR TO THE REGISTRATION OF ANY TRANSFER IN ACCORDANCE WITH (2)(C) ABOVE OR (2)(D) ABOVE, A DULY COMPLETED AND SIGNED CERTIFICATE (THE FORM OF WHICH MAY BE OBTAINED FROM THE TRUSTEE) MUST BE DELIVERED TO THE TRUSTEE. PRIOR TO THE REGISTRATION OF ANY </w:t>
      </w:r>
    </w:p>
    <w:p>
      <w:pPr>
        <w:pStyle w:val="TextBody"/>
        <w:bidi w:val="0"/>
        <w:spacing w:before="0" w:after="0"/>
        <w:jc w:val="left"/>
        <w:rPr/>
      </w:pPr>
      <w:r>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6480175" cy="768985"/>
                <wp:effectExtent l="0" t="0" r="0" b="0"/>
                <wp:wrapNone/>
                <wp:docPr id="215" name="Frame215"/>
                <a:graphic xmlns:a="http://schemas.openxmlformats.org/drawingml/2006/main">
                  <a:graphicData uri="http://schemas.microsoft.com/office/word/2010/wordprocessingShape">
                    <wps:wsp>
                      <wps:cNvSpPr txBox="1"/>
                      <wps:spPr>
                        <a:xfrm>
                          <a:off x="0" y="0"/>
                          <a:ext cx="6480175" cy="7689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42</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0.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42</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300" w:before="0" w:after="240"/>
        <w:jc w:val="both"/>
        <w:rPr>
          <w:rFonts w:ascii="Times New Roman;serif" w:hAnsi="Times New Roman;serif"/>
          <w:b w:val="false"/>
          <w:color w:val="000000"/>
          <w:sz w:val="24"/>
        </w:rPr>
      </w:pPr>
      <w:r>
        <w:rPr>
          <w:rFonts w:ascii="Times New Roman;serif" w:hAnsi="Times New Roman;serif"/>
          <w:b w:val="false"/>
          <w:color w:val="000000"/>
          <w:sz w:val="24"/>
        </w:rPr>
        <w:t>TRANSFER IN ACCORDANCE WITH (F) ABOVE, TALEN ENERGY SUPPLY, LLC RESERVES THE RIGHT TO REQUIRE THE DELIVERY OF SUCH LEGAL OPINIONS, CERTIFICATIONS OR OTHER EVIDENCE AS MAY REASONABLY BE REQUIRED IN ORDER TO DETERMINE THAT THE PROPOSED TRANSFER IS BEING MADE IN COMPLIANCE WITH THE SECURITIES ACT AND APPLICABLE STATE SECURITIES LAWS. NO REPRESENTATION IS MADE AS TO THE AVAILABILITY OF ANY RULE 144 EXEMPTION FROM THE REGISTRATION REQUIREMENTS OF THE SECURITIES ACT.</w:t>
      </w:r>
    </w:p>
    <w:p>
      <w:pPr>
        <w:pStyle w:val="TextBody"/>
        <w:bidi w:val="0"/>
        <w:spacing w:lineRule="auto" w:line="300" w:before="0" w:after="240"/>
        <w:ind w:left="0" w:right="0" w:firstLine="720"/>
        <w:jc w:val="both"/>
        <w:rPr/>
      </w:pPr>
      <w:r>
        <w:rPr>
          <w:rFonts w:ascii="Times New Roman;serif" w:hAnsi="Times New Roman;serif"/>
          <w:b w:val="false"/>
          <w:color w:val="000000"/>
          <w:sz w:val="24"/>
        </w:rPr>
        <w:t xml:space="preserve">(B)Notwithstanding the foregoing, any Global Note or Definitive Note issued pursuant to subparagraphs </w:t>
      </w:r>
      <w:r>
        <w:rPr>
          <w:rFonts w:ascii="Times New Roman;serif" w:hAnsi="Times New Roman;serif"/>
          <w:b w:val="false"/>
          <w:color w:val="000000"/>
          <w:sz w:val="24"/>
          <w:u w:val="single"/>
        </w:rPr>
        <w:t>2.06(b)(4)</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u w:val="single"/>
        </w:rPr>
        <w:t>2.06(c)(3)</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u w:val="single"/>
        </w:rPr>
        <w:t>2.06(c)(4)</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u w:val="single"/>
        </w:rPr>
        <w:t>2.06(d)(2)</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2.06(d)(3),</w:t>
      </w:r>
      <w:r>
        <w:rPr>
          <w:color w:val="000000"/>
        </w:rPr>
        <w:t xml:space="preserve"> </w:t>
      </w:r>
      <w:r>
        <w:rPr>
          <w:rFonts w:ascii="Times New Roman;serif" w:hAnsi="Times New Roman;serif"/>
          <w:b w:val="false"/>
          <w:color w:val="000000"/>
          <w:sz w:val="24"/>
          <w:u w:val="single"/>
        </w:rPr>
        <w:t>2.06(e)(2)</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2.06(e)(3)</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this</w:t>
      </w:r>
      <w:r>
        <w:rPr>
          <w:color w:val="000000"/>
        </w:rPr>
        <w:t xml:space="preserve"> </w:t>
      </w:r>
      <w:r>
        <w:rPr>
          <w:rFonts w:ascii="Times New Roman;serif" w:hAnsi="Times New Roman;serif"/>
          <w:b w:val="false"/>
          <w:color w:val="000000"/>
          <w:sz w:val="24"/>
          <w:u w:val="single"/>
        </w:rPr>
        <w:t>Section 2.06</w:t>
      </w:r>
      <w:r>
        <w:rPr>
          <w:color w:val="000000"/>
        </w:rPr>
        <w:t xml:space="preserve"> </w:t>
      </w:r>
      <w:r>
        <w:rPr>
          <w:rFonts w:ascii="Times New Roman;serif" w:hAnsi="Times New Roman;serif"/>
          <w:b w:val="false"/>
          <w:color w:val="000000"/>
          <w:sz w:val="24"/>
        </w:rPr>
        <w:t>(and all Notes issued in exchange therefor or substitution thereof) will not bear the</w:t>
      </w:r>
      <w:r>
        <w:rPr>
          <w:color w:val="000000"/>
        </w:rPr>
        <w:t xml:space="preserve"> </w:t>
      </w:r>
      <w:r>
        <w:rPr>
          <w:rFonts w:ascii="Times New Roman;serif" w:hAnsi="Times New Roman;serif"/>
          <w:b w:val="false"/>
          <w:color w:val="000000"/>
          <w:sz w:val="24"/>
        </w:rPr>
        <w:t>Private Placement Legend.</w:t>
      </w:r>
    </w:p>
    <w:p>
      <w:pPr>
        <w:pStyle w:val="TextBody"/>
        <w:bidi w:val="0"/>
        <w:spacing w:lineRule="auto" w:line="300" w:before="0" w:after="240"/>
        <w:ind w:left="0" w:right="0" w:firstLine="720"/>
        <w:jc w:val="both"/>
        <w:rPr/>
      </w:pPr>
      <w:r>
        <w:rPr>
          <w:rFonts w:ascii="Times New Roman;serif" w:hAnsi="Times New Roman;serif"/>
          <w:b w:val="false"/>
          <w:color w:val="000000"/>
          <w:sz w:val="24"/>
        </w:rPr>
        <w:t>(2)</w:t>
      </w:r>
      <w:r>
        <w:rPr>
          <w:rFonts w:ascii="Times New Roman;serif" w:hAnsi="Times New Roman;serif"/>
          <w:b w:val="false"/>
          <w:i/>
          <w:color w:val="000000"/>
          <w:sz w:val="24"/>
        </w:rPr>
        <w:t>Global</w:t>
      </w:r>
      <w:r>
        <w:rPr>
          <w:color w:val="000000"/>
        </w:rPr>
        <w:t xml:space="preserve"> </w:t>
      </w:r>
      <w:r>
        <w:rPr>
          <w:rFonts w:ascii="Times New Roman;serif" w:hAnsi="Times New Roman;serif"/>
          <w:b w:val="false"/>
          <w:i/>
          <w:color w:val="000000"/>
          <w:sz w:val="24"/>
        </w:rPr>
        <w:t>Note</w:t>
      </w:r>
      <w:r>
        <w:rPr>
          <w:color w:val="000000"/>
        </w:rPr>
        <w:t xml:space="preserve"> </w:t>
      </w:r>
      <w:r>
        <w:rPr>
          <w:rFonts w:ascii="Times New Roman;serif" w:hAnsi="Times New Roman;serif"/>
          <w:b w:val="false"/>
          <w:i/>
          <w:color w:val="000000"/>
          <w:sz w:val="24"/>
        </w:rPr>
        <w:t>Legend</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Each</w:t>
      </w:r>
      <w:r>
        <w:rPr>
          <w:color w:val="000000"/>
        </w:rPr>
        <w:t xml:space="preserve"> </w:t>
      </w:r>
      <w:r>
        <w:rPr>
          <w:rFonts w:ascii="Times New Roman;serif" w:hAnsi="Times New Roman;serif"/>
          <w:b w:val="false"/>
          <w:color w:val="000000"/>
          <w:sz w:val="24"/>
        </w:rPr>
        <w:t>Global</w:t>
      </w:r>
      <w:r>
        <w:rPr>
          <w:color w:val="000000"/>
        </w:rPr>
        <w:t xml:space="preserve"> </w:t>
      </w:r>
      <w:r>
        <w:rPr>
          <w:rFonts w:ascii="Times New Roman;serif" w:hAnsi="Times New Roman;serif"/>
          <w:b w:val="false"/>
          <w:color w:val="000000"/>
          <w:sz w:val="24"/>
        </w:rPr>
        <w:t>Note</w:t>
      </w:r>
      <w:r>
        <w:rPr>
          <w:color w:val="000000"/>
        </w:rPr>
        <w:t xml:space="preserve"> </w:t>
      </w:r>
      <w:r>
        <w:rPr>
          <w:rFonts w:ascii="Times New Roman;serif" w:hAnsi="Times New Roman;serif"/>
          <w:b w:val="false"/>
          <w:color w:val="000000"/>
          <w:sz w:val="24"/>
        </w:rPr>
        <w:t>will</w:t>
      </w:r>
      <w:r>
        <w:rPr>
          <w:color w:val="000000"/>
        </w:rPr>
        <w:t xml:space="preserve"> </w:t>
      </w:r>
      <w:r>
        <w:rPr>
          <w:rFonts w:ascii="Times New Roman;serif" w:hAnsi="Times New Roman;serif"/>
          <w:b w:val="false"/>
          <w:color w:val="000000"/>
          <w:sz w:val="24"/>
        </w:rPr>
        <w:t>bear</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legend</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substantially</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following</w:t>
      </w:r>
      <w:r>
        <w:rPr>
          <w:color w:val="000000"/>
        </w:rPr>
        <w:t xml:space="preserve"> </w:t>
      </w:r>
      <w:r>
        <w:rPr>
          <w:rFonts w:ascii="Times New Roman;serif" w:hAnsi="Times New Roman;serif"/>
          <w:b w:val="false"/>
          <w:color w:val="000000"/>
          <w:sz w:val="24"/>
        </w:rPr>
        <w:t>form:</w:t>
      </w:r>
    </w:p>
    <w:p>
      <w:pPr>
        <w:pStyle w:val="TextBody"/>
        <w:bidi w:val="0"/>
        <w:spacing w:lineRule="auto" w:line="288" w:before="0" w:after="240"/>
        <w:jc w:val="both"/>
        <w:rPr/>
      </w:pPr>
      <w:r>
        <w:rPr>
          <w:color w:val="000000"/>
        </w:rPr>
        <w:t>“</w:t>
      </w:r>
      <w:r>
        <w:rPr>
          <w:rFonts w:ascii="Times New Roman;serif" w:hAnsi="Times New Roman;serif"/>
          <w:b w:val="false"/>
          <w:color w:val="000000"/>
          <w:sz w:val="24"/>
        </w:rPr>
        <w:t>THIS GLOBAL NOTE IS HELD BY THE DEPOSITORY (AS DEFINED IN THE INDENTURE GOVERNING THIS NOTE) OR ITS NOMINEE</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CUSTODY</w:t>
      </w:r>
      <w:r>
        <w:rPr>
          <w:color w:val="000000"/>
        </w:rPr>
        <w:t xml:space="preserve"> </w:t>
      </w:r>
      <w:r>
        <w:rPr>
          <w:rFonts w:ascii="Times New Roman;serif" w:hAnsi="Times New Roman;serif"/>
          <w:b w:val="false"/>
          <w:color w:val="000000"/>
          <w:sz w:val="24"/>
        </w:rPr>
        <w:t>FOR</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BENEFIT</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BENEFICIAL</w:t>
      </w:r>
      <w:r>
        <w:rPr>
          <w:color w:val="000000"/>
        </w:rPr>
        <w:t xml:space="preserve"> </w:t>
      </w:r>
      <w:r>
        <w:rPr>
          <w:rFonts w:ascii="Times New Roman;serif" w:hAnsi="Times New Roman;serif"/>
          <w:b w:val="false"/>
          <w:color w:val="000000"/>
          <w:sz w:val="24"/>
        </w:rPr>
        <w:t>OWNERS</w:t>
      </w:r>
      <w:r>
        <w:rPr>
          <w:color w:val="000000"/>
        </w:rPr>
        <w:t xml:space="preserve"> </w:t>
      </w:r>
      <w:r>
        <w:rPr>
          <w:rFonts w:ascii="Times New Roman;serif" w:hAnsi="Times New Roman;serif"/>
          <w:b w:val="false"/>
          <w:color w:val="000000"/>
          <w:sz w:val="24"/>
        </w:rPr>
        <w:t>HEREOF,</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IS</w:t>
      </w:r>
      <w:r>
        <w:rPr>
          <w:color w:val="000000"/>
        </w:rPr>
        <w:t xml:space="preserve"> </w:t>
      </w:r>
      <w:r>
        <w:rPr>
          <w:rFonts w:ascii="Times New Roman;serif" w:hAnsi="Times New Roman;serif"/>
          <w:b w:val="false"/>
          <w:color w:val="000000"/>
          <w:sz w:val="24"/>
        </w:rPr>
        <w:t>NOT</w:t>
      </w:r>
      <w:r>
        <w:rPr>
          <w:color w:val="000000"/>
        </w:rPr>
        <w:t xml:space="preserve"> </w:t>
      </w:r>
      <w:r>
        <w:rPr>
          <w:rFonts w:ascii="Times New Roman;serif" w:hAnsi="Times New Roman;serif"/>
          <w:b w:val="false"/>
          <w:color w:val="000000"/>
          <w:sz w:val="24"/>
        </w:rPr>
        <w:t>TRANSFERABLE</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PERSON</w:t>
      </w:r>
      <w:r>
        <w:rPr>
          <w:color w:val="000000"/>
        </w:rPr>
        <w:t xml:space="preserve"> </w:t>
      </w:r>
      <w:r>
        <w:rPr>
          <w:rFonts w:ascii="Times New Roman;serif" w:hAnsi="Times New Roman;serif"/>
          <w:b w:val="false"/>
          <w:color w:val="000000"/>
          <w:sz w:val="24"/>
        </w:rPr>
        <w:t>UNDER</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CIRCUMSTANCES</w:t>
      </w:r>
      <w:r>
        <w:rPr>
          <w:color w:val="000000"/>
        </w:rPr>
        <w:t xml:space="preserve"> </w:t>
      </w:r>
      <w:r>
        <w:rPr>
          <w:rFonts w:ascii="Times New Roman;serif" w:hAnsi="Times New Roman;serif"/>
          <w:b w:val="false"/>
          <w:color w:val="000000"/>
          <w:sz w:val="24"/>
        </w:rPr>
        <w:t>EXCEPT</w:t>
      </w:r>
      <w:r>
        <w:rPr>
          <w:color w:val="000000"/>
        </w:rPr>
        <w:t xml:space="preserve"> </w:t>
      </w:r>
      <w:r>
        <w:rPr>
          <w:rFonts w:ascii="Times New Roman;serif" w:hAnsi="Times New Roman;serif"/>
          <w:b w:val="false"/>
          <w:color w:val="000000"/>
          <w:sz w:val="24"/>
        </w:rPr>
        <w:t>THAT</w:t>
      </w:r>
      <w:r>
        <w:rPr>
          <w:color w:val="000000"/>
        </w:rPr>
        <w:t xml:space="preserve"> </w:t>
      </w:r>
      <w:r>
        <w:rPr>
          <w:rFonts w:ascii="Times New Roman;serif" w:hAnsi="Times New Roman;serif"/>
          <w:b w:val="false"/>
          <w:color w:val="000000"/>
          <w:sz w:val="24"/>
        </w:rPr>
        <w:t>(1)</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TRUSTEE</w:t>
      </w:r>
      <w:r>
        <w:rPr>
          <w:color w:val="000000"/>
        </w:rPr>
        <w:t xml:space="preserve"> </w:t>
      </w:r>
      <w:r>
        <w:rPr>
          <w:rFonts w:ascii="Times New Roman;serif" w:hAnsi="Times New Roman;serif"/>
          <w:b w:val="false"/>
          <w:color w:val="000000"/>
          <w:sz w:val="24"/>
        </w:rPr>
        <w:t>MAY</w:t>
      </w:r>
      <w:r>
        <w:rPr>
          <w:color w:val="000000"/>
        </w:rPr>
        <w:t xml:space="preserve"> </w:t>
      </w:r>
      <w:r>
        <w:rPr>
          <w:rFonts w:ascii="Times New Roman;serif" w:hAnsi="Times New Roman;serif"/>
          <w:b w:val="false"/>
          <w:color w:val="000000"/>
          <w:sz w:val="24"/>
        </w:rPr>
        <w:t>MAKE</w:t>
      </w:r>
      <w:r>
        <w:rPr>
          <w:color w:val="000000"/>
        </w:rPr>
        <w:t xml:space="preserve"> </w:t>
      </w:r>
      <w:r>
        <w:rPr>
          <w:rFonts w:ascii="Times New Roman;serif" w:hAnsi="Times New Roman;serif"/>
          <w:b w:val="false"/>
          <w:color w:val="000000"/>
          <w:sz w:val="24"/>
        </w:rPr>
        <w:t>SUCH</w:t>
      </w:r>
      <w:r>
        <w:rPr>
          <w:color w:val="000000"/>
        </w:rPr>
        <w:t xml:space="preserve"> </w:t>
      </w:r>
      <w:r>
        <w:rPr>
          <w:rFonts w:ascii="Times New Roman;serif" w:hAnsi="Times New Roman;serif"/>
          <w:b w:val="false"/>
          <w:color w:val="000000"/>
          <w:sz w:val="24"/>
        </w:rPr>
        <w:t>NOTATIONS</w:t>
      </w:r>
      <w:r>
        <w:rPr>
          <w:color w:val="000000"/>
        </w:rPr>
        <w:t xml:space="preserve"> </w:t>
      </w:r>
      <w:r>
        <w:rPr>
          <w:rFonts w:ascii="Times New Roman;serif" w:hAnsi="Times New Roman;serif"/>
          <w:b w:val="false"/>
          <w:color w:val="000000"/>
          <w:sz w:val="24"/>
        </w:rPr>
        <w:t>HEREON</w:t>
      </w:r>
      <w:r>
        <w:rPr>
          <w:color w:val="000000"/>
        </w:rPr>
        <w:t xml:space="preserve"> </w:t>
      </w:r>
      <w:r>
        <w:rPr>
          <w:rFonts w:ascii="Times New Roman;serif" w:hAnsi="Times New Roman;serif"/>
          <w:b w:val="false"/>
          <w:color w:val="000000"/>
          <w:sz w:val="24"/>
        </w:rPr>
        <w:t>AS</w:t>
      </w:r>
      <w:r>
        <w:rPr>
          <w:color w:val="000000"/>
        </w:rPr>
        <w:t xml:space="preserve"> </w:t>
      </w:r>
      <w:r>
        <w:rPr>
          <w:rFonts w:ascii="Times New Roman;serif" w:hAnsi="Times New Roman;serif"/>
          <w:b w:val="false"/>
          <w:color w:val="000000"/>
          <w:sz w:val="24"/>
        </w:rPr>
        <w:t>MAY</w:t>
      </w:r>
      <w:r>
        <w:rPr>
          <w:color w:val="000000"/>
        </w:rPr>
        <w:t xml:space="preserve"> </w:t>
      </w:r>
      <w:r>
        <w:rPr>
          <w:rFonts w:ascii="Times New Roman;serif" w:hAnsi="Times New Roman;serif"/>
          <w:b w:val="false"/>
          <w:color w:val="000000"/>
          <w:sz w:val="24"/>
        </w:rPr>
        <w:t>BE</w:t>
      </w:r>
      <w:r>
        <w:rPr>
          <w:color w:val="000000"/>
        </w:rPr>
        <w:t xml:space="preserve"> </w:t>
      </w:r>
      <w:r>
        <w:rPr>
          <w:rFonts w:ascii="Times New Roman;serif" w:hAnsi="Times New Roman;serif"/>
          <w:b w:val="false"/>
          <w:color w:val="000000"/>
          <w:sz w:val="24"/>
        </w:rPr>
        <w:t>REQUIRED</w:t>
      </w:r>
      <w:r>
        <w:rPr>
          <w:color w:val="000000"/>
        </w:rPr>
        <w:t xml:space="preserve"> </w:t>
      </w:r>
      <w:r>
        <w:rPr>
          <w:rFonts w:ascii="Times New Roman;serif" w:hAnsi="Times New Roman;serif"/>
          <w:b w:val="false"/>
          <w:color w:val="000000"/>
          <w:sz w:val="24"/>
        </w:rPr>
        <w:t xml:space="preserve">PURSUANT TO </w:t>
      </w:r>
      <w:r>
        <w:rPr>
          <w:rFonts w:ascii="Times New Roman;serif" w:hAnsi="Times New Roman;serif"/>
          <w:b w:val="false"/>
          <w:color w:val="000000"/>
          <w:sz w:val="24"/>
          <w:u w:val="single"/>
        </w:rPr>
        <w:t>SECTION 2.01</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SECTION 2.06</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INDENTURE,</w:t>
      </w:r>
      <w:r>
        <w:rPr>
          <w:color w:val="000000"/>
        </w:rPr>
        <w:t xml:space="preserve"> </w:t>
      </w:r>
      <w:r>
        <w:rPr>
          <w:rFonts w:ascii="Times New Roman;serif" w:hAnsi="Times New Roman;serif"/>
          <w:b w:val="false"/>
          <w:color w:val="000000"/>
          <w:sz w:val="24"/>
        </w:rPr>
        <w:t>(2)</w:t>
      </w:r>
      <w:r>
        <w:rPr>
          <w:color w:val="000000"/>
        </w:rPr>
        <w:t xml:space="preserve"> </w:t>
      </w:r>
      <w:r>
        <w:rPr>
          <w:rFonts w:ascii="Times New Roman;serif" w:hAnsi="Times New Roman;serif"/>
          <w:b w:val="false"/>
          <w:color w:val="000000"/>
          <w:sz w:val="24"/>
        </w:rPr>
        <w:t>THIS</w:t>
      </w:r>
      <w:r>
        <w:rPr>
          <w:color w:val="000000"/>
        </w:rPr>
        <w:t xml:space="preserve"> </w:t>
      </w:r>
      <w:r>
        <w:rPr>
          <w:rFonts w:ascii="Times New Roman;serif" w:hAnsi="Times New Roman;serif"/>
          <w:b w:val="false"/>
          <w:color w:val="000000"/>
          <w:sz w:val="24"/>
        </w:rPr>
        <w:t>GLOBAL</w:t>
      </w:r>
      <w:r>
        <w:rPr>
          <w:color w:val="000000"/>
        </w:rPr>
        <w:t xml:space="preserve"> </w:t>
      </w:r>
      <w:r>
        <w:rPr>
          <w:rFonts w:ascii="Times New Roman;serif" w:hAnsi="Times New Roman;serif"/>
          <w:b w:val="false"/>
          <w:color w:val="000000"/>
          <w:sz w:val="24"/>
        </w:rPr>
        <w:t>NOTE</w:t>
      </w:r>
      <w:r>
        <w:rPr>
          <w:color w:val="000000"/>
        </w:rPr>
        <w:t xml:space="preserve"> </w:t>
      </w:r>
      <w:r>
        <w:rPr>
          <w:rFonts w:ascii="Times New Roman;serif" w:hAnsi="Times New Roman;serif"/>
          <w:b w:val="false"/>
          <w:color w:val="000000"/>
          <w:sz w:val="24"/>
        </w:rPr>
        <w:t>MAY</w:t>
      </w:r>
      <w:r>
        <w:rPr>
          <w:color w:val="000000"/>
        </w:rPr>
        <w:t xml:space="preserve"> </w:t>
      </w:r>
      <w:r>
        <w:rPr>
          <w:rFonts w:ascii="Times New Roman;serif" w:hAnsi="Times New Roman;serif"/>
          <w:b w:val="false"/>
          <w:color w:val="000000"/>
          <w:sz w:val="24"/>
        </w:rPr>
        <w:t>BE</w:t>
      </w:r>
      <w:r>
        <w:rPr>
          <w:color w:val="000000"/>
        </w:rPr>
        <w:t xml:space="preserve"> </w:t>
      </w:r>
      <w:r>
        <w:rPr>
          <w:rFonts w:ascii="Times New Roman;serif" w:hAnsi="Times New Roman;serif"/>
          <w:b w:val="false"/>
          <w:color w:val="000000"/>
          <w:sz w:val="24"/>
        </w:rPr>
        <w:t>EXCHANGED</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WHOLE</w:t>
      </w:r>
      <w:r>
        <w:rPr>
          <w:color w:val="000000"/>
        </w:rPr>
        <w:t xml:space="preserve"> </w:t>
      </w:r>
      <w:r>
        <w:rPr>
          <w:rFonts w:ascii="Times New Roman;serif" w:hAnsi="Times New Roman;serif"/>
          <w:b w:val="false"/>
          <w:color w:val="000000"/>
          <w:sz w:val="24"/>
        </w:rPr>
        <w:t xml:space="preserve">BUT NOT IN PART PURSUANT TO </w:t>
      </w:r>
      <w:r>
        <w:rPr>
          <w:rFonts w:ascii="Times New Roman;serif" w:hAnsi="Times New Roman;serif"/>
          <w:b w:val="false"/>
          <w:color w:val="000000"/>
          <w:sz w:val="24"/>
          <w:u w:val="single"/>
        </w:rPr>
        <w:t>SECTION</w:t>
      </w:r>
      <w:r>
        <w:rPr>
          <w:color w:val="000000"/>
          <w:u w:val="single"/>
        </w:rPr>
        <w:t xml:space="preserve"> </w:t>
      </w:r>
      <w:r>
        <w:rPr>
          <w:rFonts w:ascii="Times New Roman;serif" w:hAnsi="Times New Roman;serif"/>
          <w:b w:val="false"/>
          <w:color w:val="000000"/>
          <w:sz w:val="24"/>
          <w:u w:val="single"/>
        </w:rPr>
        <w:t>2.06(A)</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INDENTURE,</w:t>
      </w:r>
      <w:r>
        <w:rPr>
          <w:color w:val="000000"/>
        </w:rPr>
        <w:t xml:space="preserve"> </w:t>
      </w:r>
      <w:r>
        <w:rPr>
          <w:rFonts w:ascii="Times New Roman;serif" w:hAnsi="Times New Roman;serif"/>
          <w:b w:val="false"/>
          <w:color w:val="000000"/>
          <w:sz w:val="24"/>
        </w:rPr>
        <w:t>(3)</w:t>
      </w:r>
      <w:r>
        <w:rPr>
          <w:color w:val="000000"/>
        </w:rPr>
        <w:t xml:space="preserve"> </w:t>
      </w:r>
      <w:r>
        <w:rPr>
          <w:rFonts w:ascii="Times New Roman;serif" w:hAnsi="Times New Roman;serif"/>
          <w:b w:val="false"/>
          <w:color w:val="000000"/>
          <w:sz w:val="24"/>
        </w:rPr>
        <w:t>THIS</w:t>
      </w:r>
      <w:r>
        <w:rPr>
          <w:color w:val="000000"/>
        </w:rPr>
        <w:t xml:space="preserve"> </w:t>
      </w:r>
      <w:r>
        <w:rPr>
          <w:rFonts w:ascii="Times New Roman;serif" w:hAnsi="Times New Roman;serif"/>
          <w:b w:val="false"/>
          <w:color w:val="000000"/>
          <w:sz w:val="24"/>
        </w:rPr>
        <w:t>GLOBAL</w:t>
      </w:r>
      <w:r>
        <w:rPr>
          <w:color w:val="000000"/>
        </w:rPr>
        <w:t xml:space="preserve"> </w:t>
      </w:r>
      <w:r>
        <w:rPr>
          <w:rFonts w:ascii="Times New Roman;serif" w:hAnsi="Times New Roman;serif"/>
          <w:b w:val="false"/>
          <w:color w:val="000000"/>
          <w:sz w:val="24"/>
        </w:rPr>
        <w:t>NOTE</w:t>
      </w:r>
      <w:r>
        <w:rPr>
          <w:color w:val="000000"/>
        </w:rPr>
        <w:t xml:space="preserve"> </w:t>
      </w:r>
      <w:r>
        <w:rPr>
          <w:rFonts w:ascii="Times New Roman;serif" w:hAnsi="Times New Roman;serif"/>
          <w:b w:val="false"/>
          <w:color w:val="000000"/>
          <w:sz w:val="24"/>
        </w:rPr>
        <w:t>MAY</w:t>
      </w:r>
      <w:r>
        <w:rPr>
          <w:color w:val="000000"/>
        </w:rPr>
        <w:t xml:space="preserve"> </w:t>
      </w:r>
      <w:r>
        <w:rPr>
          <w:rFonts w:ascii="Times New Roman;serif" w:hAnsi="Times New Roman;serif"/>
          <w:b w:val="false"/>
          <w:color w:val="000000"/>
          <w:sz w:val="24"/>
        </w:rPr>
        <w:t>BE</w:t>
      </w:r>
      <w:r>
        <w:rPr>
          <w:color w:val="000000"/>
        </w:rPr>
        <w:t xml:space="preserve"> </w:t>
      </w:r>
      <w:r>
        <w:rPr>
          <w:rFonts w:ascii="Times New Roman;serif" w:hAnsi="Times New Roman;serif"/>
          <w:b w:val="false"/>
          <w:color w:val="000000"/>
          <w:sz w:val="24"/>
        </w:rPr>
        <w:t>DELIVERED</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TRUSTEE</w:t>
      </w:r>
      <w:r>
        <w:rPr>
          <w:color w:val="000000"/>
        </w:rPr>
        <w:t xml:space="preserve"> </w:t>
      </w:r>
      <w:r>
        <w:rPr>
          <w:rFonts w:ascii="Times New Roman;serif" w:hAnsi="Times New Roman;serif"/>
          <w:b w:val="false"/>
          <w:color w:val="000000"/>
          <w:sz w:val="24"/>
        </w:rPr>
        <w:t>FOR</w:t>
      </w:r>
      <w:r>
        <w:rPr>
          <w:color w:val="000000"/>
        </w:rPr>
        <w:t xml:space="preserve"> </w:t>
      </w:r>
      <w:r>
        <w:rPr>
          <w:rFonts w:ascii="Times New Roman;serif" w:hAnsi="Times New Roman;serif"/>
          <w:b w:val="false"/>
          <w:color w:val="000000"/>
          <w:sz w:val="24"/>
        </w:rPr>
        <w:t>CANCELLATION</w:t>
      </w:r>
      <w:r>
        <w:rPr>
          <w:color w:val="000000"/>
        </w:rPr>
        <w:t xml:space="preserve"> </w:t>
      </w:r>
      <w:r>
        <w:rPr>
          <w:rFonts w:ascii="Times New Roman;serif" w:hAnsi="Times New Roman;serif"/>
          <w:b w:val="false"/>
          <w:color w:val="000000"/>
          <w:sz w:val="24"/>
        </w:rPr>
        <w:t>PURSUANT</w:t>
      </w:r>
      <w:r>
        <w:rPr>
          <w:color w:val="000000"/>
        </w:rPr>
        <w:t xml:space="preserve"> </w:t>
      </w:r>
      <w:r>
        <w:rPr>
          <w:rFonts w:ascii="Times New Roman;serif" w:hAnsi="Times New Roman;serif"/>
          <w:b w:val="false"/>
          <w:color w:val="000000"/>
          <w:sz w:val="24"/>
        </w:rPr>
        <w:t xml:space="preserve">TO </w:t>
      </w:r>
      <w:r>
        <w:rPr>
          <w:rFonts w:ascii="Times New Roman;serif" w:hAnsi="Times New Roman;serif"/>
          <w:b w:val="false"/>
          <w:color w:val="000000"/>
          <w:sz w:val="24"/>
          <w:u w:val="single"/>
        </w:rPr>
        <w:t>SECTION 2.12</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BASE</w:t>
      </w:r>
      <w:r>
        <w:rPr>
          <w:color w:val="000000"/>
        </w:rPr>
        <w:t xml:space="preserve"> </w:t>
      </w:r>
      <w:r>
        <w:rPr>
          <w:rFonts w:ascii="Times New Roman;serif" w:hAnsi="Times New Roman;serif"/>
          <w:b w:val="false"/>
          <w:color w:val="000000"/>
          <w:sz w:val="24"/>
        </w:rPr>
        <w:t>INDENTURE</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(4)</w:t>
      </w:r>
      <w:r>
        <w:rPr>
          <w:color w:val="000000"/>
        </w:rPr>
        <w:t xml:space="preserve"> </w:t>
      </w:r>
      <w:r>
        <w:rPr>
          <w:rFonts w:ascii="Times New Roman;serif" w:hAnsi="Times New Roman;serif"/>
          <w:b w:val="false"/>
          <w:color w:val="000000"/>
          <w:sz w:val="24"/>
        </w:rPr>
        <w:t>THIS</w:t>
      </w:r>
      <w:r>
        <w:rPr>
          <w:color w:val="000000"/>
        </w:rPr>
        <w:t xml:space="preserve"> </w:t>
      </w:r>
      <w:r>
        <w:rPr>
          <w:rFonts w:ascii="Times New Roman;serif" w:hAnsi="Times New Roman;serif"/>
          <w:b w:val="false"/>
          <w:color w:val="000000"/>
          <w:sz w:val="24"/>
        </w:rPr>
        <w:t>GLOBAL</w:t>
      </w:r>
      <w:r>
        <w:rPr>
          <w:color w:val="000000"/>
        </w:rPr>
        <w:t xml:space="preserve"> </w:t>
      </w:r>
      <w:r>
        <w:rPr>
          <w:rFonts w:ascii="Times New Roman;serif" w:hAnsi="Times New Roman;serif"/>
          <w:b w:val="false"/>
          <w:color w:val="000000"/>
          <w:sz w:val="24"/>
        </w:rPr>
        <w:t>NOTE</w:t>
      </w:r>
      <w:r>
        <w:rPr>
          <w:color w:val="000000"/>
        </w:rPr>
        <w:t xml:space="preserve"> </w:t>
      </w:r>
      <w:r>
        <w:rPr>
          <w:rFonts w:ascii="Times New Roman;serif" w:hAnsi="Times New Roman;serif"/>
          <w:b w:val="false"/>
          <w:color w:val="000000"/>
          <w:sz w:val="24"/>
        </w:rPr>
        <w:t>MAY</w:t>
      </w:r>
      <w:r>
        <w:rPr>
          <w:color w:val="000000"/>
        </w:rPr>
        <w:t xml:space="preserve"> </w:t>
      </w:r>
      <w:r>
        <w:rPr>
          <w:rFonts w:ascii="Times New Roman;serif" w:hAnsi="Times New Roman;serif"/>
          <w:b w:val="false"/>
          <w:color w:val="000000"/>
          <w:sz w:val="24"/>
        </w:rPr>
        <w:t>BE</w:t>
      </w:r>
      <w:r>
        <w:rPr>
          <w:color w:val="000000"/>
        </w:rPr>
        <w:t xml:space="preserve"> </w:t>
      </w:r>
      <w:r>
        <w:rPr>
          <w:rFonts w:ascii="Times New Roman;serif" w:hAnsi="Times New Roman;serif"/>
          <w:b w:val="false"/>
          <w:color w:val="000000"/>
          <w:sz w:val="24"/>
        </w:rPr>
        <w:t>TRANSFERRED</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SUCCESSOR</w:t>
      </w:r>
      <w:r>
        <w:rPr>
          <w:color w:val="000000"/>
        </w:rPr>
        <w:t xml:space="preserve"> </w:t>
      </w:r>
      <w:r>
        <w:rPr>
          <w:rFonts w:ascii="Times New Roman;serif" w:hAnsi="Times New Roman;serif"/>
          <w:b w:val="false"/>
          <w:color w:val="000000"/>
          <w:sz w:val="24"/>
        </w:rPr>
        <w:t>DEPOSITORY</w:t>
      </w:r>
      <w:r>
        <w:rPr>
          <w:color w:val="000000"/>
        </w:rPr>
        <w:t xml:space="preserve"> </w:t>
      </w:r>
      <w:r>
        <w:rPr>
          <w:rFonts w:ascii="Times New Roman;serif" w:hAnsi="Times New Roman;serif"/>
          <w:b w:val="false"/>
          <w:color w:val="000000"/>
          <w:sz w:val="24"/>
        </w:rPr>
        <w:t>WITH</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PRIOR</w:t>
      </w:r>
      <w:r>
        <w:rPr>
          <w:color w:val="000000"/>
        </w:rPr>
        <w:t xml:space="preserve"> </w:t>
      </w:r>
      <w:r>
        <w:rPr>
          <w:rFonts w:ascii="Times New Roman;serif" w:hAnsi="Times New Roman;serif"/>
          <w:b w:val="false"/>
          <w:color w:val="000000"/>
          <w:sz w:val="24"/>
        </w:rPr>
        <w:t>WRITTEN</w:t>
      </w:r>
      <w:r>
        <w:rPr>
          <w:color w:val="000000"/>
        </w:rPr>
        <w:t xml:space="preserve"> </w:t>
      </w:r>
      <w:r>
        <w:rPr>
          <w:rFonts w:ascii="Times New Roman;serif" w:hAnsi="Times New Roman;serif"/>
          <w:b w:val="false"/>
          <w:color w:val="000000"/>
          <w:sz w:val="24"/>
        </w:rPr>
        <w:t>CONSENT</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TALEN ENERGY SUPPLY,</w:t>
      </w:r>
      <w:r>
        <w:rPr>
          <w:color w:val="000000"/>
        </w:rPr>
        <w:t xml:space="preserve"> </w:t>
      </w:r>
      <w:r>
        <w:rPr>
          <w:rFonts w:ascii="Times New Roman;serif" w:hAnsi="Times New Roman;serif"/>
          <w:b w:val="false"/>
          <w:color w:val="000000"/>
          <w:sz w:val="24"/>
        </w:rPr>
        <w:t>LLC.</w:t>
      </w:r>
      <w:r>
        <w:rPr>
          <w:color w:val="000000"/>
        </w:rPr>
        <w:t xml:space="preserve"> </w:t>
      </w:r>
      <w:r>
        <w:rPr>
          <w:rFonts w:ascii="Times New Roman;serif" w:hAnsi="Times New Roman;serif"/>
          <w:b w:val="false"/>
          <w:color w:val="000000"/>
          <w:sz w:val="24"/>
        </w:rPr>
        <w:t>UNLESS</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UNTIL</w:t>
      </w:r>
      <w:r>
        <w:rPr>
          <w:color w:val="000000"/>
        </w:rPr>
        <w:t xml:space="preserve"> </w:t>
      </w:r>
      <w:r>
        <w:rPr>
          <w:rFonts w:ascii="Times New Roman;serif" w:hAnsi="Times New Roman;serif"/>
          <w:b w:val="false"/>
          <w:color w:val="000000"/>
          <w:sz w:val="24"/>
        </w:rPr>
        <w:t>IT</w:t>
      </w:r>
      <w:r>
        <w:rPr>
          <w:color w:val="000000"/>
        </w:rPr>
        <w:t xml:space="preserve"> </w:t>
      </w:r>
      <w:r>
        <w:rPr>
          <w:rFonts w:ascii="Times New Roman;serif" w:hAnsi="Times New Roman;serif"/>
          <w:b w:val="false"/>
          <w:color w:val="000000"/>
          <w:sz w:val="24"/>
        </w:rPr>
        <w:t>IS</w:t>
      </w:r>
      <w:r>
        <w:rPr>
          <w:color w:val="000000"/>
        </w:rPr>
        <w:t xml:space="preserve"> </w:t>
      </w:r>
      <w:r>
        <w:rPr>
          <w:rFonts w:ascii="Times New Roman;serif" w:hAnsi="Times New Roman;serif"/>
          <w:b w:val="false"/>
          <w:color w:val="000000"/>
          <w:sz w:val="24"/>
        </w:rPr>
        <w:t>EXCHANGED</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WHOLE</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PART</w:t>
      </w:r>
      <w:r>
        <w:rPr>
          <w:color w:val="000000"/>
        </w:rPr>
        <w:t xml:space="preserve"> </w:t>
      </w:r>
      <w:r>
        <w:rPr>
          <w:rFonts w:ascii="Times New Roman;serif" w:hAnsi="Times New Roman;serif"/>
          <w:b w:val="false"/>
          <w:color w:val="000000"/>
          <w:sz w:val="24"/>
        </w:rPr>
        <w:t>FOR</w:t>
      </w:r>
      <w:r>
        <w:rPr>
          <w:color w:val="000000"/>
        </w:rPr>
        <w:t xml:space="preserve"> </w:t>
      </w:r>
      <w:r>
        <w:rPr>
          <w:rFonts w:ascii="Times New Roman;serif" w:hAnsi="Times New Roman;serif"/>
          <w:b w:val="false"/>
          <w:color w:val="000000"/>
          <w:sz w:val="24"/>
        </w:rPr>
        <w:t>NOTES</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DEFINITIVE</w:t>
      </w:r>
      <w:r>
        <w:rPr>
          <w:color w:val="000000"/>
        </w:rPr>
        <w:t xml:space="preserve"> </w:t>
      </w:r>
      <w:r>
        <w:rPr>
          <w:rFonts w:ascii="Times New Roman;serif" w:hAnsi="Times New Roman;serif"/>
          <w:b w:val="false"/>
          <w:color w:val="000000"/>
          <w:sz w:val="24"/>
        </w:rPr>
        <w:t>FORM,</w:t>
      </w:r>
      <w:r>
        <w:rPr>
          <w:color w:val="000000"/>
        </w:rPr>
        <w:t xml:space="preserve"> </w:t>
      </w:r>
      <w:r>
        <w:rPr>
          <w:rFonts w:ascii="Times New Roman;serif" w:hAnsi="Times New Roman;serif"/>
          <w:b w:val="false"/>
          <w:color w:val="000000"/>
          <w:sz w:val="24"/>
        </w:rPr>
        <w:t>THIS</w:t>
      </w:r>
      <w:r>
        <w:rPr>
          <w:color w:val="000000"/>
        </w:rPr>
        <w:t xml:space="preserve"> </w:t>
      </w:r>
      <w:r>
        <w:rPr>
          <w:rFonts w:ascii="Times New Roman;serif" w:hAnsi="Times New Roman;serif"/>
          <w:b w:val="false"/>
          <w:color w:val="000000"/>
          <w:sz w:val="24"/>
        </w:rPr>
        <w:t>NOTE</w:t>
      </w:r>
      <w:r>
        <w:rPr>
          <w:color w:val="000000"/>
        </w:rPr>
        <w:t xml:space="preserve"> </w:t>
      </w:r>
      <w:r>
        <w:rPr>
          <w:rFonts w:ascii="Times New Roman;serif" w:hAnsi="Times New Roman;serif"/>
          <w:b w:val="false"/>
          <w:color w:val="000000"/>
          <w:sz w:val="24"/>
        </w:rPr>
        <w:t>MAY</w:t>
      </w:r>
      <w:r>
        <w:rPr>
          <w:color w:val="000000"/>
        </w:rPr>
        <w:t xml:space="preserve"> </w:t>
      </w:r>
      <w:r>
        <w:rPr>
          <w:rFonts w:ascii="Times New Roman;serif" w:hAnsi="Times New Roman;serif"/>
          <w:b w:val="false"/>
          <w:color w:val="000000"/>
          <w:sz w:val="24"/>
        </w:rPr>
        <w:t>NOT</w:t>
      </w:r>
      <w:r>
        <w:rPr>
          <w:color w:val="000000"/>
        </w:rPr>
        <w:t xml:space="preserve"> </w:t>
      </w:r>
      <w:r>
        <w:rPr>
          <w:rFonts w:ascii="Times New Roman;serif" w:hAnsi="Times New Roman;serif"/>
          <w:b w:val="false"/>
          <w:color w:val="000000"/>
          <w:sz w:val="24"/>
        </w:rPr>
        <w:t>BE</w:t>
      </w:r>
      <w:r>
        <w:rPr>
          <w:color w:val="000000"/>
        </w:rPr>
        <w:t xml:space="preserve"> </w:t>
      </w:r>
      <w:r>
        <w:rPr>
          <w:rFonts w:ascii="Times New Roman;serif" w:hAnsi="Times New Roman;serif"/>
          <w:b w:val="false"/>
          <w:color w:val="000000"/>
          <w:sz w:val="24"/>
        </w:rPr>
        <w:t>TRANSFERRED</w:t>
      </w:r>
      <w:r>
        <w:rPr>
          <w:color w:val="000000"/>
        </w:rPr>
        <w:t xml:space="preserve"> </w:t>
      </w:r>
      <w:r>
        <w:rPr>
          <w:rFonts w:ascii="Times New Roman;serif" w:hAnsi="Times New Roman;serif"/>
          <w:b w:val="false"/>
          <w:color w:val="000000"/>
          <w:sz w:val="24"/>
        </w:rPr>
        <w:t>EXCEPT</w:t>
      </w:r>
      <w:r>
        <w:rPr>
          <w:color w:val="000000"/>
        </w:rPr>
        <w:t xml:space="preserve"> </w:t>
      </w:r>
      <w:r>
        <w:rPr>
          <w:rFonts w:ascii="Times New Roman;serif" w:hAnsi="Times New Roman;serif"/>
          <w:b w:val="false"/>
          <w:color w:val="000000"/>
          <w:sz w:val="24"/>
        </w:rPr>
        <w:t>AS</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WHOLE</w:t>
      </w:r>
      <w:r>
        <w:rPr>
          <w:color w:val="000000"/>
        </w:rPr>
        <w:t xml:space="preserve"> </w:t>
      </w:r>
      <w:r>
        <w:rPr>
          <w:rFonts w:ascii="Times New Roman;serif" w:hAnsi="Times New Roman;serif"/>
          <w:b w:val="false"/>
          <w:color w:val="000000"/>
          <w:sz w:val="24"/>
        </w:rPr>
        <w:t>BY</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DEPOSITORY</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NOMINEE</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DEPOSITORY</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BY</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NOMINEE</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DEPOSITORY</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DEPOSITORY</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ANOTHER</w:t>
      </w:r>
      <w:r>
        <w:rPr>
          <w:color w:val="000000"/>
        </w:rPr>
        <w:t xml:space="preserve"> </w:t>
      </w:r>
      <w:r>
        <w:rPr>
          <w:rFonts w:ascii="Times New Roman;serif" w:hAnsi="Times New Roman;serif"/>
          <w:b w:val="false"/>
          <w:color w:val="000000"/>
          <w:sz w:val="24"/>
        </w:rPr>
        <w:t>NOMINEE</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DEPOSITORY</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BY</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DEPOSITORY</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SUCH</w:t>
      </w:r>
      <w:r>
        <w:rPr>
          <w:color w:val="000000"/>
        </w:rPr>
        <w:t xml:space="preserve"> </w:t>
      </w:r>
      <w:r>
        <w:rPr>
          <w:rFonts w:ascii="Times New Roman;serif" w:hAnsi="Times New Roman;serif"/>
          <w:b w:val="false"/>
          <w:color w:val="000000"/>
          <w:sz w:val="24"/>
        </w:rPr>
        <w:t>NOMINEE</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SUCCESSOR</w:t>
      </w:r>
      <w:r>
        <w:rPr>
          <w:color w:val="000000"/>
        </w:rPr>
        <w:t xml:space="preserve"> </w:t>
      </w:r>
      <w:r>
        <w:rPr>
          <w:rFonts w:ascii="Times New Roman;serif" w:hAnsi="Times New Roman;serif"/>
          <w:b w:val="false"/>
          <w:color w:val="000000"/>
          <w:sz w:val="24"/>
        </w:rPr>
        <w:t>DEPOSITORY</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NOMINEE</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SUCH</w:t>
      </w:r>
      <w:r>
        <w:rPr>
          <w:color w:val="000000"/>
        </w:rPr>
        <w:t xml:space="preserve"> </w:t>
      </w:r>
      <w:r>
        <w:rPr>
          <w:rFonts w:ascii="Times New Roman;serif" w:hAnsi="Times New Roman;serif"/>
          <w:b w:val="false"/>
          <w:color w:val="000000"/>
          <w:sz w:val="24"/>
        </w:rPr>
        <w:t>SUCCESSOR</w:t>
      </w:r>
      <w:r>
        <w:rPr>
          <w:color w:val="000000"/>
        </w:rPr>
        <w:t xml:space="preserve"> </w:t>
      </w:r>
      <w:r>
        <w:rPr>
          <w:rFonts w:ascii="Times New Roman;serif" w:hAnsi="Times New Roman;serif"/>
          <w:b w:val="false"/>
          <w:color w:val="000000"/>
          <w:sz w:val="24"/>
        </w:rPr>
        <w:t>DEPOSITORY.</w:t>
      </w:r>
      <w:r>
        <w:rPr>
          <w:color w:val="000000"/>
        </w:rPr>
        <w:t xml:space="preserve"> </w:t>
      </w:r>
      <w:r>
        <w:rPr>
          <w:rFonts w:ascii="Times New Roman;serif" w:hAnsi="Times New Roman;serif"/>
          <w:b w:val="false"/>
          <w:color w:val="000000"/>
          <w:sz w:val="24"/>
        </w:rPr>
        <w:t>UNLESS</w:t>
      </w:r>
      <w:r>
        <w:rPr>
          <w:color w:val="000000"/>
        </w:rPr>
        <w:t xml:space="preserve"> </w:t>
      </w:r>
      <w:r>
        <w:rPr>
          <w:rFonts w:ascii="Times New Roman;serif" w:hAnsi="Times New Roman;serif"/>
          <w:b w:val="false"/>
          <w:color w:val="000000"/>
          <w:sz w:val="24"/>
        </w:rPr>
        <w:t>THIS</w:t>
      </w:r>
      <w:r>
        <w:rPr>
          <w:color w:val="000000"/>
        </w:rPr>
        <w:t xml:space="preserve"> </w:t>
      </w:r>
      <w:r>
        <w:rPr>
          <w:rFonts w:ascii="Times New Roman;serif" w:hAnsi="Times New Roman;serif"/>
          <w:b w:val="false"/>
          <w:color w:val="000000"/>
          <w:sz w:val="24"/>
        </w:rPr>
        <w:t>CERTIFICATE</w:t>
      </w:r>
      <w:r>
        <w:rPr>
          <w:color w:val="000000"/>
        </w:rPr>
        <w:t xml:space="preserve"> </w:t>
      </w:r>
      <w:r>
        <w:rPr>
          <w:rFonts w:ascii="Times New Roman;serif" w:hAnsi="Times New Roman;serif"/>
          <w:b w:val="false"/>
          <w:color w:val="000000"/>
          <w:sz w:val="24"/>
        </w:rPr>
        <w:t>IS</w:t>
      </w:r>
      <w:r>
        <w:rPr>
          <w:color w:val="000000"/>
        </w:rPr>
        <w:t xml:space="preserve"> </w:t>
      </w:r>
      <w:r>
        <w:rPr>
          <w:rFonts w:ascii="Times New Roman;serif" w:hAnsi="Times New Roman;serif"/>
          <w:b w:val="false"/>
          <w:color w:val="000000"/>
          <w:sz w:val="24"/>
        </w:rPr>
        <w:t>PRESENTED BY AN AUTHORIZED REPRESENTATIVE OF THE DEPOSITORY TRUST COMPANY (55 WATER STREET, NEW YORK,</w:t>
      </w:r>
      <w:r>
        <w:rPr>
          <w:color w:val="000000"/>
        </w:rPr>
        <w:t xml:space="preserve"> </w:t>
      </w:r>
    </w:p>
    <w:p>
      <w:pPr>
        <w:pStyle w:val="TextBody"/>
        <w:bidi w:val="0"/>
        <w:spacing w:before="0" w:after="0"/>
        <w:jc w:val="left"/>
        <w:rPr/>
      </w:pPr>
      <w:r>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6480175" cy="768985"/>
                <wp:effectExtent l="0" t="0" r="0" b="0"/>
                <wp:wrapNone/>
                <wp:docPr id="216" name="Frame216"/>
                <a:graphic xmlns:a="http://schemas.openxmlformats.org/drawingml/2006/main">
                  <a:graphicData uri="http://schemas.microsoft.com/office/word/2010/wordprocessingShape">
                    <wps:wsp>
                      <wps:cNvSpPr txBox="1"/>
                      <wps:spPr>
                        <a:xfrm>
                          <a:off x="0" y="0"/>
                          <a:ext cx="6480175" cy="7689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43</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0.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43</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NEW YORK) (“DTC”), TO THE COMPANY OR ITS AGENT FOR REGISTRATION OF TRANSFER, EXCHANGE OR PAYMENT, AND ANY</w:t>
      </w:r>
      <w:r>
        <w:rPr>
          <w:color w:val="000000"/>
        </w:rPr>
        <w:t xml:space="preserve"> </w:t>
      </w:r>
      <w:r>
        <w:rPr>
          <w:rFonts w:ascii="Times New Roman;serif" w:hAnsi="Times New Roman;serif"/>
          <w:b w:val="false"/>
          <w:color w:val="000000"/>
          <w:sz w:val="24"/>
        </w:rPr>
        <w:t>CERTIFICATE</w:t>
      </w:r>
      <w:r>
        <w:rPr>
          <w:color w:val="000000"/>
        </w:rPr>
        <w:t xml:space="preserve"> </w:t>
      </w:r>
      <w:r>
        <w:rPr>
          <w:rFonts w:ascii="Times New Roman;serif" w:hAnsi="Times New Roman;serif"/>
          <w:b w:val="false"/>
          <w:color w:val="000000"/>
          <w:sz w:val="24"/>
        </w:rPr>
        <w:t>ISSUED</w:t>
      </w:r>
      <w:r>
        <w:rPr>
          <w:color w:val="000000"/>
        </w:rPr>
        <w:t xml:space="preserve"> </w:t>
      </w:r>
      <w:r>
        <w:rPr>
          <w:rFonts w:ascii="Times New Roman;serif" w:hAnsi="Times New Roman;serif"/>
          <w:b w:val="false"/>
          <w:color w:val="000000"/>
          <w:sz w:val="24"/>
        </w:rPr>
        <w:t>IS</w:t>
      </w:r>
      <w:r>
        <w:rPr>
          <w:color w:val="000000"/>
        </w:rPr>
        <w:t xml:space="preserve"> </w:t>
      </w:r>
      <w:r>
        <w:rPr>
          <w:rFonts w:ascii="Times New Roman;serif" w:hAnsi="Times New Roman;serif"/>
          <w:b w:val="false"/>
          <w:color w:val="000000"/>
          <w:sz w:val="24"/>
        </w:rPr>
        <w:t>REGISTERED</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NAME</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CEDE</w:t>
      </w:r>
      <w:r>
        <w:rPr>
          <w:color w:val="000000"/>
        </w:rPr>
        <w:t xml:space="preserve"> </w:t>
      </w:r>
      <w:r>
        <w:rPr>
          <w:rFonts w:ascii="Times New Roman;serif" w:hAnsi="Times New Roman;serif"/>
          <w:b w:val="false"/>
          <w:color w:val="000000"/>
          <w:sz w:val="24"/>
        </w:rPr>
        <w:t>&amp;</w:t>
      </w:r>
      <w:r>
        <w:rPr>
          <w:color w:val="000000"/>
        </w:rPr>
        <w:t xml:space="preserve"> </w:t>
      </w:r>
      <w:r>
        <w:rPr>
          <w:rFonts w:ascii="Times New Roman;serif" w:hAnsi="Times New Roman;serif"/>
          <w:b w:val="false"/>
          <w:color w:val="000000"/>
          <w:sz w:val="24"/>
        </w:rPr>
        <w:t>CO.</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SUCH</w:t>
      </w:r>
      <w:r>
        <w:rPr>
          <w:color w:val="000000"/>
        </w:rPr>
        <w:t xml:space="preserve"> </w:t>
      </w:r>
      <w:r>
        <w:rPr>
          <w:rFonts w:ascii="Times New Roman;serif" w:hAnsi="Times New Roman;serif"/>
          <w:b w:val="false"/>
          <w:color w:val="000000"/>
          <w:sz w:val="24"/>
        </w:rPr>
        <w:t>OTHER</w:t>
      </w:r>
      <w:r>
        <w:rPr>
          <w:color w:val="000000"/>
        </w:rPr>
        <w:t xml:space="preserve"> </w:t>
      </w:r>
      <w:r>
        <w:rPr>
          <w:rFonts w:ascii="Times New Roman;serif" w:hAnsi="Times New Roman;serif"/>
          <w:b w:val="false"/>
          <w:color w:val="000000"/>
          <w:sz w:val="24"/>
        </w:rPr>
        <w:t>NAME</w:t>
      </w:r>
      <w:r>
        <w:rPr>
          <w:color w:val="000000"/>
        </w:rPr>
        <w:t xml:space="preserve"> </w:t>
      </w:r>
      <w:r>
        <w:rPr>
          <w:rFonts w:ascii="Times New Roman;serif" w:hAnsi="Times New Roman;serif"/>
          <w:b w:val="false"/>
          <w:color w:val="000000"/>
          <w:sz w:val="24"/>
        </w:rPr>
        <w:t>AS</w:t>
      </w:r>
      <w:r>
        <w:rPr>
          <w:color w:val="000000"/>
        </w:rPr>
        <w:t xml:space="preserve"> </w:t>
      </w:r>
      <w:r>
        <w:rPr>
          <w:rFonts w:ascii="Times New Roman;serif" w:hAnsi="Times New Roman;serif"/>
          <w:b w:val="false"/>
          <w:color w:val="000000"/>
          <w:sz w:val="24"/>
        </w:rPr>
        <w:t>MAY</w:t>
      </w:r>
      <w:r>
        <w:rPr>
          <w:color w:val="000000"/>
        </w:rPr>
        <w:t xml:space="preserve"> </w:t>
      </w:r>
      <w:r>
        <w:rPr>
          <w:rFonts w:ascii="Times New Roman;serif" w:hAnsi="Times New Roman;serif"/>
          <w:b w:val="false"/>
          <w:color w:val="000000"/>
          <w:sz w:val="24"/>
        </w:rPr>
        <w:t>BE</w:t>
      </w:r>
      <w:r>
        <w:rPr>
          <w:color w:val="000000"/>
        </w:rPr>
        <w:t xml:space="preserve"> </w:t>
      </w:r>
      <w:r>
        <w:rPr>
          <w:rFonts w:ascii="Times New Roman;serif" w:hAnsi="Times New Roman;serif"/>
          <w:b w:val="false"/>
          <w:color w:val="000000"/>
          <w:sz w:val="24"/>
        </w:rPr>
        <w:t>REQUESTED</w:t>
      </w:r>
      <w:r>
        <w:rPr>
          <w:color w:val="000000"/>
        </w:rPr>
        <w:t xml:space="preserve"> </w:t>
      </w:r>
      <w:r>
        <w:rPr>
          <w:rFonts w:ascii="Times New Roman;serif" w:hAnsi="Times New Roman;serif"/>
          <w:b w:val="false"/>
          <w:color w:val="000000"/>
          <w:sz w:val="24"/>
        </w:rPr>
        <w:t>BY</w:t>
      </w:r>
      <w:r>
        <w:rPr>
          <w:color w:val="000000"/>
        </w:rPr>
        <w:t xml:space="preserve"> </w:t>
      </w:r>
      <w:r>
        <w:rPr>
          <w:rFonts w:ascii="Times New Roman;serif" w:hAnsi="Times New Roman;serif"/>
          <w:b w:val="false"/>
          <w:color w:val="000000"/>
          <w:sz w:val="24"/>
        </w:rPr>
        <w:t>AN</w:t>
      </w:r>
      <w:r>
        <w:rPr>
          <w:color w:val="000000"/>
        </w:rPr>
        <w:t xml:space="preserve"> </w:t>
      </w:r>
      <w:r>
        <w:rPr>
          <w:rFonts w:ascii="Times New Roman;serif" w:hAnsi="Times New Roman;serif"/>
          <w:b w:val="false"/>
          <w:color w:val="000000"/>
          <w:sz w:val="24"/>
        </w:rPr>
        <w:t>AUTHORIZED</w:t>
      </w:r>
      <w:r>
        <w:rPr>
          <w:color w:val="000000"/>
        </w:rPr>
        <w:t xml:space="preserve"> </w:t>
      </w:r>
      <w:r>
        <w:rPr>
          <w:rFonts w:ascii="Times New Roman;serif" w:hAnsi="Times New Roman;serif"/>
          <w:b w:val="false"/>
          <w:color w:val="000000"/>
          <w:sz w:val="24"/>
        </w:rPr>
        <w:t>REPRESENTATIVE</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DTC</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PAYMENT</w:t>
      </w:r>
      <w:r>
        <w:rPr>
          <w:color w:val="000000"/>
        </w:rPr>
        <w:t xml:space="preserve"> </w:t>
      </w:r>
      <w:r>
        <w:rPr>
          <w:rFonts w:ascii="Times New Roman;serif" w:hAnsi="Times New Roman;serif"/>
          <w:b w:val="false"/>
          <w:color w:val="000000"/>
          <w:sz w:val="24"/>
        </w:rPr>
        <w:t>IS</w:t>
      </w:r>
      <w:r>
        <w:rPr>
          <w:color w:val="000000"/>
        </w:rPr>
        <w:t xml:space="preserve"> </w:t>
      </w:r>
      <w:r>
        <w:rPr>
          <w:rFonts w:ascii="Times New Roman;serif" w:hAnsi="Times New Roman;serif"/>
          <w:b w:val="false"/>
          <w:color w:val="000000"/>
          <w:sz w:val="24"/>
        </w:rPr>
        <w:t>MADE</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CEDE</w:t>
      </w:r>
      <w:r>
        <w:rPr>
          <w:color w:val="000000"/>
        </w:rPr>
        <w:t xml:space="preserve"> </w:t>
      </w:r>
      <w:r>
        <w:rPr>
          <w:rFonts w:ascii="Times New Roman;serif" w:hAnsi="Times New Roman;serif"/>
          <w:b w:val="false"/>
          <w:color w:val="000000"/>
          <w:sz w:val="24"/>
        </w:rPr>
        <w:t>&amp;</w:t>
      </w:r>
      <w:r>
        <w:rPr>
          <w:color w:val="000000"/>
        </w:rPr>
        <w:t xml:space="preserve"> </w:t>
      </w:r>
      <w:r>
        <w:rPr>
          <w:rFonts w:ascii="Times New Roman;serif" w:hAnsi="Times New Roman;serif"/>
          <w:b w:val="false"/>
          <w:color w:val="000000"/>
          <w:sz w:val="24"/>
        </w:rPr>
        <w:t>CO.</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SUCH</w:t>
      </w:r>
      <w:r>
        <w:rPr>
          <w:color w:val="000000"/>
        </w:rPr>
        <w:t xml:space="preserve"> </w:t>
      </w:r>
      <w:r>
        <w:rPr>
          <w:rFonts w:ascii="Times New Roman;serif" w:hAnsi="Times New Roman;serif"/>
          <w:b w:val="false"/>
          <w:color w:val="000000"/>
          <w:sz w:val="24"/>
        </w:rPr>
        <w:t>OTHER</w:t>
      </w:r>
      <w:r>
        <w:rPr>
          <w:color w:val="000000"/>
        </w:rPr>
        <w:t xml:space="preserve"> </w:t>
      </w:r>
      <w:r>
        <w:rPr>
          <w:rFonts w:ascii="Times New Roman;serif" w:hAnsi="Times New Roman;serif"/>
          <w:b w:val="false"/>
          <w:color w:val="000000"/>
          <w:sz w:val="24"/>
        </w:rPr>
        <w:t>ENTITY</w:t>
      </w:r>
      <w:r>
        <w:rPr>
          <w:color w:val="000000"/>
        </w:rPr>
        <w:t xml:space="preserve"> </w:t>
      </w:r>
      <w:r>
        <w:rPr>
          <w:rFonts w:ascii="Times New Roman;serif" w:hAnsi="Times New Roman;serif"/>
          <w:b w:val="false"/>
          <w:color w:val="000000"/>
          <w:sz w:val="24"/>
        </w:rPr>
        <w:t>AS</w:t>
      </w:r>
      <w:r>
        <w:rPr>
          <w:color w:val="000000"/>
        </w:rPr>
        <w:t xml:space="preserve"> </w:t>
      </w:r>
      <w:r>
        <w:rPr>
          <w:rFonts w:ascii="Times New Roman;serif" w:hAnsi="Times New Roman;serif"/>
          <w:b w:val="false"/>
          <w:color w:val="000000"/>
          <w:sz w:val="24"/>
        </w:rPr>
        <w:t>MAY</w:t>
      </w:r>
      <w:r>
        <w:rPr>
          <w:color w:val="000000"/>
        </w:rPr>
        <w:t xml:space="preserve"> </w:t>
      </w:r>
      <w:r>
        <w:rPr>
          <w:rFonts w:ascii="Times New Roman;serif" w:hAnsi="Times New Roman;serif"/>
          <w:b w:val="false"/>
          <w:color w:val="000000"/>
          <w:sz w:val="24"/>
        </w:rPr>
        <w:t>BE</w:t>
      </w:r>
      <w:r>
        <w:rPr>
          <w:color w:val="000000"/>
        </w:rPr>
        <w:t xml:space="preserve"> </w:t>
      </w:r>
      <w:r>
        <w:rPr>
          <w:rFonts w:ascii="Times New Roman;serif" w:hAnsi="Times New Roman;serif"/>
          <w:b w:val="false"/>
          <w:color w:val="000000"/>
          <w:sz w:val="24"/>
        </w:rPr>
        <w:t>REQUESTED BY AN AUTHORIZED REPRESENTATIVE OF DTC), ANY TRANSFER, PLEDGE OR OTHER USE HEREOF FOR VALUE OR</w:t>
      </w:r>
      <w:r>
        <w:rPr>
          <w:color w:val="000000"/>
        </w:rPr>
        <w:t xml:space="preserve"> </w:t>
      </w:r>
      <w:r>
        <w:rPr>
          <w:rFonts w:ascii="Times New Roman;serif" w:hAnsi="Times New Roman;serif"/>
          <w:b w:val="false"/>
          <w:color w:val="000000"/>
          <w:sz w:val="24"/>
        </w:rPr>
        <w:t>OTHERWISE</w:t>
      </w:r>
      <w:r>
        <w:rPr>
          <w:color w:val="000000"/>
        </w:rPr>
        <w:t xml:space="preserve"> </w:t>
      </w:r>
      <w:r>
        <w:rPr>
          <w:rFonts w:ascii="Times New Roman;serif" w:hAnsi="Times New Roman;serif"/>
          <w:b w:val="false"/>
          <w:color w:val="000000"/>
          <w:sz w:val="24"/>
        </w:rPr>
        <w:t>BY</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PERSON</w:t>
      </w:r>
      <w:r>
        <w:rPr>
          <w:color w:val="000000"/>
        </w:rPr>
        <w:t xml:space="preserve"> </w:t>
      </w:r>
      <w:r>
        <w:rPr>
          <w:rFonts w:ascii="Times New Roman;serif" w:hAnsi="Times New Roman;serif"/>
          <w:b w:val="false"/>
          <w:color w:val="000000"/>
          <w:sz w:val="24"/>
        </w:rPr>
        <w:t>IS</w:t>
      </w:r>
      <w:r>
        <w:rPr>
          <w:color w:val="000000"/>
        </w:rPr>
        <w:t xml:space="preserve"> </w:t>
      </w:r>
      <w:r>
        <w:rPr>
          <w:rFonts w:ascii="Times New Roman;serif" w:hAnsi="Times New Roman;serif"/>
          <w:b w:val="false"/>
          <w:color w:val="000000"/>
          <w:sz w:val="24"/>
        </w:rPr>
        <w:t>WRONGFUL</w:t>
      </w:r>
      <w:r>
        <w:rPr>
          <w:color w:val="000000"/>
        </w:rPr>
        <w:t xml:space="preserve"> </w:t>
      </w:r>
      <w:r>
        <w:rPr>
          <w:rFonts w:ascii="Times New Roman;serif" w:hAnsi="Times New Roman;serif"/>
          <w:b w:val="false"/>
          <w:color w:val="000000"/>
          <w:sz w:val="24"/>
        </w:rPr>
        <w:t>INASMUCH</w:t>
      </w:r>
      <w:r>
        <w:rPr>
          <w:color w:val="000000"/>
        </w:rPr>
        <w:t xml:space="preserve"> </w:t>
      </w:r>
      <w:r>
        <w:rPr>
          <w:rFonts w:ascii="Times New Roman;serif" w:hAnsi="Times New Roman;serif"/>
          <w:b w:val="false"/>
          <w:color w:val="000000"/>
          <w:sz w:val="24"/>
        </w:rPr>
        <w:t>AS</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REGISTERED</w:t>
      </w:r>
      <w:r>
        <w:rPr>
          <w:color w:val="000000"/>
        </w:rPr>
        <w:t xml:space="preserve"> </w:t>
      </w:r>
      <w:r>
        <w:rPr>
          <w:rFonts w:ascii="Times New Roman;serif" w:hAnsi="Times New Roman;serif"/>
          <w:b w:val="false"/>
          <w:color w:val="000000"/>
          <w:sz w:val="24"/>
        </w:rPr>
        <w:t>OWNER</w:t>
      </w:r>
      <w:r>
        <w:rPr>
          <w:color w:val="000000"/>
        </w:rPr>
        <w:t xml:space="preserve"> </w:t>
      </w:r>
      <w:r>
        <w:rPr>
          <w:rFonts w:ascii="Times New Roman;serif" w:hAnsi="Times New Roman;serif"/>
          <w:b w:val="false"/>
          <w:color w:val="000000"/>
          <w:sz w:val="24"/>
        </w:rPr>
        <w:t>HEREOF,</w:t>
      </w:r>
      <w:r>
        <w:rPr>
          <w:color w:val="000000"/>
        </w:rPr>
        <w:t xml:space="preserve"> </w:t>
      </w:r>
      <w:r>
        <w:rPr>
          <w:rFonts w:ascii="Times New Roman;serif" w:hAnsi="Times New Roman;serif"/>
          <w:b w:val="false"/>
          <w:color w:val="000000"/>
          <w:sz w:val="24"/>
        </w:rPr>
        <w:t>CEDE</w:t>
      </w:r>
      <w:r>
        <w:rPr>
          <w:color w:val="000000"/>
        </w:rPr>
        <w:t xml:space="preserve"> </w:t>
      </w:r>
      <w:r>
        <w:rPr>
          <w:rFonts w:ascii="Times New Roman;serif" w:hAnsi="Times New Roman;serif"/>
          <w:b w:val="false"/>
          <w:color w:val="000000"/>
          <w:sz w:val="24"/>
        </w:rPr>
        <w:t>&amp;</w:t>
      </w:r>
      <w:r>
        <w:rPr>
          <w:color w:val="000000"/>
        </w:rPr>
        <w:t xml:space="preserve"> </w:t>
      </w:r>
      <w:r>
        <w:rPr>
          <w:rFonts w:ascii="Times New Roman;serif" w:hAnsi="Times New Roman;serif"/>
          <w:b w:val="false"/>
          <w:color w:val="000000"/>
          <w:sz w:val="24"/>
        </w:rPr>
        <w:t>CO.,</w:t>
      </w:r>
      <w:r>
        <w:rPr>
          <w:color w:val="000000"/>
        </w:rPr>
        <w:t xml:space="preserve"> </w:t>
      </w:r>
      <w:r>
        <w:rPr>
          <w:rFonts w:ascii="Times New Roman;serif" w:hAnsi="Times New Roman;serif"/>
          <w:b w:val="false"/>
          <w:color w:val="000000"/>
          <w:sz w:val="24"/>
        </w:rPr>
        <w:t>HAS</w:t>
      </w:r>
      <w:r>
        <w:rPr>
          <w:color w:val="000000"/>
        </w:rPr>
        <w:t xml:space="preserve"> </w:t>
      </w:r>
      <w:r>
        <w:rPr>
          <w:rFonts w:ascii="Times New Roman;serif" w:hAnsi="Times New Roman;serif"/>
          <w:b w:val="false"/>
          <w:color w:val="000000"/>
          <w:sz w:val="24"/>
        </w:rPr>
        <w:t>AN</w:t>
      </w:r>
      <w:r>
        <w:rPr>
          <w:color w:val="000000"/>
        </w:rPr>
        <w:t xml:space="preserve"> </w:t>
      </w:r>
      <w:r>
        <w:rPr>
          <w:rFonts w:ascii="Times New Roman;serif" w:hAnsi="Times New Roman;serif"/>
          <w:b w:val="false"/>
          <w:color w:val="000000"/>
          <w:sz w:val="24"/>
        </w:rPr>
        <w:t>INTEREST</w:t>
      </w:r>
      <w:r>
        <w:rPr>
          <w:color w:val="000000"/>
        </w:rPr>
        <w:t xml:space="preserve"> </w:t>
      </w:r>
      <w:r>
        <w:rPr>
          <w:rFonts w:ascii="Times New Roman;serif" w:hAnsi="Times New Roman;serif"/>
          <w:b w:val="false"/>
          <w:color w:val="000000"/>
          <w:sz w:val="24"/>
        </w:rPr>
        <w:t>HEREIN.”</w:t>
      </w:r>
    </w:p>
    <w:p>
      <w:pPr>
        <w:pStyle w:val="TextBody"/>
        <w:bidi w:val="0"/>
        <w:spacing w:lineRule="auto" w:line="240" w:before="0" w:after="240"/>
        <w:ind w:left="0" w:right="0" w:firstLine="720"/>
        <w:jc w:val="both"/>
        <w:rPr/>
      </w:pPr>
      <w:r>
        <w:rPr>
          <w:rFonts w:ascii="Times New Roman;serif" w:hAnsi="Times New Roman;serif"/>
          <w:b w:val="false"/>
          <w:color w:val="000000"/>
          <w:sz w:val="24"/>
        </w:rPr>
        <w:t>(3)</w:t>
      </w:r>
      <w:r>
        <w:rPr>
          <w:rFonts w:ascii="Times New Roman;serif" w:hAnsi="Times New Roman;serif"/>
          <w:b w:val="false"/>
          <w:i/>
          <w:color w:val="000000"/>
          <w:sz w:val="24"/>
        </w:rPr>
        <w:t>Regulation S Temporary</w:t>
      </w:r>
      <w:r>
        <w:rPr>
          <w:color w:val="000000"/>
        </w:rPr>
        <w:t xml:space="preserve"> </w:t>
      </w:r>
      <w:r>
        <w:rPr>
          <w:rFonts w:ascii="Times New Roman;serif" w:hAnsi="Times New Roman;serif"/>
          <w:b w:val="false"/>
          <w:i/>
          <w:color w:val="000000"/>
          <w:sz w:val="24"/>
        </w:rPr>
        <w:t>Global Note Legend.</w:t>
      </w:r>
      <w:r>
        <w:rPr>
          <w:color w:val="000000"/>
        </w:rPr>
        <w:t xml:space="preserve"> </w:t>
      </w:r>
      <w:r>
        <w:rPr>
          <w:rFonts w:ascii="Times New Roman;serif" w:hAnsi="Times New Roman;serif"/>
          <w:b w:val="false"/>
          <w:color w:val="000000"/>
          <w:sz w:val="24"/>
        </w:rPr>
        <w:t>Each</w:t>
      </w:r>
      <w:r>
        <w:rPr>
          <w:color w:val="000000"/>
        </w:rPr>
        <w:t xml:space="preserve"> </w:t>
      </w:r>
      <w:r>
        <w:rPr>
          <w:rFonts w:ascii="Times New Roman;serif" w:hAnsi="Times New Roman;serif"/>
          <w:b w:val="false"/>
          <w:color w:val="000000"/>
          <w:sz w:val="24"/>
        </w:rPr>
        <w:t>Regulation</w:t>
      </w:r>
      <w:r>
        <w:rPr>
          <w:color w:val="000000"/>
        </w:rPr>
        <w:t xml:space="preserve"> </w:t>
      </w:r>
      <w:r>
        <w:rPr>
          <w:rFonts w:ascii="Times New Roman;serif" w:hAnsi="Times New Roman;serif"/>
          <w:b w:val="false"/>
          <w:color w:val="000000"/>
          <w:sz w:val="24"/>
        </w:rPr>
        <w:t>S</w:t>
      </w:r>
      <w:r>
        <w:rPr>
          <w:color w:val="000000"/>
        </w:rPr>
        <w:t xml:space="preserve"> </w:t>
      </w:r>
      <w:r>
        <w:rPr>
          <w:rFonts w:ascii="Times New Roman;serif" w:hAnsi="Times New Roman;serif"/>
          <w:b w:val="false"/>
          <w:color w:val="000000"/>
          <w:sz w:val="24"/>
        </w:rPr>
        <w:t>Temporary</w:t>
      </w:r>
      <w:r>
        <w:rPr>
          <w:color w:val="000000"/>
        </w:rPr>
        <w:t xml:space="preserve"> </w:t>
      </w:r>
      <w:r>
        <w:rPr>
          <w:rFonts w:ascii="Times New Roman;serif" w:hAnsi="Times New Roman;serif"/>
          <w:b w:val="false"/>
          <w:color w:val="000000"/>
          <w:sz w:val="24"/>
        </w:rPr>
        <w:t>Global</w:t>
      </w:r>
      <w:r>
        <w:rPr>
          <w:color w:val="000000"/>
        </w:rPr>
        <w:t xml:space="preserve"> </w:t>
      </w:r>
      <w:r>
        <w:rPr>
          <w:rFonts w:ascii="Times New Roman;serif" w:hAnsi="Times New Roman;serif"/>
          <w:b w:val="false"/>
          <w:color w:val="000000"/>
          <w:sz w:val="24"/>
        </w:rPr>
        <w:t>Note</w:t>
      </w:r>
      <w:r>
        <w:rPr>
          <w:color w:val="000000"/>
        </w:rPr>
        <w:t xml:space="preserve"> </w:t>
      </w:r>
      <w:r>
        <w:rPr>
          <w:rFonts w:ascii="Times New Roman;serif" w:hAnsi="Times New Roman;serif"/>
          <w:b w:val="false"/>
          <w:color w:val="000000"/>
          <w:sz w:val="24"/>
        </w:rPr>
        <w:t>will</w:t>
      </w:r>
      <w:r>
        <w:rPr>
          <w:color w:val="000000"/>
        </w:rPr>
        <w:t xml:space="preserve"> </w:t>
      </w:r>
      <w:r>
        <w:rPr>
          <w:rFonts w:ascii="Times New Roman;serif" w:hAnsi="Times New Roman;serif"/>
          <w:b w:val="false"/>
          <w:color w:val="000000"/>
          <w:sz w:val="24"/>
        </w:rPr>
        <w:t>bear</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legend</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substantially</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following form:</w:t>
      </w:r>
    </w:p>
    <w:p>
      <w:pPr>
        <w:pStyle w:val="TextBody"/>
        <w:bidi w:val="0"/>
        <w:spacing w:lineRule="auto" w:line="288" w:before="0" w:after="240"/>
        <w:jc w:val="both"/>
        <w:rPr/>
      </w:pPr>
      <w:r>
        <w:rPr>
          <w:color w:val="000000"/>
        </w:rPr>
        <w:t>“</w:t>
      </w:r>
      <w:r>
        <w:rPr>
          <w:rFonts w:ascii="Times New Roman;serif" w:hAnsi="Times New Roman;serif"/>
          <w:b w:val="false"/>
          <w:color w:val="000000"/>
          <w:sz w:val="24"/>
        </w:rPr>
        <w:t>THIS</w:t>
      </w:r>
      <w:r>
        <w:rPr>
          <w:color w:val="000000"/>
        </w:rPr>
        <w:t xml:space="preserve"> </w:t>
      </w:r>
      <w:r>
        <w:rPr>
          <w:rFonts w:ascii="Times New Roman;serif" w:hAnsi="Times New Roman;serif"/>
          <w:b w:val="false"/>
          <w:color w:val="000000"/>
          <w:sz w:val="24"/>
        </w:rPr>
        <w:t>GLOBAL</w:t>
      </w:r>
      <w:r>
        <w:rPr>
          <w:color w:val="000000"/>
        </w:rPr>
        <w:t xml:space="preserve"> </w:t>
      </w:r>
      <w:r>
        <w:rPr>
          <w:rFonts w:ascii="Times New Roman;serif" w:hAnsi="Times New Roman;serif"/>
          <w:b w:val="false"/>
          <w:color w:val="000000"/>
          <w:sz w:val="24"/>
        </w:rPr>
        <w:t>NOTE</w:t>
      </w:r>
      <w:r>
        <w:rPr>
          <w:color w:val="000000"/>
        </w:rPr>
        <w:t xml:space="preserve"> </w:t>
      </w:r>
      <w:r>
        <w:rPr>
          <w:rFonts w:ascii="Times New Roman;serif" w:hAnsi="Times New Roman;serif"/>
          <w:b w:val="false"/>
          <w:color w:val="000000"/>
          <w:sz w:val="24"/>
        </w:rPr>
        <w:t>IS</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TEMPORARY</w:t>
      </w:r>
      <w:r>
        <w:rPr>
          <w:color w:val="000000"/>
        </w:rPr>
        <w:t xml:space="preserve"> </w:t>
      </w:r>
      <w:r>
        <w:rPr>
          <w:rFonts w:ascii="Times New Roman;serif" w:hAnsi="Times New Roman;serif"/>
          <w:b w:val="false"/>
          <w:color w:val="000000"/>
          <w:sz w:val="24"/>
        </w:rPr>
        <w:t>GLOBAL</w:t>
      </w:r>
      <w:r>
        <w:rPr>
          <w:color w:val="000000"/>
        </w:rPr>
        <w:t xml:space="preserve"> </w:t>
      </w:r>
      <w:r>
        <w:rPr>
          <w:rFonts w:ascii="Times New Roman;serif" w:hAnsi="Times New Roman;serif"/>
          <w:b w:val="false"/>
          <w:color w:val="000000"/>
          <w:sz w:val="24"/>
        </w:rPr>
        <w:t>NOTE</w:t>
      </w:r>
      <w:r>
        <w:rPr>
          <w:color w:val="000000"/>
        </w:rPr>
        <w:t xml:space="preserve"> </w:t>
      </w:r>
      <w:r>
        <w:rPr>
          <w:rFonts w:ascii="Times New Roman;serif" w:hAnsi="Times New Roman;serif"/>
          <w:b w:val="false"/>
          <w:color w:val="000000"/>
          <w:sz w:val="24"/>
        </w:rPr>
        <w:t>FOR</w:t>
      </w:r>
      <w:r>
        <w:rPr>
          <w:color w:val="000000"/>
        </w:rPr>
        <w:t xml:space="preserve"> </w:t>
      </w:r>
      <w:r>
        <w:rPr>
          <w:rFonts w:ascii="Times New Roman;serif" w:hAnsi="Times New Roman;serif"/>
          <w:b w:val="false"/>
          <w:color w:val="000000"/>
          <w:sz w:val="24"/>
        </w:rPr>
        <w:t>PURPOSES</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REGULATION</w:t>
      </w:r>
      <w:r>
        <w:rPr>
          <w:color w:val="000000"/>
        </w:rPr>
        <w:t xml:space="preserve"> </w:t>
      </w:r>
      <w:r>
        <w:rPr>
          <w:rFonts w:ascii="Times New Roman;serif" w:hAnsi="Times New Roman;serif"/>
          <w:b w:val="false"/>
          <w:color w:val="000000"/>
          <w:sz w:val="24"/>
        </w:rPr>
        <w:t>S</w:t>
      </w:r>
      <w:r>
        <w:rPr>
          <w:color w:val="000000"/>
        </w:rPr>
        <w:t xml:space="preserve"> </w:t>
      </w:r>
      <w:r>
        <w:rPr>
          <w:rFonts w:ascii="Times New Roman;serif" w:hAnsi="Times New Roman;serif"/>
          <w:b w:val="false"/>
          <w:color w:val="000000"/>
          <w:sz w:val="24"/>
        </w:rPr>
        <w:t>UNDER</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SECURITIES</w:t>
      </w:r>
      <w:r>
        <w:rPr>
          <w:color w:val="000000"/>
        </w:rPr>
        <w:t xml:space="preserve"> </w:t>
      </w:r>
      <w:r>
        <w:rPr>
          <w:rFonts w:ascii="Times New Roman;serif" w:hAnsi="Times New Roman;serif"/>
          <w:b w:val="false"/>
          <w:color w:val="000000"/>
          <w:sz w:val="24"/>
        </w:rPr>
        <w:t>ACT.</w:t>
      </w:r>
      <w:r>
        <w:rPr>
          <w:color w:val="000000"/>
        </w:rPr>
        <w:t xml:space="preserve"> </w:t>
      </w:r>
      <w:r>
        <w:rPr>
          <w:rFonts w:ascii="Times New Roman;serif" w:hAnsi="Times New Roman;serif"/>
          <w:b w:val="false"/>
          <w:color w:val="000000"/>
          <w:sz w:val="24"/>
        </w:rPr>
        <w:t>NEITHER</w:t>
      </w:r>
      <w:r>
        <w:rPr>
          <w:color w:val="000000"/>
        </w:rPr>
        <w:t xml:space="preserve"> </w:t>
      </w:r>
      <w:r>
        <w:rPr>
          <w:rFonts w:ascii="Times New Roman;serif" w:hAnsi="Times New Roman;serif"/>
          <w:b w:val="false"/>
          <w:color w:val="000000"/>
          <w:sz w:val="24"/>
        </w:rPr>
        <w:t>THIS</w:t>
      </w:r>
      <w:r>
        <w:rPr>
          <w:color w:val="000000"/>
        </w:rPr>
        <w:t xml:space="preserve"> </w:t>
      </w:r>
      <w:r>
        <w:rPr>
          <w:rFonts w:ascii="Times New Roman;serif" w:hAnsi="Times New Roman;serif"/>
          <w:b w:val="false"/>
          <w:color w:val="000000"/>
          <w:sz w:val="24"/>
        </w:rPr>
        <w:t>TEMPORARY</w:t>
      </w:r>
      <w:r>
        <w:rPr>
          <w:color w:val="000000"/>
        </w:rPr>
        <w:t xml:space="preserve"> </w:t>
      </w:r>
      <w:r>
        <w:rPr>
          <w:rFonts w:ascii="Times New Roman;serif" w:hAnsi="Times New Roman;serif"/>
          <w:b w:val="false"/>
          <w:color w:val="000000"/>
          <w:sz w:val="24"/>
        </w:rPr>
        <w:t>GLOBAL</w:t>
      </w:r>
      <w:r>
        <w:rPr>
          <w:color w:val="000000"/>
        </w:rPr>
        <w:t xml:space="preserve"> </w:t>
      </w:r>
      <w:r>
        <w:rPr>
          <w:rFonts w:ascii="Times New Roman;serif" w:hAnsi="Times New Roman;serif"/>
          <w:b w:val="false"/>
          <w:color w:val="000000"/>
          <w:sz w:val="24"/>
        </w:rPr>
        <w:t>NOTE</w:t>
      </w:r>
      <w:r>
        <w:rPr>
          <w:color w:val="000000"/>
        </w:rPr>
        <w:t xml:space="preserve"> </w:t>
      </w:r>
      <w:r>
        <w:rPr>
          <w:rFonts w:ascii="Times New Roman;serif" w:hAnsi="Times New Roman;serif"/>
          <w:b w:val="false"/>
          <w:color w:val="000000"/>
          <w:sz w:val="24"/>
        </w:rPr>
        <w:t>NOR</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INTEREST</w:t>
      </w:r>
      <w:r>
        <w:rPr>
          <w:color w:val="000000"/>
        </w:rPr>
        <w:t xml:space="preserve"> </w:t>
      </w:r>
      <w:r>
        <w:rPr>
          <w:rFonts w:ascii="Times New Roman;serif" w:hAnsi="Times New Roman;serif"/>
          <w:b w:val="false"/>
          <w:color w:val="000000"/>
          <w:sz w:val="24"/>
        </w:rPr>
        <w:t>HEREIN</w:t>
      </w:r>
      <w:r>
        <w:rPr>
          <w:color w:val="000000"/>
        </w:rPr>
        <w:t xml:space="preserve"> </w:t>
      </w:r>
      <w:r>
        <w:rPr>
          <w:rFonts w:ascii="Times New Roman;serif" w:hAnsi="Times New Roman;serif"/>
          <w:b w:val="false"/>
          <w:color w:val="000000"/>
          <w:sz w:val="24"/>
        </w:rPr>
        <w:t>MAY</w:t>
      </w:r>
      <w:r>
        <w:rPr>
          <w:color w:val="000000"/>
        </w:rPr>
        <w:t xml:space="preserve"> </w:t>
      </w:r>
      <w:r>
        <w:rPr>
          <w:rFonts w:ascii="Times New Roman;serif" w:hAnsi="Times New Roman;serif"/>
          <w:b w:val="false"/>
          <w:color w:val="000000"/>
          <w:sz w:val="24"/>
        </w:rPr>
        <w:t>BE</w:t>
      </w:r>
      <w:r>
        <w:rPr>
          <w:color w:val="000000"/>
        </w:rPr>
        <w:t xml:space="preserve"> </w:t>
      </w:r>
      <w:r>
        <w:rPr>
          <w:rFonts w:ascii="Times New Roman;serif" w:hAnsi="Times New Roman;serif"/>
          <w:b w:val="false"/>
          <w:color w:val="000000"/>
          <w:sz w:val="24"/>
        </w:rPr>
        <w:t>OFFERED,</w:t>
      </w:r>
      <w:r>
        <w:rPr>
          <w:color w:val="000000"/>
        </w:rPr>
        <w:t xml:space="preserve"> </w:t>
      </w:r>
      <w:r>
        <w:rPr>
          <w:rFonts w:ascii="Times New Roman;serif" w:hAnsi="Times New Roman;serif"/>
          <w:b w:val="false"/>
          <w:color w:val="000000"/>
          <w:sz w:val="24"/>
        </w:rPr>
        <w:t>SOLD,</w:t>
      </w:r>
      <w:r>
        <w:rPr>
          <w:color w:val="000000"/>
        </w:rPr>
        <w:t xml:space="preserve"> </w:t>
      </w:r>
      <w:r>
        <w:rPr>
          <w:rFonts w:ascii="Times New Roman;serif" w:hAnsi="Times New Roman;serif"/>
          <w:b w:val="false"/>
          <w:color w:val="000000"/>
          <w:sz w:val="24"/>
        </w:rPr>
        <w:t>DELIVERED</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EXCHANGED</w:t>
      </w:r>
      <w:r>
        <w:rPr>
          <w:color w:val="000000"/>
        </w:rPr>
        <w:t xml:space="preserve"> </w:t>
      </w:r>
      <w:r>
        <w:rPr>
          <w:rFonts w:ascii="Times New Roman;serif" w:hAnsi="Times New Roman;serif"/>
          <w:b w:val="false"/>
          <w:color w:val="000000"/>
          <w:sz w:val="24"/>
        </w:rPr>
        <w:t>FOR</w:t>
      </w:r>
      <w:r>
        <w:rPr>
          <w:color w:val="000000"/>
        </w:rPr>
        <w:t xml:space="preserve"> </w:t>
      </w:r>
      <w:r>
        <w:rPr>
          <w:rFonts w:ascii="Times New Roman;serif" w:hAnsi="Times New Roman;serif"/>
          <w:b w:val="false"/>
          <w:color w:val="000000"/>
          <w:sz w:val="24"/>
        </w:rPr>
        <w:t>AN</w:t>
      </w:r>
      <w:r>
        <w:rPr>
          <w:color w:val="000000"/>
        </w:rPr>
        <w:t xml:space="preserve"> </w:t>
      </w:r>
      <w:r>
        <w:rPr>
          <w:rFonts w:ascii="Times New Roman;serif" w:hAnsi="Times New Roman;serif"/>
          <w:b w:val="false"/>
          <w:color w:val="000000"/>
          <w:sz w:val="24"/>
        </w:rPr>
        <w:t>INTEREST</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PERMANENT</w:t>
      </w:r>
      <w:r>
        <w:rPr>
          <w:color w:val="000000"/>
        </w:rPr>
        <w:t xml:space="preserve"> </w:t>
      </w:r>
      <w:r>
        <w:rPr>
          <w:rFonts w:ascii="Times New Roman;serif" w:hAnsi="Times New Roman;serif"/>
          <w:b w:val="false"/>
          <w:color w:val="000000"/>
          <w:sz w:val="24"/>
        </w:rPr>
        <w:t>GLOBAL</w:t>
      </w:r>
      <w:r>
        <w:rPr>
          <w:color w:val="000000"/>
        </w:rPr>
        <w:t xml:space="preserve"> </w:t>
      </w:r>
      <w:r>
        <w:rPr>
          <w:rFonts w:ascii="Times New Roman;serif" w:hAnsi="Times New Roman;serif"/>
          <w:b w:val="false"/>
          <w:color w:val="000000"/>
          <w:sz w:val="24"/>
        </w:rPr>
        <w:t>NOTE</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OTHER</w:t>
      </w:r>
      <w:r>
        <w:rPr>
          <w:color w:val="000000"/>
        </w:rPr>
        <w:t xml:space="preserve"> </w:t>
      </w:r>
      <w:r>
        <w:rPr>
          <w:rFonts w:ascii="Times New Roman;serif" w:hAnsi="Times New Roman;serif"/>
          <w:b w:val="false"/>
          <w:color w:val="000000"/>
          <w:sz w:val="24"/>
        </w:rPr>
        <w:t>NOTE</w:t>
      </w:r>
      <w:r>
        <w:rPr>
          <w:color w:val="000000"/>
        </w:rPr>
        <w:t xml:space="preserve"> </w:t>
      </w:r>
      <w:r>
        <w:rPr>
          <w:rFonts w:ascii="Times New Roman;serif" w:hAnsi="Times New Roman;serif"/>
          <w:b w:val="false"/>
          <w:color w:val="000000"/>
          <w:sz w:val="24"/>
        </w:rPr>
        <w:t>EXCEPT</w:t>
      </w:r>
      <w:r>
        <w:rPr>
          <w:color w:val="000000"/>
        </w:rPr>
        <w:t xml:space="preserve"> </w:t>
      </w:r>
      <w:r>
        <w:rPr>
          <w:rFonts w:ascii="Times New Roman;serif" w:hAnsi="Times New Roman;serif"/>
          <w:b w:val="false"/>
          <w:color w:val="000000"/>
          <w:sz w:val="24"/>
        </w:rPr>
        <w:t>UPON</w:t>
      </w:r>
      <w:r>
        <w:rPr>
          <w:color w:val="000000"/>
        </w:rPr>
        <w:t xml:space="preserve"> </w:t>
      </w:r>
      <w:r>
        <w:rPr>
          <w:rFonts w:ascii="Times New Roman;serif" w:hAnsi="Times New Roman;serif"/>
          <w:b w:val="false"/>
          <w:color w:val="000000"/>
          <w:sz w:val="24"/>
        </w:rPr>
        <w:t>DELIVERY</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CERTIFICATIONS</w:t>
      </w:r>
      <w:r>
        <w:rPr>
          <w:color w:val="000000"/>
        </w:rPr>
        <w:t xml:space="preserve"> </w:t>
      </w:r>
      <w:r>
        <w:rPr>
          <w:rFonts w:ascii="Times New Roman;serif" w:hAnsi="Times New Roman;serif"/>
          <w:b w:val="false"/>
          <w:color w:val="000000"/>
          <w:sz w:val="24"/>
        </w:rPr>
        <w:t>SPECIFIED</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INDENTURE. THE FOREGOING LEGEND MAY BE REMOVED FROM THIS NOTE ONLY AT THE OPTION OF THE ISSUER AND ONLY AFTER THE EXPIRATION OF THE 40-DAY PERIOD (AS DEFINED IN REGULATIONS UNDER THE SECURITIES ACT).”</w:t>
      </w:r>
    </w:p>
    <w:p>
      <w:pPr>
        <w:pStyle w:val="TextBody"/>
        <w:bidi w:val="0"/>
        <w:spacing w:lineRule="auto" w:line="240" w:before="0" w:after="240"/>
        <w:ind w:left="0" w:right="0" w:firstLine="720"/>
        <w:jc w:val="both"/>
        <w:rPr/>
      </w:pPr>
      <w:r>
        <w:rPr>
          <w:rFonts w:ascii="Times New Roman;serif" w:hAnsi="Times New Roman;serif"/>
          <w:b w:val="false"/>
          <w:color w:val="000000"/>
          <w:sz w:val="24"/>
        </w:rPr>
        <w:t>(g)</w:t>
      </w:r>
      <w:r>
        <w:rPr>
          <w:rFonts w:ascii="Times New Roman;serif" w:hAnsi="Times New Roman;serif"/>
          <w:b w:val="false"/>
          <w:i/>
          <w:color w:val="000000"/>
          <w:sz w:val="24"/>
        </w:rPr>
        <w:t>Cancellation and/or Adjustment of Global Notes</w:t>
      </w:r>
      <w:r>
        <w:rPr>
          <w:rFonts w:ascii="Times New Roman;serif" w:hAnsi="Times New Roman;serif"/>
          <w:b w:val="false"/>
          <w:color w:val="000000"/>
          <w:sz w:val="24"/>
        </w:rPr>
        <w:t>. At such time as all beneficial interests in a particular Global Note have been exchanged for</w:t>
      </w:r>
      <w:r>
        <w:rPr>
          <w:color w:val="000000"/>
        </w:rPr>
        <w:t xml:space="preserve"> </w:t>
      </w:r>
      <w:r>
        <w:rPr>
          <w:rFonts w:ascii="Times New Roman;serif" w:hAnsi="Times New Roman;serif"/>
          <w:b w:val="false"/>
          <w:color w:val="000000"/>
          <w:sz w:val="24"/>
        </w:rPr>
        <w:t>Definitive Notes or a particular Global Note has been redeemed, repurchased or canceled in whole and not in part, each such Global Note shall be</w:t>
      </w:r>
      <w:r>
        <w:rPr>
          <w:color w:val="000000"/>
        </w:rPr>
        <w:t xml:space="preserve"> </w:t>
      </w:r>
      <w:r>
        <w:rPr>
          <w:rFonts w:ascii="Times New Roman;serif" w:hAnsi="Times New Roman;serif"/>
          <w:b w:val="false"/>
          <w:color w:val="000000"/>
          <w:sz w:val="24"/>
        </w:rPr>
        <w:t xml:space="preserve">returned to or retained and canceled by the Trustee in accordance with </w:t>
      </w:r>
      <w:r>
        <w:rPr>
          <w:rFonts w:ascii="Times New Roman;serif" w:hAnsi="Times New Roman;serif"/>
          <w:b w:val="false"/>
          <w:color w:val="000000"/>
          <w:sz w:val="24"/>
          <w:u w:val="single"/>
        </w:rPr>
        <w:t>Section 2.12</w:t>
      </w:r>
      <w:r>
        <w:rPr>
          <w:color w:val="000000"/>
        </w:rPr>
        <w:t xml:space="preserve"> </w:t>
      </w:r>
      <w:r>
        <w:rPr>
          <w:rFonts w:ascii="Times New Roman;serif" w:hAnsi="Times New Roman;serif"/>
          <w:b w:val="false"/>
          <w:color w:val="000000"/>
          <w:sz w:val="24"/>
        </w:rPr>
        <w:t>of this Indenture. At any time prior to such cancellation, if any</w:t>
      </w:r>
      <w:r>
        <w:rPr>
          <w:color w:val="000000"/>
        </w:rPr>
        <w:t xml:space="preserve"> </w:t>
      </w:r>
      <w:r>
        <w:rPr>
          <w:rFonts w:ascii="Times New Roman;serif" w:hAnsi="Times New Roman;serif"/>
          <w:b w:val="false"/>
          <w:color w:val="000000"/>
          <w:sz w:val="24"/>
        </w:rPr>
        <w:t>beneficial interest in a Global Note is exchanged for or transferred to a Person who will take delivery thereof in the form of a beneficial interest in another</w:t>
      </w:r>
      <w:r>
        <w:rPr>
          <w:color w:val="000000"/>
        </w:rPr>
        <w:t xml:space="preserve"> </w:t>
      </w:r>
      <w:r>
        <w:rPr>
          <w:rFonts w:ascii="Times New Roman;serif" w:hAnsi="Times New Roman;serif"/>
          <w:b w:val="false"/>
          <w:color w:val="000000"/>
          <w:sz w:val="24"/>
        </w:rPr>
        <w:t>Global Note or for Definitive Notes, the principal amount of Notes represented by such Global Note will be reduced accordingly and a notation will be</w:t>
      </w:r>
      <w:r>
        <w:rPr>
          <w:color w:val="000000"/>
        </w:rPr>
        <w:t xml:space="preserve"> </w:t>
      </w:r>
      <w:r>
        <w:rPr>
          <w:rFonts w:ascii="Times New Roman;serif" w:hAnsi="Times New Roman;serif"/>
          <w:b w:val="false"/>
          <w:color w:val="000000"/>
          <w:sz w:val="24"/>
        </w:rPr>
        <w:t>made on the records maintained by the Trustee or by the Depository at the direction of the Trustee to reflect such reduction; and if the beneficial interest</w:t>
      </w:r>
      <w:r>
        <w:rPr>
          <w:color w:val="000000"/>
        </w:rPr>
        <w:t xml:space="preserve"> </w:t>
      </w:r>
      <w:r>
        <w:rPr>
          <w:rFonts w:ascii="Times New Roman;serif" w:hAnsi="Times New Roman;serif"/>
          <w:b w:val="false"/>
          <w:color w:val="000000"/>
          <w:sz w:val="24"/>
        </w:rPr>
        <w:t>is being exchanged for or transferred to a Person who will take delivery thereof in the form of a beneficial interest in another Global Note, such other</w:t>
      </w:r>
      <w:r>
        <w:rPr>
          <w:color w:val="000000"/>
        </w:rPr>
        <w:t xml:space="preserve"> </w:t>
      </w:r>
      <w:r>
        <w:rPr>
          <w:rFonts w:ascii="Times New Roman;serif" w:hAnsi="Times New Roman;serif"/>
          <w:b w:val="false"/>
          <w:color w:val="000000"/>
          <w:sz w:val="24"/>
        </w:rPr>
        <w:t>Global Note will be increased accordingly and a notation will be made on the records maintained by the Trustee or by the Depository at the direction of</w:t>
      </w:r>
      <w:r>
        <w:rPr>
          <w:color w:val="000000"/>
        </w:rPr>
        <w:t xml:space="preserve"> </w:t>
      </w:r>
      <w:r>
        <w:rPr>
          <w:rFonts w:ascii="Times New Roman;serif" w:hAnsi="Times New Roman;serif"/>
          <w:b w:val="false"/>
          <w:color w:val="000000"/>
          <w:sz w:val="24"/>
        </w:rPr>
        <w:t>the Trustee to reflect such increase.</w:t>
      </w:r>
    </w:p>
    <w:p>
      <w:pPr>
        <w:pStyle w:val="TextBody"/>
        <w:bidi w:val="0"/>
        <w:spacing w:lineRule="auto" w:line="240" w:before="0" w:after="240"/>
        <w:ind w:left="0" w:right="0" w:firstLine="720"/>
        <w:jc w:val="both"/>
        <w:rPr/>
      </w:pPr>
      <w:r>
        <w:rPr>
          <w:rFonts w:ascii="Times New Roman;serif" w:hAnsi="Times New Roman;serif"/>
          <w:b w:val="false"/>
          <w:color w:val="000000"/>
          <w:sz w:val="24"/>
        </w:rPr>
        <w:t>(h)</w:t>
      </w:r>
      <w:r>
        <w:rPr>
          <w:rFonts w:ascii="Times New Roman;serif" w:hAnsi="Times New Roman;serif"/>
          <w:b w:val="false"/>
          <w:i/>
          <w:color w:val="000000"/>
          <w:sz w:val="24"/>
        </w:rPr>
        <w:t>General</w:t>
      </w:r>
      <w:r>
        <w:rPr>
          <w:color w:val="000000"/>
        </w:rPr>
        <w:t xml:space="preserve"> </w:t>
      </w:r>
      <w:r>
        <w:rPr>
          <w:rFonts w:ascii="Times New Roman;serif" w:hAnsi="Times New Roman;serif"/>
          <w:b w:val="false"/>
          <w:i/>
          <w:color w:val="000000"/>
          <w:sz w:val="24"/>
        </w:rPr>
        <w:t>Provisions</w:t>
      </w:r>
      <w:r>
        <w:rPr>
          <w:color w:val="000000"/>
        </w:rPr>
        <w:t xml:space="preserve"> </w:t>
      </w:r>
      <w:r>
        <w:rPr>
          <w:rFonts w:ascii="Times New Roman;serif" w:hAnsi="Times New Roman;serif"/>
          <w:b w:val="false"/>
          <w:i/>
          <w:color w:val="000000"/>
          <w:sz w:val="24"/>
        </w:rPr>
        <w:t>Relating</w:t>
      </w:r>
      <w:r>
        <w:rPr>
          <w:color w:val="000000"/>
        </w:rPr>
        <w:t xml:space="preserve"> </w:t>
      </w:r>
      <w:r>
        <w:rPr>
          <w:rFonts w:ascii="Times New Roman;serif" w:hAnsi="Times New Roman;serif"/>
          <w:b w:val="false"/>
          <w:i/>
          <w:color w:val="000000"/>
          <w:sz w:val="24"/>
        </w:rPr>
        <w:t>to</w:t>
      </w:r>
      <w:r>
        <w:rPr>
          <w:color w:val="000000"/>
        </w:rPr>
        <w:t xml:space="preserve"> </w:t>
      </w:r>
      <w:r>
        <w:rPr>
          <w:rFonts w:ascii="Times New Roman;serif" w:hAnsi="Times New Roman;serif"/>
          <w:b w:val="false"/>
          <w:i/>
          <w:color w:val="000000"/>
          <w:sz w:val="24"/>
        </w:rPr>
        <w:t>Transfers</w:t>
      </w:r>
      <w:r>
        <w:rPr>
          <w:color w:val="000000"/>
        </w:rPr>
        <w:t xml:space="preserve"> </w:t>
      </w:r>
      <w:r>
        <w:rPr>
          <w:rFonts w:ascii="Times New Roman;serif" w:hAnsi="Times New Roman;serif"/>
          <w:b w:val="false"/>
          <w:i/>
          <w:color w:val="000000"/>
          <w:sz w:val="24"/>
        </w:rPr>
        <w:t>and</w:t>
      </w:r>
      <w:r>
        <w:rPr>
          <w:color w:val="000000"/>
        </w:rPr>
        <w:t xml:space="preserve"> </w:t>
      </w:r>
      <w:r>
        <w:rPr>
          <w:rFonts w:ascii="Times New Roman;serif" w:hAnsi="Times New Roman;serif"/>
          <w:b w:val="false"/>
          <w:i/>
          <w:color w:val="000000"/>
          <w:sz w:val="24"/>
        </w:rPr>
        <w:t>Exchanges</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(1)To permit registrations of transfers and exchanges, the Issuer shall execute and the Trustee shall authenticate Global Notes and</w:t>
      </w:r>
      <w:r>
        <w:rPr>
          <w:color w:val="000000"/>
        </w:rPr>
        <w:t xml:space="preserve"> </w:t>
      </w:r>
      <w:r>
        <w:rPr>
          <w:rFonts w:ascii="Times New Roman;serif" w:hAnsi="Times New Roman;serif"/>
          <w:b w:val="false"/>
          <w:color w:val="000000"/>
          <w:sz w:val="24"/>
        </w:rPr>
        <w:t xml:space="preserve">Definitive Notes upon receipt of an Issuer Order in accordance with </w:t>
      </w:r>
      <w:r>
        <w:rPr>
          <w:rFonts w:ascii="Times New Roman;serif" w:hAnsi="Times New Roman;serif"/>
          <w:b w:val="false"/>
          <w:color w:val="000000"/>
          <w:sz w:val="24"/>
          <w:u w:val="single"/>
        </w:rPr>
        <w:t>Section 2.02</w:t>
      </w:r>
      <w:r>
        <w:rPr>
          <w:color w:val="000000"/>
        </w:rPr>
        <w:t xml:space="preserve"> </w:t>
      </w:r>
      <w:r>
        <w:rPr>
          <w:rFonts w:ascii="Times New Roman;serif" w:hAnsi="Times New Roman;serif"/>
          <w:b w:val="false"/>
          <w:color w:val="000000"/>
          <w:sz w:val="24"/>
        </w:rPr>
        <w:t>hereof or at the Registrar’s request.</w:t>
      </w:r>
    </w:p>
    <w:p>
      <w:pPr>
        <w:pStyle w:val="TextBody"/>
        <w:bidi w:val="0"/>
        <w:spacing w:before="0" w:after="0"/>
        <w:jc w:val="left"/>
        <w:rPr/>
      </w:pPr>
      <w:r>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6480175" cy="768985"/>
                <wp:effectExtent l="0" t="0" r="0" b="0"/>
                <wp:wrapNone/>
                <wp:docPr id="217" name="Frame217"/>
                <a:graphic xmlns:a="http://schemas.openxmlformats.org/drawingml/2006/main">
                  <a:graphicData uri="http://schemas.microsoft.com/office/word/2010/wordprocessingShape">
                    <wps:wsp>
                      <wps:cNvSpPr txBox="1"/>
                      <wps:spPr>
                        <a:xfrm>
                          <a:off x="0" y="0"/>
                          <a:ext cx="6480175" cy="7689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44</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0.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44</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00000"/>
          <w:sz w:val="24"/>
        </w:rPr>
        <w:t>(2)No</w:t>
      </w:r>
      <w:r>
        <w:rPr>
          <w:color w:val="000000"/>
        </w:rPr>
        <w:t xml:space="preserve"> </w:t>
      </w:r>
      <w:r>
        <w:rPr>
          <w:rFonts w:ascii="Times New Roman;serif" w:hAnsi="Times New Roman;serif"/>
          <w:b w:val="false"/>
          <w:color w:val="000000"/>
          <w:sz w:val="24"/>
        </w:rPr>
        <w:t>service</w:t>
      </w:r>
      <w:r>
        <w:rPr>
          <w:color w:val="000000"/>
        </w:rPr>
        <w:t xml:space="preserve"> </w:t>
      </w:r>
      <w:r>
        <w:rPr>
          <w:rFonts w:ascii="Times New Roman;serif" w:hAnsi="Times New Roman;serif"/>
          <w:b w:val="false"/>
          <w:color w:val="000000"/>
          <w:sz w:val="24"/>
        </w:rPr>
        <w:t>charge</w:t>
      </w:r>
      <w:r>
        <w:rPr>
          <w:color w:val="000000"/>
        </w:rPr>
        <w:t xml:space="preserve"> </w:t>
      </w:r>
      <w:r>
        <w:rPr>
          <w:rFonts w:ascii="Times New Roman;serif" w:hAnsi="Times New Roman;serif"/>
          <w:b w:val="false"/>
          <w:color w:val="000000"/>
          <w:sz w:val="24"/>
        </w:rPr>
        <w:t>shall</w:t>
      </w:r>
      <w:r>
        <w:rPr>
          <w:color w:val="000000"/>
        </w:rPr>
        <w:t xml:space="preserve"> </w:t>
      </w:r>
      <w:r>
        <w:rPr>
          <w:rFonts w:ascii="Times New Roman;serif" w:hAnsi="Times New Roman;serif"/>
          <w:b w:val="false"/>
          <w:color w:val="000000"/>
          <w:sz w:val="24"/>
        </w:rPr>
        <w:t>be</w:t>
      </w:r>
      <w:r>
        <w:rPr>
          <w:color w:val="000000"/>
        </w:rPr>
        <w:t xml:space="preserve"> </w:t>
      </w:r>
      <w:r>
        <w:rPr>
          <w:rFonts w:ascii="Times New Roman;serif" w:hAnsi="Times New Roman;serif"/>
          <w:b w:val="false"/>
          <w:color w:val="000000"/>
          <w:sz w:val="24"/>
        </w:rPr>
        <w:t>made</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Holder</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Global</w:t>
      </w:r>
      <w:r>
        <w:rPr>
          <w:color w:val="000000"/>
        </w:rPr>
        <w:t xml:space="preserve"> </w:t>
      </w:r>
      <w:r>
        <w:rPr>
          <w:rFonts w:ascii="Times New Roman;serif" w:hAnsi="Times New Roman;serif"/>
          <w:b w:val="false"/>
          <w:color w:val="000000"/>
          <w:sz w:val="24"/>
        </w:rPr>
        <w:t>Note</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Holder</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Definitive</w:t>
      </w:r>
      <w:r>
        <w:rPr>
          <w:color w:val="000000"/>
        </w:rPr>
        <w:t xml:space="preserve"> </w:t>
      </w:r>
      <w:r>
        <w:rPr>
          <w:rFonts w:ascii="Times New Roman;serif" w:hAnsi="Times New Roman;serif"/>
          <w:b w:val="false"/>
          <w:color w:val="000000"/>
          <w:sz w:val="24"/>
        </w:rPr>
        <w:t>Note</w:t>
      </w:r>
      <w:r>
        <w:rPr>
          <w:color w:val="000000"/>
        </w:rPr>
        <w:t xml:space="preserve"> </w:t>
      </w:r>
      <w:r>
        <w:rPr>
          <w:rFonts w:ascii="Times New Roman;serif" w:hAnsi="Times New Roman;serif"/>
          <w:b w:val="false"/>
          <w:color w:val="000000"/>
          <w:sz w:val="24"/>
        </w:rPr>
        <w:t>for</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registration</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transfer</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exchange, but the Issuer may require payment of a sum sufficient to cover any transfer tax or similar governmental charge payable in</w:t>
      </w:r>
      <w:r>
        <w:rPr>
          <w:color w:val="000000"/>
        </w:rPr>
        <w:t xml:space="preserve"> </w:t>
      </w:r>
      <w:r>
        <w:rPr>
          <w:rFonts w:ascii="Times New Roman;serif" w:hAnsi="Times New Roman;serif"/>
          <w:b w:val="false"/>
          <w:color w:val="000000"/>
          <w:sz w:val="24"/>
        </w:rPr>
        <w:t>connection therewith (other than any such transfer taxes or similar governmental charge payable upon exchange or transfer pursuant to</w:t>
      </w:r>
      <w:r>
        <w:rPr>
          <w:color w:val="000000"/>
        </w:rPr>
        <w:t xml:space="preserve"> </w:t>
      </w:r>
      <w:r>
        <w:rPr>
          <w:rFonts w:ascii="Times New Roman;serif" w:hAnsi="Times New Roman;serif"/>
          <w:b w:val="false"/>
          <w:color w:val="000000"/>
          <w:sz w:val="24"/>
          <w:u w:val="single"/>
        </w:rPr>
        <w:t>Sections 3.06</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u w:val="single"/>
        </w:rPr>
        <w:t>4.08</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9.04</w:t>
      </w:r>
      <w:r>
        <w:rPr>
          <w:color w:val="000000"/>
        </w:rPr>
        <w:t xml:space="preserve"> </w:t>
      </w:r>
      <w:r>
        <w:rPr>
          <w:rFonts w:ascii="Times New Roman;serif" w:hAnsi="Times New Roman;serif"/>
          <w:b w:val="false"/>
          <w:color w:val="000000"/>
          <w:sz w:val="24"/>
        </w:rPr>
        <w:t xml:space="preserve">hereof and </w:t>
      </w:r>
      <w:r>
        <w:rPr>
          <w:rFonts w:ascii="Times New Roman;serif" w:hAnsi="Times New Roman;serif"/>
          <w:b w:val="false"/>
          <w:color w:val="000000"/>
          <w:sz w:val="24"/>
          <w:u w:val="single"/>
        </w:rPr>
        <w:t>Section 2.11</w:t>
      </w:r>
      <w:r>
        <w:rPr>
          <w:color w:val="000000"/>
        </w:rPr>
        <w:t xml:space="preserve"> </w:t>
      </w:r>
      <w:r>
        <w:rPr>
          <w:rFonts w:ascii="Times New Roman;serif" w:hAnsi="Times New Roman;serif"/>
          <w:b w:val="false"/>
          <w:color w:val="000000"/>
          <w:sz w:val="24"/>
        </w:rPr>
        <w:t>of this Indenture).</w:t>
      </w:r>
    </w:p>
    <w:p>
      <w:pPr>
        <w:pStyle w:val="TextBody"/>
        <w:bidi w:val="0"/>
        <w:spacing w:lineRule="auto" w:line="240" w:before="0" w:after="240"/>
        <w:ind w:left="0" w:right="0" w:firstLine="720"/>
        <w:jc w:val="both"/>
        <w:rPr/>
      </w:pPr>
      <w:r>
        <w:rPr>
          <w:rFonts w:ascii="Times New Roman;serif" w:hAnsi="Times New Roman;serif"/>
          <w:b w:val="false"/>
          <w:color w:val="000000"/>
          <w:sz w:val="24"/>
        </w:rPr>
        <w:t>(3)The Registrar shall not be required to register the transfer of or exchange any Note selected for redemption in whole or in part,</w:t>
      </w:r>
      <w:r>
        <w:rPr>
          <w:color w:val="000000"/>
        </w:rPr>
        <w:t xml:space="preserve"> </w:t>
      </w:r>
      <w:r>
        <w:rPr>
          <w:rFonts w:ascii="Times New Roman;serif" w:hAnsi="Times New Roman;serif"/>
          <w:b w:val="false"/>
          <w:color w:val="000000"/>
          <w:sz w:val="24"/>
        </w:rPr>
        <w:t>except the unredeemed portion of any Note being redeemed in part.</w:t>
      </w:r>
    </w:p>
    <w:p>
      <w:pPr>
        <w:pStyle w:val="TextBody"/>
        <w:bidi w:val="0"/>
        <w:spacing w:lineRule="auto" w:line="240" w:before="0" w:after="240"/>
        <w:ind w:left="0" w:right="0" w:firstLine="720"/>
        <w:jc w:val="both"/>
        <w:rPr/>
      </w:pPr>
      <w:r>
        <w:rPr>
          <w:rFonts w:ascii="Times New Roman;serif" w:hAnsi="Times New Roman;serif"/>
          <w:b w:val="false"/>
          <w:color w:val="000000"/>
          <w:sz w:val="24"/>
        </w:rPr>
        <w:t>(4)All Global Notes and Definitive Notes issued upon any registration of transfer or exchange of Global Notes or Definitive Notes</w:t>
      </w:r>
      <w:r>
        <w:rPr>
          <w:color w:val="000000"/>
        </w:rPr>
        <w:t xml:space="preserve"> </w:t>
      </w:r>
      <w:r>
        <w:rPr>
          <w:rFonts w:ascii="Times New Roman;serif" w:hAnsi="Times New Roman;serif"/>
          <w:b w:val="false"/>
          <w:color w:val="000000"/>
          <w:sz w:val="24"/>
        </w:rPr>
        <w:t>shall be the valid obligations of the Issuer, evidencing the same debt, and entitled to the same benefits under this Indenture, as the</w:t>
      </w:r>
      <w:r>
        <w:rPr>
          <w:color w:val="000000"/>
        </w:rPr>
        <w:t xml:space="preserve"> </w:t>
      </w:r>
      <w:r>
        <w:rPr>
          <w:rFonts w:ascii="Times New Roman;serif" w:hAnsi="Times New Roman;serif"/>
          <w:b w:val="false"/>
          <w:color w:val="000000"/>
          <w:sz w:val="24"/>
        </w:rPr>
        <w:t>Global Notes or Definitive Notes surrendered upon such registration of transfer or exchange.</w:t>
      </w:r>
    </w:p>
    <w:p>
      <w:pPr>
        <w:pStyle w:val="TextBody"/>
        <w:bidi w:val="0"/>
        <w:spacing w:lineRule="auto" w:line="240" w:before="0" w:after="240"/>
        <w:ind w:left="0" w:right="0" w:firstLine="720"/>
        <w:jc w:val="both"/>
        <w:rPr/>
      </w:pPr>
      <w:r>
        <w:rPr>
          <w:rFonts w:ascii="Times New Roman;serif" w:hAnsi="Times New Roman;serif"/>
          <w:b w:val="false"/>
          <w:color w:val="000000"/>
          <w:sz w:val="24"/>
        </w:rPr>
        <w:t>(5)Neither</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Registrar</w:t>
      </w:r>
      <w:r>
        <w:rPr>
          <w:color w:val="000000"/>
        </w:rPr>
        <w:t xml:space="preserve"> </w:t>
      </w:r>
      <w:r>
        <w:rPr>
          <w:rFonts w:ascii="Times New Roman;serif" w:hAnsi="Times New Roman;serif"/>
          <w:b w:val="false"/>
          <w:color w:val="000000"/>
          <w:sz w:val="24"/>
        </w:rPr>
        <w:t>nor</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Issuer</w:t>
      </w:r>
      <w:r>
        <w:rPr>
          <w:color w:val="000000"/>
        </w:rPr>
        <w:t xml:space="preserve"> </w:t>
      </w:r>
      <w:r>
        <w:rPr>
          <w:rFonts w:ascii="Times New Roman;serif" w:hAnsi="Times New Roman;serif"/>
          <w:b w:val="false"/>
          <w:color w:val="000000"/>
          <w:sz w:val="24"/>
        </w:rPr>
        <w:t>shall</w:t>
      </w:r>
      <w:r>
        <w:rPr>
          <w:color w:val="000000"/>
        </w:rPr>
        <w:t xml:space="preserve"> </w:t>
      </w:r>
      <w:r>
        <w:rPr>
          <w:rFonts w:ascii="Times New Roman;serif" w:hAnsi="Times New Roman;serif"/>
          <w:b w:val="false"/>
          <w:color w:val="000000"/>
          <w:sz w:val="24"/>
        </w:rPr>
        <w:t>be</w:t>
      </w:r>
      <w:r>
        <w:rPr>
          <w:color w:val="000000"/>
        </w:rPr>
        <w:t xml:space="preserve"> </w:t>
      </w:r>
      <w:r>
        <w:rPr>
          <w:rFonts w:ascii="Times New Roman;serif" w:hAnsi="Times New Roman;serif"/>
          <w:b w:val="false"/>
          <w:color w:val="000000"/>
          <w:sz w:val="24"/>
        </w:rPr>
        <w:t>required:</w:t>
      </w:r>
    </w:p>
    <w:p>
      <w:pPr>
        <w:pStyle w:val="TextBody"/>
        <w:bidi w:val="0"/>
        <w:spacing w:lineRule="auto" w:line="240" w:before="0" w:after="240"/>
        <w:ind w:left="0" w:right="0" w:firstLine="720"/>
        <w:jc w:val="both"/>
        <w:rPr/>
      </w:pPr>
      <w:r>
        <w:rPr>
          <w:rFonts w:ascii="Times New Roman;serif" w:hAnsi="Times New Roman;serif"/>
          <w:b w:val="false"/>
          <w:color w:val="000000"/>
          <w:sz w:val="24"/>
        </w:rPr>
        <w:t>(A)to issue, to register the transfer of or to exchange any Notes during a period beginning at the opening of business 15 days</w:t>
      </w:r>
      <w:r>
        <w:rPr>
          <w:color w:val="000000"/>
        </w:rPr>
        <w:t xml:space="preserve"> </w:t>
      </w:r>
      <w:r>
        <w:rPr>
          <w:rFonts w:ascii="Times New Roman;serif" w:hAnsi="Times New Roman;serif"/>
          <w:b w:val="false"/>
          <w:color w:val="000000"/>
          <w:sz w:val="24"/>
        </w:rPr>
        <w:t xml:space="preserve">before the day of any selection of Notes for redemption under </w:t>
      </w:r>
      <w:r>
        <w:rPr>
          <w:rFonts w:ascii="Times New Roman;serif" w:hAnsi="Times New Roman;serif"/>
          <w:b w:val="false"/>
          <w:color w:val="000000"/>
          <w:sz w:val="24"/>
          <w:u w:val="single"/>
        </w:rPr>
        <w:t>Section 3.02</w:t>
      </w:r>
      <w:r>
        <w:rPr>
          <w:color w:val="000000"/>
        </w:rPr>
        <w:t xml:space="preserve"> </w:t>
      </w:r>
      <w:r>
        <w:rPr>
          <w:rFonts w:ascii="Times New Roman;serif" w:hAnsi="Times New Roman;serif"/>
          <w:b w:val="false"/>
          <w:color w:val="000000"/>
          <w:sz w:val="24"/>
        </w:rPr>
        <w:t>hereof and ending at the close of business on the day of</w:t>
      </w:r>
      <w:r>
        <w:rPr>
          <w:color w:val="000000"/>
        </w:rPr>
        <w:t xml:space="preserve"> </w:t>
      </w:r>
      <w:r>
        <w:rPr>
          <w:rFonts w:ascii="Times New Roman;serif" w:hAnsi="Times New Roman;serif"/>
          <w:b w:val="false"/>
          <w:color w:val="000000"/>
          <w:sz w:val="24"/>
        </w:rPr>
        <w:t>selection;</w:t>
      </w:r>
    </w:p>
    <w:p>
      <w:pPr>
        <w:pStyle w:val="TextBody"/>
        <w:bidi w:val="0"/>
        <w:spacing w:lineRule="auto" w:line="240" w:before="0" w:after="240"/>
        <w:ind w:left="0" w:right="0" w:firstLine="720"/>
        <w:jc w:val="both"/>
        <w:rPr/>
      </w:pPr>
      <w:r>
        <w:rPr>
          <w:rFonts w:ascii="Times New Roman;serif" w:hAnsi="Times New Roman;serif"/>
          <w:b w:val="false"/>
          <w:color w:val="000000"/>
          <w:sz w:val="24"/>
        </w:rPr>
        <w:t>(B)to register the transfer of or to exchange any Note selected for redemption in whole or in part, except the unredeemed</w:t>
      </w:r>
      <w:r>
        <w:rPr>
          <w:color w:val="000000"/>
        </w:rPr>
        <w:t xml:space="preserve"> </w:t>
      </w:r>
      <w:r>
        <w:rPr>
          <w:rFonts w:ascii="Times New Roman;serif" w:hAnsi="Times New Roman;serif"/>
          <w:b w:val="false"/>
          <w:color w:val="000000"/>
          <w:sz w:val="24"/>
        </w:rPr>
        <w:t>portion of any Note being redeemed in part; or</w:t>
      </w:r>
    </w:p>
    <w:p>
      <w:pPr>
        <w:pStyle w:val="TextBody"/>
        <w:bidi w:val="0"/>
        <w:spacing w:lineRule="auto" w:line="240" w:before="0" w:after="240"/>
        <w:ind w:left="0" w:right="0" w:firstLine="720"/>
        <w:jc w:val="both"/>
        <w:rPr/>
      </w:pPr>
      <w:r>
        <w:rPr>
          <w:rFonts w:ascii="Times New Roman;serif" w:hAnsi="Times New Roman;serif"/>
          <w:b w:val="false"/>
          <w:color w:val="000000"/>
          <w:sz w:val="24"/>
        </w:rPr>
        <w:t>(C)to</w:t>
      </w:r>
      <w:r>
        <w:rPr>
          <w:color w:val="000000"/>
        </w:rPr>
        <w:t xml:space="preserve"> </w:t>
      </w:r>
      <w:r>
        <w:rPr>
          <w:rFonts w:ascii="Times New Roman;serif" w:hAnsi="Times New Roman;serif"/>
          <w:b w:val="false"/>
          <w:color w:val="000000"/>
          <w:sz w:val="24"/>
        </w:rPr>
        <w:t>register</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transfer</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exchange</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Note</w:t>
      </w:r>
      <w:r>
        <w:rPr>
          <w:color w:val="000000"/>
        </w:rPr>
        <w:t xml:space="preserve"> </w:t>
      </w:r>
      <w:r>
        <w:rPr>
          <w:rFonts w:ascii="Times New Roman;serif" w:hAnsi="Times New Roman;serif"/>
          <w:b w:val="false"/>
          <w:color w:val="000000"/>
          <w:sz w:val="24"/>
        </w:rPr>
        <w:t>between</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record</w:t>
      </w:r>
      <w:r>
        <w:rPr>
          <w:color w:val="000000"/>
        </w:rPr>
        <w:t xml:space="preserve"> </w:t>
      </w:r>
      <w:r>
        <w:rPr>
          <w:rFonts w:ascii="Times New Roman;serif" w:hAnsi="Times New Roman;serif"/>
          <w:b w:val="false"/>
          <w:color w:val="000000"/>
          <w:sz w:val="24"/>
        </w:rPr>
        <w:t>date</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next</w:t>
      </w:r>
      <w:r>
        <w:rPr>
          <w:color w:val="000000"/>
        </w:rPr>
        <w:t xml:space="preserve"> </w:t>
      </w:r>
      <w:r>
        <w:rPr>
          <w:rFonts w:ascii="Times New Roman;serif" w:hAnsi="Times New Roman;serif"/>
          <w:b w:val="false"/>
          <w:color w:val="000000"/>
          <w:sz w:val="24"/>
        </w:rPr>
        <w:t>succeeding</w:t>
      </w:r>
      <w:r>
        <w:rPr>
          <w:color w:val="000000"/>
        </w:rPr>
        <w:t xml:space="preserve"> </w:t>
      </w:r>
      <w:r>
        <w:rPr>
          <w:rFonts w:ascii="Times New Roman;serif" w:hAnsi="Times New Roman;serif"/>
          <w:b w:val="false"/>
          <w:color w:val="000000"/>
          <w:sz w:val="24"/>
        </w:rPr>
        <w:t>interest</w:t>
      </w:r>
      <w:r>
        <w:rPr>
          <w:color w:val="000000"/>
        </w:rPr>
        <w:t xml:space="preserve"> </w:t>
      </w:r>
      <w:r>
        <w:rPr>
          <w:rFonts w:ascii="Times New Roman;serif" w:hAnsi="Times New Roman;serif"/>
          <w:b w:val="false"/>
          <w:color w:val="000000"/>
          <w:sz w:val="24"/>
        </w:rPr>
        <w:t>payment</w:t>
      </w:r>
      <w:r>
        <w:rPr>
          <w:color w:val="000000"/>
        </w:rPr>
        <w:t xml:space="preserve"> </w:t>
      </w:r>
      <w:r>
        <w:rPr>
          <w:rFonts w:ascii="Times New Roman;serif" w:hAnsi="Times New Roman;serif"/>
          <w:b w:val="false"/>
          <w:color w:val="000000"/>
          <w:sz w:val="24"/>
        </w:rPr>
        <w:t>date.</w:t>
      </w:r>
    </w:p>
    <w:p>
      <w:pPr>
        <w:pStyle w:val="TextBody"/>
        <w:bidi w:val="0"/>
        <w:spacing w:lineRule="auto" w:line="240" w:before="0" w:after="240"/>
        <w:ind w:left="0" w:right="0" w:firstLine="720"/>
        <w:jc w:val="both"/>
        <w:rPr/>
      </w:pPr>
      <w:r>
        <w:rPr>
          <w:rFonts w:ascii="Times New Roman;serif" w:hAnsi="Times New Roman;serif"/>
          <w:b w:val="false"/>
          <w:color w:val="000000"/>
          <w:sz w:val="24"/>
        </w:rPr>
        <w:t>(6)Prior</w:t>
      </w:r>
      <w:r>
        <w:rPr>
          <w:color w:val="000000"/>
        </w:rPr>
        <w:t xml:space="preserve"> </w:t>
      </w:r>
      <w:r>
        <w:rPr>
          <w:rFonts w:ascii="Times New Roman;serif" w:hAnsi="Times New Roman;serif"/>
          <w:b w:val="false"/>
          <w:color w:val="000000"/>
          <w:sz w:val="24"/>
        </w:rPr>
        <w:t>to due</w:t>
      </w:r>
      <w:r>
        <w:rPr>
          <w:color w:val="000000"/>
        </w:rPr>
        <w:t xml:space="preserve"> </w:t>
      </w:r>
      <w:r>
        <w:rPr>
          <w:rFonts w:ascii="Times New Roman;serif" w:hAnsi="Times New Roman;serif"/>
          <w:b w:val="false"/>
          <w:color w:val="000000"/>
          <w:sz w:val="24"/>
        </w:rPr>
        <w:t>presentment</w:t>
      </w:r>
      <w:r>
        <w:rPr>
          <w:color w:val="000000"/>
        </w:rPr>
        <w:t xml:space="preserve"> </w:t>
      </w:r>
      <w:r>
        <w:rPr>
          <w:rFonts w:ascii="Times New Roman;serif" w:hAnsi="Times New Roman;serif"/>
          <w:b w:val="false"/>
          <w:color w:val="000000"/>
          <w:sz w:val="24"/>
        </w:rPr>
        <w:t>for</w:t>
      </w:r>
      <w:r>
        <w:rPr>
          <w:color w:val="000000"/>
        </w:rPr>
        <w:t xml:space="preserve"> </w:t>
      </w:r>
      <w:r>
        <w:rPr>
          <w:rFonts w:ascii="Times New Roman;serif" w:hAnsi="Times New Roman;serif"/>
          <w:b w:val="false"/>
          <w:color w:val="000000"/>
          <w:sz w:val="24"/>
        </w:rPr>
        <w:t>the registration</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a transfer of</w:t>
      </w:r>
      <w:r>
        <w:rPr>
          <w:color w:val="000000"/>
        </w:rPr>
        <w:t xml:space="preserve"> </w:t>
      </w:r>
      <w:r>
        <w:rPr>
          <w:rFonts w:ascii="Times New Roman;serif" w:hAnsi="Times New Roman;serif"/>
          <w:b w:val="false"/>
          <w:color w:val="000000"/>
          <w:sz w:val="24"/>
        </w:rPr>
        <w:t>any Note,</w:t>
      </w:r>
      <w:r>
        <w:rPr>
          <w:color w:val="000000"/>
        </w:rPr>
        <w:t xml:space="preserve"> </w:t>
      </w:r>
      <w:r>
        <w:rPr>
          <w:rFonts w:ascii="Times New Roman;serif" w:hAnsi="Times New Roman;serif"/>
          <w:b w:val="false"/>
          <w:color w:val="000000"/>
          <w:sz w:val="24"/>
        </w:rPr>
        <w:t>the Trustee, any Agent</w:t>
      </w:r>
      <w:r>
        <w:rPr>
          <w:color w:val="000000"/>
        </w:rPr>
        <w:t xml:space="preserve"> </w:t>
      </w:r>
      <w:r>
        <w:rPr>
          <w:rFonts w:ascii="Times New Roman;serif" w:hAnsi="Times New Roman;serif"/>
          <w:b w:val="false"/>
          <w:color w:val="000000"/>
          <w:sz w:val="24"/>
        </w:rPr>
        <w:t>and the Issuer may deem</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treat the Person in whose name any Note is registered as the absolute owner of such Note for the purpose of receiving payment of principal</w:t>
      </w:r>
      <w:r>
        <w:rPr>
          <w:color w:val="000000"/>
        </w:rPr>
        <w:t xml:space="preserve"> </w:t>
      </w:r>
      <w:r>
        <w:rPr>
          <w:rFonts w:ascii="Times New Roman;serif" w:hAnsi="Times New Roman;serif"/>
          <w:b w:val="false"/>
          <w:color w:val="000000"/>
          <w:sz w:val="24"/>
        </w:rPr>
        <w:t>of and interest on such Notes and for all other purposes, and none of the Trustee, any Agent or the Issuer shall be affected by notice to</w:t>
      </w:r>
      <w:r>
        <w:rPr>
          <w:color w:val="000000"/>
        </w:rPr>
        <w:t xml:space="preserve"> </w:t>
      </w:r>
      <w:r>
        <w:rPr>
          <w:rFonts w:ascii="Times New Roman;serif" w:hAnsi="Times New Roman;serif"/>
          <w:b w:val="false"/>
          <w:color w:val="000000"/>
          <w:sz w:val="24"/>
        </w:rPr>
        <w:t>the contrary.</w:t>
      </w:r>
    </w:p>
    <w:p>
      <w:pPr>
        <w:pStyle w:val="TextBody"/>
        <w:bidi w:val="0"/>
        <w:spacing w:lineRule="auto" w:line="240" w:before="0" w:after="240"/>
        <w:ind w:left="0" w:right="0" w:firstLine="720"/>
        <w:jc w:val="both"/>
        <w:rPr/>
      </w:pPr>
      <w:r>
        <w:rPr>
          <w:rFonts w:ascii="Times New Roman;serif" w:hAnsi="Times New Roman;serif"/>
          <w:b w:val="false"/>
          <w:color w:val="000000"/>
          <w:sz w:val="24"/>
        </w:rPr>
        <w:t>(7)The</w:t>
      </w:r>
      <w:r>
        <w:rPr>
          <w:color w:val="000000"/>
        </w:rPr>
        <w:t xml:space="preserve"> </w:t>
      </w:r>
      <w:r>
        <w:rPr>
          <w:rFonts w:ascii="Times New Roman;serif" w:hAnsi="Times New Roman;serif"/>
          <w:b w:val="false"/>
          <w:color w:val="000000"/>
          <w:sz w:val="24"/>
        </w:rPr>
        <w:t>Trustee</w:t>
      </w:r>
      <w:r>
        <w:rPr>
          <w:color w:val="000000"/>
        </w:rPr>
        <w:t xml:space="preserve"> </w:t>
      </w:r>
      <w:r>
        <w:rPr>
          <w:rFonts w:ascii="Times New Roman;serif" w:hAnsi="Times New Roman;serif"/>
          <w:b w:val="false"/>
          <w:color w:val="000000"/>
          <w:sz w:val="24"/>
        </w:rPr>
        <w:t>shall authenticate</w:t>
      </w:r>
      <w:r>
        <w:rPr>
          <w:color w:val="000000"/>
        </w:rPr>
        <w:t xml:space="preserve"> </w:t>
      </w:r>
      <w:r>
        <w:rPr>
          <w:rFonts w:ascii="Times New Roman;serif" w:hAnsi="Times New Roman;serif"/>
          <w:b w:val="false"/>
          <w:color w:val="000000"/>
          <w:sz w:val="24"/>
        </w:rPr>
        <w:t>Global Notes</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Definitive Notes in</w:t>
      </w:r>
      <w:r>
        <w:rPr>
          <w:color w:val="000000"/>
        </w:rPr>
        <w:t xml:space="preserve"> </w:t>
      </w:r>
      <w:r>
        <w:rPr>
          <w:rFonts w:ascii="Times New Roman;serif" w:hAnsi="Times New Roman;serif"/>
          <w:b w:val="false"/>
          <w:color w:val="000000"/>
          <w:sz w:val="24"/>
        </w:rPr>
        <w:t>accordance</w:t>
      </w:r>
      <w:r>
        <w:rPr>
          <w:color w:val="000000"/>
        </w:rPr>
        <w:t xml:space="preserve"> </w:t>
      </w:r>
      <w:r>
        <w:rPr>
          <w:rFonts w:ascii="Times New Roman;serif" w:hAnsi="Times New Roman;serif"/>
          <w:b w:val="false"/>
          <w:color w:val="000000"/>
          <w:sz w:val="24"/>
        </w:rPr>
        <w:t>with the</w:t>
      </w:r>
      <w:r>
        <w:rPr>
          <w:color w:val="000000"/>
        </w:rPr>
        <w:t xml:space="preserve"> </w:t>
      </w:r>
      <w:r>
        <w:rPr>
          <w:rFonts w:ascii="Times New Roman;serif" w:hAnsi="Times New Roman;serif"/>
          <w:b w:val="false"/>
          <w:color w:val="000000"/>
          <w:sz w:val="24"/>
        </w:rPr>
        <w:t>provisions of</w:t>
      </w:r>
      <w:r>
        <w:rPr>
          <w:color w:val="000000"/>
        </w:rPr>
        <w:t xml:space="preserve"> </w:t>
      </w:r>
      <w:r>
        <w:rPr>
          <w:rFonts w:ascii="Times New Roman;serif" w:hAnsi="Times New Roman;serif"/>
          <w:b w:val="false"/>
          <w:color w:val="000000"/>
          <w:sz w:val="24"/>
          <w:u w:val="single"/>
        </w:rPr>
        <w:t>Section 2.02</w:t>
      </w:r>
      <w:r>
        <w:rPr>
          <w:color w:val="000000"/>
        </w:rPr>
        <w:t xml:space="preserve"> </w:t>
      </w:r>
      <w:r>
        <w:rPr>
          <w:rFonts w:ascii="Times New Roman;serif" w:hAnsi="Times New Roman;serif"/>
          <w:b w:val="false"/>
          <w:color w:val="000000"/>
          <w:sz w:val="24"/>
        </w:rPr>
        <w:t>hereof.</w:t>
      </w:r>
    </w:p>
    <w:p>
      <w:pPr>
        <w:pStyle w:val="TextBody"/>
        <w:bidi w:val="0"/>
        <w:spacing w:lineRule="auto" w:line="240" w:before="0" w:after="240"/>
        <w:ind w:left="0" w:right="0" w:firstLine="720"/>
        <w:jc w:val="both"/>
        <w:rPr/>
      </w:pPr>
      <w:r>
        <w:rPr>
          <w:rFonts w:ascii="Times New Roman;serif" w:hAnsi="Times New Roman;serif"/>
          <w:b w:val="false"/>
          <w:color w:val="000000"/>
          <w:sz w:val="24"/>
        </w:rPr>
        <w:t>(8)All orders,</w:t>
      </w:r>
      <w:r>
        <w:rPr>
          <w:color w:val="000000"/>
        </w:rPr>
        <w:t xml:space="preserve"> </w:t>
      </w:r>
      <w:r>
        <w:rPr>
          <w:rFonts w:ascii="Times New Roman;serif" w:hAnsi="Times New Roman;serif"/>
          <w:b w:val="false"/>
          <w:color w:val="000000"/>
          <w:sz w:val="24"/>
        </w:rPr>
        <w:t>certifications,</w:t>
      </w:r>
      <w:r>
        <w:rPr>
          <w:color w:val="000000"/>
        </w:rPr>
        <w:t xml:space="preserve"> </w:t>
      </w:r>
      <w:r>
        <w:rPr>
          <w:rFonts w:ascii="Times New Roman;serif" w:hAnsi="Times New Roman;serif"/>
          <w:b w:val="false"/>
          <w:color w:val="000000"/>
          <w:sz w:val="24"/>
        </w:rPr>
        <w:t>certificates</w:t>
      </w:r>
      <w:r>
        <w:rPr>
          <w:color w:val="000000"/>
        </w:rPr>
        <w:t xml:space="preserve"> </w:t>
      </w:r>
      <w:r>
        <w:rPr>
          <w:rFonts w:ascii="Times New Roman;serif" w:hAnsi="Times New Roman;serif"/>
          <w:b w:val="false"/>
          <w:color w:val="000000"/>
          <w:sz w:val="24"/>
        </w:rPr>
        <w:t>and Opinions</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Counsel</w:t>
      </w:r>
      <w:r>
        <w:rPr>
          <w:color w:val="000000"/>
        </w:rPr>
        <w:t xml:space="preserve"> </w:t>
      </w:r>
      <w:r>
        <w:rPr>
          <w:rFonts w:ascii="Times New Roman;serif" w:hAnsi="Times New Roman;serif"/>
          <w:b w:val="false"/>
          <w:color w:val="000000"/>
          <w:sz w:val="24"/>
        </w:rPr>
        <w:t>required to</w:t>
      </w:r>
      <w:r>
        <w:rPr>
          <w:color w:val="000000"/>
        </w:rPr>
        <w:t xml:space="preserve"> </w:t>
      </w:r>
      <w:r>
        <w:rPr>
          <w:rFonts w:ascii="Times New Roman;serif" w:hAnsi="Times New Roman;serif"/>
          <w:b w:val="false"/>
          <w:color w:val="000000"/>
          <w:sz w:val="24"/>
        </w:rPr>
        <w:t>be</w:t>
      </w:r>
      <w:r>
        <w:rPr>
          <w:color w:val="000000"/>
        </w:rPr>
        <w:t xml:space="preserve"> </w:t>
      </w:r>
      <w:r>
        <w:rPr>
          <w:rFonts w:ascii="Times New Roman;serif" w:hAnsi="Times New Roman;serif"/>
          <w:b w:val="false"/>
          <w:color w:val="000000"/>
          <w:sz w:val="24"/>
        </w:rPr>
        <w:t>submitted</w:t>
      </w:r>
      <w:r>
        <w:rPr>
          <w:color w:val="000000"/>
        </w:rPr>
        <w:t xml:space="preserve"> </w:t>
      </w:r>
      <w:r>
        <w:rPr>
          <w:rFonts w:ascii="Times New Roman;serif" w:hAnsi="Times New Roman;serif"/>
          <w:b w:val="false"/>
          <w:color w:val="000000"/>
          <w:sz w:val="24"/>
        </w:rPr>
        <w:t>to the</w:t>
      </w:r>
      <w:r>
        <w:rPr>
          <w:color w:val="000000"/>
        </w:rPr>
        <w:t xml:space="preserve"> </w:t>
      </w:r>
      <w:r>
        <w:rPr>
          <w:rFonts w:ascii="Times New Roman;serif" w:hAnsi="Times New Roman;serif"/>
          <w:b w:val="false"/>
          <w:color w:val="000000"/>
          <w:sz w:val="24"/>
        </w:rPr>
        <w:t>Registrar</w:t>
      </w:r>
      <w:r>
        <w:rPr>
          <w:color w:val="000000"/>
        </w:rPr>
        <w:t xml:space="preserve"> </w:t>
      </w:r>
      <w:r>
        <w:rPr>
          <w:rFonts w:ascii="Times New Roman;serif" w:hAnsi="Times New Roman;serif"/>
          <w:b w:val="false"/>
          <w:color w:val="000000"/>
          <w:sz w:val="24"/>
        </w:rPr>
        <w:t>pursuant</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this</w:t>
      </w:r>
      <w:r>
        <w:rPr>
          <w:color w:val="000000"/>
        </w:rPr>
        <w:t xml:space="preserve"> </w:t>
      </w:r>
      <w:r>
        <w:rPr>
          <w:rFonts w:ascii="Times New Roman;serif" w:hAnsi="Times New Roman;serif"/>
          <w:b w:val="false"/>
          <w:color w:val="000000"/>
          <w:sz w:val="24"/>
          <w:u w:val="single"/>
        </w:rPr>
        <w:t>Section 2.06</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effect</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registration</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transfer</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exchange</w:t>
      </w:r>
      <w:r>
        <w:rPr>
          <w:color w:val="000000"/>
        </w:rPr>
        <w:t xml:space="preserve"> </w:t>
      </w:r>
      <w:r>
        <w:rPr>
          <w:rFonts w:ascii="Times New Roman;serif" w:hAnsi="Times New Roman;serif"/>
          <w:b w:val="false"/>
          <w:color w:val="000000"/>
          <w:sz w:val="24"/>
        </w:rPr>
        <w:t>may</w:t>
      </w:r>
      <w:r>
        <w:rPr>
          <w:color w:val="000000"/>
        </w:rPr>
        <w:t xml:space="preserve"> </w:t>
      </w:r>
      <w:r>
        <w:rPr>
          <w:rFonts w:ascii="Times New Roman;serif" w:hAnsi="Times New Roman;serif"/>
          <w:b w:val="false"/>
          <w:color w:val="000000"/>
          <w:sz w:val="24"/>
        </w:rPr>
        <w:t>be</w:t>
      </w:r>
      <w:r>
        <w:rPr>
          <w:color w:val="000000"/>
        </w:rPr>
        <w:t xml:space="preserve"> </w:t>
      </w:r>
      <w:r>
        <w:rPr>
          <w:rFonts w:ascii="Times New Roman;serif" w:hAnsi="Times New Roman;serif"/>
          <w:b w:val="false"/>
          <w:color w:val="000000"/>
          <w:sz w:val="24"/>
        </w:rPr>
        <w:t>submitted</w:t>
      </w:r>
      <w:r>
        <w:rPr>
          <w:color w:val="000000"/>
        </w:rPr>
        <w:t xml:space="preserve"> </w:t>
      </w:r>
      <w:r>
        <w:rPr>
          <w:rFonts w:ascii="Times New Roman;serif" w:hAnsi="Times New Roman;serif"/>
          <w:b w:val="false"/>
          <w:color w:val="000000"/>
          <w:sz w:val="24"/>
        </w:rPr>
        <w:t>by</w:t>
      </w:r>
      <w:r>
        <w:rPr>
          <w:color w:val="000000"/>
        </w:rPr>
        <w:t xml:space="preserve"> </w:t>
      </w:r>
      <w:r>
        <w:rPr>
          <w:rFonts w:ascii="Times New Roman;serif" w:hAnsi="Times New Roman;serif"/>
          <w:b w:val="false"/>
          <w:color w:val="000000"/>
          <w:sz w:val="24"/>
        </w:rPr>
        <w:t>email.</w:t>
      </w:r>
    </w:p>
    <w:p>
      <w:pPr>
        <w:pStyle w:val="TextBody"/>
        <w:bidi w:val="0"/>
        <w:spacing w:lineRule="auto" w:line="240" w:before="0" w:after="240"/>
        <w:ind w:left="0" w:right="0" w:firstLine="720"/>
        <w:jc w:val="both"/>
        <w:rPr/>
      </w:pPr>
      <w:r>
        <w:rPr>
          <w:rFonts w:ascii="Times New Roman;serif" w:hAnsi="Times New Roman;serif"/>
          <w:b w:val="false"/>
          <w:color w:val="000000"/>
          <w:sz w:val="24"/>
        </w:rPr>
        <w:t>(9)Notwithstanding anything herein to the contrary, neither the Trustee nor the Registrar shall be responsible for ascertaining</w:t>
      </w:r>
      <w:r>
        <w:rPr>
          <w:color w:val="000000"/>
        </w:rPr>
        <w:t xml:space="preserve"> </w:t>
      </w:r>
      <w:r>
        <w:rPr>
          <w:rFonts w:ascii="Times New Roman;serif" w:hAnsi="Times New Roman;serif"/>
          <w:b w:val="false"/>
          <w:color w:val="000000"/>
          <w:sz w:val="24"/>
        </w:rPr>
        <w:t>whether any transfer or exchange complies with the registration provisions of or exemptions from the Securities Act or applicable state</w:t>
      </w:r>
      <w:r>
        <w:rPr>
          <w:color w:val="000000"/>
        </w:rPr>
        <w:t xml:space="preserve"> </w:t>
      </w:r>
      <w:r>
        <w:rPr>
          <w:rFonts w:ascii="Times New Roman;serif" w:hAnsi="Times New Roman;serif"/>
          <w:b w:val="false"/>
          <w:color w:val="000000"/>
          <w:sz w:val="24"/>
        </w:rPr>
        <w:t>securities laws.</w:t>
      </w:r>
    </w:p>
    <w:p>
      <w:pPr>
        <w:pStyle w:val="TextBody"/>
        <w:bidi w:val="0"/>
        <w:spacing w:lineRule="auto" w:line="300" w:before="0" w:after="240"/>
        <w:jc w:val="both"/>
        <w:rPr/>
      </w:pPr>
      <w:r>
        <w:rPr>
          <w:rFonts w:ascii="Times New Roman;serif" w:hAnsi="Times New Roman;serif"/>
          <w:b w:val="false"/>
          <w:color w:val="000000"/>
          <w:sz w:val="24"/>
        </w:rPr>
        <w:t>Section 2.07</w:t>
      </w:r>
      <w:r>
        <w:rPr>
          <w:rFonts w:ascii="Times New Roman;serif" w:hAnsi="Times New Roman;serif"/>
          <w:b w:val="false"/>
          <w:color w:val="000000"/>
          <w:sz w:val="24"/>
          <w:u w:val="single"/>
        </w:rPr>
        <w:t>Additional Notes</w:t>
      </w:r>
      <w:r>
        <w:rPr>
          <w:rFonts w:ascii="Times New Roman;serif" w:hAnsi="Times New Roman;serif"/>
          <w:b w:val="false"/>
          <w:color w:val="000000"/>
          <w:sz w:val="24"/>
        </w:rPr>
        <w:t>.</w:t>
      </w:r>
    </w:p>
    <w:p>
      <w:pPr>
        <w:pStyle w:val="TextBody"/>
        <w:bidi w:val="0"/>
        <w:spacing w:before="0" w:after="0"/>
        <w:jc w:val="left"/>
        <w:rPr/>
      </w:pPr>
      <w:r>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6480175" cy="768985"/>
                <wp:effectExtent l="0" t="0" r="0" b="0"/>
                <wp:wrapNone/>
                <wp:docPr id="218" name="Frame218"/>
                <a:graphic xmlns:a="http://schemas.openxmlformats.org/drawingml/2006/main">
                  <a:graphicData uri="http://schemas.microsoft.com/office/word/2010/wordprocessingShape">
                    <wps:wsp>
                      <wps:cNvSpPr txBox="1"/>
                      <wps:spPr>
                        <a:xfrm>
                          <a:off x="0" y="0"/>
                          <a:ext cx="6480175" cy="7689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45</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0.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45</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30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rPr>
        <w:t>The aggregate amount of Notes that may be authenticated and delivered under this Indenture is unlimited. The Notes may be issued in one or more series (any such Notes issued subsequent to the Issue Date, the “</w:t>
      </w:r>
      <w:r>
        <w:rPr>
          <w:rFonts w:ascii="Times New Roman;serif" w:hAnsi="Times New Roman;serif"/>
          <w:b w:val="false"/>
          <w:i/>
          <w:color w:val="000000"/>
          <w:sz w:val="24"/>
        </w:rPr>
        <w:t>Additional Notes</w:t>
      </w:r>
      <w:r>
        <w:rPr>
          <w:color w:val="000000"/>
        </w:rPr>
        <w:t>”</w:t>
      </w:r>
      <w:r>
        <w:rPr>
          <w:rFonts w:ascii="Times New Roman;serif" w:hAnsi="Times New Roman;serif"/>
          <w:b w:val="false"/>
          <w:color w:val="000000"/>
          <w:sz w:val="24"/>
        </w:rPr>
        <w:t xml:space="preserve">), subject, in the case of Additional Notes, in compliance with </w:t>
      </w:r>
      <w:r>
        <w:rPr>
          <w:rFonts w:ascii="Times New Roman;serif" w:hAnsi="Times New Roman;serif"/>
          <w:b w:val="false"/>
          <w:color w:val="000000"/>
          <w:sz w:val="24"/>
          <w:u w:val="single"/>
        </w:rPr>
        <w:t>Section 4.04</w:t>
      </w:r>
      <w:r>
        <w:rPr>
          <w:rFonts w:ascii="Times New Roman;serif" w:hAnsi="Times New Roman;serif"/>
          <w:b w:val="false"/>
          <w:color w:val="000000"/>
          <w:sz w:val="24"/>
        </w:rPr>
        <w:t>. Any Additional Notes issued will have terms that are substantially identical to the terms of the Notes issued on the Issue Date, except in respect of any of the following terms, which shall be set forth in a supplemental indenture:</w:t>
      </w:r>
    </w:p>
    <w:p>
      <w:pPr>
        <w:pStyle w:val="TextBody"/>
        <w:bidi w:val="0"/>
        <w:spacing w:lineRule="auto" w:line="30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(1)the aggregate principal amount of such Additional Notes;</w:t>
      </w:r>
    </w:p>
    <w:p>
      <w:pPr>
        <w:pStyle w:val="TextBody"/>
        <w:bidi w:val="0"/>
        <w:spacing w:lineRule="auto" w:line="30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(2)the date or dates on which such Additional Notes will be issued;</w:t>
      </w:r>
    </w:p>
    <w:p>
      <w:pPr>
        <w:pStyle w:val="TextBody"/>
        <w:bidi w:val="0"/>
        <w:spacing w:lineRule="auto" w:line="30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(3)the price at which the Additional Notes will be issued;</w:t>
      </w:r>
    </w:p>
    <w:p>
      <w:pPr>
        <w:pStyle w:val="TextBody"/>
        <w:bidi w:val="0"/>
        <w:spacing w:lineRule="auto" w:line="30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(4)the first interest payment date and the first date from which interest will accrue on the Additional Notes;</w:t>
      </w:r>
    </w:p>
    <w:p>
      <w:pPr>
        <w:pStyle w:val="TextBody"/>
        <w:bidi w:val="0"/>
        <w:spacing w:lineRule="auto" w:line="300" w:before="0" w:after="240"/>
        <w:ind w:left="0" w:right="0" w:firstLine="720"/>
        <w:jc w:val="both"/>
        <w:rPr/>
      </w:pPr>
      <w:r>
        <w:rPr>
          <w:rFonts w:ascii="Times New Roman;serif" w:hAnsi="Times New Roman;serif"/>
          <w:b w:val="false"/>
          <w:color w:val="000000"/>
          <w:sz w:val="24"/>
        </w:rPr>
        <w:t>(5)the date or dates and price or prices at which, the period or periods within which, and the terms and conditions upon which, such Additional Notes may be redeemed, in whole or in part pursuant to any special mandatory redemption (such redemption, an “</w:t>
      </w:r>
      <w:r>
        <w:rPr>
          <w:rFonts w:ascii="Times New Roman;serif" w:hAnsi="Times New Roman;serif"/>
          <w:b w:val="false"/>
          <w:i/>
          <w:color w:val="000000"/>
          <w:sz w:val="24"/>
        </w:rPr>
        <w:t>Additional Notes Special Mandatory Redemption</w:t>
      </w:r>
      <w:r>
        <w:rPr>
          <w:color w:val="000000"/>
        </w:rPr>
        <w:t>”</w:t>
      </w:r>
      <w:r>
        <w:rPr>
          <w:rFonts w:ascii="Times New Roman;serif" w:hAnsi="Times New Roman;serif"/>
          <w:b w:val="false"/>
          <w:color w:val="000000"/>
          <w:sz w:val="24"/>
        </w:rPr>
        <w:t>);</w:t>
      </w:r>
    </w:p>
    <w:p>
      <w:pPr>
        <w:pStyle w:val="TextBody"/>
        <w:bidi w:val="0"/>
        <w:spacing w:lineRule="auto" w:line="30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(6)the provisions relating to the granting of Liens described in clause (11) of the definition of Permitted Liens in favor of the Trustee solely for the benefit of the Trustee and the Holders of such Additional Notes (and not, for the avoidance of doubt, for the benefit of the Holders of any other Notes), together with all necessary authorizations for the Trustee to enter into such arrangements; and</w:t>
      </w:r>
    </w:p>
    <w:p>
      <w:pPr>
        <w:pStyle w:val="TextBody"/>
        <w:bidi w:val="0"/>
        <w:spacing w:lineRule="auto" w:line="30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(7)the ISIN, Common Code, CUSIP or other securities identification numbers with respect to such Additional Notes, and the relevant clearing systems.</w:t>
      </w:r>
    </w:p>
    <w:p>
      <w:pPr>
        <w:pStyle w:val="TextBody"/>
        <w:bidi w:val="0"/>
        <w:spacing w:lineRule="auto" w:line="30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rPr>
        <w:t>Any Additional Notes that are substantially identical in all material respects to any other series of Notes but for being subject to an Additional Notes Special Mandatory Redemption shall be deemed to be substantially identical to such series of Notes only following the date on which any such Special Mandatory Redemption provision ceases to apply. If any Additional Notes are not fungible with such Notes for U.S. federal income tax purposes, such Additional Notes will have a separate CUSIP or other identifying number. The Notes and any Additional Notes subsequently issued under this Indenture will be treated as a single class for all purposes under this Indenture, including, without limitation, waivers, amendments, redemptions and offers to purchase.</w:t>
      </w:r>
    </w:p>
    <w:p>
      <w:pPr>
        <w:pStyle w:val="TextBody"/>
        <w:bidi w:val="0"/>
        <w:spacing w:lineRule="auto" w:line="300" w:before="0" w:after="240"/>
        <w:jc w:val="both"/>
        <w:rPr/>
      </w:pPr>
      <w:r>
        <w:rPr>
          <w:rFonts w:ascii="Times New Roman;serif" w:hAnsi="Times New Roman;serif"/>
          <w:b w:val="false"/>
          <w:color w:val="000000"/>
          <w:sz w:val="24"/>
        </w:rPr>
        <w:t>Section 2.08</w:t>
      </w:r>
      <w:r>
        <w:rPr>
          <w:rFonts w:ascii="Times New Roman;serif" w:hAnsi="Times New Roman;serif"/>
          <w:b w:val="false"/>
          <w:color w:val="000000"/>
          <w:sz w:val="24"/>
          <w:u w:val="single"/>
        </w:rPr>
        <w:t>Replacement Notes</w:t>
      </w:r>
      <w:r>
        <w:rPr>
          <w:rFonts w:ascii="Times New Roman;serif" w:hAnsi="Times New Roman;serif"/>
          <w:b w:val="false"/>
          <w:color w:val="000000"/>
          <w:sz w:val="24"/>
        </w:rPr>
        <w:t>.</w:t>
      </w:r>
    </w:p>
    <w:p>
      <w:pPr>
        <w:pStyle w:val="TextBody"/>
        <w:bidi w:val="0"/>
        <w:spacing w:lineRule="auto" w:line="30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rPr>
        <w:t xml:space="preserve">If any mutilated Note is surrendered to the Trustee or the Issuer and the Trustee receives evidence to its satisfaction of the destruction, loss or theft of any Note, the Issuer will </w:t>
      </w:r>
    </w:p>
    <w:p>
      <w:pPr>
        <w:pStyle w:val="TextBody"/>
        <w:bidi w:val="0"/>
        <w:spacing w:before="0" w:after="0"/>
        <w:jc w:val="left"/>
        <w:rPr/>
      </w:pPr>
      <w:r>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6480175" cy="768985"/>
                <wp:effectExtent l="0" t="0" r="0" b="0"/>
                <wp:wrapNone/>
                <wp:docPr id="219" name="Frame219"/>
                <a:graphic xmlns:a="http://schemas.openxmlformats.org/drawingml/2006/main">
                  <a:graphicData uri="http://schemas.microsoft.com/office/word/2010/wordprocessingShape">
                    <wps:wsp>
                      <wps:cNvSpPr txBox="1"/>
                      <wps:spPr>
                        <a:xfrm>
                          <a:off x="0" y="0"/>
                          <a:ext cx="6480175" cy="7689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46</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0.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46</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300" w:before="0" w:after="240"/>
        <w:jc w:val="both"/>
        <w:rPr>
          <w:rFonts w:ascii="Times New Roman;serif" w:hAnsi="Times New Roman;serif"/>
          <w:b w:val="false"/>
          <w:color w:val="000000"/>
          <w:sz w:val="24"/>
        </w:rPr>
      </w:pPr>
      <w:r>
        <w:rPr>
          <w:rFonts w:ascii="Times New Roman;serif" w:hAnsi="Times New Roman;serif"/>
          <w:b w:val="false"/>
          <w:color w:val="000000"/>
          <w:sz w:val="24"/>
        </w:rPr>
        <w:t>issue and the Trustee, upon receipt of an Issuer Order, will authenticate a replacement Note if the Trustee’s requirements are met. An indemnity bond must be supplied by the Holder that is sufficient in the judgment of the Trustee and the Issuer to protect the Issuer, the Trustee, any Agent and any authenticating agent from any loss that any of them may suffer if a Note is replaced. The Issuer may charge for its expenses in replacing a Note.</w:t>
      </w:r>
    </w:p>
    <w:p>
      <w:pPr>
        <w:pStyle w:val="TextBody"/>
        <w:bidi w:val="0"/>
        <w:spacing w:lineRule="auto" w:line="30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rPr>
        <w:t>Every replacement Note is an additional obligation of the Issuer and will be entitled to all of the benefits of this Indenture equally and proportionately with all other Notes duly issued hereunder.</w:t>
      </w:r>
    </w:p>
    <w:p>
      <w:pPr>
        <w:pStyle w:val="TextBody"/>
        <w:bidi w:val="0"/>
        <w:spacing w:lineRule="auto" w:line="300" w:before="0" w:after="240"/>
        <w:jc w:val="left"/>
        <w:rPr/>
      </w:pPr>
      <w:r>
        <w:rPr>
          <w:rFonts w:ascii="Times New Roman;serif" w:hAnsi="Times New Roman;serif"/>
          <w:b w:val="false"/>
          <w:color w:val="000000"/>
          <w:sz w:val="24"/>
        </w:rPr>
        <w:t>Section 2.09</w:t>
      </w:r>
      <w:r>
        <w:rPr>
          <w:rFonts w:ascii="Times New Roman;serif" w:hAnsi="Times New Roman;serif"/>
          <w:b w:val="false"/>
          <w:color w:val="000000"/>
          <w:sz w:val="24"/>
          <w:u w:val="single"/>
        </w:rPr>
        <w:t>Outstanding Notes</w:t>
      </w:r>
      <w:r>
        <w:rPr>
          <w:rFonts w:ascii="Times New Roman;serif" w:hAnsi="Times New Roman;serif"/>
          <w:b w:val="false"/>
          <w:color w:val="000000"/>
          <w:sz w:val="24"/>
        </w:rPr>
        <w:t>.</w:t>
      </w:r>
    </w:p>
    <w:p>
      <w:pPr>
        <w:pStyle w:val="TextBody"/>
        <w:bidi w:val="0"/>
        <w:spacing w:lineRule="auto" w:line="30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rPr>
        <w:t xml:space="preserve">The Notes outstanding at any time are all the Notes authenticated by the Trustee except for those canceled by it, those delivered to it for cancellation, those reductions in the interest in a Global Note effected by the Trustee in accordance with the provisions hereof or any applicable supplemental indenture, and those described in this </w:t>
      </w:r>
      <w:r>
        <w:rPr>
          <w:rFonts w:ascii="Times New Roman;serif" w:hAnsi="Times New Roman;serif"/>
          <w:b w:val="false"/>
          <w:color w:val="000000"/>
          <w:sz w:val="24"/>
          <w:u w:val="single"/>
        </w:rPr>
        <w:t>Section 2.09</w:t>
      </w:r>
      <w:r>
        <w:rPr>
          <w:color w:val="000000"/>
        </w:rPr>
        <w:t xml:space="preserve"> </w:t>
      </w:r>
      <w:r>
        <w:rPr>
          <w:rFonts w:ascii="Times New Roman;serif" w:hAnsi="Times New Roman;serif"/>
          <w:b w:val="false"/>
          <w:color w:val="000000"/>
          <w:sz w:val="24"/>
        </w:rPr>
        <w:t xml:space="preserve">as not outstanding. Except as set forth in </w:t>
      </w:r>
      <w:r>
        <w:rPr>
          <w:rFonts w:ascii="Times New Roman;serif" w:hAnsi="Times New Roman;serif"/>
          <w:b w:val="false"/>
          <w:color w:val="000000"/>
          <w:sz w:val="24"/>
          <w:u w:val="single"/>
        </w:rPr>
        <w:t>Section 2.10</w:t>
      </w:r>
      <w:r>
        <w:rPr>
          <w:color w:val="000000"/>
        </w:rPr>
        <w:t xml:space="preserve"> </w:t>
      </w:r>
      <w:r>
        <w:rPr>
          <w:rFonts w:ascii="Times New Roman;serif" w:hAnsi="Times New Roman;serif"/>
          <w:b w:val="false"/>
          <w:color w:val="000000"/>
          <w:sz w:val="24"/>
        </w:rPr>
        <w:t>hereof, a Note does not cease to be outstanding because the Issuer or an Affiliate of the Issuer holds the Note.</w:t>
      </w:r>
    </w:p>
    <w:p>
      <w:pPr>
        <w:pStyle w:val="TextBody"/>
        <w:bidi w:val="0"/>
        <w:spacing w:lineRule="auto" w:line="30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rPr>
        <w:t xml:space="preserve">If a Note is replaced pursuant to </w:t>
      </w:r>
      <w:r>
        <w:rPr>
          <w:rFonts w:ascii="Times New Roman;serif" w:hAnsi="Times New Roman;serif"/>
          <w:b w:val="false"/>
          <w:color w:val="000000"/>
          <w:sz w:val="24"/>
          <w:u w:val="single"/>
        </w:rPr>
        <w:t>Section 2.07</w:t>
      </w:r>
      <w:r>
        <w:rPr>
          <w:color w:val="000000"/>
        </w:rPr>
        <w:t xml:space="preserve"> </w:t>
      </w:r>
      <w:r>
        <w:rPr>
          <w:rFonts w:ascii="Times New Roman;serif" w:hAnsi="Times New Roman;serif"/>
          <w:b w:val="false"/>
          <w:color w:val="000000"/>
          <w:sz w:val="24"/>
        </w:rPr>
        <w:t>hereof, it ceases to be outstanding unless the Trustee receives proof satisfactory to it that the replaced Note is held by a protected purchaser.</w:t>
      </w:r>
    </w:p>
    <w:p>
      <w:pPr>
        <w:pStyle w:val="TextBody"/>
        <w:bidi w:val="0"/>
        <w:spacing w:lineRule="auto" w:line="300" w:before="0" w:after="240"/>
        <w:ind w:left="0" w:right="0" w:firstLine="720"/>
        <w:jc w:val="both"/>
        <w:rPr/>
      </w:pPr>
      <w:r>
        <w:rPr>
          <w:rFonts w:ascii="Times New Roman;serif" w:hAnsi="Times New Roman;serif"/>
          <w:b w:val="false"/>
          <w:color w:val="000000"/>
          <w:sz w:val="24"/>
        </w:rPr>
        <w:t>(c)</w:t>
      </w:r>
      <w:r>
        <w:rPr>
          <w:rFonts w:ascii="Times New Roman;serif" w:hAnsi="Times New Roman;serif"/>
          <w:b w:val="false"/>
          <w:color w:val="000000"/>
          <w:sz w:val="24"/>
        </w:rPr>
        <w:t xml:space="preserve">If the principal amount of any Note is considered paid under </w:t>
      </w:r>
      <w:r>
        <w:rPr>
          <w:rFonts w:ascii="Times New Roman;serif" w:hAnsi="Times New Roman;serif"/>
          <w:b w:val="false"/>
          <w:color w:val="000000"/>
          <w:sz w:val="24"/>
          <w:u w:val="single"/>
        </w:rPr>
        <w:t>Section 4.01</w:t>
      </w:r>
      <w:r>
        <w:rPr>
          <w:color w:val="000000"/>
        </w:rPr>
        <w:t xml:space="preserve"> </w:t>
      </w:r>
      <w:r>
        <w:rPr>
          <w:rFonts w:ascii="Times New Roman;serif" w:hAnsi="Times New Roman;serif"/>
          <w:b w:val="false"/>
          <w:color w:val="000000"/>
          <w:sz w:val="24"/>
        </w:rPr>
        <w:t>hereof, it ceases to be outstanding and interest on it ceases to accrue.</w:t>
      </w:r>
    </w:p>
    <w:p>
      <w:pPr>
        <w:pStyle w:val="TextBody"/>
        <w:bidi w:val="0"/>
        <w:spacing w:lineRule="auto" w:line="300" w:before="0" w:after="240"/>
        <w:ind w:left="0" w:right="0" w:firstLine="720"/>
        <w:jc w:val="both"/>
        <w:rPr/>
      </w:pPr>
      <w:r>
        <w:rPr>
          <w:rFonts w:ascii="Times New Roman;serif" w:hAnsi="Times New Roman;serif"/>
          <w:b w:val="false"/>
          <w:color w:val="000000"/>
          <w:sz w:val="24"/>
        </w:rPr>
        <w:t>(d)</w:t>
      </w:r>
      <w:r>
        <w:rPr>
          <w:rFonts w:ascii="Times New Roman;serif" w:hAnsi="Times New Roman;serif"/>
          <w:b w:val="false"/>
          <w:color w:val="000000"/>
          <w:sz w:val="24"/>
        </w:rPr>
        <w:t>If the Paying Agent (other than the Issuer, a Subsidiary of the Issuer or an Affiliate of any thereof) holds, on a redemption date or maturity date, money sufficient to pay Notes payable on that date, then on and after that date such Notes will be deemed to be no longer outstanding and will cease to accrue interest.</w:t>
      </w:r>
    </w:p>
    <w:p>
      <w:pPr>
        <w:pStyle w:val="TextBody"/>
        <w:bidi w:val="0"/>
        <w:spacing w:lineRule="auto" w:line="300" w:before="0" w:after="240"/>
        <w:jc w:val="left"/>
        <w:rPr/>
      </w:pPr>
      <w:r>
        <w:rPr>
          <w:rFonts w:ascii="Times New Roman;serif" w:hAnsi="Times New Roman;serif"/>
          <w:b w:val="false"/>
          <w:color w:val="000000"/>
          <w:sz w:val="24"/>
        </w:rPr>
        <w:t>Section 2.10</w:t>
      </w:r>
      <w:r>
        <w:rPr>
          <w:rFonts w:ascii="Times New Roman;serif" w:hAnsi="Times New Roman;serif"/>
          <w:b w:val="false"/>
          <w:color w:val="000000"/>
          <w:sz w:val="24"/>
          <w:u w:val="single"/>
        </w:rPr>
        <w:t>Treasury Notes</w:t>
      </w:r>
      <w:r>
        <w:rPr>
          <w:rFonts w:ascii="Times New Roman;serif" w:hAnsi="Times New Roman;serif"/>
          <w:b w:val="false"/>
          <w:color w:val="000000"/>
          <w:sz w:val="24"/>
        </w:rPr>
        <w:t>.</w:t>
      </w:r>
    </w:p>
    <w:p>
      <w:pPr>
        <w:pStyle w:val="TextBody"/>
        <w:bidi w:val="0"/>
        <w:spacing w:lineRule="auto" w:line="30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In determining whether the Holders of the required principal amount of Notes have concurred in any direction, waiver or consent pursuant to the Note Documents, Notes owned by the Issuer or any Subsidiary Guarantor, or by any Person directly or indirectly controlling or controlled by or under direct or indirect common control with the Issuer or any Subsidiary Guarantor, will be considered as though not outstanding, except that for the purposes of determining whether the Trustee will be protected in relying on any such direction, waiver or consent, only Notes that a Responsible Officer of the Trustee actually knows are so owned will be so disregarded.</w:t>
      </w:r>
    </w:p>
    <w:p>
      <w:pPr>
        <w:pStyle w:val="TextBody"/>
        <w:bidi w:val="0"/>
        <w:spacing w:before="0" w:after="0"/>
        <w:jc w:val="left"/>
        <w:rPr/>
      </w:pPr>
      <w:r>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6480175" cy="768985"/>
                <wp:effectExtent l="0" t="0" r="0" b="0"/>
                <wp:wrapNone/>
                <wp:docPr id="220" name="Frame220"/>
                <a:graphic xmlns:a="http://schemas.openxmlformats.org/drawingml/2006/main">
                  <a:graphicData uri="http://schemas.microsoft.com/office/word/2010/wordprocessingShape">
                    <wps:wsp>
                      <wps:cNvSpPr txBox="1"/>
                      <wps:spPr>
                        <a:xfrm>
                          <a:off x="0" y="0"/>
                          <a:ext cx="6480175" cy="7689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47</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0.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47</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300" w:before="0" w:after="240"/>
        <w:jc w:val="both"/>
        <w:rPr/>
      </w:pPr>
      <w:r>
        <w:rPr>
          <w:rFonts w:ascii="Times New Roman;serif" w:hAnsi="Times New Roman;serif"/>
          <w:b w:val="false"/>
          <w:color w:val="000000"/>
          <w:sz w:val="24"/>
        </w:rPr>
        <w:t>Section 2.11</w:t>
      </w:r>
      <w:r>
        <w:rPr>
          <w:rFonts w:ascii="Times New Roman;serif" w:hAnsi="Times New Roman;serif"/>
          <w:b w:val="false"/>
          <w:color w:val="000000"/>
          <w:sz w:val="24"/>
          <w:u w:val="single"/>
        </w:rPr>
        <w:t>Temporary Notes</w:t>
      </w:r>
      <w:r>
        <w:rPr>
          <w:rFonts w:ascii="Times New Roman;serif" w:hAnsi="Times New Roman;serif"/>
          <w:b w:val="false"/>
          <w:color w:val="000000"/>
          <w:sz w:val="24"/>
        </w:rPr>
        <w:t>.</w:t>
      </w:r>
    </w:p>
    <w:p>
      <w:pPr>
        <w:pStyle w:val="TextBody"/>
        <w:bidi w:val="0"/>
        <w:spacing w:lineRule="auto" w:line="30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rPr>
        <w:t>Until certificates representing Notes are ready for delivery, the Issuer may prepare and the Trustee, upon receipt of an Issuer Order, will authenticate temporary Notes. Temporary Notes will be substantially in the form of certificated Notes but may have variations that the Issuer considers appropriate for temporary Notes and as may be reasonably acceptable to the Trustee. Without unreasonable delay, the Issuer will prepare and the Trustee will authenticate Definitive Notes in exchange for temporary Notes.</w:t>
      </w:r>
    </w:p>
    <w:p>
      <w:pPr>
        <w:pStyle w:val="TextBody"/>
        <w:bidi w:val="0"/>
        <w:spacing w:lineRule="auto" w:line="30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rPr>
        <w:t>Holders of temporary Notes will be entitled to all of the benefits of this Indenture as the Definitive Notes.</w:t>
      </w:r>
    </w:p>
    <w:p>
      <w:pPr>
        <w:pStyle w:val="TextBody"/>
        <w:bidi w:val="0"/>
        <w:spacing w:lineRule="auto" w:line="300" w:before="0" w:after="240"/>
        <w:jc w:val="left"/>
        <w:rPr/>
      </w:pPr>
      <w:r>
        <w:rPr>
          <w:rFonts w:ascii="Times New Roman;serif" w:hAnsi="Times New Roman;serif"/>
          <w:b w:val="false"/>
          <w:color w:val="000000"/>
          <w:sz w:val="24"/>
        </w:rPr>
        <w:t>Section 2.12</w:t>
      </w:r>
      <w:r>
        <w:rPr>
          <w:rFonts w:ascii="Times New Roman;serif" w:hAnsi="Times New Roman;serif"/>
          <w:b w:val="false"/>
          <w:color w:val="000000"/>
          <w:sz w:val="24"/>
          <w:u w:val="single"/>
        </w:rPr>
        <w:t>Cancellation</w:t>
      </w:r>
      <w:r>
        <w:rPr>
          <w:rFonts w:ascii="Times New Roman;serif" w:hAnsi="Times New Roman;serif"/>
          <w:b w:val="false"/>
          <w:color w:val="000000"/>
          <w:sz w:val="24"/>
        </w:rPr>
        <w:t>.</w:t>
      </w:r>
    </w:p>
    <w:p>
      <w:pPr>
        <w:pStyle w:val="TextBody"/>
        <w:bidi w:val="0"/>
        <w:spacing w:lineRule="auto" w:line="30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Issuer at any time may deliver Notes to the Trustee for cancellation. The Registrar and Paying Agent will forward to the Trustee any Notes surrendered to them for registration of transfer, exchange or payment. Upon receipt of an Issuer Order, the Trustee and no one else will cancel all Notes surrendered for registration of transfer, exchange, payment, replacement or cancellation and will dispose of such canceled Notes in its customary manner. Certification of the disposition of all canceled Notes will be delivered to the Issuer at the Issuer’s written request. The Issuer may not issue new Notes to replace Notes that it has paid or that have been delivered to the Trustee for cancellation.</w:t>
      </w:r>
    </w:p>
    <w:p>
      <w:pPr>
        <w:pStyle w:val="TextBody"/>
        <w:bidi w:val="0"/>
        <w:spacing w:lineRule="auto" w:line="300" w:before="0" w:after="240"/>
        <w:jc w:val="left"/>
        <w:rPr/>
      </w:pPr>
      <w:r>
        <w:rPr>
          <w:rFonts w:ascii="Times New Roman;serif" w:hAnsi="Times New Roman;serif"/>
          <w:b w:val="false"/>
          <w:color w:val="000000"/>
          <w:sz w:val="24"/>
        </w:rPr>
        <w:t>Section 2.13</w:t>
      </w:r>
      <w:r>
        <w:rPr>
          <w:rFonts w:ascii="Times New Roman;serif" w:hAnsi="Times New Roman;serif"/>
          <w:b w:val="false"/>
          <w:color w:val="000000"/>
          <w:sz w:val="24"/>
          <w:u w:val="single"/>
        </w:rPr>
        <w:t>CUSIP / ISIN</w:t>
      </w:r>
      <w:r>
        <w:rPr>
          <w:color w:val="000000"/>
          <w:u w:val="single"/>
        </w:rPr>
        <w:t xml:space="preserve"> </w:t>
      </w:r>
      <w:r>
        <w:rPr>
          <w:rFonts w:ascii="Times New Roman;serif" w:hAnsi="Times New Roman;serif"/>
          <w:b w:val="false"/>
          <w:color w:val="000000"/>
          <w:sz w:val="24"/>
          <w:u w:val="single"/>
        </w:rPr>
        <w:t>Numbers</w:t>
      </w:r>
      <w:r>
        <w:rPr>
          <w:rFonts w:ascii="Times New Roman;serif" w:hAnsi="Times New Roman;serif"/>
          <w:b w:val="false"/>
          <w:color w:val="000000"/>
          <w:sz w:val="24"/>
        </w:rPr>
        <w:t>.</w:t>
      </w:r>
    </w:p>
    <w:p>
      <w:pPr>
        <w:pStyle w:val="TextBody"/>
        <w:bidi w:val="0"/>
        <w:spacing w:lineRule="auto" w:line="300" w:before="0" w:after="240"/>
        <w:ind w:left="0" w:right="0" w:firstLine="720"/>
        <w:jc w:val="both"/>
        <w:rPr/>
      </w:pPr>
      <w:r>
        <w:rPr>
          <w:rFonts w:ascii="Times New Roman;serif" w:hAnsi="Times New Roman;serif"/>
          <w:b w:val="false"/>
          <w:color w:val="000000"/>
          <w:sz w:val="24"/>
        </w:rPr>
        <w:t>The Issuer in issuing the Notes may use “CUSIP” or “ISIN” numbers (if then generally in use), and, if so, the Trustee shall use “CUSIP” or “ISIN” numbers</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notices</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redemption</w:t>
      </w:r>
      <w:r>
        <w:rPr>
          <w:color w:val="000000"/>
        </w:rPr>
        <w:t xml:space="preserve"> </w:t>
      </w:r>
      <w:r>
        <w:rPr>
          <w:rFonts w:ascii="Times New Roman;serif" w:hAnsi="Times New Roman;serif"/>
          <w:b w:val="false"/>
          <w:color w:val="000000"/>
          <w:sz w:val="24"/>
        </w:rPr>
        <w:t>as</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convenience</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Holders;</w:t>
      </w:r>
      <w:r>
        <w:rPr>
          <w:color w:val="000000"/>
        </w:rPr>
        <w:t xml:space="preserve">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i/>
          <w:color w:val="000000"/>
          <w:sz w:val="24"/>
        </w:rPr>
        <w:t>that</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such</w:t>
      </w:r>
      <w:r>
        <w:rPr>
          <w:color w:val="000000"/>
        </w:rPr>
        <w:t xml:space="preserve"> </w:t>
      </w:r>
      <w:r>
        <w:rPr>
          <w:rFonts w:ascii="Times New Roman;serif" w:hAnsi="Times New Roman;serif"/>
          <w:b w:val="false"/>
          <w:color w:val="000000"/>
          <w:sz w:val="24"/>
        </w:rPr>
        <w:t>notice</w:t>
      </w:r>
      <w:r>
        <w:rPr>
          <w:color w:val="000000"/>
        </w:rPr>
        <w:t xml:space="preserve"> </w:t>
      </w:r>
      <w:r>
        <w:rPr>
          <w:rFonts w:ascii="Times New Roman;serif" w:hAnsi="Times New Roman;serif"/>
          <w:b w:val="false"/>
          <w:color w:val="000000"/>
          <w:sz w:val="24"/>
        </w:rPr>
        <w:t>may</w:t>
      </w:r>
      <w:r>
        <w:rPr>
          <w:color w:val="000000"/>
        </w:rPr>
        <w:t xml:space="preserve"> </w:t>
      </w:r>
      <w:r>
        <w:rPr>
          <w:rFonts w:ascii="Times New Roman;serif" w:hAnsi="Times New Roman;serif"/>
          <w:b w:val="false"/>
          <w:color w:val="000000"/>
          <w:sz w:val="24"/>
        </w:rPr>
        <w:t>state</w:t>
      </w:r>
      <w:r>
        <w:rPr>
          <w:color w:val="000000"/>
        </w:rPr>
        <w:t xml:space="preserve"> </w:t>
      </w:r>
      <w:r>
        <w:rPr>
          <w:rFonts w:ascii="Times New Roman;serif" w:hAnsi="Times New Roman;serif"/>
          <w:b w:val="false"/>
          <w:color w:val="000000"/>
          <w:sz w:val="24"/>
        </w:rPr>
        <w:t>that</w:t>
      </w:r>
      <w:r>
        <w:rPr>
          <w:color w:val="000000"/>
        </w:rPr>
        <w:t xml:space="preserve"> </w:t>
      </w:r>
      <w:r>
        <w:rPr>
          <w:rFonts w:ascii="Times New Roman;serif" w:hAnsi="Times New Roman;serif"/>
          <w:b w:val="false"/>
          <w:color w:val="000000"/>
          <w:sz w:val="24"/>
        </w:rPr>
        <w:t>no</w:t>
      </w:r>
      <w:r>
        <w:rPr>
          <w:color w:val="000000"/>
        </w:rPr>
        <w:t xml:space="preserve"> </w:t>
      </w:r>
      <w:r>
        <w:rPr>
          <w:rFonts w:ascii="Times New Roman;serif" w:hAnsi="Times New Roman;serif"/>
          <w:b w:val="false"/>
          <w:color w:val="000000"/>
          <w:sz w:val="24"/>
        </w:rPr>
        <w:t>representation</w:t>
      </w:r>
      <w:r>
        <w:rPr>
          <w:color w:val="000000"/>
        </w:rPr>
        <w:t xml:space="preserve"> </w:t>
      </w:r>
      <w:r>
        <w:rPr>
          <w:rFonts w:ascii="Times New Roman;serif" w:hAnsi="Times New Roman;serif"/>
          <w:b w:val="false"/>
          <w:color w:val="000000"/>
          <w:sz w:val="24"/>
        </w:rPr>
        <w:t>is</w:t>
      </w:r>
      <w:r>
        <w:rPr>
          <w:color w:val="000000"/>
        </w:rPr>
        <w:t xml:space="preserve"> </w:t>
      </w:r>
      <w:r>
        <w:rPr>
          <w:rFonts w:ascii="Times New Roman;serif" w:hAnsi="Times New Roman;serif"/>
          <w:b w:val="false"/>
          <w:color w:val="000000"/>
          <w:sz w:val="24"/>
        </w:rPr>
        <w:t>made</w:t>
      </w:r>
      <w:r>
        <w:rPr>
          <w:color w:val="000000"/>
        </w:rPr>
        <w:t xml:space="preserve"> </w:t>
      </w:r>
      <w:r>
        <w:rPr>
          <w:rFonts w:ascii="Times New Roman;serif" w:hAnsi="Times New Roman;serif"/>
          <w:b w:val="false"/>
          <w:color w:val="000000"/>
          <w:sz w:val="24"/>
        </w:rPr>
        <w:t>as</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correctness</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such</w:t>
      </w:r>
      <w:r>
        <w:rPr>
          <w:color w:val="000000"/>
        </w:rPr>
        <w:t xml:space="preserve"> </w:t>
      </w:r>
      <w:r>
        <w:rPr>
          <w:rFonts w:ascii="Times New Roman;serif" w:hAnsi="Times New Roman;serif"/>
          <w:b w:val="false"/>
          <w:color w:val="000000"/>
          <w:sz w:val="24"/>
        </w:rPr>
        <w:t>numbers</w:t>
      </w:r>
      <w:r>
        <w:rPr>
          <w:color w:val="000000"/>
        </w:rPr>
        <w:t xml:space="preserve"> </w:t>
      </w:r>
      <w:r>
        <w:rPr>
          <w:rFonts w:ascii="Times New Roman;serif" w:hAnsi="Times New Roman;serif"/>
          <w:b w:val="false"/>
          <w:color w:val="000000"/>
          <w:sz w:val="24"/>
        </w:rPr>
        <w:t>either</w:t>
      </w:r>
      <w:r>
        <w:rPr>
          <w:color w:val="000000"/>
        </w:rPr>
        <w:t xml:space="preserve"> </w:t>
      </w:r>
      <w:r>
        <w:rPr>
          <w:rFonts w:ascii="Times New Roman;serif" w:hAnsi="Times New Roman;serif"/>
          <w:b w:val="false"/>
          <w:color w:val="000000"/>
          <w:sz w:val="24"/>
        </w:rPr>
        <w:t>as</w:t>
      </w:r>
      <w:r>
        <w:rPr>
          <w:color w:val="000000"/>
        </w:rPr>
        <w:t xml:space="preserve"> </w:t>
      </w:r>
      <w:r>
        <w:rPr>
          <w:rFonts w:ascii="Times New Roman;serif" w:hAnsi="Times New Roman;serif"/>
          <w:b w:val="false"/>
          <w:color w:val="000000"/>
          <w:sz w:val="24"/>
        </w:rPr>
        <w:t>printed</w:t>
      </w:r>
      <w:r>
        <w:rPr>
          <w:color w:val="000000"/>
        </w:rPr>
        <w:t xml:space="preserve"> </w:t>
      </w:r>
      <w:r>
        <w:rPr>
          <w:rFonts w:ascii="Times New Roman;serif" w:hAnsi="Times New Roman;serif"/>
          <w:b w:val="false"/>
          <w:color w:val="000000"/>
          <w:sz w:val="24"/>
        </w:rPr>
        <w:t>on</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Notes</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as</w:t>
      </w:r>
      <w:r>
        <w:rPr>
          <w:color w:val="000000"/>
        </w:rPr>
        <w:t xml:space="preserve"> </w:t>
      </w:r>
      <w:r>
        <w:rPr>
          <w:rFonts w:ascii="Times New Roman;serif" w:hAnsi="Times New Roman;serif"/>
          <w:b w:val="false"/>
          <w:color w:val="000000"/>
          <w:sz w:val="24"/>
        </w:rPr>
        <w:t>contained</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notice</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redemption</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that</w:t>
      </w:r>
      <w:r>
        <w:rPr>
          <w:color w:val="000000"/>
        </w:rPr>
        <w:t xml:space="preserve"> </w:t>
      </w:r>
      <w:r>
        <w:rPr>
          <w:rFonts w:ascii="Times New Roman;serif" w:hAnsi="Times New Roman;serif"/>
          <w:b w:val="false"/>
          <w:color w:val="000000"/>
          <w:sz w:val="24"/>
        </w:rPr>
        <w:t>reliance</w:t>
      </w:r>
      <w:r>
        <w:rPr>
          <w:color w:val="000000"/>
        </w:rPr>
        <w:t xml:space="preserve"> </w:t>
      </w:r>
      <w:r>
        <w:rPr>
          <w:rFonts w:ascii="Times New Roman;serif" w:hAnsi="Times New Roman;serif"/>
          <w:b w:val="false"/>
          <w:color w:val="000000"/>
          <w:sz w:val="24"/>
        </w:rPr>
        <w:t>may</w:t>
      </w:r>
      <w:r>
        <w:rPr>
          <w:color w:val="000000"/>
        </w:rPr>
        <w:t xml:space="preserve"> </w:t>
      </w:r>
      <w:r>
        <w:rPr>
          <w:rFonts w:ascii="Times New Roman;serif" w:hAnsi="Times New Roman;serif"/>
          <w:b w:val="false"/>
          <w:color w:val="000000"/>
          <w:sz w:val="24"/>
        </w:rPr>
        <w:t>be</w:t>
      </w:r>
      <w:r>
        <w:rPr>
          <w:color w:val="000000"/>
        </w:rPr>
        <w:t xml:space="preserve"> </w:t>
      </w:r>
      <w:r>
        <w:rPr>
          <w:rFonts w:ascii="Times New Roman;serif" w:hAnsi="Times New Roman;serif"/>
          <w:b w:val="false"/>
          <w:color w:val="000000"/>
          <w:sz w:val="24"/>
        </w:rPr>
        <w:t>placed</w:t>
      </w:r>
      <w:r>
        <w:rPr>
          <w:color w:val="000000"/>
        </w:rPr>
        <w:t xml:space="preserve"> </w:t>
      </w:r>
      <w:r>
        <w:rPr>
          <w:rFonts w:ascii="Times New Roman;serif" w:hAnsi="Times New Roman;serif"/>
          <w:b w:val="false"/>
          <w:color w:val="000000"/>
          <w:sz w:val="24"/>
        </w:rPr>
        <w:t>only</w:t>
      </w:r>
      <w:r>
        <w:rPr>
          <w:color w:val="000000"/>
        </w:rPr>
        <w:t xml:space="preserve"> </w:t>
      </w:r>
      <w:r>
        <w:rPr>
          <w:rFonts w:ascii="Times New Roman;serif" w:hAnsi="Times New Roman;serif"/>
          <w:b w:val="false"/>
          <w:color w:val="000000"/>
          <w:sz w:val="24"/>
        </w:rPr>
        <w:t>on</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other</w:t>
      </w:r>
      <w:r>
        <w:rPr>
          <w:color w:val="000000"/>
        </w:rPr>
        <w:t xml:space="preserve"> </w:t>
      </w:r>
      <w:r>
        <w:rPr>
          <w:rFonts w:ascii="Times New Roman;serif" w:hAnsi="Times New Roman;serif"/>
          <w:b w:val="false"/>
          <w:color w:val="000000"/>
          <w:sz w:val="24"/>
        </w:rPr>
        <w:t>identification numbers printed on the Notes, and any such redemption shall not be affected by any defect in or omission of such numbers. The Issuer</w:t>
      </w:r>
      <w:r>
        <w:rPr>
          <w:color w:val="000000"/>
        </w:rPr>
        <w:t xml:space="preserve"> </w:t>
      </w:r>
      <w:r>
        <w:rPr>
          <w:rFonts w:ascii="Times New Roman;serif" w:hAnsi="Times New Roman;serif"/>
          <w:b w:val="false"/>
          <w:color w:val="000000"/>
          <w:sz w:val="24"/>
        </w:rPr>
        <w:t>will promptly notify the Trustee in writing of any change in the “CUSIP” or “ISIN” numbers.</w:t>
      </w:r>
    </w:p>
    <w:p>
      <w:pPr>
        <w:pStyle w:val="TextBody"/>
        <w:bidi w:val="0"/>
        <w:spacing w:lineRule="auto" w:line="240" w:before="0" w:after="240"/>
        <w:jc w:val="center"/>
        <w:rPr/>
      </w:pPr>
      <w:r>
        <w:rPr>
          <w:rFonts w:ascii="Times New Roman;serif" w:hAnsi="Times New Roman;serif"/>
          <w:b w:val="false"/>
          <w:color w:val="000000"/>
          <w:sz w:val="24"/>
        </w:rPr>
        <w:t>Article 3</w:t>
      </w:r>
      <w:r>
        <w:rPr>
          <w:rFonts w:ascii="Times New Roman;serif" w:hAnsi="Times New Roman;serif"/>
          <w:b w:val="false"/>
          <w:color w:val="000000"/>
          <w:sz w:val="24"/>
        </w:rPr>
        <w:br/>
        <w:t>REDEMPTION AND PREPAYMENT</w:t>
      </w:r>
    </w:p>
    <w:p>
      <w:pPr>
        <w:pStyle w:val="TextBody"/>
        <w:bidi w:val="0"/>
        <w:spacing w:lineRule="auto" w:line="240" w:before="0" w:after="240"/>
        <w:jc w:val="left"/>
        <w:rPr/>
      </w:pPr>
      <w:r>
        <w:rPr>
          <w:rFonts w:ascii="Times New Roman;serif" w:hAnsi="Times New Roman;serif"/>
          <w:b w:val="false"/>
          <w:color w:val="000000"/>
          <w:sz w:val="24"/>
        </w:rPr>
        <w:t>Section 3.01</w:t>
      </w:r>
      <w:r>
        <w:rPr>
          <w:rFonts w:ascii="Times New Roman;serif" w:hAnsi="Times New Roman;serif"/>
          <w:b w:val="false"/>
          <w:color w:val="000000"/>
          <w:sz w:val="24"/>
          <w:u w:val="single"/>
        </w:rPr>
        <w:t>Notices to Trustee</w:t>
      </w:r>
      <w:r>
        <w:rPr>
          <w:rFonts w:ascii="Times New Roman;serif" w:hAnsi="Times New Roman;serif"/>
          <w:b w:val="false"/>
          <w:color w:val="000000"/>
          <w:sz w:val="24"/>
        </w:rPr>
        <w: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The Issuer may, with respect to the Notes, reserve the right to redeem and pay the Notes or may covenant to redeem and pay the Notes or any part thereof prior to the Stated Maturity thereof at such time and on such terms as provided for in such Notes. If a Note is redeemable and the Issuer elects or is obligated to redeem such Notes pursuant to the provisions of such Notes, it must furnish to the Trustee, at least two days prior to the date of the written notice of redemption </w:t>
      </w:r>
    </w:p>
    <w:p>
      <w:pPr>
        <w:pStyle w:val="TextBody"/>
        <w:bidi w:val="0"/>
        <w:spacing w:before="0" w:after="0"/>
        <w:jc w:val="left"/>
        <w:rPr/>
      </w:pPr>
      <w:r>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6480175" cy="768985"/>
                <wp:effectExtent l="0" t="0" r="0" b="0"/>
                <wp:wrapNone/>
                <wp:docPr id="221" name="Frame221"/>
                <a:graphic xmlns:a="http://schemas.openxmlformats.org/drawingml/2006/main">
                  <a:graphicData uri="http://schemas.microsoft.com/office/word/2010/wordprocessingShape">
                    <wps:wsp>
                      <wps:cNvSpPr txBox="1"/>
                      <wps:spPr>
                        <a:xfrm>
                          <a:off x="0" y="0"/>
                          <a:ext cx="6480175" cy="7689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48</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0.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48</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pursuant to </w:t>
      </w:r>
      <w:r>
        <w:rPr>
          <w:rFonts w:ascii="Times New Roman;serif" w:hAnsi="Times New Roman;serif"/>
          <w:b w:val="false"/>
          <w:color w:val="000000"/>
          <w:sz w:val="24"/>
          <w:u w:val="single"/>
        </w:rPr>
        <w:t>Section 3.03</w:t>
      </w:r>
      <w:r>
        <w:rPr>
          <w:rFonts w:ascii="Times New Roman;serif" w:hAnsi="Times New Roman;serif"/>
          <w:b w:val="false"/>
          <w:color w:val="000000"/>
          <w:sz w:val="24"/>
        </w:rPr>
        <w:t>, unless a shorter period is acceptable to the Trustee, an Officer’s Certificate setting forth:</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(1)the clause of the Notes pursuant to which the redemption shall occur;</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(2)the redemption date;</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(3)the principal amount of the Notes to be redeemed;</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(4)the redemption price; and</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(5)the applicable CUSIP numbers, if any.</w:t>
      </w:r>
    </w:p>
    <w:p>
      <w:pPr>
        <w:pStyle w:val="TextBody"/>
        <w:bidi w:val="0"/>
        <w:spacing w:lineRule="auto" w:line="240" w:before="0" w:after="240"/>
        <w:jc w:val="left"/>
        <w:rPr/>
      </w:pPr>
      <w:r>
        <w:rPr>
          <w:rFonts w:ascii="Times New Roman;serif" w:hAnsi="Times New Roman;serif"/>
          <w:b w:val="false"/>
          <w:color w:val="000000"/>
          <w:sz w:val="24"/>
        </w:rPr>
        <w:t>Section 3.02</w:t>
      </w:r>
      <w:r>
        <w:rPr>
          <w:rFonts w:ascii="Times New Roman;serif" w:hAnsi="Times New Roman;serif"/>
          <w:b w:val="false"/>
          <w:color w:val="000000"/>
          <w:sz w:val="24"/>
          <w:u w:val="single"/>
        </w:rPr>
        <w:t>Selection of Notes to Be Redeemed</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If less than all of the Notes are to be redeemed at any time, the Notes to be redeemed will be selected on a </w:t>
      </w:r>
      <w:r>
        <w:rPr>
          <w:rFonts w:ascii="Times New Roman;serif" w:hAnsi="Times New Roman;serif"/>
          <w:b w:val="false"/>
          <w:i/>
          <w:color w:val="000000"/>
          <w:sz w:val="24"/>
        </w:rPr>
        <w:t>pro rata</w:t>
      </w:r>
      <w:r>
        <w:rPr>
          <w:color w:val="000000"/>
        </w:rPr>
        <w:t xml:space="preserve"> </w:t>
      </w:r>
      <w:r>
        <w:rPr>
          <w:rFonts w:ascii="Times New Roman;serif" w:hAnsi="Times New Roman;serif"/>
          <w:b w:val="false"/>
          <w:color w:val="000000"/>
          <w:sz w:val="24"/>
        </w:rPr>
        <w:t xml:space="preserve">pass-through distribution basis to the extent practicable or by lot or such other similar method in accordance with the Applicable Procedures, unless otherwise required by law or applicable stock exchange requirements (so long as the Trustee has actual knowledge of such listing). The Trustee shall not be liable for any selections made in accordance with this paragraph. </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In the event of partial redemption by lot, the Notes to be redeemed shall be selected, unless otherwise provided herein, not less than 10 nor more than 60 days prior to the redemption by the Trustee from the outstanding Notes not previously called for redemption.</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The Trustee shall promptly notify the Issuer in writing of the Notes selected for redemption and, in the case of any Note selected for partial redemption, the principal amount thereof to be redeemed. Notes and portions of Notes selected shall be in minimum amounts of $2,000 or whole multiples of $1,000 in excess of $2,000; </w:t>
      </w:r>
      <w:r>
        <w:rPr>
          <w:rFonts w:ascii="Times New Roman;serif" w:hAnsi="Times New Roman;serif"/>
          <w:b w:val="false"/>
          <w:i/>
          <w:color w:val="000000"/>
          <w:sz w:val="24"/>
        </w:rPr>
        <w:t>except that</w:t>
      </w:r>
      <w:r>
        <w:rPr>
          <w:color w:val="000000"/>
        </w:rPr>
        <w:t xml:space="preserve"> </w:t>
      </w:r>
      <w:r>
        <w:rPr>
          <w:rFonts w:ascii="Times New Roman;serif" w:hAnsi="Times New Roman;serif"/>
          <w:b w:val="false"/>
          <w:color w:val="000000"/>
          <w:sz w:val="24"/>
        </w:rPr>
        <w:t>if all of the Notes of a Holder are to be redeemed, the entire outstanding amount of Notes held by such Holder, even if not a multiple of $1,000, shall be redeemed. Except as provided in the preceding sentence, provisions of this Indenture that apply to the Notes called for redemption also apply to portions of Notes called for redemption.</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No Notes of $2,000 or less shall be redeemed in part. Notices of redemption shall be mailed by first-class mail or delivered electronically at least 10 but not more than 60 days before the redemption date to each Holder to be redeemed, except that redemption notices may be mailed or delivered electronically more than 60 days prior to a redemption date if the notice is issued in connection with a defeasance of the Notes or a satisfaction and discharge of this Indenture and any Special Mandatory Redemption (as defined below) shall be made in accordance with the provisions of Section 3.08.</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If any Note is to be redeemed in part only, the notice of redemption that relates to that Note shall state the portion of the principal amount of that Note that is to be redeemed. In the case of certificated Notes, a new Note in principal amount equal to the unredeemed portion of the original Note shall be issued in the name of the Holder upon cancellation of the original Note.</w:t>
      </w:r>
    </w:p>
    <w:p>
      <w:pPr>
        <w:pStyle w:val="TextBody"/>
        <w:bidi w:val="0"/>
        <w:spacing w:before="0" w:after="0"/>
        <w:jc w:val="left"/>
        <w:rPr/>
      </w:pPr>
      <w:r>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6480175" cy="768985"/>
                <wp:effectExtent l="0" t="0" r="0" b="0"/>
                <wp:wrapNone/>
                <wp:docPr id="222" name="Frame222"/>
                <a:graphic xmlns:a="http://schemas.openxmlformats.org/drawingml/2006/main">
                  <a:graphicData uri="http://schemas.microsoft.com/office/word/2010/wordprocessingShape">
                    <wps:wsp>
                      <wps:cNvSpPr txBox="1"/>
                      <wps:spPr>
                        <a:xfrm>
                          <a:off x="0" y="0"/>
                          <a:ext cx="6480175" cy="7689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49</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0.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49</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left"/>
        <w:rPr/>
      </w:pPr>
      <w:r>
        <w:rPr>
          <w:rFonts w:ascii="Times New Roman;serif" w:hAnsi="Times New Roman;serif"/>
          <w:b w:val="false"/>
          <w:color w:val="000000"/>
          <w:sz w:val="24"/>
        </w:rPr>
        <w:t>Section 3.03</w:t>
      </w:r>
      <w:r>
        <w:rPr>
          <w:rFonts w:ascii="Times New Roman;serif" w:hAnsi="Times New Roman;serif"/>
          <w:b w:val="false"/>
          <w:color w:val="000000"/>
          <w:sz w:val="24"/>
          <w:u w:val="single"/>
        </w:rPr>
        <w:t>Notice of Redemption</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At least 10 days but not more than 60 days before a redemption date, the Issuer shall mail or cause to be mailed, by first-class mail or delivered electronically, a notice of redemption to each Holder whose Notes are to be redeemed, except that redemption notices may be mailed or delivered electronically more than 60 days prior to a redemption date if the notice is issued in connection with a defeasance of the Notes or a satisfaction and discharge of this Indenture pursuant to </w:t>
      </w:r>
      <w:r>
        <w:rPr>
          <w:rFonts w:ascii="Times New Roman;serif" w:hAnsi="Times New Roman;serif"/>
          <w:b w:val="false"/>
          <w:color w:val="000000"/>
          <w:sz w:val="24"/>
          <w:u w:val="single"/>
        </w:rPr>
        <w:t>Article 8</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Article 10</w:t>
      </w:r>
      <w:r>
        <w:rPr>
          <w:color w:val="000000"/>
        </w:rPr>
        <w:t xml:space="preserve"> </w:t>
      </w:r>
      <w:r>
        <w:rPr>
          <w:rFonts w:ascii="Times New Roman;serif" w:hAnsi="Times New Roman;serif"/>
          <w:b w:val="false"/>
          <w:color w:val="000000"/>
          <w:sz w:val="24"/>
        </w:rPr>
        <w:t>hereof and any Special Mandatory Redemption shall be made in accordance with the provisions of Section 3.08.</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notice will identify the Notes to be redeemed and will state:</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(1)the redemption date;</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(2)the redemption price;</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(3)if any Note is being redeemed in part, the portion of the principal amount of such Note to be redeemed and that, after the redemption date upon surrender of such Note, in the case of certificated Notes, a new Note or Notes in principal amount equal to the unredeemed portion will be issued in the name of the Holder upon cancellation of the original Note;</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(4)the name and address of the Paying Agent;</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(5)that Notes called for redemption must be surrendered to the Paying Agent to collect the redemption price;</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(6)that, unless the Issuer defaults in making such redemption payment, interest on Notes called for redemption ceases to accrue on and after the redemption date;</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(7)the applicable section of this Indenture and/or the Note pursuant to which the Notes called for redemption are being redeemed;</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(8)that no representation is made as to the correctness or accuracy of the CUSIP number, if any, listed in such notice or printed on the Notes; and</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(9)if such redemption is subject to the satisfaction of one of more conditions precedent, such notice shall state that, in the Issuer’s discretion, the redemption date may be delayed until such time as any or all such conditions shall be satisfied (or waived by the Issuer in its sole discretion), such redemption may not occur and such notice may be rescinded in the event that any or all of such conditions shall not have been satisfied (or waived by the Issuer in its sole discretion) by the redemption date, or by the redemption date so delayed.</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At the Issuer’s request, the Trustee shall give the notice of redemption in the Issuer’s name and at its expense; </w:t>
      </w:r>
      <w:r>
        <w:rPr>
          <w:rFonts w:ascii="Times New Roman;serif" w:hAnsi="Times New Roman;serif"/>
          <w:b w:val="false"/>
          <w:i/>
          <w:color w:val="000000"/>
          <w:sz w:val="24"/>
        </w:rPr>
        <w:t>provided, however</w:t>
      </w:r>
      <w:r>
        <w:rPr>
          <w:rFonts w:ascii="Times New Roman;serif" w:hAnsi="Times New Roman;serif"/>
          <w:b w:val="false"/>
          <w:color w:val="000000"/>
          <w:sz w:val="24"/>
        </w:rPr>
        <w:t>, that the Issuer has delivered to the Trustee, at least two days prior to the date of the notice of redemption (or such shorter period as the Trustee in its sole discretion may allow), an Officer’s Certificate requesting that the Trustee give such notice and setting forth the information to be stated in such notice as provided in the preceding paragraph.</w:t>
      </w:r>
    </w:p>
    <w:p>
      <w:pPr>
        <w:pStyle w:val="TextBody"/>
        <w:bidi w:val="0"/>
        <w:spacing w:before="0" w:after="0"/>
        <w:jc w:val="left"/>
        <w:rPr/>
      </w:pPr>
      <w:r>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6480175" cy="768985"/>
                <wp:effectExtent l="0" t="0" r="0" b="0"/>
                <wp:wrapNone/>
                <wp:docPr id="223" name="Frame223"/>
                <a:graphic xmlns:a="http://schemas.openxmlformats.org/drawingml/2006/main">
                  <a:graphicData uri="http://schemas.microsoft.com/office/word/2010/wordprocessingShape">
                    <wps:wsp>
                      <wps:cNvSpPr txBox="1"/>
                      <wps:spPr>
                        <a:xfrm>
                          <a:off x="0" y="0"/>
                          <a:ext cx="6480175" cy="7689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50</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0.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50</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Notice of any redemption of the Notes (other than a Special Mandatory Redemption) may, at the Issuer’s discretion, be given prior to the consummation of a transaction or event (including an Equity Offering, an incurrence of Indebtedness, a Change of Control Triggering Event or other transaction or event), and any such redemption may, in the Issuer’s discretion, be subject to the satisfaction of one or more conditions precedent (including the consummation of an Equity Offering, an incurrence of Indebtedness, a Change of Control Triggering Event or other transaction or event). If such redemption is subject to the satisfaction of one of more conditions precedent, such notice shall state that, in the Issuer’s discretion, the redemption date may be delayed until such time (including more than 60 days after the date the notice of redemption was mailed or delivered, including by electronic transmission) as any or all such conditions shall be satisfied (or waived by the Issuer in its sole discretion), such redemption may not occur and such notice may be rescinded in the event that any or all of such conditions shall not have been satisfied (or waived by the Issuer in its sole discretion) by the redemption date, or by the redemption date so delayed. If any such condition precedent has not been satisfied, the Issuer shall provide written notice to the Trustee and each Holder prior to the close of business one Business Day prior to the redemption date. Upon receipt of such notice, unless the Issuer has elected to delay, such notice of redemption shall be rescinded and the redemption of the Notes shall not occur. If requested by the Issuer, upon receipt of the rescission notice, the Trustee shall provide such notice to each Holder in the same manner in which the notice of redemption was given if such notice was delivered by the Trustee. In addition, the Issuer may provide in such notice that payment of the redemption price and performance of the Issuer’s obligations with respect to such redemption may be performed by another Person. </w:t>
      </w:r>
    </w:p>
    <w:p>
      <w:pPr>
        <w:pStyle w:val="TextBody"/>
        <w:bidi w:val="0"/>
        <w:spacing w:lineRule="auto" w:line="240" w:before="0" w:after="240"/>
        <w:jc w:val="left"/>
        <w:rPr/>
      </w:pPr>
      <w:r>
        <w:rPr>
          <w:rFonts w:ascii="Times New Roman;serif" w:hAnsi="Times New Roman;serif"/>
          <w:b w:val="false"/>
          <w:color w:val="000000"/>
          <w:sz w:val="24"/>
        </w:rPr>
        <w:t>Section 3.04</w:t>
      </w:r>
      <w:r>
        <w:rPr>
          <w:rFonts w:ascii="Times New Roman;serif" w:hAnsi="Times New Roman;serif"/>
          <w:b w:val="false"/>
          <w:color w:val="000000"/>
          <w:sz w:val="24"/>
          <w:u w:val="single"/>
        </w:rPr>
        <w:t>Effect of Notice of Redemption</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Once notice of redemption is mailed or delivered electronically in accordance with </w:t>
      </w:r>
      <w:r>
        <w:rPr>
          <w:rFonts w:ascii="Times New Roman;serif" w:hAnsi="Times New Roman;serif"/>
          <w:b w:val="false"/>
          <w:color w:val="000000"/>
          <w:sz w:val="24"/>
          <w:u w:val="single"/>
        </w:rPr>
        <w:t>Section 3.03</w:t>
      </w:r>
      <w:r>
        <w:rPr>
          <w:color w:val="000000"/>
        </w:rPr>
        <w:t xml:space="preserve"> </w:t>
      </w:r>
      <w:r>
        <w:rPr>
          <w:rFonts w:ascii="Times New Roman;serif" w:hAnsi="Times New Roman;serif"/>
          <w:b w:val="false"/>
          <w:color w:val="000000"/>
          <w:sz w:val="24"/>
        </w:rPr>
        <w:t>hereof, Notes called for redemption become, subject to any conditions precedent set forth in the notice of redemption, irrevocably due and payable on the redemption date at the redemption price.</w:t>
      </w:r>
    </w:p>
    <w:p>
      <w:pPr>
        <w:pStyle w:val="TextBody"/>
        <w:bidi w:val="0"/>
        <w:spacing w:lineRule="auto" w:line="240" w:before="0" w:after="240"/>
        <w:jc w:val="left"/>
        <w:rPr/>
      </w:pPr>
      <w:r>
        <w:rPr>
          <w:rFonts w:ascii="Times New Roman;serif" w:hAnsi="Times New Roman;serif"/>
          <w:b w:val="false"/>
          <w:color w:val="000000"/>
          <w:sz w:val="24"/>
        </w:rPr>
        <w:t>Section 3.05</w:t>
      </w:r>
      <w:r>
        <w:rPr>
          <w:rFonts w:ascii="Times New Roman;serif" w:hAnsi="Times New Roman;serif"/>
          <w:b w:val="false"/>
          <w:color w:val="000000"/>
          <w:sz w:val="24"/>
          <w:u w:val="single"/>
        </w:rPr>
        <w:t>Deposit of Redemption Price</w:t>
      </w:r>
      <w:r>
        <w:rPr>
          <w:rFonts w:ascii="Times New Roman;serif" w:hAnsi="Times New Roman;serif"/>
          <w:b w:val="false"/>
          <w:color w:val="000000"/>
          <w:sz w:val="24"/>
        </w:rPr>
        <w: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One Business Day prior to the redemption date, the Issuer shall deposit with the Trustee or with the Paying Agent money sufficient to pay the redemption price of, accrued interest to but excluding the redemption date, and premium, if any, on all Notes to be redeemed on that date. Promptly after the Issuer’s written request, the Trustee or the Paying Agent shall promptly return to the Issuer any money deposited with the Trustee or the Paying Agent by the Issuer in excess of the amounts necessary to pay the redemption price of, accrued interest, and premium, if any, on, all Notes to be redeemed.</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If the Issuer complies with the provisions of the preceding paragraph, on and after the redemption date, interest will cease to accrue on the Notes or the portions of Notes called for redemption.</w:t>
      </w:r>
    </w:p>
    <w:p>
      <w:pPr>
        <w:pStyle w:val="TextBody"/>
        <w:bidi w:val="0"/>
        <w:spacing w:before="0" w:after="0"/>
        <w:jc w:val="left"/>
        <w:rPr/>
      </w:pPr>
      <w:r>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6480175" cy="768985"/>
                <wp:effectExtent l="0" t="0" r="0" b="0"/>
                <wp:wrapNone/>
                <wp:docPr id="224" name="Frame224"/>
                <a:graphic xmlns:a="http://schemas.openxmlformats.org/drawingml/2006/main">
                  <a:graphicData uri="http://schemas.microsoft.com/office/word/2010/wordprocessingShape">
                    <wps:wsp>
                      <wps:cNvSpPr txBox="1"/>
                      <wps:spPr>
                        <a:xfrm>
                          <a:off x="0" y="0"/>
                          <a:ext cx="6480175" cy="7689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51</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0.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51</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If a Note is redeemed on or after an interest record date but on or prior to the related interest payment date, then any accrued and unpaid interest shall be paid to the Person in whose name such Note was registered at the close of business on such record date. If any Note called for redemption is not so paid upon surrender for redemption because of the failure of the Issuer to comply with the preceding paragraph, interest shall be paid on the unpaid principal, from the redemption date until such principal is paid, and to the extent lawful on any interest not paid on such unpaid principal, in each case at the rate provided in the Notes and in </w:t>
      </w:r>
      <w:r>
        <w:rPr>
          <w:rFonts w:ascii="Times New Roman;serif" w:hAnsi="Times New Roman;serif"/>
          <w:b w:val="false"/>
          <w:color w:val="000000"/>
          <w:sz w:val="24"/>
          <w:u w:val="single"/>
        </w:rPr>
        <w:t>Section 4.01</w:t>
      </w:r>
      <w:r>
        <w:rPr>
          <w:color w:val="000000"/>
        </w:rPr>
        <w:t xml:space="preserve"> </w:t>
      </w:r>
      <w:r>
        <w:rPr>
          <w:rFonts w:ascii="Times New Roman;serif" w:hAnsi="Times New Roman;serif"/>
          <w:b w:val="false"/>
          <w:color w:val="000000"/>
          <w:sz w:val="24"/>
        </w:rPr>
        <w:t>hereof.</w:t>
      </w:r>
    </w:p>
    <w:p>
      <w:pPr>
        <w:pStyle w:val="TextBody"/>
        <w:bidi w:val="0"/>
        <w:spacing w:lineRule="auto" w:line="240" w:before="0" w:after="240"/>
        <w:jc w:val="left"/>
        <w:rPr/>
      </w:pPr>
      <w:r>
        <w:rPr>
          <w:rFonts w:ascii="Times New Roman;serif" w:hAnsi="Times New Roman;serif"/>
          <w:b w:val="false"/>
          <w:color w:val="000000"/>
          <w:sz w:val="24"/>
        </w:rPr>
        <w:t>Section 3.06</w:t>
      </w:r>
      <w:r>
        <w:rPr>
          <w:rFonts w:ascii="Times New Roman;serif" w:hAnsi="Times New Roman;serif"/>
          <w:b w:val="false"/>
          <w:color w:val="000000"/>
          <w:sz w:val="24"/>
          <w:u w:val="single"/>
        </w:rPr>
        <w:t>Notes Redeemed in Part</w:t>
      </w:r>
      <w:r>
        <w:rPr>
          <w:rFonts w:ascii="Times New Roman;serif" w:hAnsi="Times New Roman;serif"/>
          <w:b w:val="false"/>
          <w:color w:val="000000"/>
          <w:sz w:val="24"/>
        </w:rPr>
        <w: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Upon surrender of a Note that is redeemed in part, the Issuer shall issue and, upon receipt of an Issuer Order, the Trustee shall cause to be transferred by book entry, at the expense of the Issuer, a new Note equal in principal amount to the unredeemed portion of the Note surrendered.</w:t>
      </w:r>
    </w:p>
    <w:p>
      <w:pPr>
        <w:pStyle w:val="TextBody"/>
        <w:bidi w:val="0"/>
        <w:spacing w:lineRule="auto" w:line="240" w:before="0" w:after="240"/>
        <w:jc w:val="left"/>
        <w:rPr/>
      </w:pPr>
      <w:r>
        <w:rPr>
          <w:rFonts w:ascii="Times New Roman;serif" w:hAnsi="Times New Roman;serif"/>
          <w:b w:val="false"/>
          <w:color w:val="000000"/>
          <w:sz w:val="24"/>
        </w:rPr>
        <w:t>Section 3.07</w:t>
      </w:r>
      <w:r>
        <w:rPr>
          <w:rFonts w:ascii="Times New Roman;serif" w:hAnsi="Times New Roman;serif"/>
          <w:b w:val="false"/>
          <w:color w:val="000000"/>
          <w:sz w:val="24"/>
          <w:u w:val="single"/>
        </w:rPr>
        <w:t>Optional Redemption</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rPr>
        <w:t>At any time prior to May 1, 2029, the Issuer may, on any one or more occasions, redeem all or a part of the Notes at a redemption price equal to 100% of the principal amount of the Notes to be redeemed, plus the Applicable Premium as of, and accrued and unpaid interest, if any, to, but excluding, the redemption date, subject to the rights of Holders of such Notes on the relevant record date to receive interest due on the relevant interest payment date.</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rPr>
        <w:t xml:space="preserve">At any time prior to May 1, 2029, the Issuer may, on any one or more occasions, redeem the Notes with the proceeds from any Equity Offering at a redemption price equal to 106.375% of the principal amount of the Notes, plus accrued and unpaid interest, if any, to, but excluding, the redemption date (subject to the rights of Holders of such Notes on the relevant record date to receive interest due on the relevant interest payment date), in an aggregate principal amount for all such redemptions not to exceed 40% of the aggregate principal amount of the Notes issued under this Indenture; </w:t>
      </w:r>
      <w:r>
        <w:rPr>
          <w:rFonts w:ascii="Times New Roman;serif" w:hAnsi="Times New Roman;serif"/>
          <w:b w:val="false"/>
          <w:i/>
          <w:color w:val="000000"/>
          <w:sz w:val="24"/>
        </w:rPr>
        <w:t>provided that</w:t>
      </w:r>
      <w:r>
        <w:rPr>
          <w:rFonts w:ascii="Times New Roman;serif" w:hAnsi="Times New Roman;serif"/>
          <w:b w:val="false"/>
          <w:color w:val="000000"/>
          <w:sz w:val="24"/>
        </w:rPr>
        <w:t>:</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(1)in each case the redemption takes place not later than 180 days after the closing of the related Equity Offering, and</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(2)not less than 50% of the aggregate principal amount of the then-outstanding Notes issued under this Indenture remain outstanding immediately thereafter (excluding Notes held by the Issuer or any of its Subsidiaries), unless all such Notes are redeemed or repurchased or to be redeemed or repurchased substantially concurrently.</w:t>
      </w:r>
    </w:p>
    <w:p>
      <w:pPr>
        <w:pStyle w:val="TextBody"/>
        <w:bidi w:val="0"/>
        <w:spacing w:lineRule="auto" w:line="240" w:before="0" w:after="240"/>
        <w:ind w:left="0" w:right="0" w:firstLine="720"/>
        <w:jc w:val="both"/>
        <w:rPr/>
      </w:pPr>
      <w:r>
        <w:rPr>
          <w:rFonts w:ascii="Times New Roman;serif" w:hAnsi="Times New Roman;serif"/>
          <w:b w:val="false"/>
          <w:color w:val="000000"/>
          <w:sz w:val="24"/>
        </w:rPr>
        <w:t>(c)</w:t>
      </w:r>
      <w:r>
        <w:rPr>
          <w:rFonts w:ascii="Times New Roman;serif" w:hAnsi="Times New Roman;serif"/>
          <w:b w:val="false"/>
          <w:color w:val="000000"/>
          <w:sz w:val="24"/>
        </w:rPr>
        <w:t>At any time on or after May 1, 2029, the Issuer may, on any one or more occasions, redeem all or a part of the Notes at the following redemption prices (expressed as a percentage of principal amount of the Notes to be redeemed) set forth below, plus accrued and unpaid interest, if any, to, but excluding, the redemption date, if redeemed during the 12-month period beginning on May 1 of each of the years indicated below, subject to the rights of Holders of such Notes on the relevant record date to receive interest due on the relevant interest payment date:</w:t>
      </w:r>
    </w:p>
    <w:tbl>
      <w:tblPr>
        <w:tblW w:w="1996" w:type="dxa"/>
        <w:jc w:val="left"/>
        <w:tblInd w:w="0" w:type="dxa"/>
        <w:tblLayout w:type="fixed"/>
        <w:tblCellMar>
          <w:top w:w="28" w:type="dxa"/>
          <w:left w:w="28" w:type="dxa"/>
          <w:bottom w:w="28" w:type="dxa"/>
          <w:right w:w="28" w:type="dxa"/>
        </w:tblCellMar>
      </w:tblPr>
      <w:tblGrid>
        <w:gridCol w:w="228"/>
        <w:gridCol w:w="201"/>
        <w:gridCol w:w="202"/>
        <w:gridCol w:w="399"/>
        <w:gridCol w:w="399"/>
        <w:gridCol w:w="567"/>
      </w:tblGrid>
      <w:tr>
        <w:trPr/>
        <w:tc>
          <w:tcPr>
            <w:tcW w:w="228"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r>
      <w:tr>
        <w:trPr/>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u w:val="single"/>
              </w:rPr>
            </w:pPr>
            <w:r>
              <w:rPr>
                <w:rFonts w:ascii="Times New Roman;serif" w:hAnsi="Times New Roman;serif"/>
                <w:b/>
                <w:color w:val="000000"/>
                <w:sz w:val="24"/>
                <w:u w:val="single"/>
              </w:rPr>
              <w:t>Year</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u w:val="single"/>
              </w:rPr>
            </w:pPr>
            <w:r>
              <w:rPr>
                <w:rFonts w:ascii="Times New Roman;serif" w:hAnsi="Times New Roman;serif"/>
                <w:b/>
                <w:color w:val="000000"/>
                <w:sz w:val="24"/>
                <w:u w:val="single"/>
              </w:rPr>
              <w:t>Percentage</w:t>
            </w:r>
          </w:p>
        </w:tc>
      </w:tr>
      <w:tr>
        <w:trPr/>
        <w:tc>
          <w:tcPr>
            <w:tcW w:w="63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2029</w:t>
            </w:r>
          </w:p>
        </w:tc>
        <w:tc>
          <w:tcPr>
            <w:tcW w:w="1365" w:type="dxa"/>
            <w:gridSpan w:val="3"/>
            <w:tcBorders/>
            <w:tcMar>
              <w:top w:w="0" w:type="dxa"/>
              <w:left w:w="0" w:type="dxa"/>
              <w:bottom w:w="0" w:type="dxa"/>
              <w:right w:w="0" w:type="dxa"/>
            </w:tcMar>
            <w:vAlign w:val="center"/>
          </w:tcPr>
          <w:p>
            <w:pPr>
              <w:pStyle w:val="TableContents"/>
              <w:bidi w:val="0"/>
              <w:spacing w:lineRule="auto" w:line="288" w:before="0" w:after="0"/>
              <w:jc w:val="right"/>
              <w:rPr>
                <w:color w:val="000000"/>
              </w:rPr>
            </w:pPr>
            <w:r>
              <w:rPr>
                <w:color w:val="000000"/>
              </w:rPr>
              <w:t>    </w:t>
            </w:r>
            <w:r>
              <w:rPr>
                <w:rFonts w:ascii="Times New Roman;serif" w:hAnsi="Times New Roman;serif"/>
                <w:b w:val="false"/>
                <w:color w:val="000000"/>
                <w:sz w:val="24"/>
              </w:rPr>
              <w:t>103.188%</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6480175" cy="768985"/>
                <wp:effectExtent l="0" t="0" r="0" b="0"/>
                <wp:wrapNone/>
                <wp:docPr id="225" name="Frame225"/>
                <a:graphic xmlns:a="http://schemas.openxmlformats.org/drawingml/2006/main">
                  <a:graphicData uri="http://schemas.microsoft.com/office/word/2010/wordprocessingShape">
                    <wps:wsp>
                      <wps:cNvSpPr txBox="1"/>
                      <wps:spPr>
                        <a:xfrm>
                          <a:off x="0" y="0"/>
                          <a:ext cx="6480175" cy="7689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52</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0.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52</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tbl>
      <w:tblPr>
        <w:tblW w:w="3314" w:type="dxa"/>
        <w:jc w:val="left"/>
        <w:tblInd w:w="0" w:type="dxa"/>
        <w:tblLayout w:type="fixed"/>
        <w:tblCellMar>
          <w:top w:w="28" w:type="dxa"/>
          <w:left w:w="28" w:type="dxa"/>
          <w:bottom w:w="28" w:type="dxa"/>
          <w:right w:w="28" w:type="dxa"/>
        </w:tblCellMar>
      </w:tblPr>
      <w:tblGrid>
        <w:gridCol w:w="703"/>
        <w:gridCol w:w="618"/>
        <w:gridCol w:w="628"/>
        <w:gridCol w:w="400"/>
        <w:gridCol w:w="400"/>
        <w:gridCol w:w="565"/>
      </w:tblGrid>
      <w:tr>
        <w:trPr/>
        <w:tc>
          <w:tcPr>
            <w:tcW w:w="70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2030</w:t>
            </w:r>
          </w:p>
        </w:tc>
        <w:tc>
          <w:tcPr>
            <w:tcW w:w="1365" w:type="dxa"/>
            <w:gridSpan w:val="3"/>
            <w:tcBorders/>
            <w:tcMar>
              <w:top w:w="0" w:type="dxa"/>
              <w:left w:w="0" w:type="dxa"/>
              <w:bottom w:w="0" w:type="dxa"/>
              <w:right w:w="0" w:type="dxa"/>
            </w:tcMar>
            <w:vAlign w:val="center"/>
          </w:tcPr>
          <w:p>
            <w:pPr>
              <w:pStyle w:val="TableContents"/>
              <w:bidi w:val="0"/>
              <w:spacing w:lineRule="auto" w:line="288" w:before="0" w:after="0"/>
              <w:jc w:val="right"/>
              <w:rPr>
                <w:color w:val="000000"/>
              </w:rPr>
            </w:pPr>
            <w:r>
              <w:rPr>
                <w:color w:val="000000"/>
              </w:rPr>
              <w:t>    </w:t>
            </w:r>
            <w:r>
              <w:rPr>
                <w:rFonts w:ascii="Times New Roman;serif" w:hAnsi="Times New Roman;serif"/>
                <w:b w:val="false"/>
                <w:color w:val="000000"/>
                <w:sz w:val="24"/>
              </w:rPr>
              <w:t>101.594%</w:t>
            </w:r>
          </w:p>
        </w:tc>
      </w:tr>
      <w:tr>
        <w:trPr/>
        <w:tc>
          <w:tcPr>
            <w:tcW w:w="194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2031 and thereafter</w:t>
            </w:r>
          </w:p>
        </w:tc>
        <w:tc>
          <w:tcPr>
            <w:tcW w:w="1365" w:type="dxa"/>
            <w:gridSpan w:val="3"/>
            <w:tcBorders/>
            <w:tcMar>
              <w:top w:w="0" w:type="dxa"/>
              <w:left w:w="0" w:type="dxa"/>
              <w:bottom w:w="0" w:type="dxa"/>
              <w:right w:w="0" w:type="dxa"/>
            </w:tcMar>
            <w:vAlign w:val="center"/>
          </w:tcPr>
          <w:p>
            <w:pPr>
              <w:pStyle w:val="TableContents"/>
              <w:bidi w:val="0"/>
              <w:spacing w:lineRule="auto" w:line="288" w:before="0" w:after="0"/>
              <w:jc w:val="right"/>
              <w:rPr>
                <w:color w:val="000000"/>
              </w:rPr>
            </w:pPr>
            <w:r>
              <w:rPr>
                <w:color w:val="000000"/>
              </w:rPr>
              <w:t>    </w:t>
            </w:r>
            <w:r>
              <w:rPr>
                <w:rFonts w:ascii="Times New Roman;serif" w:hAnsi="Times New Roman;serif"/>
                <w:b w:val="false"/>
                <w:color w:val="000000"/>
                <w:sz w:val="24"/>
              </w:rPr>
              <w:t>100.000%</w:t>
            </w:r>
          </w:p>
        </w:tc>
      </w:tr>
    </w:tbl>
    <w:p>
      <w:pPr>
        <w:pStyle w:val="TextBody"/>
        <w:bidi w:val="0"/>
        <w:spacing w:before="0" w:after="240"/>
        <w:jc w:val="both"/>
        <w:rPr/>
      </w:pPr>
      <w:r>
        <w:rPr/>
      </w:r>
    </w:p>
    <w:p>
      <w:pPr>
        <w:pStyle w:val="TextBody"/>
        <w:bidi w:val="0"/>
        <w:spacing w:lineRule="auto" w:line="240" w:before="0" w:after="240"/>
        <w:ind w:left="0" w:right="0" w:firstLine="720"/>
        <w:jc w:val="both"/>
        <w:rPr/>
      </w:pPr>
      <w:r>
        <w:rPr>
          <w:rFonts w:ascii="Times New Roman;serif" w:hAnsi="Times New Roman;serif"/>
          <w:b w:val="false"/>
          <w:color w:val="000000"/>
          <w:sz w:val="24"/>
        </w:rPr>
        <w:t>(d)</w:t>
      </w:r>
      <w:r>
        <w:rPr>
          <w:rFonts w:ascii="Times New Roman;serif" w:hAnsi="Times New Roman;serif"/>
          <w:b w:val="false"/>
          <w:color w:val="000000"/>
          <w:sz w:val="24"/>
        </w:rPr>
        <w:t xml:space="preserve">Notwithstanding the foregoing, in connection with any tender offer for or other offer to purchase the Notes, including a Change of Control Offer, if Holders of not less than 90% in aggregate principal amount of the outstanding Notes validly tender and do not validly withdraw such Notes in such offer and the Issuer, or any third party making such an offer in lieu of the Issuer, purchase all of the Notes validly tendered and not withdrawn by such Holders, all Holders of Notes will be deemed to have consented to such offer, and the Issuer or such third party will have the right upon not less than 10 nor more than 60 days’ notice, given not more than 30 days following such offer expiration date, to redeem (with respect to the Issuer) or purchase (with respect to a third party) Notes that remain outstanding, in whole but not in part, following such purchase at a price equal to the price paid to each other Holder of Notes (excluding any early tender, incentive or similar fee) in such offer, plus, to the extent not included in the offer payment, accrued and unpaid interest, if any, thereon, to, but excluding, such redemption date (subject to the rights of Holders of such Notes on the relevant record date to receive interest due on the relevant interest payment date). In determining whether the Holders of at least 90% of the aggregate principal amount of the then outstanding Notes have validly tendered and not validly withdrawn such Notes in a tender offer or other offer to purchase, such calculation shall include all Notes owned by an Affiliate of the Issuer (notwithstanding any provision of this Indenture to the contrary). </w:t>
      </w:r>
    </w:p>
    <w:p>
      <w:pPr>
        <w:pStyle w:val="TextBody"/>
        <w:bidi w:val="0"/>
        <w:spacing w:lineRule="auto" w:line="240" w:before="0" w:after="240"/>
        <w:ind w:left="0" w:right="0" w:firstLine="720"/>
        <w:jc w:val="both"/>
        <w:rPr/>
      </w:pPr>
      <w:r>
        <w:rPr>
          <w:rFonts w:ascii="Times New Roman;serif" w:hAnsi="Times New Roman;serif"/>
          <w:b w:val="false"/>
          <w:color w:val="000000"/>
          <w:sz w:val="24"/>
        </w:rPr>
        <w:t>(e)</w:t>
      </w:r>
      <w:r>
        <w:rPr>
          <w:rFonts w:ascii="Times New Roman;serif" w:hAnsi="Times New Roman;serif"/>
          <w:b w:val="false"/>
          <w:color w:val="000000"/>
          <w:sz w:val="24"/>
        </w:rPr>
        <w:t xml:space="preserve">If a redemption date is not a Business Day, payment may be made on the next succeeding day that is a Business Day, and no interest shall accrue on any amount that would have been otherwise payable on such redemption date if it were a Business Day for the intervening period. </w:t>
      </w:r>
    </w:p>
    <w:p>
      <w:pPr>
        <w:pStyle w:val="TextBody"/>
        <w:bidi w:val="0"/>
        <w:spacing w:lineRule="auto" w:line="240" w:before="0" w:after="240"/>
        <w:jc w:val="left"/>
        <w:rPr/>
      </w:pPr>
      <w:r>
        <w:rPr>
          <w:rFonts w:ascii="Times New Roman;serif" w:hAnsi="Times New Roman;serif"/>
          <w:b w:val="false"/>
          <w:color w:val="000000"/>
          <w:sz w:val="24"/>
        </w:rPr>
        <w:t>Section 3.08</w:t>
      </w:r>
      <w:r>
        <w:rPr>
          <w:rFonts w:ascii="Times New Roman;serif" w:hAnsi="Times New Roman;serif"/>
          <w:b w:val="false"/>
          <w:color w:val="000000"/>
          <w:sz w:val="24"/>
          <w:u w:val="single"/>
        </w:rPr>
        <w:t>Special Mandatory Redemption</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rPr>
        <w:t>Except as set forth in this Section 3.08, the Issuer is not required to make mandatory redemption or sinking fund payments with respect to the Notes.</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rPr>
        <w:t>If (i) the Cornerstone Acquisition has not been completed on or prior to 11:59 p.m. (New York City time) on January 15, 2027 (or, to the extent such date is automatically extended pursuant to the terms of the Cornerstone Merger Agreement to July 15, 2027) (such date, as extended if applicable, the “</w:t>
      </w:r>
      <w:r>
        <w:rPr>
          <w:rFonts w:ascii="Times New Roman;serif" w:hAnsi="Times New Roman;serif"/>
          <w:b w:val="false"/>
          <w:i/>
          <w:color w:val="000000"/>
          <w:sz w:val="24"/>
        </w:rPr>
        <w:t>Outside Date</w:t>
      </w:r>
      <w:r>
        <w:rPr>
          <w:color w:val="000000"/>
        </w:rPr>
        <w:t>”</w:t>
      </w:r>
      <w:r>
        <w:rPr>
          <w:rFonts w:ascii="Times New Roman;serif" w:hAnsi="Times New Roman;serif"/>
          <w:b w:val="false"/>
          <w:color w:val="000000"/>
          <w:sz w:val="24"/>
        </w:rPr>
        <w:t>), or (ii) prior to 11:59 p.m. (New York City time) on the Outside Date, (a) the Issuer determines that the Cornerstone Acquisition will not be consummated on or before the Outside Date or (b) the Cornerstone Merger Agreement has been terminated (the earlier to occur of the events described in clauses (i) and (ii) of this sentence, an “</w:t>
      </w:r>
      <w:r>
        <w:rPr>
          <w:rFonts w:ascii="Times New Roman;serif" w:hAnsi="Times New Roman;serif"/>
          <w:b w:val="false"/>
          <w:i/>
          <w:color w:val="000000"/>
          <w:sz w:val="24"/>
        </w:rPr>
        <w:t>Acquisition Triggering Event</w:t>
      </w:r>
      <w:r>
        <w:rPr>
          <w:color w:val="000000"/>
        </w:rPr>
        <w:t>”</w:t>
      </w:r>
      <w:r>
        <w:rPr>
          <w:rFonts w:ascii="Times New Roman;serif" w:hAnsi="Times New Roman;serif"/>
          <w:b w:val="false"/>
          <w:color w:val="000000"/>
          <w:sz w:val="24"/>
        </w:rPr>
        <w:t>), the Issuer will redeem (a “</w:t>
      </w:r>
      <w:r>
        <w:rPr>
          <w:rFonts w:ascii="Times New Roman;serif" w:hAnsi="Times New Roman;serif"/>
          <w:b w:val="false"/>
          <w:i/>
          <w:color w:val="000000"/>
          <w:sz w:val="24"/>
        </w:rPr>
        <w:t>Special Mandatory Redemption</w:t>
      </w:r>
      <w:r>
        <w:rPr>
          <w:color w:val="000000"/>
        </w:rPr>
        <w:t>”</w:t>
      </w:r>
      <w:r>
        <w:rPr>
          <w:rFonts w:ascii="Times New Roman;serif" w:hAnsi="Times New Roman;serif"/>
          <w:b w:val="false"/>
          <w:color w:val="000000"/>
          <w:sz w:val="24"/>
        </w:rPr>
        <w:t>) within 30 days after the Acquisition Triggering Event, $1,750,000,000 in aggregate principal amount of the Notes, at a redemption price equal to 100% of the issue price thereof, plus accrued and unpaid interest to, but not including, the redemption date (the “</w:t>
      </w:r>
      <w:r>
        <w:rPr>
          <w:rFonts w:ascii="Times New Roman;serif" w:hAnsi="Times New Roman;serif"/>
          <w:b w:val="false"/>
          <w:i/>
          <w:color w:val="000000"/>
          <w:sz w:val="24"/>
        </w:rPr>
        <w:t>Special Mandatory Redemption Price</w:t>
      </w:r>
      <w:r>
        <w:rPr>
          <w:color w:val="000000"/>
        </w:rPr>
        <w:t>”</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(c)</w:t>
      </w:r>
      <w:r>
        <w:rPr>
          <w:rFonts w:ascii="Times New Roman;serif" w:hAnsi="Times New Roman;serif"/>
          <w:b w:val="false"/>
          <w:color w:val="000000"/>
          <w:sz w:val="24"/>
        </w:rPr>
        <w:t>Upon the occurrence of an Acquisition Triggering Event, the Issuer will promptly (but in no event later than five Business Days following such Acquisition Triggering Event) notify (such notice, a “</w:t>
      </w:r>
      <w:r>
        <w:rPr>
          <w:rFonts w:ascii="Times New Roman;serif" w:hAnsi="Times New Roman;serif"/>
          <w:b w:val="false"/>
          <w:i/>
          <w:color w:val="000000"/>
          <w:sz w:val="24"/>
        </w:rPr>
        <w:t>Special Mandatory Redemption Notice</w:t>
      </w:r>
      <w:r>
        <w:rPr>
          <w:color w:val="000000"/>
        </w:rPr>
        <w:t>”</w:t>
      </w:r>
      <w:r>
        <w:rPr>
          <w:rFonts w:ascii="Times New Roman;serif" w:hAnsi="Times New Roman;serif"/>
          <w:b w:val="false"/>
          <w:color w:val="000000"/>
          <w:sz w:val="24"/>
        </w:rPr>
        <w:t xml:space="preserve">) the Holders of the Notes, by mail or electronic delivery (with an Officer’s Certificate certifying the occurrence of the applicable Acquisition Triggering Event to be delivered to the Trustee prior to or substantially </w:t>
      </w:r>
    </w:p>
    <w:p>
      <w:pPr>
        <w:pStyle w:val="TextBody"/>
        <w:bidi w:val="0"/>
        <w:spacing w:before="0" w:after="0"/>
        <w:jc w:val="left"/>
        <w:rPr/>
      </w:pPr>
      <w:r>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6480175" cy="768985"/>
                <wp:effectExtent l="0" t="0" r="0" b="0"/>
                <wp:wrapNone/>
                <wp:docPr id="226" name="Frame226"/>
                <a:graphic xmlns:a="http://schemas.openxmlformats.org/drawingml/2006/main">
                  <a:graphicData uri="http://schemas.microsoft.com/office/word/2010/wordprocessingShape">
                    <wps:wsp>
                      <wps:cNvSpPr txBox="1"/>
                      <wps:spPr>
                        <a:xfrm>
                          <a:off x="0" y="0"/>
                          <a:ext cx="6480175" cy="7689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53</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0.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53</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rPr>
        <w:t>simultaneously with such notice) (i) that Notes will be redeemed no later than 30 days after the applicable Acquisition Triggering Event (such date, a “</w:t>
      </w:r>
      <w:r>
        <w:rPr>
          <w:rFonts w:ascii="Times New Roman;serif" w:hAnsi="Times New Roman;serif"/>
          <w:b w:val="false"/>
          <w:i/>
          <w:color w:val="000000"/>
          <w:sz w:val="24"/>
        </w:rPr>
        <w:t>Special Mandatory Redemption Date</w:t>
      </w:r>
      <w:r>
        <w:rPr>
          <w:color w:val="000000"/>
        </w:rPr>
        <w:t>”</w:t>
      </w:r>
      <w:r>
        <w:rPr>
          <w:rFonts w:ascii="Times New Roman;serif" w:hAnsi="Times New Roman;serif"/>
          <w:b w:val="false"/>
          <w:color w:val="000000"/>
          <w:sz w:val="24"/>
        </w:rPr>
        <w:t>), in each case in accordance with Article 3 hereof and (ii) the amount of the Notes that shall be redeemed at the applicable Special Mandatory Redemption Price on the Special Mandatory Redemption Date, automatically and without any further action by the Holders, in each case in accordance with Article 3 hereof. The date on which the notice described above is provided to the Holders is referred to as a “</w:t>
      </w:r>
      <w:r>
        <w:rPr>
          <w:rFonts w:ascii="Times New Roman;serif" w:hAnsi="Times New Roman;serif"/>
          <w:b w:val="false"/>
          <w:i/>
          <w:color w:val="000000"/>
          <w:sz w:val="24"/>
        </w:rPr>
        <w:t>Special Mandatory Redemption Notice Date”</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(d)</w:t>
      </w:r>
      <w:r>
        <w:rPr>
          <w:rFonts w:ascii="Times New Roman;serif" w:hAnsi="Times New Roman;serif"/>
          <w:b w:val="false"/>
          <w:color w:val="000000"/>
          <w:sz w:val="24"/>
        </w:rPr>
        <w:t>At the Issuer’s written request, the Trustee shall give the notice of an Acquisition Triggering Event to the Holders in the Issuer’s name and at the Issuer’s expense, which request (together with such Officer’s Certificate) shall be delivered to the Trustee at least one Business Day before the delivery of the notice to the Holders of the Notes.</w:t>
      </w:r>
    </w:p>
    <w:p>
      <w:pPr>
        <w:pStyle w:val="TextBody"/>
        <w:bidi w:val="0"/>
        <w:spacing w:lineRule="auto" w:line="240" w:before="0" w:after="240"/>
        <w:ind w:left="0" w:right="0" w:firstLine="720"/>
        <w:jc w:val="both"/>
        <w:rPr/>
      </w:pPr>
      <w:r>
        <w:rPr>
          <w:rFonts w:ascii="Times New Roman;serif" w:hAnsi="Times New Roman;serif"/>
          <w:b w:val="false"/>
          <w:color w:val="000000"/>
          <w:sz w:val="24"/>
        </w:rPr>
        <w:t>(e)</w:t>
      </w:r>
      <w:r>
        <w:rPr>
          <w:rFonts w:ascii="Times New Roman;serif" w:hAnsi="Times New Roman;serif"/>
          <w:b w:val="false"/>
          <w:color w:val="000000"/>
          <w:sz w:val="24"/>
        </w:rPr>
        <w:t>At or prior to 11:00 a.m., New York City time, on a Special Mandatory Redemption Date, the Issuer will deposit with the Trustee funds sufficient to pay the applicable Special Mandatory Redemption Price for the Notes to be redeemed and direct, through written instruction, the Trustee to redeem the applicable Notes on the Special Mandatory Redemption Date. If such deposit is made as provided above, the applicable redeemed Notes will cease to bear interest on and after the Special Mandatory Redemption Date and the Trustee shall cause the redemption of the applicable Notes and the payment of the applicable Special Mandatory Redemption Price, in accordance with the Special Mandatory Redemption Notice to the Holders of the redeemed Notes.</w:t>
      </w:r>
    </w:p>
    <w:p>
      <w:pPr>
        <w:pStyle w:val="TextBody"/>
        <w:bidi w:val="0"/>
        <w:spacing w:lineRule="auto" w:line="240" w:before="0" w:after="240"/>
        <w:ind w:left="0" w:right="0" w:firstLine="720"/>
        <w:jc w:val="both"/>
        <w:rPr/>
      </w:pPr>
      <w:r>
        <w:rPr>
          <w:rFonts w:ascii="Times New Roman;serif" w:hAnsi="Times New Roman;serif"/>
          <w:b w:val="false"/>
          <w:color w:val="000000"/>
          <w:sz w:val="24"/>
        </w:rPr>
        <w:t>(f)</w:t>
      </w:r>
      <w:r>
        <w:rPr>
          <w:rFonts w:ascii="Times New Roman;serif" w:hAnsi="Times New Roman;serif"/>
          <w:b w:val="false"/>
          <w:color w:val="000000"/>
          <w:sz w:val="24"/>
        </w:rPr>
        <w:t>Upon the consummation of the Cornerstone Acquisition, this Section 3.08 shall cease to apply.</w:t>
      </w:r>
    </w:p>
    <w:p>
      <w:pPr>
        <w:pStyle w:val="TextBody"/>
        <w:bidi w:val="0"/>
        <w:spacing w:lineRule="auto" w:line="240" w:before="0" w:after="240"/>
        <w:jc w:val="left"/>
        <w:rPr/>
      </w:pPr>
      <w:r>
        <w:rPr>
          <w:rFonts w:ascii="Times New Roman;serif" w:hAnsi="Times New Roman;serif"/>
          <w:b w:val="false"/>
          <w:color w:val="000000"/>
          <w:sz w:val="24"/>
        </w:rPr>
        <w:t>Section 3.09</w:t>
      </w:r>
      <w:r>
        <w:rPr>
          <w:rFonts w:ascii="Times New Roman;serif" w:hAnsi="Times New Roman;serif"/>
          <w:b w:val="false"/>
          <w:color w:val="000000"/>
          <w:sz w:val="24"/>
          <w:u w:val="single"/>
        </w:rPr>
        <w:t>Calculation of Redemption Price</w:t>
      </w:r>
      <w:r>
        <w:rPr>
          <w:rFonts w:ascii="Times New Roman;serif" w:hAnsi="Times New Roman;serif"/>
          <w:b w:val="false"/>
          <w:color w:val="000000"/>
          <w:sz w:val="24"/>
        </w:rPr>
        <w: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Neither the Agent nor the Trustee shall have an obligation to calculate or verify the redemption price of any Note.</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Upon any redemption that requires the payment of the Applicable Premium (including, without limitation, in connection with the Issuer’s exercise of its Legal Defeasance option or Covenant Defeasance option as set forth in </w:t>
      </w:r>
      <w:r>
        <w:rPr>
          <w:rFonts w:ascii="Times New Roman;serif" w:hAnsi="Times New Roman;serif"/>
          <w:b w:val="false"/>
          <w:color w:val="000000"/>
          <w:sz w:val="24"/>
          <w:u w:val="single"/>
        </w:rPr>
        <w:t>Article 8</w:t>
      </w:r>
      <w:r>
        <w:rPr>
          <w:color w:val="000000"/>
        </w:rPr>
        <w:t xml:space="preserve"> </w:t>
      </w:r>
      <w:r>
        <w:rPr>
          <w:rFonts w:ascii="Times New Roman;serif" w:hAnsi="Times New Roman;serif"/>
          <w:b w:val="false"/>
          <w:color w:val="000000"/>
          <w:sz w:val="24"/>
        </w:rPr>
        <w:t xml:space="preserve">or the discharge of the Issuer’s obligations under the Note Documents in accordance with </w:t>
      </w:r>
      <w:r>
        <w:rPr>
          <w:rFonts w:ascii="Times New Roman;serif" w:hAnsi="Times New Roman;serif"/>
          <w:b w:val="false"/>
          <w:color w:val="000000"/>
          <w:sz w:val="24"/>
          <w:u w:val="single"/>
        </w:rPr>
        <w:t>Article 10</w:t>
      </w:r>
      <w:r>
        <w:rPr>
          <w:rFonts w:ascii="Times New Roman;serif" w:hAnsi="Times New Roman;serif"/>
          <w:b w:val="false"/>
          <w:color w:val="000000"/>
          <w:sz w:val="24"/>
        </w:rPr>
        <w:t>), the amount deposited with the Trustee shall be sufficient for purposes of this Indenture to the extent that an amount is deposited with the Trustee equal to the Applicable Premium calculated as of the date of the notice of redemption, with any deficit as of the date of redemption (any such amount, the “</w:t>
      </w:r>
      <w:r>
        <w:rPr>
          <w:rFonts w:ascii="Times New Roman;serif" w:hAnsi="Times New Roman;serif"/>
          <w:b w:val="false"/>
          <w:i/>
          <w:color w:val="000000"/>
          <w:sz w:val="24"/>
        </w:rPr>
        <w:t>Applicable Premium Deficit</w:t>
      </w:r>
      <w:r>
        <w:rPr>
          <w:color w:val="000000"/>
        </w:rPr>
        <w:t>”</w:t>
      </w:r>
      <w:r>
        <w:rPr>
          <w:rFonts w:ascii="Times New Roman;serif" w:hAnsi="Times New Roman;serif"/>
          <w:b w:val="false"/>
          <w:color w:val="000000"/>
          <w:sz w:val="24"/>
        </w:rPr>
        <w:t>) only required to be deposited with the Trustee on or prior to the date of redemption. Any Applicable Premium Deficit shall be set forth in an Officer’s Certificate delivered to the Trustee simultaneously with the deposit of such Applicable Premium Deficit that confirms that such Applicable Premium Deficit shall be applied toward such redemption.</w:t>
      </w:r>
    </w:p>
    <w:p>
      <w:pPr>
        <w:pStyle w:val="TextBody"/>
        <w:bidi w:val="0"/>
        <w:spacing w:lineRule="auto" w:line="240" w:before="0" w:after="240"/>
        <w:jc w:val="center"/>
        <w:rPr/>
      </w:pPr>
      <w:r>
        <w:rPr>
          <w:rFonts w:ascii="Times New Roman;serif" w:hAnsi="Times New Roman;serif"/>
          <w:b w:val="false"/>
          <w:color w:val="000000"/>
          <w:sz w:val="24"/>
        </w:rPr>
        <w:t>Article 4</w:t>
      </w:r>
      <w:r>
        <w:rPr>
          <w:rFonts w:ascii="Times New Roman;serif" w:hAnsi="Times New Roman;serif"/>
          <w:b w:val="false"/>
          <w:color w:val="000000"/>
          <w:sz w:val="24"/>
        </w:rPr>
        <w:br/>
        <w:t>COVENANTS</w:t>
      </w:r>
    </w:p>
    <w:p>
      <w:pPr>
        <w:pStyle w:val="TextBody"/>
        <w:bidi w:val="0"/>
        <w:spacing w:lineRule="auto" w:line="240" w:before="0" w:after="240"/>
        <w:jc w:val="left"/>
        <w:rPr/>
      </w:pPr>
      <w:r>
        <w:rPr>
          <w:rFonts w:ascii="Times New Roman;serif" w:hAnsi="Times New Roman;serif"/>
          <w:b w:val="false"/>
          <w:color w:val="000000"/>
          <w:sz w:val="24"/>
        </w:rPr>
        <w:t>Section 4.01</w:t>
      </w:r>
      <w:r>
        <w:rPr>
          <w:rFonts w:ascii="Times New Roman;serif" w:hAnsi="Times New Roman;serif"/>
          <w:b w:val="false"/>
          <w:color w:val="000000"/>
          <w:sz w:val="24"/>
          <w:u w:val="single"/>
        </w:rPr>
        <w:t>Payment of Notes</w:t>
      </w:r>
      <w:r>
        <w:rPr>
          <w:rFonts w:ascii="Times New Roman;serif" w:hAnsi="Times New Roman;serif"/>
          <w:b w:val="false"/>
          <w:color w:val="000000"/>
          <w:sz w:val="24"/>
        </w:rPr>
        <w: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The Issuer shall pay or cause to be paid the principal of, premium, if any, and interest on the Notes on the dates and in the manner provided in this Indenture and the Notes. Principal, </w:t>
      </w:r>
    </w:p>
    <w:p>
      <w:pPr>
        <w:pStyle w:val="TextBody"/>
        <w:bidi w:val="0"/>
        <w:spacing w:before="0" w:after="0"/>
        <w:jc w:val="left"/>
        <w:rPr/>
      </w:pPr>
      <w:r>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6480175" cy="768985"/>
                <wp:effectExtent l="0" t="0" r="0" b="0"/>
                <wp:wrapNone/>
                <wp:docPr id="227" name="Frame227"/>
                <a:graphic xmlns:a="http://schemas.openxmlformats.org/drawingml/2006/main">
                  <a:graphicData uri="http://schemas.microsoft.com/office/word/2010/wordprocessingShape">
                    <wps:wsp>
                      <wps:cNvSpPr txBox="1"/>
                      <wps:spPr>
                        <a:xfrm>
                          <a:off x="0" y="0"/>
                          <a:ext cx="6480175" cy="7689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54</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0.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54</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premium, if any, and interest will be considered paid on the date due if the Paying Agent, if other than the Issuer or a Subsidiary thereof, holds as of 11:00 a.m. New York City time on the due date money deposited by the Issuer in immediately available funds and designated for and sufficient to pay all principal, premium, if any, and interest then due.</w:t>
      </w:r>
    </w:p>
    <w:p>
      <w:pPr>
        <w:pStyle w:val="TextBody"/>
        <w:bidi w:val="0"/>
        <w:spacing w:lineRule="auto" w:line="240" w:before="0" w:after="240"/>
        <w:jc w:val="left"/>
        <w:rPr/>
      </w:pPr>
      <w:r>
        <w:rPr>
          <w:rFonts w:ascii="Times New Roman;serif" w:hAnsi="Times New Roman;serif"/>
          <w:b w:val="false"/>
          <w:color w:val="000000"/>
          <w:sz w:val="24"/>
        </w:rPr>
        <w:t>Section 4.02</w:t>
      </w:r>
      <w:r>
        <w:rPr>
          <w:rFonts w:ascii="Times New Roman;serif" w:hAnsi="Times New Roman;serif"/>
          <w:b w:val="false"/>
          <w:color w:val="000000"/>
          <w:sz w:val="24"/>
          <w:u w:val="single"/>
        </w:rPr>
        <w:t>Maintenance of Office or Agency</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rPr>
        <w:t>The Issuer shall, for the benefit of Holders, maintain an office or agency (which may be an office of the Trustee or an Affiliate of the Trustee or Registrar) where Notes may be surrendered for registration of transfer or for exchange and where notices and demands to or upon the Issuer in respect of the Notes and this Indenture may be served. The Issuer shall give prompt written notice to the Trustee of the location, and any change in the location, of such office or agency. If at any time the Issuer fails to maintain any such required office or agency or fails to furnish the Trustee with the address thereof, such presentations, surrenders, notices and demands may be made or served at the Corporate Trust Office of the Trustee.</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rPr>
        <w:t>The Issuer may also from time to time designate one or more other offices or agencies where the Notes may be presented or surrendered for any or all such purposes and may from time to time rescind such designations. The Issuer shall give prompt written notice to the Trustee of any such designation or rescission and of any change in the location of any such other office or agency.</w:t>
      </w:r>
    </w:p>
    <w:p>
      <w:pPr>
        <w:pStyle w:val="TextBody"/>
        <w:bidi w:val="0"/>
        <w:spacing w:lineRule="auto" w:line="240" w:before="0" w:after="240"/>
        <w:ind w:left="0" w:right="0" w:firstLine="720"/>
        <w:jc w:val="both"/>
        <w:rPr/>
      </w:pPr>
      <w:r>
        <w:rPr>
          <w:rFonts w:ascii="Times New Roman;serif" w:hAnsi="Times New Roman;serif"/>
          <w:b w:val="false"/>
          <w:color w:val="000000"/>
          <w:sz w:val="24"/>
        </w:rPr>
        <w:t>(c)</w:t>
      </w:r>
      <w:r>
        <w:rPr>
          <w:rFonts w:ascii="Times New Roman;serif" w:hAnsi="Times New Roman;serif"/>
          <w:b w:val="false"/>
          <w:color w:val="000000"/>
          <w:sz w:val="24"/>
        </w:rPr>
        <w:t xml:space="preserve">The Issuer hereby designates the Corporate Trust Office of the Trustee for such Notes as one such office or agency of the Issuer in accordance with </w:t>
      </w:r>
      <w:r>
        <w:rPr>
          <w:rFonts w:ascii="Times New Roman;serif" w:hAnsi="Times New Roman;serif"/>
          <w:b w:val="false"/>
          <w:color w:val="000000"/>
          <w:sz w:val="24"/>
          <w:u w:val="single"/>
        </w:rPr>
        <w:t>Section 2.03</w:t>
      </w:r>
      <w:r>
        <w:rPr>
          <w:color w:val="000000"/>
        </w:rPr>
        <w:t xml:space="preserve"> </w:t>
      </w:r>
      <w:r>
        <w:rPr>
          <w:rFonts w:ascii="Times New Roman;serif" w:hAnsi="Times New Roman;serif"/>
          <w:b w:val="false"/>
          <w:color w:val="000000"/>
          <w:sz w:val="24"/>
        </w:rPr>
        <w:t xml:space="preserve">hereof;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w:t>
      </w:r>
      <w:r>
        <w:rPr>
          <w:rFonts w:ascii="Times New Roman;serif" w:hAnsi="Times New Roman;serif"/>
          <w:b w:val="false"/>
          <w:i/>
          <w:color w:val="000000"/>
          <w:sz w:val="24"/>
        </w:rPr>
        <w:t>however</w:t>
      </w:r>
      <w:r>
        <w:rPr>
          <w:rFonts w:ascii="Times New Roman;serif" w:hAnsi="Times New Roman;serif"/>
          <w:b w:val="false"/>
          <w:color w:val="000000"/>
          <w:sz w:val="24"/>
        </w:rPr>
        <w:t>, the Trustee shall not be deemed an agent of the Issuer for the service of legal process.</w:t>
      </w:r>
    </w:p>
    <w:p>
      <w:pPr>
        <w:pStyle w:val="TextBody"/>
        <w:bidi w:val="0"/>
        <w:spacing w:lineRule="auto" w:line="240" w:before="0" w:after="240"/>
        <w:jc w:val="left"/>
        <w:rPr/>
      </w:pPr>
      <w:r>
        <w:rPr>
          <w:rFonts w:ascii="Times New Roman;serif" w:hAnsi="Times New Roman;serif"/>
          <w:b w:val="false"/>
          <w:color w:val="000000"/>
          <w:sz w:val="24"/>
        </w:rPr>
        <w:t>Section 4.03</w:t>
      </w:r>
      <w:r>
        <w:rPr>
          <w:rFonts w:ascii="Times New Roman;serif" w:hAnsi="Times New Roman;serif"/>
          <w:b w:val="false"/>
          <w:color w:val="000000"/>
          <w:sz w:val="24"/>
          <w:u w:val="single"/>
        </w:rPr>
        <w:t>Compliance Certificate</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rPr>
        <w:t>The Issuer shall deliver to the Trustee, within 120 days after the end of each fiscal year, commencing with the fiscal year ending December 31, 2026, an Officer’s Certificate stating that a review of the activities of the Issuer and its Subsidiaries during the preceding fiscal year has been made under the supervision of the signing Officers with a view to determining whether the Issuer has kept, observed, performed and fulfilled its obligations under this Indenture, and further stating, as to such Officer signing such certificate, that to the best of his or her knowledge the Issuer has kept, observed, performed and fulfilled each and every covenant contained in this Indenture and is not in default in the performance or observance of any of the terms, provisions and conditions of this Indenture (or, if a Default or Event of Default has occurred, describing all such Defaults or Events of Default of which he or she may have knowledge and what action the Issuer is taking or proposes to take with respect thereto) and that to the best of his or her knowledge no event has occurred and remains in existence by reason of which payments on account of the principal of or interest, if any, on the Notes is prohibited or if such event has occurred, a description of the event and what action the Issuer is taking or proposes to take with respect thereto.</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rPr>
        <w:t>So long as any of the Notes are outstanding, the Issuer shall deliver to the Trustee, promptly upon the Issuer becoming aware of any Default or Event of Default, an Officer’s Certificate specifying such Default or Event of Default and what action the Issuer is taking or proposes to take with respect thereto.</w:t>
      </w:r>
    </w:p>
    <w:p>
      <w:pPr>
        <w:pStyle w:val="TextBody"/>
        <w:bidi w:val="0"/>
        <w:spacing w:lineRule="auto" w:line="240" w:before="0" w:after="240"/>
        <w:jc w:val="left"/>
        <w:rPr/>
      </w:pPr>
      <w:r>
        <w:rPr>
          <w:rFonts w:ascii="Times New Roman;serif" w:hAnsi="Times New Roman;serif"/>
          <w:b w:val="false"/>
          <w:color w:val="000000"/>
          <w:sz w:val="24"/>
        </w:rPr>
        <w:t>Section 4.04</w:t>
      </w:r>
      <w:r>
        <w:rPr>
          <w:rFonts w:ascii="Times New Roman;serif" w:hAnsi="Times New Roman;serif"/>
          <w:b w:val="false"/>
          <w:color w:val="000000"/>
          <w:sz w:val="24"/>
          <w:u w:val="single"/>
        </w:rPr>
        <w:t>Limitation on Liens</w:t>
      </w:r>
      <w:r>
        <w:rPr>
          <w:rFonts w:ascii="Times New Roman;serif" w:hAnsi="Times New Roman;serif"/>
          <w:b w:val="false"/>
          <w:color w:val="000000"/>
          <w:sz w:val="24"/>
        </w:rPr>
        <w:t xml:space="preserve">. </w:t>
      </w:r>
    </w:p>
    <w:p>
      <w:pPr>
        <w:pStyle w:val="TextBody"/>
        <w:bidi w:val="0"/>
        <w:spacing w:before="0" w:after="0"/>
        <w:jc w:val="left"/>
        <w:rPr/>
      </w:pPr>
      <w:r>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6480175" cy="768985"/>
                <wp:effectExtent l="0" t="0" r="0" b="0"/>
                <wp:wrapNone/>
                <wp:docPr id="228" name="Frame228"/>
                <a:graphic xmlns:a="http://schemas.openxmlformats.org/drawingml/2006/main">
                  <a:graphicData uri="http://schemas.microsoft.com/office/word/2010/wordprocessingShape">
                    <wps:wsp>
                      <wps:cNvSpPr txBox="1"/>
                      <wps:spPr>
                        <a:xfrm>
                          <a:off x="0" y="0"/>
                          <a:ext cx="6480175" cy="7689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55</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0.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55</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rPr>
        <w:t>The Issuer will not, and will not permit any Subsidiary Guarantor to, create, incur, assume or permit to exist or become effective any mortgage, pledge or other Lien, other than Permitted Liens, upon any Principal Property to secure indebtedness for borrowed money of the Issuer and the Subsidiary Guarantors, unless all payments due under this Indenture and the Notes issued hereunder are secured equally and ratably with (or prior to) the Obligations so secured prior to or simultaneously with the creation of such Lien until such time as such Obligations are no longer secured by a Lien.</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rPr>
        <w:t xml:space="preserve">Any Lien created for the benefit of the Holders pursuant to this </w:t>
      </w:r>
      <w:r>
        <w:rPr>
          <w:rFonts w:ascii="Times New Roman;serif" w:hAnsi="Times New Roman;serif"/>
          <w:b w:val="false"/>
          <w:color w:val="000000"/>
          <w:sz w:val="24"/>
          <w:u w:val="single"/>
        </w:rPr>
        <w:t>Section 4.04</w:t>
      </w:r>
      <w:r>
        <w:rPr>
          <w:color w:val="000000"/>
        </w:rPr>
        <w:t xml:space="preserve"> </w:t>
      </w:r>
      <w:r>
        <w:rPr>
          <w:rFonts w:ascii="Times New Roman;serif" w:hAnsi="Times New Roman;serif"/>
          <w:b w:val="false"/>
          <w:color w:val="000000"/>
          <w:sz w:val="24"/>
        </w:rPr>
        <w:t>shall provide by its terms that such Lien shall be automatically and unconditionally released and discharged upon the release and discharge of the Lien that gave rise to the obligation to secure the Notes.</w:t>
      </w:r>
    </w:p>
    <w:p>
      <w:pPr>
        <w:pStyle w:val="TextBody"/>
        <w:bidi w:val="0"/>
        <w:spacing w:lineRule="auto" w:line="240" w:before="0" w:after="240"/>
        <w:ind w:left="0" w:right="0" w:firstLine="720"/>
        <w:jc w:val="both"/>
        <w:rPr/>
      </w:pPr>
      <w:r>
        <w:rPr>
          <w:rFonts w:ascii="Times New Roman;serif" w:hAnsi="Times New Roman;serif"/>
          <w:b w:val="false"/>
          <w:color w:val="000000"/>
          <w:sz w:val="24"/>
        </w:rPr>
        <w:t>(c)</w:t>
      </w:r>
      <w:r>
        <w:rPr>
          <w:rFonts w:ascii="Times New Roman;serif" w:hAnsi="Times New Roman;serif"/>
          <w:b w:val="false"/>
          <w:color w:val="000000"/>
          <w:sz w:val="24"/>
        </w:rPr>
        <w:t>With respect to any Lien securing Indebtedness that was permitted to secure such Indebtedness at the time of the incurrence of such Indebtedness, such Lien shall also be permitted to secure any Increased Amount of such Indebtedness. The “</w:t>
      </w:r>
      <w:r>
        <w:rPr>
          <w:rFonts w:ascii="Times New Roman;serif" w:hAnsi="Times New Roman;serif"/>
          <w:b w:val="false"/>
          <w:i/>
          <w:color w:val="000000"/>
          <w:sz w:val="24"/>
        </w:rPr>
        <w:t>Increased Amount</w:t>
      </w:r>
      <w:r>
        <w:rPr>
          <w:color w:val="000000"/>
        </w:rPr>
        <w:t xml:space="preserve">” </w:t>
      </w:r>
      <w:r>
        <w:rPr>
          <w:rFonts w:ascii="Times New Roman;serif" w:hAnsi="Times New Roman;serif"/>
          <w:b w:val="false"/>
          <w:color w:val="000000"/>
          <w:sz w:val="24"/>
        </w:rPr>
        <w:t>of any Indebtedness shall mean any increase in the amount of such Indebtedness in connection with any accrual of interest, the accretion of accreted value, the amortization of original issue discount, the payment of interest in the form of additional Indebtedness with the same terms, accretion of original issue discount or liquidation preference and increases in the amount of Indebtedness outstanding solely as a result of fluctuations in the exchange rate of currencies or increases in the value of property securing Indebtedness.</w:t>
      </w:r>
    </w:p>
    <w:p>
      <w:pPr>
        <w:pStyle w:val="TextBody"/>
        <w:bidi w:val="0"/>
        <w:spacing w:lineRule="auto" w:line="240" w:before="0" w:after="240"/>
        <w:jc w:val="left"/>
        <w:rPr/>
      </w:pPr>
      <w:r>
        <w:rPr>
          <w:rFonts w:ascii="Times New Roman;serif" w:hAnsi="Times New Roman;serif"/>
          <w:b w:val="false"/>
          <w:color w:val="000000"/>
          <w:sz w:val="24"/>
        </w:rPr>
        <w:t>Section 4.05</w:t>
      </w:r>
      <w:r>
        <w:rPr>
          <w:rFonts w:ascii="Times New Roman;serif" w:hAnsi="Times New Roman;serif"/>
          <w:b w:val="false"/>
          <w:color w:val="000000"/>
          <w:sz w:val="24"/>
          <w:u w:val="single"/>
        </w:rPr>
        <w:t>Limitations on Susquehanna Transactions</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rPr>
        <w:t>The Issuer will not, and will not permit any of the Subsidiary Guarantors to:</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(1)make any dividend or distribution of all or a portion of the Susquehanna Assets to any Person other than to the Issuer or a Subsidiary Guarantor; or</w:t>
      </w:r>
    </w:p>
    <w:p>
      <w:pPr>
        <w:pStyle w:val="TextBody"/>
        <w:bidi w:val="0"/>
        <w:spacing w:lineRule="auto" w:line="240" w:before="0" w:after="240"/>
        <w:ind w:left="0" w:right="0" w:firstLine="720"/>
        <w:jc w:val="both"/>
        <w:rPr/>
      </w:pPr>
      <w:r>
        <w:rPr>
          <w:rFonts w:ascii="Times New Roman;serif" w:hAnsi="Times New Roman;serif"/>
          <w:b w:val="false"/>
          <w:color w:val="000000"/>
          <w:sz w:val="24"/>
        </w:rPr>
        <w:t xml:space="preserve">(2)sell, assign, transfer, convey, lease or otherwise dispose of any Susquehanna Assets to any Person other than the Issuer or a Subsidiary Guarantor (including without limitation any such transfer or disposition in the form of an investment (other than in the Issuer or a Subsidiary Guarantor)) or enter into any transaction in which Susquehanna ceases to be a Subsidiary Guarantor, in each case, other than a transaction that complies with </w:t>
      </w:r>
      <w:r>
        <w:rPr>
          <w:rFonts w:ascii="Times New Roman;serif" w:hAnsi="Times New Roman;serif"/>
          <w:b w:val="false"/>
          <w:color w:val="000000"/>
          <w:sz w:val="24"/>
          <w:u w:val="single"/>
        </w:rPr>
        <w:t>Section 4.08</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Article 5</w:t>
      </w:r>
      <w:r>
        <w:rPr>
          <w:rFonts w:ascii="Times New Roman;serif" w:hAnsi="Times New Roman;serif"/>
          <w:b w:val="false"/>
          <w:color w:val="000000"/>
          <w:sz w:val="24"/>
        </w:rPr>
        <w:t>.</w:t>
      </w:r>
    </w:p>
    <w:p>
      <w:pPr>
        <w:pStyle w:val="TextBody"/>
        <w:bidi w:val="0"/>
        <w:spacing w:lineRule="auto" w:line="240" w:before="0" w:after="240"/>
        <w:jc w:val="left"/>
        <w:rPr/>
      </w:pPr>
      <w:r>
        <w:rPr>
          <w:rFonts w:ascii="Times New Roman;serif" w:hAnsi="Times New Roman;serif"/>
          <w:b w:val="false"/>
          <w:i/>
          <w:color w:val="000000"/>
          <w:sz w:val="24"/>
        </w:rPr>
        <w:t>provided that</w:t>
      </w:r>
      <w:r>
        <w:rPr>
          <w:color w:val="000000"/>
        </w:rPr>
        <w:t xml:space="preserve"> </w:t>
      </w:r>
      <w:r>
        <w:rPr>
          <w:rFonts w:ascii="Times New Roman;serif" w:hAnsi="Times New Roman;serif"/>
          <w:b w:val="false"/>
          <w:color w:val="000000"/>
          <w:sz w:val="24"/>
        </w:rPr>
        <w:t>the foregoing shall not prohibit:</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(a)the sale, assignment, transfer, conveyance, lease or other disposition of Susquehanna Assets with an aggregate fair market value per 12-month period equal to or less than $5.0 million; or</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(b)any sale, assignment, transfer, conveyance, lease or other disposition of Susquehanna Assets in ordinary course of business or that are no longer used or useful (as determined by the Issuer in good faith) in the operations of Susquehanna.</w:t>
      </w:r>
    </w:p>
    <w:p>
      <w:pPr>
        <w:pStyle w:val="TextBody"/>
        <w:bidi w:val="0"/>
        <w:spacing w:lineRule="auto" w:line="240" w:before="0" w:after="240"/>
        <w:jc w:val="left"/>
        <w:rPr/>
      </w:pPr>
      <w:r>
        <w:rPr>
          <w:rFonts w:ascii="Times New Roman;serif" w:hAnsi="Times New Roman;serif"/>
          <w:b w:val="false"/>
          <w:i/>
          <w:color w:val="000000"/>
          <w:sz w:val="24"/>
        </w:rPr>
        <w:t xml:space="preserve">provided, further </w:t>
      </w:r>
      <w:r>
        <w:rPr>
          <w:rFonts w:ascii="Times New Roman;serif" w:hAnsi="Times New Roman;serif"/>
          <w:b w:val="false"/>
          <w:color w:val="000000"/>
          <w:sz w:val="24"/>
        </w:rPr>
        <w:t>that, in the case of clauses (a) and (b) above, any such Susquehanna Assets not sold, assigned, transferred, conveyed, leased or otherwise disposed of shall be held by the Issuer or one or more Subsidiary Guarantors.</w:t>
      </w:r>
    </w:p>
    <w:p>
      <w:pPr>
        <w:pStyle w:val="TextBody"/>
        <w:bidi w:val="0"/>
        <w:spacing w:lineRule="auto" w:line="240" w:before="0" w:after="240"/>
        <w:jc w:val="left"/>
        <w:rPr/>
      </w:pPr>
      <w:r>
        <w:rPr>
          <w:rFonts w:ascii="Times New Roman;serif" w:hAnsi="Times New Roman;serif"/>
          <w:b w:val="false"/>
          <w:color w:val="000000"/>
          <w:sz w:val="24"/>
        </w:rPr>
        <w:t>Section 4.06</w:t>
      </w:r>
      <w:r>
        <w:rPr>
          <w:rFonts w:ascii="Times New Roman;serif" w:hAnsi="Times New Roman;serif"/>
          <w:b w:val="false"/>
          <w:color w:val="000000"/>
          <w:sz w:val="24"/>
          <w:u w:val="single"/>
        </w:rPr>
        <w:t>Additional Subsidiary Guarantees</w:t>
      </w:r>
      <w:r>
        <w:rPr>
          <w:rFonts w:ascii="Times New Roman;serif" w:hAnsi="Times New Roman;serif"/>
          <w:b w:val="false"/>
          <w:color w:val="000000"/>
          <w:sz w:val="24"/>
        </w:rPr>
        <w:t>.</w:t>
      </w:r>
    </w:p>
    <w:p>
      <w:pPr>
        <w:pStyle w:val="TextBody"/>
        <w:bidi w:val="0"/>
        <w:spacing w:before="0" w:after="0"/>
        <w:jc w:val="left"/>
        <w:rPr/>
      </w:pPr>
      <w:r>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6480175" cy="768985"/>
                <wp:effectExtent l="0" t="0" r="0" b="0"/>
                <wp:wrapNone/>
                <wp:docPr id="229" name="Frame229"/>
                <a:graphic xmlns:a="http://schemas.openxmlformats.org/drawingml/2006/main">
                  <a:graphicData uri="http://schemas.microsoft.com/office/word/2010/wordprocessingShape">
                    <wps:wsp>
                      <wps:cNvSpPr txBox="1"/>
                      <wps:spPr>
                        <a:xfrm>
                          <a:off x="0" y="0"/>
                          <a:ext cx="6480175" cy="7689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56</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0.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56</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rPr>
        <w:t>If any Wholly Owned Domestic Subsidiary of the Issuer other than a Subsidiary Guarantor (i) guarantees any Indebtedness under the Credit Agreement or (ii) if the Issuer has no Indebtedness outstanding under the Credit Agreement, guarantees any Additional Indebtedness, then within 60 Business Days thereof, the Issuer shall cause such Wholly Owned Domestic Subsidiary to execute and deliver to the Trustee a supplemental indenture pursuant to which such Subsidiary will guarantee payment of the Notes on the same terms and conditions as those applicable to the Subsidiary Guarantors under this Indenture and will deliver to the Trustee an Officer’s Certificate and Opinion of Counsel that such supplemental indenture is authorized or permitted by this Indenture, and an Opinion of Counsel that such supplemental indenture has been duly authorized, executed and delivered and constitutes a legally valid and enforceable obligation (subject to customary qualifications and exceptions).</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rPr>
        <w:t>Thereafter, such Wholly Owned Domestic Subsidiary will be a Subsidiary Guarantor until such Wholly Owned Domestic Subsidiary’s Subsidiary Guarantee is released in accordance with this Indenture.</w:t>
      </w:r>
    </w:p>
    <w:p>
      <w:pPr>
        <w:pStyle w:val="TextBody"/>
        <w:bidi w:val="0"/>
        <w:spacing w:lineRule="auto" w:line="240" w:before="0" w:after="240"/>
        <w:jc w:val="left"/>
        <w:rPr/>
      </w:pPr>
      <w:r>
        <w:rPr>
          <w:rFonts w:ascii="Times New Roman;serif" w:hAnsi="Times New Roman;serif"/>
          <w:b w:val="false"/>
          <w:color w:val="000000"/>
          <w:sz w:val="24"/>
        </w:rPr>
        <w:t>Section 4.07</w:t>
      </w:r>
      <w:r>
        <w:rPr>
          <w:rFonts w:ascii="Times New Roman;serif" w:hAnsi="Times New Roman;serif"/>
          <w:b w:val="false"/>
          <w:color w:val="000000"/>
          <w:sz w:val="24"/>
          <w:u w:val="single"/>
        </w:rPr>
        <w:t>Reports</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rPr>
        <w:t>Whether or not required by the SEC’s rules and regulations, so long as any Notes are outstanding hereunder, the Issuer shall:</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(1)within 120 days after the end of each fiscal year of the Issuer commencing with the fiscal year ending December 31, 2026, provide Holders with (i) a copy of the annual audit report for such year for the Issuer, including a consolidated balance sheet of the Issuer and its Subsidiaries as of the end of such fiscal year and a consolidated statement of operations and a statement of cash flows of the Issuer and its Subsidiaries for such fiscal year, in each case accompanied by an opinion as to such audit report of an independent public accountant of recognized standing and (ii) management’s discussion and analysis of the important operational and financial developments during such fiscal year, as determined in good faith by the Issuer;</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(2)within 60 days after the end of each of the first three quarters of each fiscal year, commencing with the fiscal quarter ended March 31, 2026, provide Holders with a consolidated balance sheet of each of the Issuer and its Subsidiaries as of the end of such quarter and a consolidated statement of income and a consolidated statement of cash flows of the Issuer and its Subsidiaries (which shall not be required to be audited); and</w:t>
      </w:r>
    </w:p>
    <w:p>
      <w:pPr>
        <w:pStyle w:val="TextBody"/>
        <w:bidi w:val="0"/>
        <w:spacing w:lineRule="auto" w:line="240" w:before="0" w:after="240"/>
        <w:ind w:left="0" w:right="0" w:firstLine="720"/>
        <w:jc w:val="both"/>
        <w:rPr/>
      </w:pPr>
      <w:r>
        <w:rPr>
          <w:rFonts w:ascii="Times New Roman;serif" w:hAnsi="Times New Roman;serif"/>
          <w:b w:val="false"/>
          <w:color w:val="000000"/>
          <w:sz w:val="24"/>
        </w:rPr>
        <w:t xml:space="preserve">(3)hold a quarterly conference call for the Holders to discuss financial information (it being understood that such quarterly conference call may be the same conference call as with the Issuer’s (or as applicable, any Parent Entity’s) equity investors and analysts) delivered pursuant to clauses (1) and (2) of this </w:t>
      </w:r>
      <w:r>
        <w:rPr>
          <w:rFonts w:ascii="Times New Roman;serif" w:hAnsi="Times New Roman;serif"/>
          <w:b w:val="false"/>
          <w:color w:val="000000"/>
          <w:sz w:val="24"/>
          <w:u w:val="single"/>
        </w:rPr>
        <w:t>Section 4.07(a)</w:t>
      </w:r>
      <w:r>
        <w:rPr>
          <w:color w:val="000000"/>
        </w:rPr>
        <w:t xml:space="preserve"> </w:t>
      </w:r>
      <w:r>
        <w:rPr>
          <w:rFonts w:ascii="Times New Roman;serif" w:hAnsi="Times New Roman;serif"/>
          <w:b w:val="false"/>
          <w:color w:val="000000"/>
          <w:sz w:val="24"/>
        </w:rPr>
        <w:t>not later than 20 Business Days after the delivery of such information and will provide notice to Holders through the facilities of the Depository or by issuing a press release to an internationally recognized wire service at least three Business Days prior to the date of the conference call, announcing the time and date of such conference call and either including all information necessary to access the call or directing Holders to the appropriate contact at the Issuer to obtain such information.</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rPr>
        <w:t xml:space="preserve">If the Issuer is a Subsidiary of any Parent Entity, the financial information required by the preceding paragraph may be those of such Parent Entity instead of the Issuer;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i/>
          <w:color w:val="000000"/>
          <w:sz w:val="24"/>
        </w:rPr>
        <w:t>that</w:t>
      </w:r>
      <w:r>
        <w:rPr>
          <w:rFonts w:ascii="Times New Roman;serif" w:hAnsi="Times New Roman;serif"/>
          <w:b w:val="false"/>
          <w:color w:val="000000"/>
          <w:sz w:val="24"/>
        </w:rPr>
        <w:t xml:space="preserve">, if there are material differences (as determined in good faith by the Issuer) between the consolidated results of operations and financial condition of such Parent Entity and its consolidated Subsidiaries, on the one hand, and of the Issuer and its consolidated Subsidiaries, </w:t>
      </w:r>
    </w:p>
    <w:p>
      <w:pPr>
        <w:pStyle w:val="TextBody"/>
        <w:bidi w:val="0"/>
        <w:spacing w:before="0" w:after="0"/>
        <w:jc w:val="left"/>
        <w:rPr/>
      </w:pPr>
      <w:r>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6480175" cy="768985"/>
                <wp:effectExtent l="0" t="0" r="0" b="0"/>
                <wp:wrapNone/>
                <wp:docPr id="230" name="Frame230"/>
                <a:graphic xmlns:a="http://schemas.openxmlformats.org/drawingml/2006/main">
                  <a:graphicData uri="http://schemas.microsoft.com/office/word/2010/wordprocessingShape">
                    <wps:wsp>
                      <wps:cNvSpPr txBox="1"/>
                      <wps:spPr>
                        <a:xfrm>
                          <a:off x="0" y="0"/>
                          <a:ext cx="6480175" cy="7689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57</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0.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57</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rPr>
        <w:t xml:space="preserve">on the other hand, the quarterly and annual information required by the preceding paragraph will include a discussion of such material differences in reasonable detail as determined in good faith by the Issuer;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i/>
          <w:color w:val="000000"/>
          <w:sz w:val="24"/>
        </w:rPr>
        <w:t xml:space="preserve">that </w:t>
      </w:r>
      <w:r>
        <w:rPr>
          <w:rFonts w:ascii="Times New Roman;serif" w:hAnsi="Times New Roman;serif"/>
          <w:b w:val="false"/>
          <w:color w:val="000000"/>
          <w:sz w:val="24"/>
        </w:rPr>
        <w:t>for purposes of this clause (b), any differences between the consolidated results of operations and financial condition of such Parent Entity and its consolidated Subsidiaries, on the one hand, and of the Issuer and its consolidated Subsidiaries, on the other hand, attributable to distributions from the Issuer to any Parent Entity used by the Parent Entity to fund repurchases of any outstanding equity interests shall be deemed to not be material.</w:t>
      </w:r>
    </w:p>
    <w:p>
      <w:pPr>
        <w:pStyle w:val="TextBody"/>
        <w:bidi w:val="0"/>
        <w:spacing w:lineRule="auto" w:line="240" w:before="0" w:after="240"/>
        <w:ind w:left="0" w:right="0" w:firstLine="720"/>
        <w:jc w:val="both"/>
        <w:rPr/>
      </w:pPr>
      <w:r>
        <w:rPr>
          <w:rFonts w:ascii="Times New Roman;serif" w:hAnsi="Times New Roman;serif"/>
          <w:b w:val="false"/>
          <w:color w:val="000000"/>
          <w:sz w:val="24"/>
        </w:rPr>
        <w:t>(c)</w:t>
      </w:r>
      <w:r>
        <w:rPr>
          <w:rFonts w:ascii="Times New Roman;serif" w:hAnsi="Times New Roman;serif"/>
          <w:b w:val="false"/>
          <w:color w:val="000000"/>
          <w:sz w:val="24"/>
        </w:rPr>
        <w:t xml:space="preserve">The Issuer shall not be required to hold quarterly conference calls pursuant to </w:t>
      </w:r>
      <w:r>
        <w:rPr>
          <w:rFonts w:ascii="Times New Roman;serif" w:hAnsi="Times New Roman;serif"/>
          <w:b w:val="false"/>
          <w:color w:val="000000"/>
          <w:sz w:val="24"/>
          <w:u w:val="single"/>
        </w:rPr>
        <w:t>Section 4.07(a)(3)</w:t>
      </w:r>
      <w:r>
        <w:rPr>
          <w:color w:val="000000"/>
        </w:rPr>
        <w:t xml:space="preserve"> </w:t>
      </w:r>
      <w:r>
        <w:rPr>
          <w:rFonts w:ascii="Times New Roman;serif" w:hAnsi="Times New Roman;serif"/>
          <w:b w:val="false"/>
          <w:color w:val="000000"/>
          <w:sz w:val="24"/>
        </w:rPr>
        <w:t xml:space="preserve">to the extent that any Parent Entity holds a quarterly conference call within the time period otherwise required by </w:t>
      </w:r>
      <w:r>
        <w:rPr>
          <w:rFonts w:ascii="Times New Roman;serif" w:hAnsi="Times New Roman;serif"/>
          <w:b w:val="false"/>
          <w:color w:val="000000"/>
          <w:sz w:val="24"/>
          <w:u w:val="single"/>
        </w:rPr>
        <w:t>Section 4.07(a)(3)</w:t>
      </w:r>
      <w:r>
        <w:rPr>
          <w:color w:val="000000"/>
        </w:rPr>
        <w:t xml:space="preserve"> </w:t>
      </w:r>
      <w:r>
        <w:rPr>
          <w:rFonts w:ascii="Times New Roman;serif" w:hAnsi="Times New Roman;serif"/>
          <w:b w:val="false"/>
          <w:color w:val="000000"/>
          <w:sz w:val="24"/>
        </w:rPr>
        <w:t xml:space="preserve">and discusses the financial information that would be discussed pursuant to </w:t>
      </w:r>
      <w:r>
        <w:rPr>
          <w:rFonts w:ascii="Times New Roman;serif" w:hAnsi="Times New Roman;serif"/>
          <w:b w:val="false"/>
          <w:color w:val="000000"/>
          <w:sz w:val="24"/>
          <w:u w:val="single"/>
        </w:rPr>
        <w:t>Section 4.07(a)(3)</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(d)</w:t>
      </w:r>
      <w:r>
        <w:rPr>
          <w:rFonts w:ascii="Times New Roman;serif" w:hAnsi="Times New Roman;serif"/>
          <w:b w:val="false"/>
          <w:color w:val="000000"/>
          <w:sz w:val="24"/>
        </w:rPr>
        <w:t xml:space="preserve">The Issuer will be deemed to have satisfied its obligation to deliver information under this </w:t>
      </w:r>
      <w:r>
        <w:rPr>
          <w:rFonts w:ascii="Times New Roman;serif" w:hAnsi="Times New Roman;serif"/>
          <w:b w:val="false"/>
          <w:color w:val="000000"/>
          <w:sz w:val="24"/>
          <w:u w:val="single"/>
        </w:rPr>
        <w:t>Section 4.07</w:t>
      </w:r>
      <w:r>
        <w:rPr>
          <w:color w:val="000000"/>
        </w:rPr>
        <w:t xml:space="preserve"> </w:t>
      </w:r>
      <w:r>
        <w:rPr>
          <w:rFonts w:ascii="Times New Roman;serif" w:hAnsi="Times New Roman;serif"/>
          <w:b w:val="false"/>
          <w:color w:val="000000"/>
          <w:sz w:val="24"/>
        </w:rPr>
        <w:t xml:space="preserve">if information is filed or furnished with the SEC for public availability or is posted on a website (which may be nonpublic and may be password-protected) hosted by the Issuer or by a third party, in each case within the applicable time periods specified above. To the extent that any information required by this </w:t>
      </w:r>
      <w:r>
        <w:rPr>
          <w:rFonts w:ascii="Times New Roman;serif" w:hAnsi="Times New Roman;serif"/>
          <w:b w:val="false"/>
          <w:color w:val="000000"/>
          <w:sz w:val="24"/>
          <w:u w:val="single"/>
        </w:rPr>
        <w:t>Section 4.07</w:t>
      </w:r>
      <w:r>
        <w:rPr>
          <w:color w:val="000000"/>
        </w:rPr>
        <w:t xml:space="preserve"> </w:t>
      </w:r>
      <w:r>
        <w:rPr>
          <w:rFonts w:ascii="Times New Roman;serif" w:hAnsi="Times New Roman;serif"/>
          <w:b w:val="false"/>
          <w:color w:val="000000"/>
          <w:sz w:val="24"/>
        </w:rPr>
        <w:t xml:space="preserve">is not delivered to Holders within the applicable time periods specified above and such information is subsequently delivered, the Issuer will be deemed to have satisfied its obligations under this </w:t>
      </w:r>
      <w:r>
        <w:rPr>
          <w:rFonts w:ascii="Times New Roman;serif" w:hAnsi="Times New Roman;serif"/>
          <w:b w:val="false"/>
          <w:color w:val="000000"/>
          <w:sz w:val="24"/>
          <w:u w:val="single"/>
        </w:rPr>
        <w:t>Section 4.07</w:t>
      </w:r>
      <w:r>
        <w:rPr>
          <w:color w:val="000000"/>
        </w:rPr>
        <w:t xml:space="preserve"> </w:t>
      </w:r>
      <w:r>
        <w:rPr>
          <w:rFonts w:ascii="Times New Roman;serif" w:hAnsi="Times New Roman;serif"/>
          <w:b w:val="false"/>
          <w:color w:val="000000"/>
          <w:sz w:val="24"/>
        </w:rPr>
        <w:t>with respect to such information and any default or Event of Default with respect thereto will be deemed to have been cured and any acceleration of the Notes resulting therefrom will be deemed to have been rescinded so long as such rescission would not conflict with any applicable judgment or decree.</w:t>
      </w:r>
    </w:p>
    <w:p>
      <w:pPr>
        <w:pStyle w:val="TextBody"/>
        <w:bidi w:val="0"/>
        <w:spacing w:lineRule="auto" w:line="240" w:before="0" w:after="240"/>
        <w:ind w:left="0" w:right="0" w:firstLine="720"/>
        <w:jc w:val="both"/>
        <w:rPr/>
      </w:pPr>
      <w:r>
        <w:rPr>
          <w:rFonts w:ascii="Times New Roman;serif" w:hAnsi="Times New Roman;serif"/>
          <w:b w:val="false"/>
          <w:color w:val="000000"/>
          <w:sz w:val="24"/>
        </w:rPr>
        <w:t>(e)</w:t>
      </w:r>
      <w:r>
        <w:rPr>
          <w:rFonts w:ascii="Times New Roman;serif" w:hAnsi="Times New Roman;serif"/>
          <w:b w:val="false"/>
          <w:color w:val="000000"/>
          <w:sz w:val="24"/>
        </w:rPr>
        <w:t>For so long as any Notes remain outstanding, if at any time the Issuer is not required to file with the SEC the reports referred to in the preceding paragraphs, the Issuer will furnish to the Holders and to securities analysts and prospective investors, upon their request, the information required to be delivered pursuant to Rule 144A(d)(4) under the Securities Act.</w:t>
      </w:r>
    </w:p>
    <w:p>
      <w:pPr>
        <w:pStyle w:val="TextBody"/>
        <w:bidi w:val="0"/>
        <w:spacing w:lineRule="auto" w:line="240" w:before="0" w:after="240"/>
        <w:ind w:left="0" w:right="0" w:firstLine="720"/>
        <w:jc w:val="both"/>
        <w:rPr/>
      </w:pPr>
      <w:r>
        <w:rPr>
          <w:rFonts w:ascii="Times New Roman;serif" w:hAnsi="Times New Roman;serif"/>
          <w:b w:val="false"/>
          <w:color w:val="000000"/>
          <w:sz w:val="24"/>
        </w:rPr>
        <w:t>(f)</w:t>
      </w:r>
      <w:r>
        <w:rPr>
          <w:rFonts w:ascii="Times New Roman;serif" w:hAnsi="Times New Roman;serif"/>
          <w:b w:val="false"/>
          <w:color w:val="000000"/>
          <w:sz w:val="24"/>
        </w:rPr>
        <w:t xml:space="preserve">To the extent any such reports, information and documents are delivered to the Trustee, such delivery is for informational purposes only and the Trustee’s receipt of such will not constitute actual or constructive notice of any information contained therein or determinable from information contained therein, including compliance by the Issuer and the Subsidiary Guarantors with any of their covenants under this Indenture (as to which the Trustee is entitled to rely exclusively on Officer’s Certificates). The Trustee shall have no duty to review or analyze reports delivered under this </w:t>
      </w:r>
      <w:r>
        <w:rPr>
          <w:rFonts w:ascii="Times New Roman;serif" w:hAnsi="Times New Roman;serif"/>
          <w:b w:val="false"/>
          <w:color w:val="000000"/>
          <w:sz w:val="24"/>
          <w:u w:val="single"/>
        </w:rPr>
        <w:t>Section 4.07</w:t>
      </w:r>
      <w:r>
        <w:rPr>
          <w:rFonts w:ascii="Times New Roman;serif" w:hAnsi="Times New Roman;serif"/>
          <w:b w:val="false"/>
          <w:color w:val="000000"/>
          <w:sz w:val="24"/>
        </w:rPr>
        <w:t xml:space="preserve">. </w:t>
      </w:r>
    </w:p>
    <w:p>
      <w:pPr>
        <w:pStyle w:val="TextBody"/>
        <w:bidi w:val="0"/>
        <w:spacing w:lineRule="auto" w:line="240" w:before="0" w:after="240"/>
        <w:ind w:left="0" w:right="0" w:firstLine="720"/>
        <w:jc w:val="both"/>
        <w:rPr/>
      </w:pPr>
      <w:r>
        <w:rPr>
          <w:rFonts w:ascii="Times New Roman;serif" w:hAnsi="Times New Roman;serif"/>
          <w:b w:val="false"/>
          <w:color w:val="000000"/>
          <w:sz w:val="24"/>
        </w:rPr>
        <w:t>(g)</w:t>
      </w:r>
      <w:r>
        <w:rPr>
          <w:rFonts w:ascii="Times New Roman;serif" w:hAnsi="Times New Roman;serif"/>
          <w:b w:val="false"/>
          <w:color w:val="000000"/>
          <w:sz w:val="24"/>
        </w:rPr>
        <w:t xml:space="preserve">During registration with respect to a Qualifying IPO, the Issuer or other Person that may provide the information required by this </w:t>
      </w:r>
      <w:r>
        <w:rPr>
          <w:rFonts w:ascii="Times New Roman;serif" w:hAnsi="Times New Roman;serif"/>
          <w:b w:val="false"/>
          <w:color w:val="000000"/>
          <w:sz w:val="24"/>
          <w:u w:val="single"/>
        </w:rPr>
        <w:t>Section 4.07</w:t>
      </w:r>
      <w:r>
        <w:rPr>
          <w:color w:val="000000"/>
        </w:rPr>
        <w:t xml:space="preserve"> </w:t>
      </w:r>
      <w:r>
        <w:rPr>
          <w:rFonts w:ascii="Times New Roman;serif" w:hAnsi="Times New Roman;serif"/>
          <w:b w:val="false"/>
          <w:color w:val="000000"/>
          <w:sz w:val="24"/>
        </w:rPr>
        <w:t>will not be required to disclose any information or take any actions that, in the view of the Issuer, would violate the applicable securities laws or the SEC’s “gun jumping” rules or otherwise have an adverse effect on the Qualifying IPO.</w:t>
      </w:r>
    </w:p>
    <w:p>
      <w:pPr>
        <w:pStyle w:val="TextBody"/>
        <w:bidi w:val="0"/>
        <w:spacing w:lineRule="auto" w:line="240" w:before="0" w:after="240"/>
        <w:jc w:val="left"/>
        <w:rPr/>
      </w:pPr>
      <w:r>
        <w:rPr>
          <w:rFonts w:ascii="Times New Roman;serif" w:hAnsi="Times New Roman;serif"/>
          <w:b w:val="false"/>
          <w:color w:val="000000"/>
          <w:sz w:val="24"/>
        </w:rPr>
        <w:t>Section 4.08</w:t>
      </w:r>
      <w:r>
        <w:rPr>
          <w:rFonts w:ascii="Times New Roman;serif" w:hAnsi="Times New Roman;serif"/>
          <w:b w:val="false"/>
          <w:color w:val="000000"/>
          <w:sz w:val="24"/>
          <w:u w:val="single"/>
        </w:rPr>
        <w:t>Offer</w:t>
      </w:r>
      <w:r>
        <w:rPr>
          <w:color w:val="000000"/>
          <w:u w:val="single"/>
        </w:rPr>
        <w:t xml:space="preserve"> </w:t>
      </w:r>
      <w:r>
        <w:rPr>
          <w:rFonts w:ascii="Times New Roman;serif" w:hAnsi="Times New Roman;serif"/>
          <w:b w:val="false"/>
          <w:color w:val="000000"/>
          <w:sz w:val="24"/>
          <w:u w:val="single"/>
        </w:rPr>
        <w:t>to</w:t>
      </w:r>
      <w:r>
        <w:rPr>
          <w:color w:val="000000"/>
          <w:u w:val="single"/>
        </w:rPr>
        <w:t xml:space="preserve"> </w:t>
      </w:r>
      <w:r>
        <w:rPr>
          <w:rFonts w:ascii="Times New Roman;serif" w:hAnsi="Times New Roman;serif"/>
          <w:b w:val="false"/>
          <w:color w:val="000000"/>
          <w:sz w:val="24"/>
          <w:u w:val="single"/>
        </w:rPr>
        <w:t>Repurchase</w:t>
      </w:r>
      <w:r>
        <w:rPr>
          <w:color w:val="000000"/>
          <w:u w:val="single"/>
        </w:rPr>
        <w:t xml:space="preserve"> </w:t>
      </w:r>
      <w:r>
        <w:rPr>
          <w:rFonts w:ascii="Times New Roman;serif" w:hAnsi="Times New Roman;serif"/>
          <w:b w:val="false"/>
          <w:color w:val="000000"/>
          <w:sz w:val="24"/>
          <w:u w:val="single"/>
        </w:rPr>
        <w:t>Upon</w:t>
      </w:r>
      <w:r>
        <w:rPr>
          <w:color w:val="000000"/>
          <w:u w:val="single"/>
        </w:rPr>
        <w:t xml:space="preserve"> </w:t>
      </w:r>
      <w:r>
        <w:rPr>
          <w:rFonts w:ascii="Times New Roman;serif" w:hAnsi="Times New Roman;serif"/>
          <w:b w:val="false"/>
          <w:color w:val="000000"/>
          <w:sz w:val="24"/>
          <w:u w:val="single"/>
        </w:rPr>
        <w:t>a</w:t>
      </w:r>
      <w:r>
        <w:rPr>
          <w:color w:val="000000"/>
          <w:u w:val="single"/>
        </w:rPr>
        <w:t xml:space="preserve"> </w:t>
      </w:r>
      <w:r>
        <w:rPr>
          <w:rFonts w:ascii="Times New Roman;serif" w:hAnsi="Times New Roman;serif"/>
          <w:b w:val="false"/>
          <w:color w:val="000000"/>
          <w:sz w:val="24"/>
          <w:u w:val="single"/>
        </w:rPr>
        <w:t>Change</w:t>
      </w:r>
      <w:r>
        <w:rPr>
          <w:color w:val="000000"/>
          <w:u w:val="single"/>
        </w:rPr>
        <w:t xml:space="preserve"> </w:t>
      </w:r>
      <w:r>
        <w:rPr>
          <w:rFonts w:ascii="Times New Roman;serif" w:hAnsi="Times New Roman;serif"/>
          <w:b w:val="false"/>
          <w:color w:val="000000"/>
          <w:sz w:val="24"/>
          <w:u w:val="single"/>
        </w:rPr>
        <w:t>of</w:t>
      </w:r>
      <w:r>
        <w:rPr>
          <w:color w:val="000000"/>
          <w:u w:val="single"/>
        </w:rPr>
        <w:t xml:space="preserve"> </w:t>
      </w:r>
      <w:r>
        <w:rPr>
          <w:rFonts w:ascii="Times New Roman;serif" w:hAnsi="Times New Roman;serif"/>
          <w:b w:val="false"/>
          <w:color w:val="000000"/>
          <w:sz w:val="24"/>
          <w:u w:val="single"/>
        </w:rPr>
        <w:t>Control</w:t>
      </w:r>
      <w:r>
        <w:rPr>
          <w:color w:val="000000"/>
          <w:u w:val="single"/>
        </w:rPr>
        <w:t xml:space="preserve"> </w:t>
      </w:r>
      <w:r>
        <w:rPr>
          <w:rFonts w:ascii="Times New Roman;serif" w:hAnsi="Times New Roman;serif"/>
          <w:b w:val="false"/>
          <w:color w:val="000000"/>
          <w:sz w:val="24"/>
          <w:u w:val="single"/>
        </w:rPr>
        <w:t>Triggering</w:t>
      </w:r>
      <w:r>
        <w:rPr>
          <w:color w:val="000000"/>
          <w:u w:val="single"/>
        </w:rPr>
        <w:t xml:space="preserve"> </w:t>
      </w:r>
      <w:r>
        <w:rPr>
          <w:rFonts w:ascii="Times New Roman;serif" w:hAnsi="Times New Roman;serif"/>
          <w:b w:val="false"/>
          <w:color w:val="000000"/>
          <w:sz w:val="24"/>
          <w:u w:val="single"/>
        </w:rPr>
        <w:t>Event</w:t>
      </w:r>
      <w:r>
        <w:rPr>
          <w:rFonts w:ascii="Times New Roman;serif" w:hAnsi="Times New Roman;serif"/>
          <w:b w:val="false"/>
          <w:color w:val="000000"/>
          <w:sz w:val="24"/>
        </w:rPr>
        <w:t xml:space="preserve">. </w:t>
      </w:r>
    </w:p>
    <w:p>
      <w:pPr>
        <w:pStyle w:val="TextBody"/>
        <w:bidi w:val="0"/>
        <w:spacing w:lineRule="auto" w:line="288"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rPr>
        <w:t xml:space="preserve">If a Change of Control Triggering Event occurs, unless a third party makes a Change of Control Offer or the Issuer has previously or substantially concurrently therewith delivered a redemption notice with respect to all the outstanding Notes as described in </w:t>
      </w:r>
      <w:r>
        <w:rPr>
          <w:rFonts w:ascii="Times New Roman;serif" w:hAnsi="Times New Roman;serif"/>
          <w:b w:val="false"/>
          <w:color w:val="000000"/>
          <w:sz w:val="24"/>
          <w:u w:val="single"/>
        </w:rPr>
        <w:t>Section 4.08(d)</w:t>
      </w:r>
      <w:r>
        <w:rPr>
          <w:rFonts w:ascii="Times New Roman;serif" w:hAnsi="Times New Roman;serif"/>
          <w:b w:val="false"/>
          <w:color w:val="000000"/>
          <w:sz w:val="24"/>
        </w:rPr>
        <w:t>, each Holder will have the right to require the Issuer to repurchase all or any part</w:t>
      </w:r>
      <w:r>
        <w:rPr>
          <w:color w:val="000000"/>
        </w:rPr>
        <w:t xml:space="preserve"> </w:t>
      </w:r>
      <w:r>
        <w:rPr>
          <w:rFonts w:ascii="Times New Roman;serif" w:hAnsi="Times New Roman;serif"/>
          <w:b w:val="false"/>
          <w:color w:val="000000"/>
          <w:sz w:val="24"/>
        </w:rPr>
        <w:t>(equal</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$2,000</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an</w:t>
      </w:r>
      <w:r>
        <w:rPr>
          <w:color w:val="000000"/>
        </w:rPr>
        <w:t xml:space="preserve"> </w:t>
      </w:r>
      <w:r>
        <w:rPr>
          <w:rFonts w:ascii="Times New Roman;serif" w:hAnsi="Times New Roman;serif"/>
          <w:b w:val="false"/>
          <w:color w:val="000000"/>
          <w:sz w:val="24"/>
        </w:rPr>
        <w:t>integral</w:t>
      </w:r>
      <w:r>
        <w:rPr>
          <w:color w:val="000000"/>
        </w:rPr>
        <w:t xml:space="preserve"> </w:t>
      </w:r>
      <w:r>
        <w:rPr>
          <w:rFonts w:ascii="Times New Roman;serif" w:hAnsi="Times New Roman;serif"/>
          <w:b w:val="false"/>
          <w:color w:val="000000"/>
          <w:sz w:val="24"/>
        </w:rPr>
        <w:t>multiple</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$1,000</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excess</w:t>
      </w:r>
      <w:r>
        <w:rPr>
          <w:color w:val="000000"/>
        </w:rPr>
        <w:t xml:space="preserve"> </w:t>
      </w:r>
      <w:r>
        <w:rPr>
          <w:rFonts w:ascii="Times New Roman;serif" w:hAnsi="Times New Roman;serif"/>
          <w:b w:val="false"/>
          <w:color w:val="000000"/>
          <w:sz w:val="24"/>
        </w:rPr>
        <w:t>thereof)</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that</w:t>
      </w:r>
      <w:r>
        <w:rPr>
          <w:color w:val="000000"/>
        </w:rPr>
        <w:t xml:space="preserve"> </w:t>
      </w:r>
      <w:r>
        <w:rPr>
          <w:rFonts w:ascii="Times New Roman;serif" w:hAnsi="Times New Roman;serif"/>
          <w:b w:val="false"/>
          <w:color w:val="000000"/>
          <w:sz w:val="24"/>
        </w:rPr>
        <w:t>Holder’s</w:t>
      </w:r>
      <w:r>
        <w:rPr>
          <w:color w:val="000000"/>
        </w:rPr>
        <w:t xml:space="preserve"> </w:t>
      </w:r>
      <w:r>
        <w:rPr>
          <w:rFonts w:ascii="Times New Roman;serif" w:hAnsi="Times New Roman;serif"/>
          <w:b w:val="false"/>
          <w:color w:val="000000"/>
          <w:sz w:val="24"/>
        </w:rPr>
        <w:t>Notes</w:t>
      </w:r>
      <w:r>
        <w:rPr>
          <w:color w:val="000000"/>
        </w:rPr>
        <w:t xml:space="preserve"> </w:t>
      </w:r>
      <w:r>
        <w:rPr>
          <w:rFonts w:ascii="Times New Roman;serif" w:hAnsi="Times New Roman;serif"/>
          <w:b w:val="false"/>
          <w:color w:val="000000"/>
          <w:sz w:val="24"/>
        </w:rPr>
        <w:t>pursuant</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change</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control</w:t>
      </w:r>
      <w:r>
        <w:rPr>
          <w:color w:val="000000"/>
        </w:rPr>
        <w:t xml:space="preserve"> </w:t>
      </w:r>
      <w:r>
        <w:rPr>
          <w:rFonts w:ascii="Times New Roman;serif" w:hAnsi="Times New Roman;serif"/>
          <w:b w:val="false"/>
          <w:color w:val="000000"/>
          <w:sz w:val="24"/>
        </w:rPr>
        <w:t>offer</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i/>
          <w:color w:val="000000"/>
          <w:sz w:val="24"/>
        </w:rPr>
        <w:t>Change of Control</w:t>
      </w:r>
      <w:r>
        <w:rPr>
          <w:color w:val="000000"/>
        </w:rPr>
        <w:t xml:space="preserve"> </w:t>
      </w:r>
      <w:r>
        <w:rPr>
          <w:rFonts w:ascii="Times New Roman;serif" w:hAnsi="Times New Roman;serif"/>
          <w:b w:val="false"/>
          <w:i/>
          <w:color w:val="000000"/>
          <w:sz w:val="24"/>
        </w:rPr>
        <w:t>Offer</w:t>
      </w:r>
      <w:r>
        <w:rPr>
          <w:color w:val="000000"/>
        </w:rPr>
        <w:t>”</w:t>
      </w:r>
      <w:r>
        <w:rPr>
          <w:rFonts w:ascii="Times New Roman;serif" w:hAnsi="Times New Roman;serif"/>
          <w:b w:val="false"/>
          <w:color w:val="000000"/>
          <w:sz w:val="24"/>
        </w:rPr>
        <w:t xml:space="preserve">). In the Change of Control Offer, the </w:t>
      </w:r>
    </w:p>
    <w:p>
      <w:pPr>
        <w:pStyle w:val="TextBody"/>
        <w:bidi w:val="0"/>
        <w:spacing w:before="0" w:after="0"/>
        <w:jc w:val="left"/>
        <w:rPr/>
      </w:pPr>
      <w:r>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6480175" cy="768985"/>
                <wp:effectExtent l="0" t="0" r="0" b="0"/>
                <wp:wrapNone/>
                <wp:docPr id="231" name="Frame231"/>
                <a:graphic xmlns:a="http://schemas.openxmlformats.org/drawingml/2006/main">
                  <a:graphicData uri="http://schemas.microsoft.com/office/word/2010/wordprocessingShape">
                    <wps:wsp>
                      <wps:cNvSpPr txBox="1"/>
                      <wps:spPr>
                        <a:xfrm>
                          <a:off x="0" y="0"/>
                          <a:ext cx="6480175" cy="7689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58</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0.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58</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Issuer will offer a payment (the “</w:t>
      </w:r>
      <w:r>
        <w:rPr>
          <w:rFonts w:ascii="Times New Roman;serif" w:hAnsi="Times New Roman;serif"/>
          <w:b w:val="false"/>
          <w:i/>
          <w:color w:val="000000"/>
          <w:sz w:val="24"/>
        </w:rPr>
        <w:t>Change of Control Payment</w:t>
      </w:r>
      <w:r>
        <w:rPr>
          <w:color w:val="000000"/>
        </w:rPr>
        <w:t>”</w:t>
      </w:r>
      <w:r>
        <w:rPr>
          <w:rFonts w:ascii="Times New Roman;serif" w:hAnsi="Times New Roman;serif"/>
          <w:b w:val="false"/>
          <w:color w:val="000000"/>
          <w:sz w:val="24"/>
        </w:rPr>
        <w:t>) in cash equal to 101% of the aggregate</w:t>
      </w:r>
      <w:r>
        <w:rPr>
          <w:color w:val="000000"/>
        </w:rPr>
        <w:t xml:space="preserve"> </w:t>
      </w:r>
      <w:r>
        <w:rPr>
          <w:rFonts w:ascii="Times New Roman;serif" w:hAnsi="Times New Roman;serif"/>
          <w:b w:val="false"/>
          <w:color w:val="000000"/>
          <w:sz w:val="24"/>
        </w:rPr>
        <w:t>principal amount of the Notes repurchased, plus accrued and unpaid interest, if any, on the Notes to but excluding the date of purchase, subject to the</w:t>
      </w:r>
      <w:r>
        <w:rPr>
          <w:color w:val="000000"/>
        </w:rPr>
        <w:t xml:space="preserve"> </w:t>
      </w:r>
      <w:r>
        <w:rPr>
          <w:rFonts w:ascii="Times New Roman;serif" w:hAnsi="Times New Roman;serif"/>
          <w:b w:val="false"/>
          <w:color w:val="000000"/>
          <w:sz w:val="24"/>
        </w:rPr>
        <w:t>rights</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Holders</w:t>
      </w:r>
      <w:r>
        <w:rPr>
          <w:color w:val="000000"/>
        </w:rPr>
        <w:t xml:space="preserve"> </w:t>
      </w:r>
      <w:r>
        <w:rPr>
          <w:rFonts w:ascii="Times New Roman;serif" w:hAnsi="Times New Roman;serif"/>
          <w:b w:val="false"/>
          <w:color w:val="000000"/>
          <w:sz w:val="24"/>
        </w:rPr>
        <w:t>on</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relevant</w:t>
      </w:r>
      <w:r>
        <w:rPr>
          <w:color w:val="000000"/>
        </w:rPr>
        <w:t xml:space="preserve"> </w:t>
      </w:r>
      <w:r>
        <w:rPr>
          <w:rFonts w:ascii="Times New Roman;serif" w:hAnsi="Times New Roman;serif"/>
          <w:b w:val="false"/>
          <w:color w:val="000000"/>
          <w:sz w:val="24"/>
        </w:rPr>
        <w:t>record</w:t>
      </w:r>
      <w:r>
        <w:rPr>
          <w:color w:val="000000"/>
        </w:rPr>
        <w:t xml:space="preserve"> </w:t>
      </w:r>
      <w:r>
        <w:rPr>
          <w:rFonts w:ascii="Times New Roman;serif" w:hAnsi="Times New Roman;serif"/>
          <w:b w:val="false"/>
          <w:color w:val="000000"/>
          <w:sz w:val="24"/>
        </w:rPr>
        <w:t>date</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receive</w:t>
      </w:r>
      <w:r>
        <w:rPr>
          <w:color w:val="000000"/>
        </w:rPr>
        <w:t xml:space="preserve"> </w:t>
      </w:r>
      <w:r>
        <w:rPr>
          <w:rFonts w:ascii="Times New Roman;serif" w:hAnsi="Times New Roman;serif"/>
          <w:b w:val="false"/>
          <w:color w:val="000000"/>
          <w:sz w:val="24"/>
        </w:rPr>
        <w:t>interest</w:t>
      </w:r>
      <w:r>
        <w:rPr>
          <w:color w:val="000000"/>
        </w:rPr>
        <w:t xml:space="preserve"> </w:t>
      </w:r>
      <w:r>
        <w:rPr>
          <w:rFonts w:ascii="Times New Roman;serif" w:hAnsi="Times New Roman;serif"/>
          <w:b w:val="false"/>
          <w:color w:val="000000"/>
          <w:sz w:val="24"/>
        </w:rPr>
        <w:t>due</w:t>
      </w:r>
      <w:r>
        <w:rPr>
          <w:color w:val="000000"/>
        </w:rPr>
        <w:t xml:space="preserve"> </w:t>
      </w:r>
      <w:r>
        <w:rPr>
          <w:rFonts w:ascii="Times New Roman;serif" w:hAnsi="Times New Roman;serif"/>
          <w:b w:val="false"/>
          <w:color w:val="000000"/>
          <w:sz w:val="24"/>
        </w:rPr>
        <w:t>on</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relevant</w:t>
      </w:r>
      <w:r>
        <w:rPr>
          <w:color w:val="000000"/>
        </w:rPr>
        <w:t xml:space="preserve"> </w:t>
      </w:r>
      <w:r>
        <w:rPr>
          <w:rFonts w:ascii="Times New Roman;serif" w:hAnsi="Times New Roman;serif"/>
          <w:b w:val="false"/>
          <w:color w:val="000000"/>
          <w:sz w:val="24"/>
        </w:rPr>
        <w:t>interest</w:t>
      </w:r>
      <w:r>
        <w:rPr>
          <w:color w:val="000000"/>
        </w:rPr>
        <w:t xml:space="preserve"> </w:t>
      </w:r>
      <w:r>
        <w:rPr>
          <w:rFonts w:ascii="Times New Roman;serif" w:hAnsi="Times New Roman;serif"/>
          <w:b w:val="false"/>
          <w:color w:val="000000"/>
          <w:sz w:val="24"/>
        </w:rPr>
        <w:t>payment</w:t>
      </w:r>
      <w:r>
        <w:rPr>
          <w:color w:val="000000"/>
        </w:rPr>
        <w:t xml:space="preserve"> </w:t>
      </w:r>
      <w:r>
        <w:rPr>
          <w:rFonts w:ascii="Times New Roman;serif" w:hAnsi="Times New Roman;serif"/>
          <w:b w:val="false"/>
          <w:color w:val="000000"/>
          <w:sz w:val="24"/>
        </w:rPr>
        <w:t>date.</w:t>
      </w:r>
      <w:r>
        <w:rPr>
          <w:color w:val="000000"/>
        </w:rPr>
        <w:t xml:space="preserve"> </w:t>
      </w:r>
      <w:r>
        <w:rPr>
          <w:rFonts w:ascii="Times New Roman;serif" w:hAnsi="Times New Roman;serif"/>
          <w:b w:val="false"/>
          <w:color w:val="000000"/>
          <w:sz w:val="24"/>
        </w:rPr>
        <w:t>Within</w:t>
      </w:r>
      <w:r>
        <w:rPr>
          <w:color w:val="000000"/>
        </w:rPr>
        <w:t xml:space="preserve"> </w:t>
      </w:r>
      <w:r>
        <w:rPr>
          <w:rFonts w:ascii="Times New Roman;serif" w:hAnsi="Times New Roman;serif"/>
          <w:b w:val="false"/>
          <w:color w:val="000000"/>
          <w:sz w:val="24"/>
        </w:rPr>
        <w:t>30</w:t>
      </w:r>
      <w:r>
        <w:rPr>
          <w:color w:val="000000"/>
        </w:rPr>
        <w:t xml:space="preserve"> </w:t>
      </w:r>
      <w:r>
        <w:rPr>
          <w:rFonts w:ascii="Times New Roman;serif" w:hAnsi="Times New Roman;serif"/>
          <w:b w:val="false"/>
          <w:color w:val="000000"/>
          <w:sz w:val="24"/>
        </w:rPr>
        <w:t>days</w:t>
      </w:r>
      <w:r>
        <w:rPr>
          <w:color w:val="000000"/>
        </w:rPr>
        <w:t xml:space="preserve"> </w:t>
      </w:r>
      <w:r>
        <w:rPr>
          <w:rFonts w:ascii="Times New Roman;serif" w:hAnsi="Times New Roman;serif"/>
          <w:b w:val="false"/>
          <w:color w:val="000000"/>
          <w:sz w:val="24"/>
        </w:rPr>
        <w:t>following</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Change</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Control Triggering Event, the Issuer shall mail (or deliver electronically) a notice to each Holder describing the transaction or transactions that constitute</w:t>
      </w:r>
      <w:r>
        <w:rPr>
          <w:color w:val="000000"/>
        </w:rPr>
        <w:t xml:space="preserve"> </w:t>
      </w:r>
      <w:r>
        <w:rPr>
          <w:rFonts w:ascii="Times New Roman;serif" w:hAnsi="Times New Roman;serif"/>
          <w:b w:val="false"/>
          <w:color w:val="000000"/>
          <w:sz w:val="24"/>
        </w:rPr>
        <w:t>the Change of Control Triggering Event and stating:</w:t>
      </w:r>
    </w:p>
    <w:p>
      <w:pPr>
        <w:pStyle w:val="TextBody"/>
        <w:bidi w:val="0"/>
        <w:spacing w:lineRule="auto" w:line="288" w:before="0" w:after="240"/>
        <w:ind w:left="0" w:right="0" w:firstLine="720"/>
        <w:jc w:val="both"/>
        <w:rPr/>
      </w:pPr>
      <w:r>
        <w:rPr>
          <w:rFonts w:ascii="Times New Roman;serif" w:hAnsi="Times New Roman;serif"/>
          <w:b w:val="false"/>
          <w:color w:val="000000"/>
          <w:sz w:val="24"/>
        </w:rPr>
        <w:t>(1)that</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Change</w:t>
      </w:r>
      <w:r>
        <w:rPr>
          <w:color w:val="000000"/>
        </w:rPr>
        <w:t xml:space="preserve"> </w:t>
      </w:r>
      <w:r>
        <w:rPr>
          <w:rFonts w:ascii="Times New Roman;serif" w:hAnsi="Times New Roman;serif"/>
          <w:b w:val="false"/>
          <w:color w:val="000000"/>
          <w:sz w:val="24"/>
        </w:rPr>
        <w:t>of Control</w:t>
      </w:r>
      <w:r>
        <w:rPr>
          <w:color w:val="000000"/>
        </w:rPr>
        <w:t xml:space="preserve"> </w:t>
      </w:r>
      <w:r>
        <w:rPr>
          <w:rFonts w:ascii="Times New Roman;serif" w:hAnsi="Times New Roman;serif"/>
          <w:b w:val="false"/>
          <w:color w:val="000000"/>
          <w:sz w:val="24"/>
        </w:rPr>
        <w:t>Offer</w:t>
      </w:r>
      <w:r>
        <w:rPr>
          <w:color w:val="000000"/>
        </w:rPr>
        <w:t xml:space="preserve"> </w:t>
      </w:r>
      <w:r>
        <w:rPr>
          <w:rFonts w:ascii="Times New Roman;serif" w:hAnsi="Times New Roman;serif"/>
          <w:b w:val="false"/>
          <w:color w:val="000000"/>
          <w:sz w:val="24"/>
        </w:rPr>
        <w:t>is being</w:t>
      </w:r>
      <w:r>
        <w:rPr>
          <w:color w:val="000000"/>
        </w:rPr>
        <w:t xml:space="preserve"> </w:t>
      </w:r>
      <w:r>
        <w:rPr>
          <w:rFonts w:ascii="Times New Roman;serif" w:hAnsi="Times New Roman;serif"/>
          <w:b w:val="false"/>
          <w:color w:val="000000"/>
          <w:sz w:val="24"/>
        </w:rPr>
        <w:t>made</w:t>
      </w:r>
      <w:r>
        <w:rPr>
          <w:color w:val="000000"/>
        </w:rPr>
        <w:t xml:space="preserve"> </w:t>
      </w:r>
      <w:r>
        <w:rPr>
          <w:rFonts w:ascii="Times New Roman;serif" w:hAnsi="Times New Roman;serif"/>
          <w:b w:val="false"/>
          <w:color w:val="000000"/>
          <w:sz w:val="24"/>
        </w:rPr>
        <w:t>pursuant to</w:t>
      </w:r>
      <w:r>
        <w:rPr>
          <w:color w:val="000000"/>
        </w:rPr>
        <w:t xml:space="preserve"> </w:t>
      </w:r>
      <w:r>
        <w:rPr>
          <w:rFonts w:ascii="Times New Roman;serif" w:hAnsi="Times New Roman;serif"/>
          <w:b w:val="false"/>
          <w:color w:val="000000"/>
          <w:sz w:val="24"/>
        </w:rPr>
        <w:t>this</w:t>
      </w:r>
      <w:r>
        <w:rPr>
          <w:color w:val="000000"/>
        </w:rPr>
        <w:t xml:space="preserve"> </w:t>
      </w:r>
      <w:r>
        <w:rPr>
          <w:rFonts w:ascii="Times New Roman;serif" w:hAnsi="Times New Roman;serif"/>
          <w:b w:val="false"/>
          <w:color w:val="000000"/>
          <w:sz w:val="24"/>
          <w:u w:val="single"/>
        </w:rPr>
        <w:t>Section 4.08</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that all Notes</w:t>
      </w:r>
      <w:r>
        <w:rPr>
          <w:color w:val="000000"/>
        </w:rPr>
        <w:t xml:space="preserve"> </w:t>
      </w:r>
      <w:r>
        <w:rPr>
          <w:rFonts w:ascii="Times New Roman;serif" w:hAnsi="Times New Roman;serif"/>
          <w:b w:val="false"/>
          <w:color w:val="000000"/>
          <w:sz w:val="24"/>
        </w:rPr>
        <w:t>tendered will be accepted</w:t>
      </w:r>
      <w:r>
        <w:rPr>
          <w:color w:val="000000"/>
        </w:rPr>
        <w:t xml:space="preserve"> </w:t>
      </w:r>
      <w:r>
        <w:rPr>
          <w:rFonts w:ascii="Times New Roman;serif" w:hAnsi="Times New Roman;serif"/>
          <w:b w:val="false"/>
          <w:color w:val="000000"/>
          <w:sz w:val="24"/>
        </w:rPr>
        <w:t>for payment;</w:t>
      </w:r>
    </w:p>
    <w:p>
      <w:pPr>
        <w:pStyle w:val="TextBody"/>
        <w:bidi w:val="0"/>
        <w:spacing w:lineRule="auto" w:line="288" w:before="0" w:after="240"/>
        <w:ind w:left="0" w:right="0" w:firstLine="720"/>
        <w:jc w:val="both"/>
        <w:rPr/>
      </w:pPr>
      <w:r>
        <w:rPr>
          <w:rFonts w:ascii="Times New Roman;serif" w:hAnsi="Times New Roman;serif"/>
          <w:b w:val="false"/>
          <w:color w:val="000000"/>
          <w:sz w:val="24"/>
        </w:rPr>
        <w:t>(2)the purchase price and the purchase date, which date will be no earlier than 10 days and no later than 60 days from the date such notice is</w:t>
      </w:r>
      <w:r>
        <w:rPr>
          <w:color w:val="000000"/>
        </w:rPr>
        <w:t xml:space="preserve"> </w:t>
      </w:r>
      <w:r>
        <w:rPr>
          <w:rFonts w:ascii="Times New Roman;serif" w:hAnsi="Times New Roman;serif"/>
          <w:b w:val="false"/>
          <w:color w:val="000000"/>
          <w:sz w:val="24"/>
        </w:rPr>
        <w:t>mailed or delivered electronically (the “</w:t>
      </w:r>
      <w:r>
        <w:rPr>
          <w:rFonts w:ascii="Times New Roman;serif" w:hAnsi="Times New Roman;serif"/>
          <w:b w:val="false"/>
          <w:i/>
          <w:color w:val="000000"/>
          <w:sz w:val="24"/>
        </w:rPr>
        <w:t>Change of Control Payment Date</w:t>
      </w:r>
      <w:r>
        <w:rPr>
          <w:color w:val="000000"/>
        </w:rPr>
        <w:t>”</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rFonts w:ascii="Times New Roman;serif" w:hAnsi="Times New Roman;serif"/>
          <w:b w:val="false"/>
          <w:color w:val="000000"/>
          <w:sz w:val="24"/>
        </w:rPr>
        <w:t>(3)that</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Note</w:t>
      </w:r>
      <w:r>
        <w:rPr>
          <w:color w:val="000000"/>
        </w:rPr>
        <w:t xml:space="preserve"> </w:t>
      </w:r>
      <w:r>
        <w:rPr>
          <w:rFonts w:ascii="Times New Roman;serif" w:hAnsi="Times New Roman;serif"/>
          <w:b w:val="false"/>
          <w:color w:val="000000"/>
          <w:sz w:val="24"/>
        </w:rPr>
        <w:t>not</w:t>
      </w:r>
      <w:r>
        <w:rPr>
          <w:color w:val="000000"/>
        </w:rPr>
        <w:t xml:space="preserve"> </w:t>
      </w:r>
      <w:r>
        <w:rPr>
          <w:rFonts w:ascii="Times New Roman;serif" w:hAnsi="Times New Roman;serif"/>
          <w:b w:val="false"/>
          <w:color w:val="000000"/>
          <w:sz w:val="24"/>
        </w:rPr>
        <w:t>tendered</w:t>
      </w:r>
      <w:r>
        <w:rPr>
          <w:color w:val="000000"/>
        </w:rPr>
        <w:t xml:space="preserve"> </w:t>
      </w:r>
      <w:r>
        <w:rPr>
          <w:rFonts w:ascii="Times New Roman;serif" w:hAnsi="Times New Roman;serif"/>
          <w:b w:val="false"/>
          <w:color w:val="000000"/>
          <w:sz w:val="24"/>
        </w:rPr>
        <w:t>will</w:t>
      </w:r>
      <w:r>
        <w:rPr>
          <w:color w:val="000000"/>
        </w:rPr>
        <w:t xml:space="preserve"> </w:t>
      </w:r>
      <w:r>
        <w:rPr>
          <w:rFonts w:ascii="Times New Roman;serif" w:hAnsi="Times New Roman;serif"/>
          <w:b w:val="false"/>
          <w:color w:val="000000"/>
          <w:sz w:val="24"/>
        </w:rPr>
        <w:t>continue</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accrue</w:t>
      </w:r>
      <w:r>
        <w:rPr>
          <w:color w:val="000000"/>
        </w:rPr>
        <w:t xml:space="preserve"> </w:t>
      </w:r>
      <w:r>
        <w:rPr>
          <w:rFonts w:ascii="Times New Roman;serif" w:hAnsi="Times New Roman;serif"/>
          <w:b w:val="false"/>
          <w:color w:val="000000"/>
          <w:sz w:val="24"/>
        </w:rPr>
        <w:t>interest;</w:t>
      </w:r>
    </w:p>
    <w:p>
      <w:pPr>
        <w:pStyle w:val="TextBody"/>
        <w:bidi w:val="0"/>
        <w:spacing w:lineRule="auto" w:line="288" w:before="0" w:after="240"/>
        <w:ind w:left="0" w:right="0" w:firstLine="720"/>
        <w:jc w:val="both"/>
        <w:rPr/>
      </w:pPr>
      <w:r>
        <w:rPr>
          <w:rFonts w:ascii="Times New Roman;serif" w:hAnsi="Times New Roman;serif"/>
          <w:b w:val="false"/>
          <w:color w:val="000000"/>
          <w:sz w:val="24"/>
        </w:rPr>
        <w:t>(4)that, unless the Issuer defaults in the payment of the Change of Control Payment, all Notes accepted for payment pursuant to the</w:t>
      </w:r>
      <w:r>
        <w:rPr>
          <w:color w:val="000000"/>
        </w:rPr>
        <w:t xml:space="preserve"> </w:t>
      </w:r>
      <w:r>
        <w:rPr>
          <w:rFonts w:ascii="Times New Roman;serif" w:hAnsi="Times New Roman;serif"/>
          <w:b w:val="false"/>
          <w:color w:val="000000"/>
          <w:sz w:val="24"/>
        </w:rPr>
        <w:t>Change of Control Offer will cease to accrue interest after the Change of Control Payment Date;</w:t>
      </w:r>
    </w:p>
    <w:p>
      <w:pPr>
        <w:pStyle w:val="TextBody"/>
        <w:bidi w:val="0"/>
        <w:spacing w:lineRule="auto" w:line="288" w:before="0" w:after="240"/>
        <w:ind w:left="0" w:right="0" w:firstLine="720"/>
        <w:jc w:val="both"/>
        <w:rPr/>
      </w:pPr>
      <w:r>
        <w:rPr>
          <w:rFonts w:ascii="Times New Roman;serif" w:hAnsi="Times New Roman;serif"/>
          <w:b w:val="false"/>
          <w:color w:val="000000"/>
          <w:sz w:val="24"/>
        </w:rPr>
        <w:t>(5)that Holders electing to have any Notes purchased pursuant to a Change of Control Offer shall be required to surrender the Notes, with</w:t>
      </w:r>
      <w:r>
        <w:rPr>
          <w:color w:val="000000"/>
        </w:rPr>
        <w:t xml:space="preserve"> </w:t>
      </w:r>
      <w:r>
        <w:rPr>
          <w:rFonts w:ascii="Times New Roman;serif" w:hAnsi="Times New Roman;serif"/>
          <w:b w:val="false"/>
          <w:color w:val="000000"/>
          <w:sz w:val="24"/>
        </w:rPr>
        <w:t>the form entitled “Option of Holder to Elect Purchase” on the reverse of the Notes completed, to the Paying Agent at the address specified in the</w:t>
      </w:r>
      <w:r>
        <w:rPr>
          <w:color w:val="000000"/>
        </w:rPr>
        <w:t xml:space="preserve"> </w:t>
      </w:r>
      <w:r>
        <w:rPr>
          <w:rFonts w:ascii="Times New Roman;serif" w:hAnsi="Times New Roman;serif"/>
          <w:b w:val="false"/>
          <w:color w:val="000000"/>
          <w:sz w:val="24"/>
        </w:rPr>
        <w:t>notice prior to the close of business on the third Business Day preceding the Change of Control Payment Date;</w:t>
      </w:r>
    </w:p>
    <w:p>
      <w:pPr>
        <w:pStyle w:val="TextBody"/>
        <w:bidi w:val="0"/>
        <w:spacing w:lineRule="auto" w:line="288" w:before="0" w:after="240"/>
        <w:ind w:left="0" w:right="0" w:firstLine="720"/>
        <w:jc w:val="both"/>
        <w:rPr/>
      </w:pPr>
      <w:r>
        <w:rPr>
          <w:rFonts w:ascii="Times New Roman;serif" w:hAnsi="Times New Roman;serif"/>
          <w:b w:val="false"/>
          <w:color w:val="000000"/>
          <w:sz w:val="24"/>
        </w:rPr>
        <w:t>(6)that Holders will be entitled to withdraw their election if the Paying Agent receives, not later than the close of business on the second</w:t>
      </w:r>
      <w:r>
        <w:rPr>
          <w:color w:val="000000"/>
        </w:rPr>
        <w:t xml:space="preserve"> </w:t>
      </w:r>
      <w:r>
        <w:rPr>
          <w:rFonts w:ascii="Times New Roman;serif" w:hAnsi="Times New Roman;serif"/>
          <w:b w:val="false"/>
          <w:color w:val="000000"/>
          <w:sz w:val="24"/>
        </w:rPr>
        <w:t>Business</w:t>
      </w:r>
      <w:r>
        <w:rPr>
          <w:color w:val="000000"/>
        </w:rPr>
        <w:t xml:space="preserve"> </w:t>
      </w:r>
      <w:r>
        <w:rPr>
          <w:rFonts w:ascii="Times New Roman;serif" w:hAnsi="Times New Roman;serif"/>
          <w:b w:val="false"/>
          <w:color w:val="000000"/>
          <w:sz w:val="24"/>
        </w:rPr>
        <w:t>Day</w:t>
      </w:r>
      <w:r>
        <w:rPr>
          <w:color w:val="000000"/>
        </w:rPr>
        <w:t xml:space="preserve"> </w:t>
      </w:r>
      <w:r>
        <w:rPr>
          <w:rFonts w:ascii="Times New Roman;serif" w:hAnsi="Times New Roman;serif"/>
          <w:b w:val="false"/>
          <w:color w:val="000000"/>
          <w:sz w:val="24"/>
        </w:rPr>
        <w:t>preceding</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Change</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Control</w:t>
      </w:r>
      <w:r>
        <w:rPr>
          <w:color w:val="000000"/>
        </w:rPr>
        <w:t xml:space="preserve"> </w:t>
      </w:r>
      <w:r>
        <w:rPr>
          <w:rFonts w:ascii="Times New Roman;serif" w:hAnsi="Times New Roman;serif"/>
          <w:b w:val="false"/>
          <w:color w:val="000000"/>
          <w:sz w:val="24"/>
        </w:rPr>
        <w:t>Payment</w:t>
      </w:r>
      <w:r>
        <w:rPr>
          <w:color w:val="000000"/>
        </w:rPr>
        <w:t xml:space="preserve"> </w:t>
      </w:r>
      <w:r>
        <w:rPr>
          <w:rFonts w:ascii="Times New Roman;serif" w:hAnsi="Times New Roman;serif"/>
          <w:b w:val="false"/>
          <w:color w:val="000000"/>
          <w:sz w:val="24"/>
        </w:rPr>
        <w:t>Date,</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telegram,</w:t>
      </w:r>
      <w:r>
        <w:rPr>
          <w:color w:val="000000"/>
        </w:rPr>
        <w:t xml:space="preserve"> </w:t>
      </w:r>
      <w:r>
        <w:rPr>
          <w:rFonts w:ascii="Times New Roman;serif" w:hAnsi="Times New Roman;serif"/>
          <w:b w:val="false"/>
          <w:color w:val="000000"/>
          <w:sz w:val="24"/>
        </w:rPr>
        <w:t>telex,</w:t>
      </w:r>
      <w:r>
        <w:rPr>
          <w:color w:val="000000"/>
        </w:rPr>
        <w:t xml:space="preserve"> </w:t>
      </w:r>
      <w:r>
        <w:rPr>
          <w:rFonts w:ascii="Times New Roman;serif" w:hAnsi="Times New Roman;serif"/>
          <w:b w:val="false"/>
          <w:color w:val="000000"/>
          <w:sz w:val="24"/>
        </w:rPr>
        <w:t>email,</w:t>
      </w:r>
      <w:r>
        <w:rPr>
          <w:color w:val="000000"/>
        </w:rPr>
        <w:t xml:space="preserve"> </w:t>
      </w:r>
      <w:r>
        <w:rPr>
          <w:rFonts w:ascii="Times New Roman;serif" w:hAnsi="Times New Roman;serif"/>
          <w:b w:val="false"/>
          <w:color w:val="000000"/>
          <w:sz w:val="24"/>
        </w:rPr>
        <w:t>facsimile</w:t>
      </w:r>
      <w:r>
        <w:rPr>
          <w:color w:val="000000"/>
        </w:rPr>
        <w:t xml:space="preserve"> </w:t>
      </w:r>
      <w:r>
        <w:rPr>
          <w:rFonts w:ascii="Times New Roman;serif" w:hAnsi="Times New Roman;serif"/>
          <w:b w:val="false"/>
          <w:color w:val="000000"/>
          <w:sz w:val="24"/>
        </w:rPr>
        <w:t>transmission</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letter</w:t>
      </w:r>
      <w:r>
        <w:rPr>
          <w:color w:val="000000"/>
        </w:rPr>
        <w:t xml:space="preserve"> </w:t>
      </w:r>
      <w:r>
        <w:rPr>
          <w:rFonts w:ascii="Times New Roman;serif" w:hAnsi="Times New Roman;serif"/>
          <w:b w:val="false"/>
          <w:color w:val="000000"/>
          <w:sz w:val="24"/>
        </w:rPr>
        <w:t>setting</w:t>
      </w:r>
      <w:r>
        <w:rPr>
          <w:color w:val="000000"/>
        </w:rPr>
        <w:t xml:space="preserve"> </w:t>
      </w:r>
      <w:r>
        <w:rPr>
          <w:rFonts w:ascii="Times New Roman;serif" w:hAnsi="Times New Roman;serif"/>
          <w:b w:val="false"/>
          <w:color w:val="000000"/>
          <w:sz w:val="24"/>
        </w:rPr>
        <w:t>forth</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name</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Holder, the principal amount of Notes delivered for purchase, and a statement that such Holder is withdrawing his election to have the Notes</w:t>
      </w:r>
      <w:r>
        <w:rPr>
          <w:color w:val="000000"/>
        </w:rPr>
        <w:t xml:space="preserve"> </w:t>
      </w:r>
      <w:r>
        <w:rPr>
          <w:rFonts w:ascii="Times New Roman;serif" w:hAnsi="Times New Roman;serif"/>
          <w:b w:val="false"/>
          <w:color w:val="000000"/>
          <w:sz w:val="24"/>
        </w:rPr>
        <w:t>purchased; and</w:t>
      </w:r>
    </w:p>
    <w:p>
      <w:pPr>
        <w:pStyle w:val="TextBody"/>
        <w:bidi w:val="0"/>
        <w:spacing w:lineRule="auto" w:line="288" w:before="0" w:after="240"/>
        <w:ind w:left="0" w:right="0" w:firstLine="720"/>
        <w:jc w:val="both"/>
        <w:rPr/>
      </w:pPr>
      <w:r>
        <w:rPr>
          <w:rFonts w:ascii="Times New Roman;serif" w:hAnsi="Times New Roman;serif"/>
          <w:b w:val="false"/>
          <w:color w:val="000000"/>
          <w:sz w:val="24"/>
        </w:rPr>
        <w:t>(7)that</w:t>
      </w:r>
      <w:r>
        <w:rPr>
          <w:color w:val="000000"/>
        </w:rPr>
        <w:t xml:space="preserve"> </w:t>
      </w:r>
      <w:r>
        <w:rPr>
          <w:rFonts w:ascii="Times New Roman;serif" w:hAnsi="Times New Roman;serif"/>
          <w:b w:val="false"/>
          <w:color w:val="000000"/>
          <w:sz w:val="24"/>
        </w:rPr>
        <w:t>Holders</w:t>
      </w:r>
      <w:r>
        <w:rPr>
          <w:color w:val="000000"/>
        </w:rPr>
        <w:t xml:space="preserve"> </w:t>
      </w:r>
      <w:r>
        <w:rPr>
          <w:rFonts w:ascii="Times New Roman;serif" w:hAnsi="Times New Roman;serif"/>
          <w:b w:val="false"/>
          <w:color w:val="000000"/>
          <w:sz w:val="24"/>
        </w:rPr>
        <w:t>whose</w:t>
      </w:r>
      <w:r>
        <w:rPr>
          <w:color w:val="000000"/>
        </w:rPr>
        <w:t xml:space="preserve"> </w:t>
      </w:r>
      <w:r>
        <w:rPr>
          <w:rFonts w:ascii="Times New Roman;serif" w:hAnsi="Times New Roman;serif"/>
          <w:b w:val="false"/>
          <w:color w:val="000000"/>
          <w:sz w:val="24"/>
        </w:rPr>
        <w:t>Notes</w:t>
      </w:r>
      <w:r>
        <w:rPr>
          <w:color w:val="000000"/>
        </w:rPr>
        <w:t xml:space="preserve"> </w:t>
      </w:r>
      <w:r>
        <w:rPr>
          <w:rFonts w:ascii="Times New Roman;serif" w:hAnsi="Times New Roman;serif"/>
          <w:b w:val="false"/>
          <w:color w:val="000000"/>
          <w:sz w:val="24"/>
        </w:rPr>
        <w:t>are</w:t>
      </w:r>
      <w:r>
        <w:rPr>
          <w:color w:val="000000"/>
        </w:rPr>
        <w:t xml:space="preserve"> </w:t>
      </w:r>
      <w:r>
        <w:rPr>
          <w:rFonts w:ascii="Times New Roman;serif" w:hAnsi="Times New Roman;serif"/>
          <w:b w:val="false"/>
          <w:color w:val="000000"/>
          <w:sz w:val="24"/>
        </w:rPr>
        <w:t>being</w:t>
      </w:r>
      <w:r>
        <w:rPr>
          <w:color w:val="000000"/>
        </w:rPr>
        <w:t xml:space="preserve"> </w:t>
      </w:r>
      <w:r>
        <w:rPr>
          <w:rFonts w:ascii="Times New Roman;serif" w:hAnsi="Times New Roman;serif"/>
          <w:b w:val="false"/>
          <w:color w:val="000000"/>
          <w:sz w:val="24"/>
        </w:rPr>
        <w:t>purchased</w:t>
      </w:r>
      <w:r>
        <w:rPr>
          <w:color w:val="000000"/>
        </w:rPr>
        <w:t xml:space="preserve"> </w:t>
      </w:r>
      <w:r>
        <w:rPr>
          <w:rFonts w:ascii="Times New Roman;serif" w:hAnsi="Times New Roman;serif"/>
          <w:b w:val="false"/>
          <w:color w:val="000000"/>
          <w:sz w:val="24"/>
        </w:rPr>
        <w:t>only</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part</w:t>
      </w:r>
      <w:r>
        <w:rPr>
          <w:color w:val="000000"/>
        </w:rPr>
        <w:t xml:space="preserve"> </w:t>
      </w:r>
      <w:r>
        <w:rPr>
          <w:rFonts w:ascii="Times New Roman;serif" w:hAnsi="Times New Roman;serif"/>
          <w:b w:val="false"/>
          <w:color w:val="000000"/>
          <w:sz w:val="24"/>
        </w:rPr>
        <w:t>will</w:t>
      </w:r>
      <w:r>
        <w:rPr>
          <w:color w:val="000000"/>
        </w:rPr>
        <w:t xml:space="preserve"> </w:t>
      </w:r>
      <w:r>
        <w:rPr>
          <w:rFonts w:ascii="Times New Roman;serif" w:hAnsi="Times New Roman;serif"/>
          <w:b w:val="false"/>
          <w:color w:val="000000"/>
          <w:sz w:val="24"/>
        </w:rPr>
        <w:t>be</w:t>
      </w:r>
      <w:r>
        <w:rPr>
          <w:color w:val="000000"/>
        </w:rPr>
        <w:t xml:space="preserve"> </w:t>
      </w:r>
      <w:r>
        <w:rPr>
          <w:rFonts w:ascii="Times New Roman;serif" w:hAnsi="Times New Roman;serif"/>
          <w:b w:val="false"/>
          <w:color w:val="000000"/>
          <w:sz w:val="24"/>
        </w:rPr>
        <w:t>issued</w:t>
      </w:r>
      <w:r>
        <w:rPr>
          <w:color w:val="000000"/>
        </w:rPr>
        <w:t xml:space="preserve"> </w:t>
      </w:r>
      <w:r>
        <w:rPr>
          <w:rFonts w:ascii="Times New Roman;serif" w:hAnsi="Times New Roman;serif"/>
          <w:b w:val="false"/>
          <w:color w:val="000000"/>
          <w:sz w:val="24"/>
        </w:rPr>
        <w:t>new</w:t>
      </w:r>
      <w:r>
        <w:rPr>
          <w:color w:val="000000"/>
        </w:rPr>
        <w:t xml:space="preserve"> </w:t>
      </w:r>
      <w:r>
        <w:rPr>
          <w:rFonts w:ascii="Times New Roman;serif" w:hAnsi="Times New Roman;serif"/>
          <w:b w:val="false"/>
          <w:color w:val="000000"/>
          <w:sz w:val="24"/>
        </w:rPr>
        <w:t>Notes</w:t>
      </w:r>
      <w:r>
        <w:rPr>
          <w:color w:val="000000"/>
        </w:rPr>
        <w:t xml:space="preserve"> </w:t>
      </w:r>
      <w:r>
        <w:rPr>
          <w:rFonts w:ascii="Times New Roman;serif" w:hAnsi="Times New Roman;serif"/>
          <w:b w:val="false"/>
          <w:color w:val="000000"/>
          <w:sz w:val="24"/>
        </w:rPr>
        <w:t>equal</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principal</w:t>
      </w:r>
      <w:r>
        <w:rPr>
          <w:color w:val="000000"/>
        </w:rPr>
        <w:t xml:space="preserve"> </w:t>
      </w:r>
      <w:r>
        <w:rPr>
          <w:rFonts w:ascii="Times New Roman;serif" w:hAnsi="Times New Roman;serif"/>
          <w:b w:val="false"/>
          <w:color w:val="000000"/>
          <w:sz w:val="24"/>
        </w:rPr>
        <w:t>amount</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unpurchased</w:t>
      </w:r>
      <w:r>
        <w:rPr>
          <w:color w:val="000000"/>
        </w:rPr>
        <w:t xml:space="preserve"> </w:t>
      </w:r>
      <w:r>
        <w:rPr>
          <w:rFonts w:ascii="Times New Roman;serif" w:hAnsi="Times New Roman;serif"/>
          <w:b w:val="false"/>
          <w:color w:val="000000"/>
          <w:sz w:val="24"/>
        </w:rPr>
        <w:t>portion of the</w:t>
      </w:r>
      <w:r>
        <w:rPr>
          <w:color w:val="000000"/>
        </w:rPr>
        <w:t xml:space="preserve"> </w:t>
      </w:r>
      <w:r>
        <w:rPr>
          <w:rFonts w:ascii="Times New Roman;serif" w:hAnsi="Times New Roman;serif"/>
          <w:b w:val="false"/>
          <w:color w:val="000000"/>
          <w:sz w:val="24"/>
        </w:rPr>
        <w:t>Notes</w:t>
      </w:r>
      <w:r>
        <w:rPr>
          <w:color w:val="000000"/>
        </w:rPr>
        <w:t xml:space="preserve"> </w:t>
      </w:r>
      <w:r>
        <w:rPr>
          <w:rFonts w:ascii="Times New Roman;serif" w:hAnsi="Times New Roman;serif"/>
          <w:b w:val="false"/>
          <w:color w:val="000000"/>
          <w:sz w:val="24"/>
        </w:rPr>
        <w:t>surrendered,</w:t>
      </w:r>
      <w:r>
        <w:rPr>
          <w:color w:val="000000"/>
        </w:rPr>
        <w:t xml:space="preserve"> </w:t>
      </w:r>
      <w:r>
        <w:rPr>
          <w:rFonts w:ascii="Times New Roman;serif" w:hAnsi="Times New Roman;serif"/>
          <w:b w:val="false"/>
          <w:color w:val="000000"/>
          <w:sz w:val="24"/>
        </w:rPr>
        <w:t>which</w:t>
      </w:r>
      <w:r>
        <w:rPr>
          <w:color w:val="000000"/>
        </w:rPr>
        <w:t xml:space="preserve"> </w:t>
      </w:r>
      <w:r>
        <w:rPr>
          <w:rFonts w:ascii="Times New Roman;serif" w:hAnsi="Times New Roman;serif"/>
          <w:b w:val="false"/>
          <w:color w:val="000000"/>
          <w:sz w:val="24"/>
        </w:rPr>
        <w:t>unpurchased portion must</w:t>
      </w:r>
      <w:r>
        <w:rPr>
          <w:color w:val="000000"/>
        </w:rPr>
        <w:t xml:space="preserve"> </w:t>
      </w:r>
      <w:r>
        <w:rPr>
          <w:rFonts w:ascii="Times New Roman;serif" w:hAnsi="Times New Roman;serif"/>
          <w:b w:val="false"/>
          <w:color w:val="000000"/>
          <w:sz w:val="24"/>
        </w:rPr>
        <w:t>be equal</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$2,000 in</w:t>
      </w:r>
      <w:r>
        <w:rPr>
          <w:color w:val="000000"/>
        </w:rPr>
        <w:t xml:space="preserve"> </w:t>
      </w:r>
      <w:r>
        <w:rPr>
          <w:rFonts w:ascii="Times New Roman;serif" w:hAnsi="Times New Roman;serif"/>
          <w:b w:val="false"/>
          <w:color w:val="000000"/>
          <w:sz w:val="24"/>
        </w:rPr>
        <w:t>principal amount</w:t>
      </w:r>
      <w:r>
        <w:rPr>
          <w:color w:val="000000"/>
        </w:rPr>
        <w:t xml:space="preserve"> </w:t>
      </w:r>
      <w:r>
        <w:rPr>
          <w:rFonts w:ascii="Times New Roman;serif" w:hAnsi="Times New Roman;serif"/>
          <w:b w:val="false"/>
          <w:color w:val="000000"/>
          <w:sz w:val="24"/>
        </w:rPr>
        <w:t>or an</w:t>
      </w:r>
      <w:r>
        <w:rPr>
          <w:color w:val="000000"/>
        </w:rPr>
        <w:t xml:space="preserve"> </w:t>
      </w:r>
      <w:r>
        <w:rPr>
          <w:rFonts w:ascii="Times New Roman;serif" w:hAnsi="Times New Roman;serif"/>
          <w:b w:val="false"/>
          <w:color w:val="000000"/>
          <w:sz w:val="24"/>
        </w:rPr>
        <w:t>integral</w:t>
      </w:r>
      <w:r>
        <w:rPr>
          <w:color w:val="000000"/>
        </w:rPr>
        <w:t xml:space="preserve"> </w:t>
      </w:r>
      <w:r>
        <w:rPr>
          <w:rFonts w:ascii="Times New Roman;serif" w:hAnsi="Times New Roman;serif"/>
          <w:b w:val="false"/>
          <w:color w:val="000000"/>
          <w:sz w:val="24"/>
        </w:rPr>
        <w:t>multiple</w:t>
      </w:r>
      <w:r>
        <w:rPr>
          <w:color w:val="000000"/>
        </w:rPr>
        <w:t xml:space="preserve"> </w:t>
      </w:r>
      <w:r>
        <w:rPr>
          <w:rFonts w:ascii="Times New Roman;serif" w:hAnsi="Times New Roman;serif"/>
          <w:b w:val="false"/>
          <w:color w:val="000000"/>
          <w:sz w:val="24"/>
        </w:rPr>
        <w:t>of $1,000 in</w:t>
      </w:r>
      <w:r>
        <w:rPr>
          <w:color w:val="000000"/>
        </w:rPr>
        <w:t xml:space="preserve"> </w:t>
      </w:r>
      <w:r>
        <w:rPr>
          <w:rFonts w:ascii="Times New Roman;serif" w:hAnsi="Times New Roman;serif"/>
          <w:b w:val="false"/>
          <w:color w:val="000000"/>
          <w:sz w:val="24"/>
        </w:rPr>
        <w:t>excess</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$2,000.</w:t>
      </w:r>
    </w:p>
    <w:p>
      <w:pPr>
        <w:pStyle w:val="TextBody"/>
        <w:bidi w:val="0"/>
        <w:spacing w:lineRule="auto" w:line="288"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rPr>
        <w:t>The Issuer shall comply with the requirements of Rule 14e-1 under the Exchange Act and any other securities laws and regulations</w:t>
      </w:r>
      <w:r>
        <w:rPr>
          <w:color w:val="000000"/>
        </w:rPr>
        <w:t xml:space="preserve"> </w:t>
      </w:r>
      <w:r>
        <w:rPr>
          <w:rFonts w:ascii="Times New Roman;serif" w:hAnsi="Times New Roman;serif"/>
          <w:b w:val="false"/>
          <w:color w:val="000000"/>
          <w:sz w:val="24"/>
        </w:rPr>
        <w:t>thereunder to the extent those laws and regulations are applicable in connection with the repurchase of the Notes as a result of a Change of Control</w:t>
      </w:r>
      <w:r>
        <w:rPr>
          <w:color w:val="000000"/>
        </w:rPr>
        <w:t xml:space="preserve"> </w:t>
      </w:r>
      <w:r>
        <w:rPr>
          <w:rFonts w:ascii="Times New Roman;serif" w:hAnsi="Times New Roman;serif"/>
          <w:b w:val="false"/>
          <w:color w:val="000000"/>
          <w:sz w:val="24"/>
        </w:rPr>
        <w:t>Triggering Event. To the extent that the provisions of any securities laws, rules or regulations conflict with the provisions of this</w:t>
      </w:r>
      <w:r>
        <w:rPr>
          <w:color w:val="000000"/>
        </w:rPr>
        <w:t xml:space="preserve"> </w:t>
      </w:r>
      <w:r>
        <w:rPr>
          <w:rFonts w:ascii="Times New Roman;serif" w:hAnsi="Times New Roman;serif"/>
          <w:b w:val="false"/>
          <w:color w:val="000000"/>
          <w:sz w:val="24"/>
          <w:u w:val="single"/>
        </w:rPr>
        <w:t>Section 4.08</w:t>
      </w:r>
      <w:r>
        <w:rPr>
          <w:rFonts w:ascii="Times New Roman;serif" w:hAnsi="Times New Roman;serif"/>
          <w:b w:val="false"/>
          <w:color w:val="000000"/>
          <w:sz w:val="24"/>
        </w:rPr>
        <w:t>, the Issuer shall</w:t>
      </w:r>
      <w:r>
        <w:rPr>
          <w:color w:val="000000"/>
        </w:rPr>
        <w:t xml:space="preserve"> </w:t>
      </w:r>
      <w:r>
        <w:rPr>
          <w:rFonts w:ascii="Times New Roman;serif" w:hAnsi="Times New Roman;serif"/>
          <w:b w:val="false"/>
          <w:color w:val="000000"/>
          <w:sz w:val="24"/>
        </w:rPr>
        <w:t xml:space="preserve">comply with the applicable securities laws, rules and regulations, including Rule 14e-1 under the Exchange Act, </w:t>
      </w:r>
    </w:p>
    <w:p>
      <w:pPr>
        <w:pStyle w:val="TextBody"/>
        <w:bidi w:val="0"/>
        <w:spacing w:before="0" w:after="0"/>
        <w:jc w:val="left"/>
        <w:rPr/>
      </w:pPr>
      <w:r>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6480175" cy="768985"/>
                <wp:effectExtent l="0" t="0" r="0" b="0"/>
                <wp:wrapNone/>
                <wp:docPr id="232" name="Frame232"/>
                <a:graphic xmlns:a="http://schemas.openxmlformats.org/drawingml/2006/main">
                  <a:graphicData uri="http://schemas.microsoft.com/office/word/2010/wordprocessingShape">
                    <wps:wsp>
                      <wps:cNvSpPr txBox="1"/>
                      <wps:spPr>
                        <a:xfrm>
                          <a:off x="0" y="0"/>
                          <a:ext cx="6480175" cy="7689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59</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0.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59</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and shall not be deemed to have breached its obligations under this </w:t>
      </w:r>
      <w:r>
        <w:rPr>
          <w:rFonts w:ascii="Times New Roman;serif" w:hAnsi="Times New Roman;serif"/>
          <w:b w:val="false"/>
          <w:color w:val="000000"/>
          <w:sz w:val="24"/>
          <w:u w:val="single"/>
        </w:rPr>
        <w:t>Section 4.08</w:t>
      </w:r>
      <w:r>
        <w:rPr>
          <w:color w:val="000000"/>
        </w:rPr>
        <w:t xml:space="preserve"> </w:t>
      </w:r>
      <w:r>
        <w:rPr>
          <w:rFonts w:ascii="Times New Roman;serif" w:hAnsi="Times New Roman;serif"/>
          <w:b w:val="false"/>
          <w:color w:val="000000"/>
          <w:sz w:val="24"/>
        </w:rPr>
        <w:t>by virtue of</w:t>
      </w:r>
      <w:r>
        <w:rPr>
          <w:color w:val="000000"/>
        </w:rPr>
        <w:t xml:space="preserve"> </w:t>
      </w:r>
      <w:r>
        <w:rPr>
          <w:rFonts w:ascii="Times New Roman;serif" w:hAnsi="Times New Roman;serif"/>
          <w:b w:val="false"/>
          <w:color w:val="000000"/>
          <w:sz w:val="24"/>
        </w:rPr>
        <w:t>such compliance. The Issuer may rely on any no-action letters issued by the SEC indicating that the staff of the SEC will not recommend enforcement action in the event a tender offer satisfies certain conditions.</w:t>
      </w:r>
    </w:p>
    <w:p>
      <w:pPr>
        <w:pStyle w:val="TextBody"/>
        <w:bidi w:val="0"/>
        <w:spacing w:lineRule="auto" w:line="288" w:before="0" w:after="240"/>
        <w:ind w:left="0" w:right="0" w:firstLine="720"/>
        <w:jc w:val="both"/>
        <w:rPr/>
      </w:pPr>
      <w:r>
        <w:rPr>
          <w:rFonts w:ascii="Times New Roman;serif" w:hAnsi="Times New Roman;serif"/>
          <w:b w:val="false"/>
          <w:color w:val="000000"/>
          <w:sz w:val="24"/>
        </w:rPr>
        <w:t>(c)</w:t>
      </w:r>
      <w:r>
        <w:rPr>
          <w:rFonts w:ascii="Times New Roman;serif" w:hAnsi="Times New Roman;serif"/>
          <w:b w:val="false"/>
          <w:color w:val="000000"/>
          <w:sz w:val="24"/>
        </w:rPr>
        <w:t>On</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Change</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Control</w:t>
      </w:r>
      <w:r>
        <w:rPr>
          <w:color w:val="000000"/>
        </w:rPr>
        <w:t xml:space="preserve"> </w:t>
      </w:r>
      <w:r>
        <w:rPr>
          <w:rFonts w:ascii="Times New Roman;serif" w:hAnsi="Times New Roman;serif"/>
          <w:b w:val="false"/>
          <w:color w:val="000000"/>
          <w:sz w:val="24"/>
        </w:rPr>
        <w:t>Payment</w:t>
      </w:r>
      <w:r>
        <w:rPr>
          <w:color w:val="000000"/>
        </w:rPr>
        <w:t xml:space="preserve"> </w:t>
      </w:r>
      <w:r>
        <w:rPr>
          <w:rFonts w:ascii="Times New Roman;serif" w:hAnsi="Times New Roman;serif"/>
          <w:b w:val="false"/>
          <w:color w:val="000000"/>
          <w:sz w:val="24"/>
        </w:rPr>
        <w:t>Date,</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Issuer</w:t>
      </w:r>
      <w:r>
        <w:rPr>
          <w:color w:val="000000"/>
        </w:rPr>
        <w:t xml:space="preserve"> </w:t>
      </w:r>
      <w:r>
        <w:rPr>
          <w:rFonts w:ascii="Times New Roman;serif" w:hAnsi="Times New Roman;serif"/>
          <w:b w:val="false"/>
          <w:color w:val="000000"/>
          <w:sz w:val="24"/>
        </w:rPr>
        <w:t>shall,</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extent</w:t>
      </w:r>
      <w:r>
        <w:rPr>
          <w:color w:val="000000"/>
        </w:rPr>
        <w:t xml:space="preserve"> </w:t>
      </w:r>
      <w:r>
        <w:rPr>
          <w:rFonts w:ascii="Times New Roman;serif" w:hAnsi="Times New Roman;serif"/>
          <w:b w:val="false"/>
          <w:color w:val="000000"/>
          <w:sz w:val="24"/>
        </w:rPr>
        <w:t>lawful:</w:t>
      </w:r>
    </w:p>
    <w:p>
      <w:pPr>
        <w:pStyle w:val="TextBody"/>
        <w:bidi w:val="0"/>
        <w:spacing w:lineRule="auto" w:line="288" w:before="0" w:after="240"/>
        <w:ind w:left="0" w:right="0" w:firstLine="720"/>
        <w:jc w:val="both"/>
        <w:rPr/>
      </w:pPr>
      <w:r>
        <w:rPr>
          <w:rFonts w:ascii="Times New Roman;serif" w:hAnsi="Times New Roman;serif"/>
          <w:b w:val="false"/>
          <w:color w:val="000000"/>
          <w:sz w:val="24"/>
        </w:rPr>
        <w:t>(1)accept</w:t>
      </w:r>
      <w:r>
        <w:rPr>
          <w:color w:val="000000"/>
        </w:rPr>
        <w:t xml:space="preserve"> </w:t>
      </w:r>
      <w:r>
        <w:rPr>
          <w:rFonts w:ascii="Times New Roman;serif" w:hAnsi="Times New Roman;serif"/>
          <w:b w:val="false"/>
          <w:color w:val="000000"/>
          <w:sz w:val="24"/>
        </w:rPr>
        <w:t>for</w:t>
      </w:r>
      <w:r>
        <w:rPr>
          <w:color w:val="000000"/>
        </w:rPr>
        <w:t xml:space="preserve"> </w:t>
      </w:r>
      <w:r>
        <w:rPr>
          <w:rFonts w:ascii="Times New Roman;serif" w:hAnsi="Times New Roman;serif"/>
          <w:b w:val="false"/>
          <w:color w:val="000000"/>
          <w:sz w:val="24"/>
        </w:rPr>
        <w:t>payment</w:t>
      </w:r>
      <w:r>
        <w:rPr>
          <w:color w:val="000000"/>
        </w:rPr>
        <w:t xml:space="preserve"> </w:t>
      </w:r>
      <w:r>
        <w:rPr>
          <w:rFonts w:ascii="Times New Roman;serif" w:hAnsi="Times New Roman;serif"/>
          <w:b w:val="false"/>
          <w:color w:val="000000"/>
          <w:sz w:val="24"/>
        </w:rPr>
        <w:t>all</w:t>
      </w:r>
      <w:r>
        <w:rPr>
          <w:color w:val="000000"/>
        </w:rPr>
        <w:t xml:space="preserve"> </w:t>
      </w:r>
      <w:r>
        <w:rPr>
          <w:rFonts w:ascii="Times New Roman;serif" w:hAnsi="Times New Roman;serif"/>
          <w:b w:val="false"/>
          <w:color w:val="000000"/>
          <w:sz w:val="24"/>
        </w:rPr>
        <w:t>Notes</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portions</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Notes</w:t>
      </w:r>
      <w:r>
        <w:rPr>
          <w:color w:val="000000"/>
        </w:rPr>
        <w:t xml:space="preserve"> </w:t>
      </w:r>
      <w:r>
        <w:rPr>
          <w:rFonts w:ascii="Times New Roman;serif" w:hAnsi="Times New Roman;serif"/>
          <w:b w:val="false"/>
          <w:color w:val="000000"/>
          <w:sz w:val="24"/>
        </w:rPr>
        <w:t>validly</w:t>
      </w:r>
      <w:r>
        <w:rPr>
          <w:color w:val="000000"/>
        </w:rPr>
        <w:t xml:space="preserve"> </w:t>
      </w:r>
      <w:r>
        <w:rPr>
          <w:rFonts w:ascii="Times New Roman;serif" w:hAnsi="Times New Roman;serif"/>
          <w:b w:val="false"/>
          <w:color w:val="000000"/>
          <w:sz w:val="24"/>
        </w:rPr>
        <w:t>tendered</w:t>
      </w:r>
      <w:r>
        <w:rPr>
          <w:color w:val="000000"/>
        </w:rPr>
        <w:t xml:space="preserve"> </w:t>
      </w:r>
      <w:r>
        <w:rPr>
          <w:rFonts w:ascii="Times New Roman;serif" w:hAnsi="Times New Roman;serif"/>
          <w:b w:val="false"/>
          <w:color w:val="000000"/>
          <w:sz w:val="24"/>
        </w:rPr>
        <w:t>pursuant</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Change</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Control</w:t>
      </w:r>
      <w:r>
        <w:rPr>
          <w:color w:val="000000"/>
        </w:rPr>
        <w:t xml:space="preserve"> </w:t>
      </w:r>
      <w:r>
        <w:rPr>
          <w:rFonts w:ascii="Times New Roman;serif" w:hAnsi="Times New Roman;serif"/>
          <w:b w:val="false"/>
          <w:color w:val="000000"/>
          <w:sz w:val="24"/>
        </w:rPr>
        <w:t>Offer;</w:t>
      </w:r>
    </w:p>
    <w:p>
      <w:pPr>
        <w:pStyle w:val="TextBody"/>
        <w:bidi w:val="0"/>
        <w:spacing w:lineRule="auto" w:line="288" w:before="0" w:after="240"/>
        <w:ind w:left="0" w:right="0" w:firstLine="720"/>
        <w:jc w:val="both"/>
        <w:rPr/>
      </w:pPr>
      <w:r>
        <w:rPr>
          <w:rFonts w:ascii="Times New Roman;serif" w:hAnsi="Times New Roman;serif"/>
          <w:b w:val="false"/>
          <w:color w:val="000000"/>
          <w:sz w:val="24"/>
        </w:rPr>
        <w:t>(2)deposit with the Paying Agent an amount equal to the Change of Control Payment in respect of all Notes or portions of Notes validly</w:t>
      </w:r>
      <w:r>
        <w:rPr>
          <w:color w:val="000000"/>
        </w:rPr>
        <w:t xml:space="preserve"> </w:t>
      </w:r>
      <w:r>
        <w:rPr>
          <w:rFonts w:ascii="Times New Roman;serif" w:hAnsi="Times New Roman;serif"/>
          <w:b w:val="false"/>
          <w:color w:val="000000"/>
          <w:sz w:val="24"/>
        </w:rPr>
        <w:t>tendered; and</w:t>
      </w:r>
    </w:p>
    <w:p>
      <w:pPr>
        <w:pStyle w:val="TextBody"/>
        <w:bidi w:val="0"/>
        <w:spacing w:lineRule="auto" w:line="288" w:before="0" w:after="240"/>
        <w:ind w:left="0" w:right="0" w:firstLine="720"/>
        <w:jc w:val="both"/>
        <w:rPr/>
      </w:pPr>
      <w:r>
        <w:rPr>
          <w:rFonts w:ascii="Times New Roman;serif" w:hAnsi="Times New Roman;serif"/>
          <w:b w:val="false"/>
          <w:color w:val="000000"/>
          <w:sz w:val="24"/>
        </w:rPr>
        <w:t>(3)deliver or cause to be delivered to the Trustee the Notes validly tendered together with an Officer’s Certificate stating the aggregate</w:t>
      </w:r>
      <w:r>
        <w:rPr>
          <w:color w:val="000000"/>
        </w:rPr>
        <w:t xml:space="preserve"> </w:t>
      </w:r>
      <w:r>
        <w:rPr>
          <w:rFonts w:ascii="Times New Roman;serif" w:hAnsi="Times New Roman;serif"/>
          <w:b w:val="false"/>
          <w:color w:val="000000"/>
          <w:sz w:val="24"/>
        </w:rPr>
        <w:t>principal amount of Notes or portions of Notes being purchased by the Issuer.</w:t>
      </w:r>
    </w:p>
    <w:p>
      <w:pPr>
        <w:pStyle w:val="TextBody"/>
        <w:bidi w:val="0"/>
        <w:spacing w:lineRule="auto" w:line="288" w:before="0" w:after="240"/>
        <w:jc w:val="both"/>
        <w:rPr/>
      </w:pPr>
      <w:r>
        <w:rPr>
          <w:rFonts w:ascii="Times New Roman;serif" w:hAnsi="Times New Roman;serif"/>
          <w:b w:val="false"/>
          <w:color w:val="000000"/>
          <w:sz w:val="24"/>
        </w:rPr>
        <w:t>The Paying Agent shall promptly deliver to each Holder validly tendered the Change of Control Payment for the</w:t>
      </w:r>
      <w:r>
        <w:rPr>
          <w:color w:val="000000"/>
        </w:rPr>
        <w:t xml:space="preserve"> </w:t>
      </w:r>
      <w:r>
        <w:rPr>
          <w:rFonts w:ascii="Times New Roman;serif" w:hAnsi="Times New Roman;serif"/>
          <w:b w:val="false"/>
          <w:color w:val="000000"/>
          <w:sz w:val="24"/>
        </w:rPr>
        <w:t>Notes, and the Trustee shall promptly authenticate and deliver (or cause to be transferred by book entry) to each Holder a new Note equal in principal</w:t>
      </w:r>
      <w:r>
        <w:rPr>
          <w:color w:val="000000"/>
        </w:rPr>
        <w:t xml:space="preserve"> </w:t>
      </w:r>
      <w:r>
        <w:rPr>
          <w:rFonts w:ascii="Times New Roman;serif" w:hAnsi="Times New Roman;serif"/>
          <w:b w:val="false"/>
          <w:color w:val="000000"/>
          <w:sz w:val="24"/>
        </w:rPr>
        <w:t xml:space="preserve">amount to any unpurchased portion of the Notes surrendered, if any; </w:t>
      </w:r>
      <w:r>
        <w:rPr>
          <w:rFonts w:ascii="Times New Roman;serif" w:hAnsi="Times New Roman;serif"/>
          <w:b w:val="false"/>
          <w:i/>
          <w:color w:val="000000"/>
          <w:sz w:val="24"/>
        </w:rPr>
        <w:t>provided that</w:t>
      </w:r>
      <w:r>
        <w:rPr>
          <w:color w:val="000000"/>
        </w:rPr>
        <w:t xml:space="preserve"> </w:t>
      </w:r>
      <w:r>
        <w:rPr>
          <w:rFonts w:ascii="Times New Roman;serif" w:hAnsi="Times New Roman;serif"/>
          <w:b w:val="false"/>
          <w:color w:val="000000"/>
          <w:sz w:val="24"/>
        </w:rPr>
        <w:t>each</w:t>
      </w:r>
      <w:r>
        <w:rPr>
          <w:color w:val="000000"/>
        </w:rPr>
        <w:t xml:space="preserve"> </w:t>
      </w:r>
      <w:r>
        <w:rPr>
          <w:rFonts w:ascii="Times New Roman;serif" w:hAnsi="Times New Roman;serif"/>
          <w:b w:val="false"/>
          <w:color w:val="000000"/>
          <w:sz w:val="24"/>
        </w:rPr>
        <w:t>new</w:t>
      </w:r>
      <w:r>
        <w:rPr>
          <w:color w:val="000000"/>
        </w:rPr>
        <w:t xml:space="preserve"> </w:t>
      </w:r>
      <w:r>
        <w:rPr>
          <w:rFonts w:ascii="Times New Roman;serif" w:hAnsi="Times New Roman;serif"/>
          <w:b w:val="false"/>
          <w:color w:val="000000"/>
          <w:sz w:val="24"/>
        </w:rPr>
        <w:t>Note</w:t>
      </w:r>
      <w:r>
        <w:rPr>
          <w:color w:val="000000"/>
        </w:rPr>
        <w:t xml:space="preserve"> </w:t>
      </w:r>
      <w:r>
        <w:rPr>
          <w:rFonts w:ascii="Times New Roman;serif" w:hAnsi="Times New Roman;serif"/>
          <w:b w:val="false"/>
          <w:color w:val="000000"/>
          <w:sz w:val="24"/>
        </w:rPr>
        <w:t>shall</w:t>
      </w:r>
      <w:r>
        <w:rPr>
          <w:color w:val="000000"/>
        </w:rPr>
        <w:t xml:space="preserve"> </w:t>
      </w:r>
      <w:r>
        <w:rPr>
          <w:rFonts w:ascii="Times New Roman;serif" w:hAnsi="Times New Roman;serif"/>
          <w:b w:val="false"/>
          <w:color w:val="000000"/>
          <w:sz w:val="24"/>
        </w:rPr>
        <w:t>be</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minimum</w:t>
      </w:r>
      <w:r>
        <w:rPr>
          <w:color w:val="000000"/>
        </w:rPr>
        <w:t xml:space="preserve"> </w:t>
      </w:r>
      <w:r>
        <w:rPr>
          <w:rFonts w:ascii="Times New Roman;serif" w:hAnsi="Times New Roman;serif"/>
          <w:b w:val="false"/>
          <w:color w:val="000000"/>
          <w:sz w:val="24"/>
        </w:rPr>
        <w:t>principal</w:t>
      </w:r>
      <w:r>
        <w:rPr>
          <w:color w:val="000000"/>
        </w:rPr>
        <w:t xml:space="preserve"> </w:t>
      </w:r>
      <w:r>
        <w:rPr>
          <w:rFonts w:ascii="Times New Roman;serif" w:hAnsi="Times New Roman;serif"/>
          <w:b w:val="false"/>
          <w:color w:val="000000"/>
          <w:sz w:val="24"/>
        </w:rPr>
        <w:t>amount</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$2,000</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an</w:t>
      </w:r>
      <w:r>
        <w:rPr>
          <w:color w:val="000000"/>
        </w:rPr>
        <w:t xml:space="preserve"> </w:t>
      </w:r>
      <w:r>
        <w:rPr>
          <w:rFonts w:ascii="Times New Roman;serif" w:hAnsi="Times New Roman;serif"/>
          <w:b w:val="false"/>
          <w:color w:val="000000"/>
          <w:sz w:val="24"/>
        </w:rPr>
        <w:t>integral multiple of $1,000 in excess thereof. The Issuer shall provide written notice to the Holders and the Trustee of the results of the Change of Control Offer on or as soon as</w:t>
      </w:r>
      <w:r>
        <w:rPr>
          <w:color w:val="000000"/>
        </w:rPr>
        <w:t xml:space="preserve"> </w:t>
      </w:r>
      <w:r>
        <w:rPr>
          <w:rFonts w:ascii="Times New Roman;serif" w:hAnsi="Times New Roman;serif"/>
          <w:b w:val="false"/>
          <w:color w:val="000000"/>
          <w:sz w:val="24"/>
        </w:rPr>
        <w:t>practicable after the Change of Control Payment Date.</w:t>
      </w:r>
    </w:p>
    <w:p>
      <w:pPr>
        <w:pStyle w:val="TextBody"/>
        <w:bidi w:val="0"/>
        <w:spacing w:lineRule="auto" w:line="288" w:before="0" w:after="240"/>
        <w:ind w:left="0" w:right="0" w:firstLine="720"/>
        <w:jc w:val="both"/>
        <w:rPr/>
      </w:pPr>
      <w:r>
        <w:rPr>
          <w:rFonts w:ascii="Times New Roman;serif" w:hAnsi="Times New Roman;serif"/>
          <w:b w:val="false"/>
          <w:color w:val="000000"/>
          <w:sz w:val="24"/>
        </w:rPr>
        <w:t>(d)</w:t>
      </w:r>
      <w:r>
        <w:rPr>
          <w:rFonts w:ascii="Times New Roman;serif" w:hAnsi="Times New Roman;serif"/>
          <w:b w:val="false"/>
          <w:color w:val="000000"/>
          <w:sz w:val="24"/>
        </w:rPr>
        <w:t xml:space="preserve">Notwithstanding anything to the contrary in this </w:t>
      </w:r>
      <w:r>
        <w:rPr>
          <w:rFonts w:ascii="Times New Roman;serif" w:hAnsi="Times New Roman;serif"/>
          <w:b w:val="false"/>
          <w:color w:val="000000"/>
          <w:sz w:val="24"/>
          <w:u w:val="single"/>
        </w:rPr>
        <w:t>Section 4.08</w:t>
      </w:r>
      <w:r>
        <w:rPr>
          <w:rFonts w:ascii="Times New Roman;serif" w:hAnsi="Times New Roman;serif"/>
          <w:b w:val="false"/>
          <w:color w:val="000000"/>
          <w:sz w:val="24"/>
        </w:rPr>
        <w:t>, the Issuer shall not be required to make a Change of Control Offer upon a</w:t>
      </w:r>
      <w:r>
        <w:rPr>
          <w:color w:val="000000"/>
        </w:rPr>
        <w:t xml:space="preserve"> </w:t>
      </w:r>
      <w:r>
        <w:rPr>
          <w:rFonts w:ascii="Times New Roman;serif" w:hAnsi="Times New Roman;serif"/>
          <w:b w:val="false"/>
          <w:color w:val="000000"/>
          <w:sz w:val="24"/>
        </w:rPr>
        <w:t>Change</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Control</w:t>
      </w:r>
      <w:r>
        <w:rPr>
          <w:color w:val="000000"/>
        </w:rPr>
        <w:t xml:space="preserve"> </w:t>
      </w:r>
      <w:r>
        <w:rPr>
          <w:rFonts w:ascii="Times New Roman;serif" w:hAnsi="Times New Roman;serif"/>
          <w:b w:val="false"/>
          <w:color w:val="000000"/>
          <w:sz w:val="24"/>
        </w:rPr>
        <w:t>Triggering</w:t>
      </w:r>
      <w:r>
        <w:rPr>
          <w:color w:val="000000"/>
        </w:rPr>
        <w:t xml:space="preserve"> </w:t>
      </w:r>
      <w:r>
        <w:rPr>
          <w:rFonts w:ascii="Times New Roman;serif" w:hAnsi="Times New Roman;serif"/>
          <w:b w:val="false"/>
          <w:color w:val="000000"/>
          <w:sz w:val="24"/>
        </w:rPr>
        <w:t>Event</w:t>
      </w:r>
      <w:r>
        <w:rPr>
          <w:color w:val="000000"/>
        </w:rPr>
        <w:t xml:space="preserve"> </w:t>
      </w:r>
      <w:r>
        <w:rPr>
          <w:rFonts w:ascii="Times New Roman;serif" w:hAnsi="Times New Roman;serif"/>
          <w:b w:val="false"/>
          <w:color w:val="000000"/>
          <w:sz w:val="24"/>
        </w:rPr>
        <w:t>if</w:t>
      </w:r>
      <w:r>
        <w:rPr>
          <w:color w:val="000000"/>
        </w:rPr>
        <w:t xml:space="preserve"> </w:t>
      </w:r>
      <w:r>
        <w:rPr>
          <w:rFonts w:ascii="Times New Roman;serif" w:hAnsi="Times New Roman;serif"/>
          <w:b w:val="false"/>
          <w:color w:val="000000"/>
          <w:sz w:val="24"/>
        </w:rPr>
        <w:t>(1)</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third</w:t>
      </w:r>
      <w:r>
        <w:rPr>
          <w:color w:val="000000"/>
        </w:rPr>
        <w:t xml:space="preserve"> </w:t>
      </w:r>
      <w:r>
        <w:rPr>
          <w:rFonts w:ascii="Times New Roman;serif" w:hAnsi="Times New Roman;serif"/>
          <w:b w:val="false"/>
          <w:color w:val="000000"/>
          <w:sz w:val="24"/>
        </w:rPr>
        <w:t>party</w:t>
      </w:r>
      <w:r>
        <w:rPr>
          <w:color w:val="000000"/>
        </w:rPr>
        <w:t xml:space="preserve"> </w:t>
      </w:r>
      <w:r>
        <w:rPr>
          <w:rFonts w:ascii="Times New Roman;serif" w:hAnsi="Times New Roman;serif"/>
          <w:b w:val="false"/>
          <w:color w:val="000000"/>
          <w:sz w:val="24"/>
        </w:rPr>
        <w:t>makes</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Change</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Control</w:t>
      </w:r>
      <w:r>
        <w:rPr>
          <w:color w:val="000000"/>
        </w:rPr>
        <w:t xml:space="preserve"> </w:t>
      </w:r>
      <w:r>
        <w:rPr>
          <w:rFonts w:ascii="Times New Roman;serif" w:hAnsi="Times New Roman;serif"/>
          <w:b w:val="false"/>
          <w:color w:val="000000"/>
          <w:sz w:val="24"/>
        </w:rPr>
        <w:t>Offer in</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manner,</w:t>
      </w:r>
      <w:r>
        <w:rPr>
          <w:color w:val="000000"/>
        </w:rPr>
        <w:t xml:space="preserve"> </w:t>
      </w:r>
      <w:r>
        <w:rPr>
          <w:rFonts w:ascii="Times New Roman;serif" w:hAnsi="Times New Roman;serif"/>
          <w:b w:val="false"/>
          <w:color w:val="000000"/>
          <w:sz w:val="24"/>
        </w:rPr>
        <w:t>at</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times</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 xml:space="preserve">otherwise in compliance with the requirements set forth in this </w:t>
      </w:r>
      <w:r>
        <w:rPr>
          <w:rFonts w:ascii="Times New Roman;serif" w:hAnsi="Times New Roman;serif"/>
          <w:b w:val="false"/>
          <w:color w:val="000000"/>
          <w:sz w:val="24"/>
          <w:u w:val="single"/>
        </w:rPr>
        <w:t>Section 4.08</w:t>
      </w:r>
      <w:r>
        <w:rPr>
          <w:color w:val="000000"/>
        </w:rPr>
        <w:t xml:space="preserve"> </w:t>
      </w:r>
      <w:r>
        <w:rPr>
          <w:rFonts w:ascii="Times New Roman;serif" w:hAnsi="Times New Roman;serif"/>
          <w:b w:val="false"/>
          <w:color w:val="000000"/>
          <w:sz w:val="24"/>
        </w:rPr>
        <w:t>and purchases all such Notes validly tendered and not withdrawn under the</w:t>
      </w:r>
      <w:r>
        <w:rPr>
          <w:color w:val="000000"/>
        </w:rPr>
        <w:t xml:space="preserve"> </w:t>
      </w:r>
      <w:r>
        <w:rPr>
          <w:rFonts w:ascii="Times New Roman;serif" w:hAnsi="Times New Roman;serif"/>
          <w:b w:val="false"/>
          <w:color w:val="000000"/>
          <w:sz w:val="24"/>
        </w:rPr>
        <w:t xml:space="preserve">Change of Control Offer, or (2) notice of redemption with has been previously given or is concurrently given pursuant to </w:t>
      </w:r>
      <w:r>
        <w:rPr>
          <w:rFonts w:ascii="Times New Roman;serif" w:hAnsi="Times New Roman;serif"/>
          <w:b w:val="false"/>
          <w:color w:val="000000"/>
          <w:sz w:val="24"/>
          <w:u w:val="single"/>
        </w:rPr>
        <w:t>Section 3.03</w:t>
      </w:r>
      <w:r>
        <w:rPr>
          <w:color w:val="000000"/>
        </w:rPr>
        <w:t xml:space="preserve"> </w:t>
      </w:r>
      <w:r>
        <w:rPr>
          <w:rFonts w:ascii="Times New Roman;serif" w:hAnsi="Times New Roman;serif"/>
          <w:b w:val="false"/>
          <w:color w:val="000000"/>
          <w:sz w:val="24"/>
        </w:rPr>
        <w:t>hereof, unless and until there is a</w:t>
      </w:r>
      <w:r>
        <w:rPr>
          <w:color w:val="000000"/>
        </w:rPr>
        <w:t xml:space="preserve"> </w:t>
      </w:r>
      <w:r>
        <w:rPr>
          <w:rFonts w:ascii="Times New Roman;serif" w:hAnsi="Times New Roman;serif"/>
          <w:b w:val="false"/>
          <w:color w:val="000000"/>
          <w:sz w:val="24"/>
        </w:rPr>
        <w:t>default</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payment</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applicable</w:t>
      </w:r>
      <w:r>
        <w:rPr>
          <w:color w:val="000000"/>
        </w:rPr>
        <w:t xml:space="preserve"> </w:t>
      </w:r>
      <w:r>
        <w:rPr>
          <w:rFonts w:ascii="Times New Roman;serif" w:hAnsi="Times New Roman;serif"/>
          <w:b w:val="false"/>
          <w:color w:val="000000"/>
          <w:sz w:val="24"/>
        </w:rPr>
        <w:t>redemption</w:t>
      </w:r>
      <w:r>
        <w:rPr>
          <w:color w:val="000000"/>
        </w:rPr>
        <w:t xml:space="preserve"> </w:t>
      </w:r>
      <w:r>
        <w:rPr>
          <w:rFonts w:ascii="Times New Roman;serif" w:hAnsi="Times New Roman;serif"/>
          <w:b w:val="false"/>
          <w:color w:val="000000"/>
          <w:sz w:val="24"/>
        </w:rPr>
        <w:t>price.</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Change</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Control</w:t>
      </w:r>
      <w:r>
        <w:rPr>
          <w:color w:val="000000"/>
        </w:rPr>
        <w:t xml:space="preserve"> </w:t>
      </w:r>
      <w:r>
        <w:rPr>
          <w:rFonts w:ascii="Times New Roman;serif" w:hAnsi="Times New Roman;serif"/>
          <w:b w:val="false"/>
          <w:color w:val="000000"/>
          <w:sz w:val="24"/>
        </w:rPr>
        <w:t>Offer</w:t>
      </w:r>
      <w:r>
        <w:rPr>
          <w:color w:val="000000"/>
        </w:rPr>
        <w:t xml:space="preserve"> </w:t>
      </w:r>
      <w:r>
        <w:rPr>
          <w:rFonts w:ascii="Times New Roman;serif" w:hAnsi="Times New Roman;serif"/>
          <w:b w:val="false"/>
          <w:color w:val="000000"/>
          <w:sz w:val="24"/>
        </w:rPr>
        <w:t>may</w:t>
      </w:r>
      <w:r>
        <w:rPr>
          <w:color w:val="000000"/>
        </w:rPr>
        <w:t xml:space="preserve"> </w:t>
      </w:r>
      <w:r>
        <w:rPr>
          <w:rFonts w:ascii="Times New Roman;serif" w:hAnsi="Times New Roman;serif"/>
          <w:b w:val="false"/>
          <w:color w:val="000000"/>
          <w:sz w:val="24"/>
        </w:rPr>
        <w:t>be</w:t>
      </w:r>
      <w:r>
        <w:rPr>
          <w:color w:val="000000"/>
        </w:rPr>
        <w:t xml:space="preserve"> </w:t>
      </w:r>
      <w:r>
        <w:rPr>
          <w:rFonts w:ascii="Times New Roman;serif" w:hAnsi="Times New Roman;serif"/>
          <w:b w:val="false"/>
          <w:color w:val="000000"/>
          <w:sz w:val="24"/>
        </w:rPr>
        <w:t>made</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advance</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Change</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Control</w:t>
      </w:r>
      <w:r>
        <w:rPr>
          <w:color w:val="000000"/>
        </w:rPr>
        <w:t xml:space="preserve"> </w:t>
      </w:r>
      <w:r>
        <w:rPr>
          <w:rFonts w:ascii="Times New Roman;serif" w:hAnsi="Times New Roman;serif"/>
          <w:b w:val="false"/>
          <w:color w:val="000000"/>
          <w:sz w:val="24"/>
        </w:rPr>
        <w:t>Triggering</w:t>
      </w:r>
      <w:r>
        <w:rPr>
          <w:color w:val="000000"/>
        </w:rPr>
        <w:t xml:space="preserve"> </w:t>
      </w:r>
      <w:r>
        <w:rPr>
          <w:rFonts w:ascii="Times New Roman;serif" w:hAnsi="Times New Roman;serif"/>
          <w:b w:val="false"/>
          <w:color w:val="000000"/>
          <w:sz w:val="24"/>
        </w:rPr>
        <w:t>Event,</w:t>
      </w:r>
      <w:r>
        <w:rPr>
          <w:color w:val="000000"/>
        </w:rPr>
        <w:t xml:space="preserve"> </w:t>
      </w:r>
      <w:r>
        <w:rPr>
          <w:rFonts w:ascii="Times New Roman;serif" w:hAnsi="Times New Roman;serif"/>
          <w:b w:val="false"/>
          <w:color w:val="000000"/>
          <w:sz w:val="24"/>
        </w:rPr>
        <w:t>with</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obligation to pay and the timing of payment conditioned upon the occurrence of a Change of Control Triggering Event, if a definitive agreement to effect a</w:t>
      </w:r>
      <w:r>
        <w:rPr>
          <w:color w:val="000000"/>
        </w:rPr>
        <w:t xml:space="preserve"> </w:t>
      </w:r>
      <w:r>
        <w:rPr>
          <w:rFonts w:ascii="Times New Roman;serif" w:hAnsi="Times New Roman;serif"/>
          <w:b w:val="false"/>
          <w:color w:val="000000"/>
          <w:sz w:val="24"/>
        </w:rPr>
        <w:t>Change of Control is in place at the time the Change of Control Offer is made.</w:t>
      </w:r>
    </w:p>
    <w:p>
      <w:pPr>
        <w:pStyle w:val="TextBody"/>
        <w:bidi w:val="0"/>
        <w:spacing w:lineRule="auto" w:line="288" w:before="0" w:after="240"/>
        <w:ind w:left="0" w:right="0" w:firstLine="720"/>
        <w:jc w:val="both"/>
        <w:rPr/>
      </w:pPr>
      <w:r>
        <w:rPr>
          <w:rFonts w:ascii="Times New Roman;serif" w:hAnsi="Times New Roman;serif"/>
          <w:b w:val="false"/>
          <w:color w:val="000000"/>
          <w:sz w:val="24"/>
        </w:rPr>
        <w:t>(e)</w:t>
      </w:r>
      <w:r>
        <w:rPr>
          <w:rFonts w:ascii="Times New Roman;serif" w:hAnsi="Times New Roman;serif"/>
          <w:b w:val="false"/>
          <w:color w:val="000000"/>
          <w:sz w:val="24"/>
        </w:rPr>
        <w:t>A Change of Control Offer may be made at the same time as consents are solicited with respect to an amendment, supplement or waiver of this Indenture, the Notes and/or the Subsidiary Guarantees (but the Change of Control Offer may not condition tenders on the delivery of such consents). In addition, the Issuer or any third party that is making the Change of Control Offer may, subject to Applicable Law, increase the Change of Control Payment being offered to Holders at any time in its sole discretion.</w:t>
      </w:r>
    </w:p>
    <w:p>
      <w:pPr>
        <w:pStyle w:val="TextBody"/>
        <w:bidi w:val="0"/>
        <w:spacing w:before="0" w:after="0"/>
        <w:jc w:val="left"/>
        <w:rPr/>
      </w:pPr>
      <w:r>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6480175" cy="768985"/>
                <wp:effectExtent l="0" t="0" r="0" b="0"/>
                <wp:wrapNone/>
                <wp:docPr id="233" name="Frame233"/>
                <a:graphic xmlns:a="http://schemas.openxmlformats.org/drawingml/2006/main">
                  <a:graphicData uri="http://schemas.microsoft.com/office/word/2010/wordprocessingShape">
                    <wps:wsp>
                      <wps:cNvSpPr txBox="1"/>
                      <wps:spPr>
                        <a:xfrm>
                          <a:off x="0" y="0"/>
                          <a:ext cx="6480175" cy="7689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60</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0.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60</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center"/>
        <w:rPr/>
      </w:pPr>
      <w:r>
        <w:rPr>
          <w:rFonts w:ascii="Times New Roman;serif" w:hAnsi="Times New Roman;serif"/>
          <w:b w:val="false"/>
          <w:color w:val="000000"/>
          <w:sz w:val="24"/>
        </w:rPr>
        <w:t>Article 5</w:t>
      </w:r>
      <w:r>
        <w:rPr>
          <w:rFonts w:ascii="Times New Roman;serif" w:hAnsi="Times New Roman;serif"/>
          <w:b w:val="false"/>
          <w:color w:val="000000"/>
          <w:sz w:val="24"/>
        </w:rPr>
        <w:br/>
        <w:t>SUCCESSORS</w:t>
      </w:r>
    </w:p>
    <w:p>
      <w:pPr>
        <w:pStyle w:val="TextBody"/>
        <w:bidi w:val="0"/>
        <w:spacing w:lineRule="auto" w:line="240" w:before="0" w:after="240"/>
        <w:jc w:val="left"/>
        <w:rPr/>
      </w:pPr>
      <w:r>
        <w:rPr>
          <w:rFonts w:ascii="Times New Roman;serif" w:hAnsi="Times New Roman;serif"/>
          <w:b w:val="false"/>
          <w:color w:val="000000"/>
          <w:sz w:val="24"/>
        </w:rPr>
        <w:t>Section 5.01</w:t>
      </w:r>
      <w:r>
        <w:rPr>
          <w:rFonts w:ascii="Times New Roman;serif" w:hAnsi="Times New Roman;serif"/>
          <w:b w:val="false"/>
          <w:color w:val="000000"/>
          <w:sz w:val="24"/>
          <w:u w:val="single"/>
        </w:rPr>
        <w:t>Issuer</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rPr>
        <w:t>The Issuer may not, directly or indirectly: (i) consolidate or merge with or into another Person (whether or not the Issuer is the surviving corporation); or (ii) sell, assign, transfer, convey, lease or otherwise dispose of all or substantially all of the properties or assets of the Issuer and its Subsidiaries taken as a whole, in one or more related transactions, to another Person; unless:</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(1)either:</w:t>
      </w:r>
    </w:p>
    <w:p>
      <w:pPr>
        <w:pStyle w:val="TextBody"/>
        <w:bidi w:val="0"/>
        <w:spacing w:lineRule="auto" w:line="240"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(A)the Issuer is the surviving entity; or</w:t>
      </w:r>
    </w:p>
    <w:p>
      <w:pPr>
        <w:pStyle w:val="TextBody"/>
        <w:bidi w:val="0"/>
        <w:spacing w:lineRule="auto" w:line="240" w:before="0" w:after="240"/>
        <w:ind w:left="0" w:right="0" w:firstLine="720"/>
        <w:jc w:val="both"/>
        <w:rPr/>
      </w:pPr>
      <w:r>
        <w:rPr>
          <w:rFonts w:ascii="Times New Roman;serif" w:hAnsi="Times New Roman;serif"/>
          <w:b w:val="false"/>
          <w:color w:val="000000"/>
          <w:sz w:val="24"/>
        </w:rPr>
        <w:t>(B)the Person formed by or surviving any such consolidation or merger (if other than the Issuer) or to which such sale, assignment, transfer, conveyance, lease or other disposition has been made is an entity organized or existing under the laws of the United States, any state thereof or the District of Columbia (such Person, as the case may be, being herein called the “</w:t>
      </w:r>
      <w:r>
        <w:rPr>
          <w:rFonts w:ascii="Times New Roman;serif" w:hAnsi="Times New Roman;serif"/>
          <w:b w:val="false"/>
          <w:i/>
          <w:color w:val="000000"/>
          <w:sz w:val="24"/>
        </w:rPr>
        <w:t>Successor Issuer</w:t>
      </w:r>
      <w:r>
        <w:rPr>
          <w:color w:val="000000"/>
        </w:rPr>
        <w:t>”</w:t>
      </w:r>
      <w:r>
        <w:rPr>
          <w:rFonts w:ascii="Times New Roman;serif" w:hAnsi="Times New Roman;serif"/>
          <w:b w:val="false"/>
          <w:color w:val="000000"/>
          <w:sz w:val="24"/>
        </w:rPr>
        <w:t>);</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(2)the Successor Issuer (if other than the Issuer) expressly assumes all the Obligations of the Issuer under this Indenture and the Notes; and</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(3)immediately after such transaction, no Event of Default exists.</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rPr>
        <w:t xml:space="preserve">The sale, assignment, transfer, conveyance, lease or other disposition of any or all of the Susquehanna Assets (other than a transaction that complies with </w:t>
      </w:r>
      <w:r>
        <w:rPr>
          <w:rFonts w:ascii="Times New Roman;serif" w:hAnsi="Times New Roman;serif"/>
          <w:b w:val="false"/>
          <w:color w:val="000000"/>
          <w:sz w:val="24"/>
          <w:u w:val="single"/>
        </w:rPr>
        <w:t>Section 4.05</w:t>
      </w:r>
      <w:r>
        <w:rPr>
          <w:rFonts w:ascii="Times New Roman;serif" w:hAnsi="Times New Roman;serif"/>
          <w:b w:val="false"/>
          <w:color w:val="000000"/>
          <w:sz w:val="24"/>
        </w:rPr>
        <w:t>) shall constitute the sale of “all or substantially all” of the assets of the Issuer and its Subsidiaries.</w:t>
      </w:r>
    </w:p>
    <w:p>
      <w:pPr>
        <w:pStyle w:val="TextBody"/>
        <w:bidi w:val="0"/>
        <w:spacing w:lineRule="auto" w:line="240" w:before="0" w:after="240"/>
        <w:jc w:val="left"/>
        <w:rPr/>
      </w:pPr>
      <w:r>
        <w:rPr>
          <w:rFonts w:ascii="Times New Roman;serif" w:hAnsi="Times New Roman;serif"/>
          <w:b w:val="false"/>
          <w:color w:val="000000"/>
          <w:sz w:val="24"/>
        </w:rPr>
        <w:t>Section 5.02</w:t>
      </w:r>
      <w:r>
        <w:rPr>
          <w:rFonts w:ascii="Times New Roman;serif" w:hAnsi="Times New Roman;serif"/>
          <w:b w:val="false"/>
          <w:color w:val="000000"/>
          <w:sz w:val="24"/>
          <w:u w:val="single"/>
        </w:rPr>
        <w:t>Subsidiary Guarantors</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rPr>
        <w:t xml:space="preserve">Subject to </w:t>
      </w:r>
      <w:r>
        <w:rPr>
          <w:rFonts w:ascii="Times New Roman;serif" w:hAnsi="Times New Roman;serif"/>
          <w:b w:val="false"/>
          <w:color w:val="000000"/>
          <w:sz w:val="24"/>
          <w:u w:val="single"/>
        </w:rPr>
        <w:t>Section 11.03</w:t>
      </w:r>
      <w:r>
        <w:rPr>
          <w:rFonts w:ascii="Times New Roman;serif" w:hAnsi="Times New Roman;serif"/>
          <w:b w:val="false"/>
          <w:color w:val="000000"/>
          <w:sz w:val="24"/>
        </w:rPr>
        <w:t>, no Subsidiary Guarantor may, directly or indirectly: (1) consolidate or merge with or into another Person (whether or not such Subsidiary Guarantor is the surviving corporation) or (2) sell, assign, transfer, convey or otherwise dispose of all or substantially all of its properties or assets, in one or more related transactions, to another Person (in each case other than the Issuer or another Subsidiary Guarantor); unless:</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(1)either:</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 xml:space="preserve">such Subsidiary Guarantor is the surviving entity or </w:t>
      </w:r>
    </w:p>
    <w:p>
      <w:pPr>
        <w:pStyle w:val="TextBody"/>
        <w:bidi w:val="0"/>
        <w:spacing w:lineRule="auto" w:line="240" w:before="0" w:after="240"/>
        <w:ind w:left="0" w:right="0" w:firstLine="720"/>
        <w:jc w:val="both"/>
        <w:rPr/>
      </w:pPr>
      <w:r>
        <w:rPr>
          <w:rFonts w:ascii="Times New Roman;serif" w:hAnsi="Times New Roman;serif"/>
          <w:b w:val="false"/>
          <w:color w:val="000000"/>
          <w:sz w:val="24"/>
        </w:rPr>
        <w:t>(B)the Person formed by or surviving any such consolidation or merger (if other than such Subsidiary Guarantor) or to which such sale, assignment, transfer, conveyance or other disposition has been made is an entity organized or existing under the laws of the United States, any state thereof, or the District of Columbia (such Person, as the case may be, being herein called the “</w:t>
      </w:r>
      <w:r>
        <w:rPr>
          <w:rFonts w:ascii="Times New Roman;serif" w:hAnsi="Times New Roman;serif"/>
          <w:b w:val="false"/>
          <w:i/>
          <w:color w:val="000000"/>
          <w:sz w:val="24"/>
        </w:rPr>
        <w:t>Successor Subsidiary Guarantor</w:t>
      </w:r>
      <w:r>
        <w:rPr>
          <w:color w:val="000000"/>
        </w:rPr>
        <w:t>”</w:t>
      </w:r>
      <w:r>
        <w:rPr>
          <w:rFonts w:ascii="Times New Roman;serif" w:hAnsi="Times New Roman;serif"/>
          <w:b w:val="false"/>
          <w:color w:val="000000"/>
          <w:sz w:val="24"/>
        </w:rPr>
        <w:t>);</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(2)the Successor Subsidiary Guarantor assumes all the Obligations of such Subsidiary Guarantor under this Indenture and the applicable Notes; and</w:t>
      </w:r>
    </w:p>
    <w:p>
      <w:pPr>
        <w:pStyle w:val="TextBody"/>
        <w:bidi w:val="0"/>
        <w:spacing w:before="0" w:after="0"/>
        <w:jc w:val="left"/>
        <w:rPr/>
      </w:pPr>
      <w:r>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6480175" cy="768985"/>
                <wp:effectExtent l="0" t="0" r="0" b="0"/>
                <wp:wrapNone/>
                <wp:docPr id="234" name="Frame234"/>
                <a:graphic xmlns:a="http://schemas.openxmlformats.org/drawingml/2006/main">
                  <a:graphicData uri="http://schemas.microsoft.com/office/word/2010/wordprocessingShape">
                    <wps:wsp>
                      <wps:cNvSpPr txBox="1"/>
                      <wps:spPr>
                        <a:xfrm>
                          <a:off x="0" y="0"/>
                          <a:ext cx="6480175" cy="7689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61</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0.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61</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(3)immediately after such transaction, no Event of Default exists.</w:t>
      </w:r>
    </w:p>
    <w:p>
      <w:pPr>
        <w:pStyle w:val="TextBody"/>
        <w:bidi w:val="0"/>
        <w:spacing w:lineRule="auto" w:line="240" w:before="0" w:after="240"/>
        <w:jc w:val="both"/>
        <w:rPr/>
      </w:pPr>
      <w:r>
        <w:rPr>
          <w:rFonts w:ascii="Times New Roman;serif" w:hAnsi="Times New Roman;serif"/>
          <w:b w:val="false"/>
          <w:color w:val="000000"/>
          <w:sz w:val="24"/>
        </w:rPr>
        <w:t>Section 5.03</w:t>
      </w:r>
      <w:r>
        <w:rPr>
          <w:rFonts w:ascii="Times New Roman;serif" w:hAnsi="Times New Roman;serif"/>
          <w:b w:val="false"/>
          <w:color w:val="000000"/>
          <w:sz w:val="24"/>
          <w:u w:val="single"/>
        </w:rPr>
        <w:t>Application</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rPr>
        <w:t xml:space="preserve">This </w:t>
      </w:r>
      <w:r>
        <w:rPr>
          <w:rFonts w:ascii="Times New Roman;serif" w:hAnsi="Times New Roman;serif"/>
          <w:b w:val="false"/>
          <w:color w:val="000000"/>
          <w:sz w:val="24"/>
          <w:u w:val="single"/>
        </w:rPr>
        <w:t>Article 5</w:t>
      </w:r>
      <w:r>
        <w:rPr>
          <w:color w:val="000000"/>
        </w:rPr>
        <w:t xml:space="preserve"> </w:t>
      </w:r>
      <w:r>
        <w:rPr>
          <w:rFonts w:ascii="Times New Roman;serif" w:hAnsi="Times New Roman;serif"/>
          <w:b w:val="false"/>
          <w:color w:val="000000"/>
          <w:sz w:val="24"/>
        </w:rPr>
        <w:t>will not apply to:</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(1)a merger, amalgamation or consolidation solely for the purpose of reincorporating or reorganizing the Issuer or any Subsidiary Guarantor in another jurisdiction or forming a direct or indirect holding company of the Issuer; </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(2)any sale, transfer, assignment, conveyance, lease or other disposition of assets between or among the Issuer and its Subsidiaries, including by way of merger or consolidation; </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(3)any Permitted Reorganization Transaction, any Permitted Spin-Out Transaction, any IPO Reorganization Transaction, the IPOCo Transactions and the Transactions;</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(4)a merger, amalgamation or consolidation of a Subsidiary Guarantor with or into the Issuer or another Subsidiary Guarantor; and</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(5)any sale, transfer, assignment, conveyance or other disposition of the property of a Subsidiary Guarantor as an entirety or substantially as an entirety to the Issuer or another Subsidiary Guarantor.</w:t>
      </w:r>
    </w:p>
    <w:p>
      <w:pPr>
        <w:pStyle w:val="TextBody"/>
        <w:bidi w:val="0"/>
        <w:spacing w:lineRule="auto" w:line="240" w:before="0" w:after="240"/>
        <w:jc w:val="both"/>
        <w:rPr/>
      </w:pPr>
      <w:r>
        <w:rPr>
          <w:rFonts w:ascii="Times New Roman;serif" w:hAnsi="Times New Roman;serif"/>
          <w:b w:val="false"/>
          <w:color w:val="000000"/>
          <w:sz w:val="24"/>
        </w:rPr>
        <w:t>Section 5.04</w:t>
      </w:r>
      <w:r>
        <w:rPr>
          <w:rFonts w:ascii="Times New Roman;serif" w:hAnsi="Times New Roman;serif"/>
          <w:b w:val="false"/>
          <w:color w:val="000000"/>
          <w:sz w:val="24"/>
          <w:u w:val="single"/>
        </w:rPr>
        <w:t>Substitution</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Upon any transaction that is subject to, and that complies with the provisions of, </w:t>
      </w:r>
      <w:r>
        <w:rPr>
          <w:rFonts w:ascii="Times New Roman;serif" w:hAnsi="Times New Roman;serif"/>
          <w:b w:val="false"/>
          <w:color w:val="000000"/>
          <w:sz w:val="24"/>
          <w:u w:val="single"/>
        </w:rPr>
        <w:t>Section 5.01</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Section 5.02</w:t>
      </w:r>
      <w:r>
        <w:rPr>
          <w:color w:val="000000"/>
        </w:rPr>
        <w:t xml:space="preserve"> </w:t>
      </w:r>
      <w:r>
        <w:rPr>
          <w:rFonts w:ascii="Times New Roman;serif" w:hAnsi="Times New Roman;serif"/>
          <w:b w:val="false"/>
          <w:color w:val="000000"/>
          <w:sz w:val="24"/>
        </w:rPr>
        <w:t xml:space="preserve">hereof, the Successor Issuer or Successor Subsidiary Guarantor, as applicable, shall succeed to, and be substituted for (so that from and after the date of such consolidation, merger, sale, lease, conveyance or other disposition, the provisions of this Indenture referring to the “Issuer” or the “Subsidiary Guarantor”, as applicable, shall refer instead to the Successor Issuer (and not to the Issuer) or the Successor Subsidiary Guarantor (and not to the Subsidiary Guarantor), as applicable), and may exercise every right and power of the Issuer or Subsidiary Guarantor, as applicable, under this Indenture with the same effect as if the Successor Issuer or Successor Subsidiary Guarantor, as applicable, had been named as the Issuer or Subsidiary Guarantor, as applicable, herein;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w:t>
      </w:r>
      <w:r>
        <w:rPr>
          <w:rFonts w:ascii="Times New Roman;serif" w:hAnsi="Times New Roman;serif"/>
          <w:b w:val="false"/>
          <w:i/>
          <w:color w:val="000000"/>
          <w:sz w:val="24"/>
        </w:rPr>
        <w:t>however</w:t>
      </w:r>
      <w:r>
        <w:rPr>
          <w:rFonts w:ascii="Times New Roman;serif" w:hAnsi="Times New Roman;serif"/>
          <w:b w:val="false"/>
          <w:color w:val="000000"/>
          <w:sz w:val="24"/>
        </w:rPr>
        <w:t xml:space="preserve">, that the predecessor Issuer shall not be relieved from the obligation to pay the principal of, interest, premium (if any) on the Notes except in the case of a sale of all of the Issuer’s assets in a transaction that is subject to, and that complies with the provisions of, </w:t>
      </w:r>
      <w:r>
        <w:rPr>
          <w:rFonts w:ascii="Times New Roman;serif" w:hAnsi="Times New Roman;serif"/>
          <w:b w:val="false"/>
          <w:color w:val="000000"/>
          <w:sz w:val="24"/>
          <w:u w:val="single"/>
        </w:rPr>
        <w:t>Section 5.01</w:t>
      </w:r>
      <w:r>
        <w:rPr>
          <w:color w:val="000000"/>
        </w:rPr>
        <w:t xml:space="preserve"> </w:t>
      </w:r>
      <w:r>
        <w:rPr>
          <w:rFonts w:ascii="Times New Roman;serif" w:hAnsi="Times New Roman;serif"/>
          <w:b w:val="false"/>
          <w:color w:val="000000"/>
          <w:sz w:val="24"/>
        </w:rPr>
        <w:t>hereof.</w:t>
      </w:r>
    </w:p>
    <w:p>
      <w:pPr>
        <w:pStyle w:val="TextBody"/>
        <w:bidi w:val="0"/>
        <w:spacing w:lineRule="auto" w:line="240" w:before="0" w:after="240"/>
        <w:jc w:val="center"/>
        <w:rPr/>
      </w:pPr>
      <w:r>
        <w:rPr>
          <w:rFonts w:ascii="Times New Roman;serif" w:hAnsi="Times New Roman;serif"/>
          <w:b w:val="false"/>
          <w:color w:val="000000"/>
          <w:sz w:val="24"/>
        </w:rPr>
        <w:t>Article 6</w:t>
      </w:r>
      <w:r>
        <w:rPr>
          <w:rFonts w:ascii="Times New Roman;serif" w:hAnsi="Times New Roman;serif"/>
          <w:b w:val="false"/>
          <w:color w:val="000000"/>
          <w:sz w:val="24"/>
        </w:rPr>
        <w:br/>
        <w:t>DEFAULTS AND REMEDIES</w:t>
      </w:r>
    </w:p>
    <w:p>
      <w:pPr>
        <w:pStyle w:val="TextBody"/>
        <w:bidi w:val="0"/>
        <w:spacing w:lineRule="auto" w:line="240" w:before="0" w:after="240"/>
        <w:jc w:val="left"/>
        <w:rPr/>
      </w:pPr>
      <w:r>
        <w:rPr>
          <w:rFonts w:ascii="Times New Roman;serif" w:hAnsi="Times New Roman;serif"/>
          <w:b w:val="false"/>
          <w:color w:val="000000"/>
          <w:sz w:val="24"/>
        </w:rPr>
        <w:t>Section 6.01</w:t>
      </w:r>
      <w:r>
        <w:rPr>
          <w:rFonts w:ascii="Times New Roman;serif" w:hAnsi="Times New Roman;serif"/>
          <w:b w:val="false"/>
          <w:color w:val="000000"/>
          <w:sz w:val="24"/>
          <w:u w:val="single"/>
        </w:rPr>
        <w:t>Events of Default</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rFonts w:ascii="Times New Roman;serif" w:hAnsi="Times New Roman;serif"/>
          <w:b w:val="false"/>
          <w:color w:val="000000"/>
          <w:sz w:val="24"/>
        </w:rPr>
        <w:t>Each of the following is an “</w:t>
      </w:r>
      <w:r>
        <w:rPr>
          <w:rFonts w:ascii="Times New Roman;serif" w:hAnsi="Times New Roman;serif"/>
          <w:b w:val="false"/>
          <w:i/>
          <w:color w:val="000000"/>
          <w:sz w:val="24"/>
        </w:rPr>
        <w:t>Event of Default</w:t>
      </w:r>
      <w:r>
        <w:rPr>
          <w:color w:val="000000"/>
        </w:rPr>
        <w:t xml:space="preserve">” </w:t>
      </w:r>
      <w:r>
        <w:rPr>
          <w:rFonts w:ascii="Times New Roman;serif" w:hAnsi="Times New Roman;serif"/>
          <w:b w:val="false"/>
          <w:color w:val="000000"/>
          <w:sz w:val="24"/>
        </w:rPr>
        <w:t>with respect to the Notes:</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(1)default for 30 days in the payment when due of interest on the Notes;</w:t>
      </w:r>
    </w:p>
    <w:p>
      <w:pPr>
        <w:pStyle w:val="TextBody"/>
        <w:bidi w:val="0"/>
        <w:spacing w:before="0" w:after="0"/>
        <w:jc w:val="left"/>
        <w:rPr/>
      </w:pPr>
      <w:r>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6480175" cy="768985"/>
                <wp:effectExtent l="0" t="0" r="0" b="0"/>
                <wp:wrapNone/>
                <wp:docPr id="235" name="Frame235"/>
                <a:graphic xmlns:a="http://schemas.openxmlformats.org/drawingml/2006/main">
                  <a:graphicData uri="http://schemas.microsoft.com/office/word/2010/wordprocessingShape">
                    <wps:wsp>
                      <wps:cNvSpPr txBox="1"/>
                      <wps:spPr>
                        <a:xfrm>
                          <a:off x="0" y="0"/>
                          <a:ext cx="6480175" cy="7689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62</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0.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62</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(2)default in payment when due of the principal of, or premium, if any, on the Notes;</w:t>
      </w:r>
    </w:p>
    <w:p>
      <w:pPr>
        <w:pStyle w:val="TextBody"/>
        <w:bidi w:val="0"/>
        <w:spacing w:lineRule="auto" w:line="240" w:before="0" w:after="240"/>
        <w:ind w:left="0" w:right="0" w:firstLine="720"/>
        <w:jc w:val="both"/>
        <w:rPr/>
      </w:pPr>
      <w:r>
        <w:rPr>
          <w:rFonts w:ascii="Times New Roman;serif" w:hAnsi="Times New Roman;serif"/>
          <w:b w:val="false"/>
          <w:color w:val="000000"/>
          <w:sz w:val="24"/>
        </w:rPr>
        <w:t xml:space="preserve">(3)failure by the Issuer or a Subsidiary Guarantor to comply with any covenant in this Indenture (other than a default specified in clause (1) or (2) of this </w:t>
      </w:r>
      <w:r>
        <w:rPr>
          <w:rFonts w:ascii="Times New Roman;serif" w:hAnsi="Times New Roman;serif"/>
          <w:b w:val="false"/>
          <w:color w:val="000000"/>
          <w:sz w:val="24"/>
          <w:u w:val="single"/>
        </w:rPr>
        <w:t>Section 6.01</w:t>
      </w:r>
      <w:r>
        <w:rPr>
          <w:rFonts w:ascii="Times New Roman;serif" w:hAnsi="Times New Roman;serif"/>
          <w:b w:val="false"/>
          <w:color w:val="000000"/>
          <w:sz w:val="24"/>
        </w:rPr>
        <w:t xml:space="preserve">) for 60 days (or 120 days in the case of </w:t>
      </w:r>
      <w:r>
        <w:rPr>
          <w:rFonts w:ascii="Times New Roman;serif" w:hAnsi="Times New Roman;serif"/>
          <w:b w:val="false"/>
          <w:color w:val="000000"/>
          <w:sz w:val="24"/>
          <w:u w:val="single"/>
        </w:rPr>
        <w:t>Section 4.07</w:t>
      </w:r>
      <w:r>
        <w:rPr>
          <w:rFonts w:ascii="Times New Roman;serif" w:hAnsi="Times New Roman;serif"/>
          <w:b w:val="false"/>
          <w:color w:val="000000"/>
          <w:sz w:val="24"/>
        </w:rPr>
        <w:t>) after written notice by the Trustee or Holders of at least 30% in principal amount of the Notes then outstanding;</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(4)default under any document evidencing any indebtedness for borrowed money by the Issuer or any Subsidiary Guarantor, whether such indebtedness now exists or is created after the Issue Date, if that default:</w:t>
      </w:r>
    </w:p>
    <w:p>
      <w:pPr>
        <w:pStyle w:val="TextBody"/>
        <w:bidi w:val="0"/>
        <w:spacing w:lineRule="auto" w:line="240" w:before="0" w:after="240"/>
        <w:ind w:left="0" w:right="0" w:firstLine="720"/>
        <w:jc w:val="both"/>
        <w:rPr/>
      </w:pPr>
      <w:r>
        <w:rPr>
          <w:rFonts w:ascii="Times New Roman;serif" w:hAnsi="Times New Roman;serif"/>
          <w:b w:val="false"/>
          <w:color w:val="000000"/>
          <w:sz w:val="24"/>
        </w:rPr>
        <w:t>(A)is caused by a failure to pay principal when due at final (and not any interim) maturity on or prior to the expiration of any grace period provided in such indebtedness (a “</w:t>
      </w:r>
      <w:r>
        <w:rPr>
          <w:rFonts w:ascii="Times New Roman;serif" w:hAnsi="Times New Roman;serif"/>
          <w:b w:val="false"/>
          <w:i/>
          <w:color w:val="000000"/>
          <w:sz w:val="24"/>
        </w:rPr>
        <w:t>Payment Default</w:t>
      </w:r>
      <w:r>
        <w:rPr>
          <w:color w:val="000000"/>
        </w:rPr>
        <w:t>”</w:t>
      </w:r>
      <w:r>
        <w:rPr>
          <w:rFonts w:ascii="Times New Roman;serif" w:hAnsi="Times New Roman;serif"/>
          <w:b w:val="false"/>
          <w:color w:val="000000"/>
          <w:sz w:val="24"/>
        </w:rPr>
        <w:t>); or</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(B)results in the acceleration of such indebtedness prior to its express maturity (without such acceleration having been rescinded, annulled or otherwise cured),</w:t>
      </w:r>
    </w:p>
    <w:p>
      <w:pPr>
        <w:pStyle w:val="TextBody"/>
        <w:bidi w:val="0"/>
        <w:spacing w:lineRule="auto" w:line="288" w:before="0" w:after="240"/>
        <w:jc w:val="both"/>
        <w:rPr/>
      </w:pPr>
      <w:r>
        <w:rPr>
          <w:rFonts w:ascii="Times New Roman;serif" w:hAnsi="Times New Roman;serif"/>
          <w:b w:val="false"/>
          <w:color w:val="000000"/>
          <w:sz w:val="24"/>
          <w:shd w:fill="FFFFFF" w:val="clear"/>
        </w:rPr>
        <w:t>and, in each case, the principal amount of any such indebtedness, together with the principal amount of any other such indebtedness under which there has been a Payment Default or the maturity of which has been so accelerated (without such acceleration having been rescinded, annulled or otherwise cured), aggregates in excess of the greater of (a) $</w:t>
      </w:r>
      <w:r>
        <w:rPr>
          <w:rFonts w:ascii="Times New Roman;serif" w:hAnsi="Times New Roman;serif"/>
          <w:b w:val="false"/>
          <w:color w:val="000000"/>
          <w:sz w:val="24"/>
        </w:rPr>
        <w:t xml:space="preserve">315.0 million </w:t>
      </w:r>
      <w:r>
        <w:rPr>
          <w:rFonts w:ascii="Times New Roman;serif" w:hAnsi="Times New Roman;serif"/>
          <w:b w:val="false"/>
          <w:color w:val="000000"/>
          <w:sz w:val="24"/>
          <w:shd w:fill="FFFFFF" w:val="clear"/>
        </w:rPr>
        <w:t>and (b) 30% of Consolidated Adjusted EBITDA for the most recently ended Test Period</w:t>
      </w:r>
      <w:r>
        <w:rPr>
          <w:rFonts w:ascii="Times New Roman;serif" w:hAnsi="Times New Roman;serif"/>
          <w:b w:val="false"/>
          <w:color w:val="000000"/>
          <w:sz w:val="24"/>
        </w:rPr>
        <w:t xml:space="preserve">; </w:t>
      </w:r>
      <w:r>
        <w:rPr>
          <w:rFonts w:ascii="Times New Roman;serif" w:hAnsi="Times New Roman;serif"/>
          <w:b w:val="false"/>
          <w:i/>
          <w:color w:val="000000"/>
          <w:sz w:val="24"/>
        </w:rPr>
        <w:t xml:space="preserve">provided </w:t>
      </w:r>
      <w:r>
        <w:rPr>
          <w:rFonts w:ascii="Times New Roman;serif" w:hAnsi="Times New Roman;serif"/>
          <w:b w:val="false"/>
          <w:color w:val="000000"/>
          <w:sz w:val="24"/>
        </w:rPr>
        <w:t xml:space="preserve">that this </w:t>
      </w:r>
      <w:r>
        <w:rPr>
          <w:rFonts w:ascii="Times New Roman;serif" w:hAnsi="Times New Roman;serif"/>
          <w:b w:val="false"/>
          <w:color w:val="000000"/>
          <w:sz w:val="24"/>
          <w:u w:val="single"/>
        </w:rPr>
        <w:t>Section 6.01(4)</w:t>
      </w:r>
      <w:r>
        <w:rPr>
          <w:color w:val="000000"/>
        </w:rPr>
        <w:t xml:space="preserve"> </w:t>
      </w:r>
      <w:r>
        <w:rPr>
          <w:rFonts w:ascii="Times New Roman;serif" w:hAnsi="Times New Roman;serif"/>
          <w:b w:val="false"/>
          <w:color w:val="000000"/>
          <w:sz w:val="24"/>
        </w:rPr>
        <w:t xml:space="preserve">shall not apply to </w:t>
      </w:r>
      <w:r>
        <w:rPr>
          <w:rFonts w:ascii="Times New Roman;serif" w:hAnsi="Times New Roman;serif"/>
          <w:b w:val="false"/>
          <w:color w:val="000000"/>
          <w:sz w:val="24"/>
          <w:shd w:fill="FFFFFF" w:val="clear"/>
        </w:rPr>
        <w:t>(i)</w:t>
      </w:r>
      <w:r>
        <w:rPr>
          <w:color w:val="000000"/>
        </w:rPr>
        <w:t xml:space="preserve"> </w:t>
      </w:r>
      <w:r>
        <w:rPr>
          <w:rFonts w:ascii="Times New Roman;serif" w:hAnsi="Times New Roman;serif"/>
          <w:b w:val="false"/>
          <w:color w:val="000000"/>
          <w:sz w:val="24"/>
        </w:rPr>
        <w:t>secured indebtedness that becomes due as a result of the voluntary sale or transfer of the property or assets securing such indebtedness, (ii) any such Payment Default that is waived (including during any forbearance period and including in the form of amendment) by the requisite holders of the applicable item of indebtedness or contested in good faith by the Issuer or the applicable Subsidiary Guarantor and (iii) any indebtedness that is required to be converted into Qualifying Equity Interests upon the occurrence of certain designated events so long as no payments in cash or otherwise are required to be made in accordance with such conversion;</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(5)except as permitted by this Indenture, any Subsidiary Guarantee of any Subsidiary Guarantor (or any group of Subsidiary Guarantors) that constitutes a Significant Subsidiary shall be held in any final and non-appealable judicial proceeding to be unenforceable or invalid or shall cease for any reason (other than in accordance with its terms) to be in full force and effect or any Subsidiary Guarantor (or any group of Subsidiary Guarantors) that constitutes a Significant Subsidiary, or any Person acting on behalf of any Subsidiary Guarantor (or any group of Subsidiary Guarantors) that constitutes a Significant Subsidiary, shall deny or disaffirm in writing its or their obligations under its or their Subsidiary Guarantee(s); and</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(6)(a) a court of competent jurisdiction (i) enters an order or decree under any Bankruptcy Law that is for relief against the Issuer, any Subsidiary Guarantor that is a Significant Subsidiary or any group of Subsidiary Guarantors that, taken together, would constitute a Significant Subsidiary in an involuntary case; (ii) appoints a custodian for all or substantially all of the property of the Issuer, any Subsidiary Guarantor that is a </w:t>
      </w:r>
    </w:p>
    <w:p>
      <w:pPr>
        <w:pStyle w:val="TextBody"/>
        <w:bidi w:val="0"/>
        <w:spacing w:before="0" w:after="0"/>
        <w:jc w:val="left"/>
        <w:rPr/>
      </w:pPr>
      <w:r>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6480175" cy="768985"/>
                <wp:effectExtent l="0" t="0" r="0" b="0"/>
                <wp:wrapNone/>
                <wp:docPr id="236" name="Frame236"/>
                <a:graphic xmlns:a="http://schemas.openxmlformats.org/drawingml/2006/main">
                  <a:graphicData uri="http://schemas.microsoft.com/office/word/2010/wordprocessingShape">
                    <wps:wsp>
                      <wps:cNvSpPr txBox="1"/>
                      <wps:spPr>
                        <a:xfrm>
                          <a:off x="0" y="0"/>
                          <a:ext cx="6480175" cy="7689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63</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0.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63</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rPr>
        <w:t xml:space="preserve">Significant Subsidiary or any group of Subsidiary Guarantors that, taken together, would constitute a Significant Subsidiary; or (iii) orders the liquidation of the Issuer, any Subsidiary Guarantor that is a Significant Subsidiary or any group of Subsidiary Guarantors that, taken together, would constitute a Significant Subsidiary and, in each of clauses (i), (ii) or (iii) of this </w:t>
      </w:r>
      <w:r>
        <w:rPr>
          <w:rFonts w:ascii="Times New Roman;serif" w:hAnsi="Times New Roman;serif"/>
          <w:b w:val="false"/>
          <w:color w:val="000000"/>
          <w:sz w:val="24"/>
          <w:u w:val="single"/>
        </w:rPr>
        <w:t>Section 6.01(6)</w:t>
      </w:r>
      <w:r>
        <w:rPr>
          <w:rFonts w:ascii="Times New Roman;serif" w:hAnsi="Times New Roman;serif"/>
          <w:b w:val="false"/>
          <w:color w:val="000000"/>
          <w:sz w:val="24"/>
        </w:rPr>
        <w:t xml:space="preserve">, the order, appointment or decree remains unstayed and in effect for at least 60 consecutive days after the commencement of the actions described in such clauses (i), (ii) or (iii) of this </w:t>
      </w:r>
      <w:r>
        <w:rPr>
          <w:rFonts w:ascii="Times New Roman;serif" w:hAnsi="Times New Roman;serif"/>
          <w:b w:val="false"/>
          <w:color w:val="000000"/>
          <w:sz w:val="24"/>
          <w:u w:val="single"/>
        </w:rPr>
        <w:t>Section 6.01(6)</w:t>
      </w:r>
      <w:r>
        <w:rPr>
          <w:rFonts w:ascii="Times New Roman;serif" w:hAnsi="Times New Roman;serif"/>
          <w:b w:val="false"/>
          <w:color w:val="000000"/>
          <w:sz w:val="24"/>
        </w:rPr>
        <w:t>, as applicable; or (b) the Issuer, any Subsidiary Guarantor that is a Significant Subsidiary or any group of Subsidiary Guarantors that, taken together, would constitute a Significant Subsidiary, pursuant to or within the meaning of Bankruptcy Law (i) commences a voluntary case; (ii) consents to the entry of an order for relief against it in an involuntary case; (iii) consents to the appointment of a custodian of it or for all or substantially all of its property; or (iv) makes a general assignment for the benefit of its creditors.</w:t>
      </w:r>
    </w:p>
    <w:p>
      <w:pPr>
        <w:pStyle w:val="TextBody"/>
        <w:bidi w:val="0"/>
        <w:spacing w:lineRule="auto" w:line="240" w:before="0" w:after="240"/>
        <w:jc w:val="left"/>
        <w:rPr/>
      </w:pPr>
      <w:r>
        <w:rPr>
          <w:rFonts w:ascii="Times New Roman;serif" w:hAnsi="Times New Roman;serif"/>
          <w:b w:val="false"/>
          <w:color w:val="000000"/>
          <w:sz w:val="24"/>
        </w:rPr>
        <w:t>Section 6.02</w:t>
      </w:r>
      <w:r>
        <w:rPr>
          <w:rFonts w:ascii="Times New Roman;serif" w:hAnsi="Times New Roman;serif"/>
          <w:b w:val="false"/>
          <w:color w:val="000000"/>
          <w:sz w:val="24"/>
          <w:u w:val="single"/>
        </w:rPr>
        <w:t>Acceleration</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In the case of an Event of Default with respect to the Issuer pursuant to </w:t>
      </w:r>
      <w:r>
        <w:rPr>
          <w:rFonts w:ascii="Times New Roman;serif" w:hAnsi="Times New Roman;serif"/>
          <w:b w:val="false"/>
          <w:color w:val="000000"/>
          <w:sz w:val="24"/>
          <w:u w:val="single"/>
        </w:rPr>
        <w:t>Section 6.01(6)</w:t>
      </w:r>
      <w:r>
        <w:rPr>
          <w:rFonts w:ascii="Times New Roman;serif" w:hAnsi="Times New Roman;serif"/>
          <w:b w:val="false"/>
          <w:color w:val="000000"/>
          <w:sz w:val="24"/>
        </w:rPr>
        <w:t xml:space="preserve">, principal of and accrued and unpaid interest on all the Notes that are outstanding will become due and payable immediately without further action or notice. If any other Event of Default occurs and is continuing, the Holders of at least 30% in principal amount of the Notes that are outstanding or the Trustee (acting at the written instruction of Holders of such percentage of the Notes) may declare the principal of and accrued and unpaid interest on all the Notes to be due and payable immediately; </w:t>
      </w:r>
      <w:r>
        <w:rPr>
          <w:rFonts w:ascii="Times New Roman;serif" w:hAnsi="Times New Roman;serif"/>
          <w:b w:val="false"/>
          <w:i/>
          <w:color w:val="000000"/>
          <w:sz w:val="24"/>
        </w:rPr>
        <w:t xml:space="preserve">provided </w:t>
      </w:r>
      <w:r>
        <w:rPr>
          <w:rFonts w:ascii="Times New Roman;serif" w:hAnsi="Times New Roman;serif"/>
          <w:b w:val="false"/>
          <w:color w:val="000000"/>
          <w:sz w:val="24"/>
        </w:rPr>
        <w:t>that a notice of Default may not be given with respect to any action taken, and reported publicly or to Holders, more than two years prior to such notice of Default.</w:t>
      </w:r>
    </w:p>
    <w:p>
      <w:pPr>
        <w:pStyle w:val="TextBody"/>
        <w:bidi w:val="0"/>
        <w:spacing w:lineRule="auto" w:line="240" w:before="0" w:after="240"/>
        <w:jc w:val="left"/>
        <w:rPr/>
      </w:pPr>
      <w:r>
        <w:rPr>
          <w:rFonts w:ascii="Times New Roman;serif" w:hAnsi="Times New Roman;serif"/>
          <w:b w:val="false"/>
          <w:color w:val="000000"/>
          <w:sz w:val="24"/>
        </w:rPr>
        <w:t>Section 6.03</w:t>
      </w:r>
      <w:r>
        <w:rPr>
          <w:rFonts w:ascii="Times New Roman;serif" w:hAnsi="Times New Roman;serif"/>
          <w:b w:val="false"/>
          <w:color w:val="000000"/>
          <w:sz w:val="24"/>
          <w:u w:val="single"/>
        </w:rPr>
        <w:t>Waiver of Past Defaults</w:t>
      </w:r>
      <w:r>
        <w:rPr>
          <w:rFonts w:ascii="Times New Roman;serif" w:hAnsi="Times New Roman;serif"/>
          <w:b w:val="false"/>
          <w:color w:val="000000"/>
          <w:sz w:val="24"/>
        </w:rPr>
        <w:t xml:space="preserve">. </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The Holders of a majority in aggregate principal amount of the Notes that are then outstanding, through written instruction to the Trustee may, on behalf of the Holders, waive any existing Default or Event of Default and its consequences hereunder, except a continuing Default or Event of Default in the payment of interest on, or the principal of, such Notes (including in connection with an offer to purchase);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w:t>
      </w:r>
      <w:r>
        <w:rPr>
          <w:rFonts w:ascii="Times New Roman;serif" w:hAnsi="Times New Roman;serif"/>
          <w:b w:val="false"/>
          <w:i/>
          <w:color w:val="000000"/>
          <w:sz w:val="24"/>
        </w:rPr>
        <w:t>however</w:t>
      </w:r>
      <w:r>
        <w:rPr>
          <w:rFonts w:ascii="Times New Roman;serif" w:hAnsi="Times New Roman;serif"/>
          <w:b w:val="false"/>
          <w:color w:val="000000"/>
          <w:sz w:val="24"/>
        </w:rPr>
        <w:t>, that the Holders of a majority in aggregate principal amount of the then outstanding Notes may, on behalf of the Holders, rescind an acceleration and its consequences, including any related payment default that resulted from such acceleration. Upon any such waiver, such Default shall cease to exist, and any Event of Default arising therefrom shall be deemed to have been cured for every purpose of this Indenture, but no such waiver shall extend to any subsequent or other Default or impair any right consequent thereon.</w:t>
      </w:r>
    </w:p>
    <w:p>
      <w:pPr>
        <w:pStyle w:val="TextBody"/>
        <w:bidi w:val="0"/>
        <w:spacing w:lineRule="auto" w:line="240" w:before="0" w:after="240"/>
        <w:jc w:val="left"/>
        <w:rPr/>
      </w:pPr>
      <w:r>
        <w:rPr>
          <w:rFonts w:ascii="Times New Roman;serif" w:hAnsi="Times New Roman;serif"/>
          <w:b w:val="false"/>
          <w:color w:val="000000"/>
          <w:sz w:val="24"/>
        </w:rPr>
        <w:t>Section 6.04</w:t>
      </w:r>
      <w:r>
        <w:rPr>
          <w:rFonts w:ascii="Times New Roman;serif" w:hAnsi="Times New Roman;serif"/>
          <w:b w:val="false"/>
          <w:color w:val="000000"/>
          <w:sz w:val="24"/>
          <w:u w:val="single"/>
        </w:rPr>
        <w:t>Control by Majority</w:t>
      </w:r>
      <w:r>
        <w:rPr>
          <w:rFonts w:ascii="Times New Roman;serif" w:hAnsi="Times New Roman;serif"/>
          <w:b w:val="false"/>
          <w:color w:val="000000"/>
          <w:sz w:val="24"/>
        </w:rPr>
        <w:t xml:space="preserve">. </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The Holders of a majority in principal amount of the Notes that are then outstanding may direct, through written instruction, the Trustee in its exercise of any trust or power in respect of the Notes. However, the Trustee may refuse to follow any direction that conflicts with law or this Indenture or the Notes or, subject to </w:t>
      </w:r>
      <w:r>
        <w:rPr>
          <w:rFonts w:ascii="Times New Roman;serif" w:hAnsi="Times New Roman;serif"/>
          <w:b w:val="false"/>
          <w:color w:val="000000"/>
          <w:sz w:val="24"/>
          <w:u w:val="single"/>
        </w:rPr>
        <w:t>Section 7.01</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Section 7.02</w:t>
      </w:r>
      <w:r>
        <w:rPr>
          <w:rFonts w:ascii="Times New Roman;serif" w:hAnsi="Times New Roman;serif"/>
          <w:b w:val="false"/>
          <w:color w:val="000000"/>
          <w:sz w:val="24"/>
        </w:rPr>
        <w:t xml:space="preserve">, that the Trustee determines is unduly prejudicial to the rights of other Holders or would involve the Trustee in personal liability; </w:t>
      </w:r>
      <w:r>
        <w:rPr>
          <w:rFonts w:ascii="Times New Roman;serif" w:hAnsi="Times New Roman;serif"/>
          <w:b w:val="false"/>
          <w:i/>
          <w:color w:val="000000"/>
          <w:sz w:val="24"/>
        </w:rPr>
        <w:t>provided, however</w:t>
      </w:r>
      <w:r>
        <w:rPr>
          <w:rFonts w:ascii="Times New Roman;serif" w:hAnsi="Times New Roman;serif"/>
          <w:b w:val="false"/>
          <w:color w:val="000000"/>
          <w:sz w:val="24"/>
        </w:rPr>
        <w:t xml:space="preserve">, that the Trustee may take any other action deemed proper by the </w:t>
      </w:r>
    </w:p>
    <w:p>
      <w:pPr>
        <w:pStyle w:val="TextBody"/>
        <w:bidi w:val="0"/>
        <w:spacing w:before="0" w:after="0"/>
        <w:jc w:val="left"/>
        <w:rPr/>
      </w:pPr>
      <w:r>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6480175" cy="768985"/>
                <wp:effectExtent l="0" t="0" r="0" b="0"/>
                <wp:wrapNone/>
                <wp:docPr id="237" name="Frame237"/>
                <a:graphic xmlns:a="http://schemas.openxmlformats.org/drawingml/2006/main">
                  <a:graphicData uri="http://schemas.microsoft.com/office/word/2010/wordprocessingShape">
                    <wps:wsp>
                      <wps:cNvSpPr txBox="1"/>
                      <wps:spPr>
                        <a:xfrm>
                          <a:off x="0" y="0"/>
                          <a:ext cx="6480175" cy="7689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64</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0.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64</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Trustee that is not inconsistent with such direction. The Trustee may withhold from Holders notice of any continuing Default or Event of Default if it determines that withholding notice is in their interest, except a Default or Event of Default relating to the payment of principal or interest.</w:t>
      </w:r>
    </w:p>
    <w:p>
      <w:pPr>
        <w:pStyle w:val="TextBody"/>
        <w:bidi w:val="0"/>
        <w:spacing w:lineRule="auto" w:line="240" w:before="0" w:after="240"/>
        <w:jc w:val="left"/>
        <w:rPr/>
      </w:pPr>
      <w:r>
        <w:rPr>
          <w:rFonts w:ascii="Times New Roman;serif" w:hAnsi="Times New Roman;serif"/>
          <w:b w:val="false"/>
          <w:color w:val="000000"/>
          <w:sz w:val="24"/>
        </w:rPr>
        <w:t>Section 6.05</w:t>
      </w:r>
      <w:r>
        <w:rPr>
          <w:rFonts w:ascii="Times New Roman;serif" w:hAnsi="Times New Roman;serif"/>
          <w:b w:val="false"/>
          <w:color w:val="000000"/>
          <w:sz w:val="24"/>
          <w:u w:val="single"/>
        </w:rPr>
        <w:t>Limitations on Suits</w:t>
      </w:r>
      <w:r>
        <w:rPr>
          <w:rFonts w:ascii="Times New Roman;serif" w:hAnsi="Times New Roman;serif"/>
          <w:b w:val="false"/>
          <w:color w:val="000000"/>
          <w:sz w:val="24"/>
        </w:rPr>
        <w:t xml:space="preserve">. </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In case an Event of Default occurs and is continuing, the Trustee will be under no obligation to exercise any of the rights or powers under this Indenture at the request or direction of any Holders unless such Holders have offered to the Trustee indemnity and/or security reasonably satisfactory to the Trustee against any loss, liability or expense. Except to enforce the right to receive payment of principal, premium (if any) or interest when due, no Holder of a Note may pursue any remedy with respect to this Indenture unless:</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(1)such Holder has previously given the Trustee notice that an Event of Default is continuing;</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(2)Holders of at least 30% in aggregate principal amount of the Notes that are then outstanding have requested the Trustee to pursue the remedy;</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(3)such Holders have offered the Trustee indemnity and/or security reasonably satisfactory to the Trustee against any loss, liability or expense;</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(4)the Trustee has not complied with such request within 60 days after the receipt thereof and the offer of security or indemnity; and</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(5)Holders of a majority in aggregate principal amount of the Notes that are then outstanding have not given the Trustee a direction inconsistent with such request within such 60-day period.</w:t>
      </w:r>
    </w:p>
    <w:p>
      <w:pPr>
        <w:pStyle w:val="TextBody"/>
        <w:bidi w:val="0"/>
        <w:spacing w:lineRule="auto" w:line="240" w:before="0" w:after="240"/>
        <w:jc w:val="left"/>
        <w:rPr/>
      </w:pPr>
      <w:r>
        <w:rPr>
          <w:rFonts w:ascii="Times New Roman;serif" w:hAnsi="Times New Roman;serif"/>
          <w:b w:val="false"/>
          <w:color w:val="000000"/>
          <w:sz w:val="24"/>
        </w:rPr>
        <w:t>Section 6.06</w:t>
      </w:r>
      <w:r>
        <w:rPr>
          <w:rFonts w:ascii="Times New Roman;serif" w:hAnsi="Times New Roman;serif"/>
          <w:b w:val="false"/>
          <w:color w:val="000000"/>
          <w:sz w:val="24"/>
          <w:u w:val="single"/>
        </w:rPr>
        <w:t>Collection Suit by Trustee</w:t>
      </w:r>
      <w:r>
        <w:rPr>
          <w:rFonts w:ascii="Times New Roman;serif" w:hAnsi="Times New Roman;serif"/>
          <w:b w:val="false"/>
          <w:color w:val="000000"/>
          <w:sz w:val="24"/>
        </w:rPr>
        <w:t xml:space="preserve">. </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If an Event of Default specified in </w:t>
      </w:r>
      <w:r>
        <w:rPr>
          <w:rFonts w:ascii="Times New Roman;serif" w:hAnsi="Times New Roman;serif"/>
          <w:b w:val="false"/>
          <w:color w:val="000000"/>
          <w:sz w:val="24"/>
          <w:u w:val="single"/>
        </w:rPr>
        <w:t>Section 6.01(1)</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Section 6.01(2)</w:t>
      </w:r>
      <w:r>
        <w:rPr>
          <w:color w:val="000000"/>
        </w:rPr>
        <w:t xml:space="preserve"> </w:t>
      </w:r>
      <w:r>
        <w:rPr>
          <w:rFonts w:ascii="Times New Roman;serif" w:hAnsi="Times New Roman;serif"/>
          <w:b w:val="false"/>
          <w:color w:val="000000"/>
          <w:sz w:val="24"/>
        </w:rPr>
        <w:t>occurs and is continuing, the Trustee is authorized to recover judgment in its own name and as trustee of an express trust against the Issuer for the whole amount of principal of, premium, if any, and interest remaining unpaid on the Notes and interest on overdue principal and, to the extent lawful, interest and such further amount as shall be sufficient to cover the costs and expenses of collection, including the reasonable and documented compensation, expenses, disbursements and advances of the Trustee, its agents and counsel. The Trustee may maintain a proceeding even if it does not possess any of the Notes or does not produce any of them in the proceeding.</w:t>
      </w:r>
    </w:p>
    <w:p>
      <w:pPr>
        <w:pStyle w:val="TextBody"/>
        <w:bidi w:val="0"/>
        <w:spacing w:lineRule="auto" w:line="240" w:before="0" w:after="240"/>
        <w:jc w:val="left"/>
        <w:rPr/>
      </w:pPr>
      <w:r>
        <w:rPr>
          <w:rFonts w:ascii="Times New Roman;serif" w:hAnsi="Times New Roman;serif"/>
          <w:b w:val="false"/>
          <w:color w:val="000000"/>
          <w:sz w:val="24"/>
        </w:rPr>
        <w:t>Section 6.07</w:t>
      </w:r>
      <w:r>
        <w:rPr>
          <w:rFonts w:ascii="Times New Roman;serif" w:hAnsi="Times New Roman;serif"/>
          <w:b w:val="false"/>
          <w:color w:val="000000"/>
          <w:sz w:val="24"/>
          <w:u w:val="single"/>
        </w:rPr>
        <w:t>Priorities</w:t>
      </w:r>
      <w:r>
        <w:rPr>
          <w:rFonts w:ascii="Times New Roman;serif" w:hAnsi="Times New Roman;serif"/>
          <w:b w:val="false"/>
          <w:color w:val="000000"/>
          <w:sz w:val="24"/>
        </w:rPr>
        <w:t xml:space="preserve">. </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If the Trustee collects any money pursuant to this </w:t>
      </w:r>
      <w:r>
        <w:rPr>
          <w:rFonts w:ascii="Times New Roman;serif" w:hAnsi="Times New Roman;serif"/>
          <w:b w:val="false"/>
          <w:color w:val="000000"/>
          <w:sz w:val="24"/>
          <w:u w:val="single"/>
        </w:rPr>
        <w:t>Article 6</w:t>
      </w:r>
      <w:r>
        <w:rPr>
          <w:rFonts w:ascii="Times New Roman;serif" w:hAnsi="Times New Roman;serif"/>
          <w:b w:val="false"/>
          <w:color w:val="000000"/>
          <w:sz w:val="24"/>
        </w:rPr>
        <w:t>, it shall pay out the money in the following order:</w:t>
      </w:r>
    </w:p>
    <w:p>
      <w:pPr>
        <w:pStyle w:val="TextBody"/>
        <w:bidi w:val="0"/>
        <w:spacing w:lineRule="auto" w:line="288" w:before="0" w:after="240"/>
        <w:ind w:left="0" w:right="0" w:firstLine="720"/>
        <w:jc w:val="both"/>
        <w:rPr/>
      </w:pPr>
      <w:r>
        <w:rPr>
          <w:rFonts w:ascii="Times New Roman;serif" w:hAnsi="Times New Roman;serif"/>
          <w:b w:val="false"/>
          <w:i/>
          <w:color w:val="000000"/>
          <w:sz w:val="24"/>
        </w:rPr>
        <w:t>First</w:t>
      </w:r>
      <w:r>
        <w:rPr>
          <w:rFonts w:ascii="Times New Roman;serif" w:hAnsi="Times New Roman;serif"/>
          <w:b w:val="false"/>
          <w:color w:val="000000"/>
          <w:sz w:val="24"/>
        </w:rPr>
        <w:t>: to the Trustee, its agents and attorneys for amounts due under the Note Documents, including payment of all compensation, expenses and liabilities incurred, and all advances made, by the Trustee and the costs and expenses of collection;</w:t>
      </w:r>
    </w:p>
    <w:p>
      <w:pPr>
        <w:pStyle w:val="TextBody"/>
        <w:bidi w:val="0"/>
        <w:spacing w:before="0" w:after="0"/>
        <w:jc w:val="left"/>
        <w:rPr/>
      </w:pPr>
      <w:r>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6480175" cy="768985"/>
                <wp:effectExtent l="0" t="0" r="0" b="0"/>
                <wp:wrapNone/>
                <wp:docPr id="238" name="Frame238"/>
                <a:graphic xmlns:a="http://schemas.openxmlformats.org/drawingml/2006/main">
                  <a:graphicData uri="http://schemas.microsoft.com/office/word/2010/wordprocessingShape">
                    <wps:wsp>
                      <wps:cNvSpPr txBox="1"/>
                      <wps:spPr>
                        <a:xfrm>
                          <a:off x="0" y="0"/>
                          <a:ext cx="6480175" cy="7689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65</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0.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65</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i/>
          <w:color w:val="000000"/>
          <w:sz w:val="24"/>
        </w:rPr>
        <w:t>Second</w:t>
      </w:r>
      <w:r>
        <w:rPr>
          <w:rFonts w:ascii="Times New Roman;serif" w:hAnsi="Times New Roman;serif"/>
          <w:b w:val="false"/>
          <w:color w:val="000000"/>
          <w:sz w:val="24"/>
        </w:rPr>
        <w:t>: to Holders of Notes for amounts due and unpaid on the Notes for principal, premium, if any, and interest, ratably, without preference or priority of any kind, according to the amounts due and payable on the Notes for principal, premium, if any, and interest, respectively; and</w:t>
      </w:r>
    </w:p>
    <w:p>
      <w:pPr>
        <w:pStyle w:val="TextBody"/>
        <w:bidi w:val="0"/>
        <w:spacing w:lineRule="auto" w:line="288" w:before="0" w:after="240"/>
        <w:ind w:left="0" w:right="0" w:firstLine="720"/>
        <w:jc w:val="both"/>
        <w:rPr/>
      </w:pPr>
      <w:r>
        <w:rPr>
          <w:rFonts w:ascii="Times New Roman;serif" w:hAnsi="Times New Roman;serif"/>
          <w:b w:val="false"/>
          <w:i/>
          <w:color w:val="000000"/>
          <w:sz w:val="24"/>
        </w:rPr>
        <w:t>Third</w:t>
      </w:r>
      <w:r>
        <w:rPr>
          <w:rFonts w:ascii="Times New Roman;serif" w:hAnsi="Times New Roman;serif"/>
          <w:b w:val="false"/>
          <w:color w:val="000000"/>
          <w:sz w:val="24"/>
        </w:rPr>
        <w:t>: to the Issuer or to such party as a court of competent jurisdiction shall direct.</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The Trustee may fix a record date and payment date for any payment to Holders of Notes pursuant to this </w:t>
      </w:r>
      <w:r>
        <w:rPr>
          <w:rFonts w:ascii="Times New Roman;serif" w:hAnsi="Times New Roman;serif"/>
          <w:b w:val="false"/>
          <w:color w:val="000000"/>
          <w:sz w:val="24"/>
          <w:u w:val="single"/>
        </w:rPr>
        <w:t>Section 6.07</w:t>
      </w:r>
      <w:r>
        <w:rPr>
          <w:rFonts w:ascii="Times New Roman;serif" w:hAnsi="Times New Roman;serif"/>
          <w:b w:val="false"/>
          <w:color w:val="000000"/>
          <w:sz w:val="24"/>
        </w:rPr>
        <w:t>.</w:t>
      </w:r>
    </w:p>
    <w:p>
      <w:pPr>
        <w:pStyle w:val="TextBody"/>
        <w:bidi w:val="0"/>
        <w:spacing w:lineRule="auto" w:line="240" w:before="0" w:after="240"/>
        <w:jc w:val="left"/>
        <w:rPr/>
      </w:pPr>
      <w:r>
        <w:rPr>
          <w:rFonts w:ascii="Times New Roman;serif" w:hAnsi="Times New Roman;serif"/>
          <w:b w:val="false"/>
          <w:color w:val="000000"/>
          <w:sz w:val="24"/>
        </w:rPr>
        <w:t>Section 6.08</w:t>
      </w:r>
      <w:r>
        <w:rPr>
          <w:rFonts w:ascii="Times New Roman;serif" w:hAnsi="Times New Roman;serif"/>
          <w:b w:val="false"/>
          <w:color w:val="000000"/>
          <w:sz w:val="24"/>
          <w:u w:val="single"/>
        </w:rPr>
        <w:t>Trustee May File Proofs of Claim</w:t>
      </w:r>
      <w:r>
        <w:rPr>
          <w:rFonts w:ascii="Times New Roman;serif" w:hAnsi="Times New Roman;serif"/>
          <w:b w:val="false"/>
          <w:color w:val="000000"/>
          <w:sz w:val="24"/>
        </w:rPr>
        <w:t>.</w:t>
      </w:r>
    </w:p>
    <w:p>
      <w:pPr>
        <w:pStyle w:val="TextBody"/>
        <w:bidi w:val="0"/>
        <w:spacing w:lineRule="auto" w:line="240"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Trustee may file such proofs of claim and other papers or documents as may be necessary or advisable in order to have the claims of the Trustee (including any claim for the reasonable and documented compensation, expenses, disbursements and advances of the Trustee, its agents and counsel) and the Holders allowed in any judicial proceedings relative to the Issuer, its Subsidiaries or its or their respective creditors or properties and, unless prohibited by law or applicable regulations, may be entitled and empowered to participate as a member of any official committee of creditors appointed in such matter and may vote on behalf of the Holders in any election of a trustee in bankruptcy or other Person performing similar functions, and any custodian or other party making payment in any such judicial proceeding is hereby authorized by each Holder to make payments to the Trustee and, in the event that the Trustee shall consent to the making of such payments directly to the Holders, to pay to the Trustee any amount due it for the compensation, expenses, disbursements and advances of the Trustee, its agents and its counsel, and any other amounts due the Trustee under Section 7.06 hereof. No provision of this Indenture shall be deemed to authorize the Trustee to authorize or consent to or accept or adopt on behalf of any Holder any plan of reorganization, arrangement, adjustment or composition affecting the Notes or the rights of any Holder thereof or to authorize the Trustee to vote in respect of the claim of any Holder in any such proceeding.</w:t>
      </w:r>
    </w:p>
    <w:p>
      <w:pPr>
        <w:pStyle w:val="TextBody"/>
        <w:bidi w:val="0"/>
        <w:spacing w:before="0" w:after="0"/>
        <w:ind w:left="0" w:right="0" w:firstLine="720"/>
        <w:jc w:val="both"/>
        <w:rPr/>
      </w:pPr>
      <w:r>
        <w:rPr/>
      </w:r>
    </w:p>
    <w:p>
      <w:pPr>
        <w:pStyle w:val="TextBody"/>
        <w:bidi w:val="0"/>
        <w:spacing w:lineRule="auto" w:line="240" w:before="0" w:after="240"/>
        <w:jc w:val="left"/>
        <w:rPr/>
      </w:pPr>
      <w:r>
        <w:rPr>
          <w:rFonts w:ascii="Times New Roman;serif" w:hAnsi="Times New Roman;serif"/>
          <w:b w:val="false"/>
          <w:color w:val="000000"/>
          <w:sz w:val="24"/>
        </w:rPr>
        <w:t>Section 6.09</w:t>
      </w:r>
      <w:r>
        <w:rPr>
          <w:rFonts w:ascii="Times New Roman;serif" w:hAnsi="Times New Roman;serif"/>
          <w:b w:val="false"/>
          <w:color w:val="000000"/>
          <w:sz w:val="24"/>
          <w:u w:val="single"/>
        </w:rPr>
        <w:t>Holder Representation</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rPr>
        <w:t>Any notice of Default, notice of acceleration or instruction to the Trustee to provide a notice of Default, notice of acceleration or take any other action hereunder (a “</w:t>
      </w:r>
      <w:r>
        <w:rPr>
          <w:rFonts w:ascii="Times New Roman;serif" w:hAnsi="Times New Roman;serif"/>
          <w:b w:val="false"/>
          <w:i/>
          <w:color w:val="000000"/>
          <w:sz w:val="24"/>
        </w:rPr>
        <w:t>Noteholder Direction</w:t>
      </w:r>
      <w:r>
        <w:rPr>
          <w:color w:val="000000"/>
        </w:rPr>
        <w:t>”</w:t>
      </w:r>
      <w:r>
        <w:rPr>
          <w:rFonts w:ascii="Times New Roman;serif" w:hAnsi="Times New Roman;serif"/>
          <w:b w:val="false"/>
          <w:color w:val="000000"/>
          <w:sz w:val="24"/>
        </w:rPr>
        <w:t>) provided by any one or more Holders (each, a “</w:t>
      </w:r>
      <w:r>
        <w:rPr>
          <w:rFonts w:ascii="Times New Roman;serif" w:hAnsi="Times New Roman;serif"/>
          <w:b w:val="false"/>
          <w:i/>
          <w:color w:val="000000"/>
          <w:sz w:val="24"/>
        </w:rPr>
        <w:t>Directing Holder</w:t>
      </w:r>
      <w:r>
        <w:rPr>
          <w:color w:val="000000"/>
        </w:rPr>
        <w:t>”</w:t>
      </w:r>
      <w:r>
        <w:rPr>
          <w:rFonts w:ascii="Times New Roman;serif" w:hAnsi="Times New Roman;serif"/>
          <w:b w:val="false"/>
          <w:color w:val="000000"/>
          <w:sz w:val="24"/>
        </w:rPr>
        <w:t>) must be accompanied by a written representation from each such Holder delivered to the Issuer and the Trustee that such Holder is not (or, in the case such Holder is DTC or its nominee, that such Holder is being instructed solely by Beneficial Owners that are not) Net Short (a “</w:t>
      </w:r>
      <w:r>
        <w:rPr>
          <w:rFonts w:ascii="Times New Roman;serif" w:hAnsi="Times New Roman;serif"/>
          <w:b w:val="false"/>
          <w:i/>
          <w:color w:val="000000"/>
          <w:sz w:val="24"/>
        </w:rPr>
        <w:t>Position Representation</w:t>
      </w:r>
      <w:r>
        <w:rPr>
          <w:color w:val="000000"/>
        </w:rPr>
        <w:t>”</w:t>
      </w:r>
      <w:r>
        <w:rPr>
          <w:rFonts w:ascii="Times New Roman;serif" w:hAnsi="Times New Roman;serif"/>
          <w:b w:val="false"/>
          <w:color w:val="000000"/>
          <w:sz w:val="24"/>
        </w:rPr>
        <w:t>), which representation, in the case of a Noteholder Direction relating to a notice of Default shall be deemed repeated at all times until the resulting Event of Default is cured or otherwise ceases to exist or the Notes are accelerated. In addition, each Directing Holder must, at the time of providing a Noteholder Direction, covenant to provide the Issuer with such other information as the Issuer may reasonably request from time to time in order to verify the accuracy of such Directing Holder’s Position Representation within five Business Days of request therefor (a “</w:t>
      </w:r>
      <w:r>
        <w:rPr>
          <w:rFonts w:ascii="Times New Roman;serif" w:hAnsi="Times New Roman;serif"/>
          <w:b w:val="false"/>
          <w:i/>
          <w:color w:val="000000"/>
          <w:sz w:val="24"/>
        </w:rPr>
        <w:t>Verification Covenant</w:t>
      </w:r>
      <w:r>
        <w:rPr>
          <w:color w:val="000000"/>
        </w:rPr>
        <w:t>”</w:t>
      </w:r>
      <w:r>
        <w:rPr>
          <w:rFonts w:ascii="Times New Roman;serif" w:hAnsi="Times New Roman;serif"/>
          <w:b w:val="false"/>
          <w:color w:val="000000"/>
          <w:sz w:val="24"/>
        </w:rPr>
        <w:t>). Notwithstanding anything herein to the contrary, in any case in which the Holder is DTC or its nominee, any Position Representation or Verification Covenant required hereunder shall be provided by the Beneficial Owner of the Notes in lieu of DTC or its nominee, and DTC shall be entitled to rely on such Position Representation and Verification Covenant in delivering its direction to the Trustee, and such Beneficial Owner shall provide proof of its holdings in a manner reasonably satisfactory to the Trustee.</w:t>
      </w:r>
    </w:p>
    <w:p>
      <w:pPr>
        <w:pStyle w:val="TextBody"/>
        <w:bidi w:val="0"/>
        <w:spacing w:before="0" w:after="0"/>
        <w:jc w:val="left"/>
        <w:rPr/>
      </w:pPr>
      <w:r>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6480175" cy="768985"/>
                <wp:effectExtent l="0" t="0" r="0" b="0"/>
                <wp:wrapNone/>
                <wp:docPr id="239" name="Frame239"/>
                <a:graphic xmlns:a="http://schemas.openxmlformats.org/drawingml/2006/main">
                  <a:graphicData uri="http://schemas.microsoft.com/office/word/2010/wordprocessingShape">
                    <wps:wsp>
                      <wps:cNvSpPr txBox="1"/>
                      <wps:spPr>
                        <a:xfrm>
                          <a:off x="0" y="0"/>
                          <a:ext cx="6480175" cy="7689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66</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0.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66</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rPr>
        <w:t>If, following the delivery of a Noteholder Direction, but prior to acceleration of the Notes, the Issuer determines in good faith that there is a reasonable basis to believe a Directing Holder was, at any relevant time, in breach of its Position Representation and provides to the Trustee an Officer’s Certificate certifying that the Issuer has initiated litigation (“</w:t>
      </w:r>
      <w:r>
        <w:rPr>
          <w:rFonts w:ascii="Times New Roman;serif" w:hAnsi="Times New Roman;serif"/>
          <w:b w:val="false"/>
          <w:i/>
          <w:color w:val="000000"/>
          <w:sz w:val="24"/>
        </w:rPr>
        <w:t>Litigation</w:t>
      </w:r>
      <w:r>
        <w:rPr>
          <w:color w:val="000000"/>
        </w:rPr>
        <w:t>”</w:t>
      </w:r>
      <w:r>
        <w:rPr>
          <w:rFonts w:ascii="Times New Roman;serif" w:hAnsi="Times New Roman;serif"/>
          <w:b w:val="false"/>
          <w:color w:val="000000"/>
          <w:sz w:val="24"/>
        </w:rPr>
        <w:t>) in a court of competent jurisdiction seeking a determination that such Directing Holder was, at such time, in breach of its Position Representation, and seeking to invalidate any Default, Event of Default or acceleration (or notice thereof) that resulted from the applicable Noteholder Direction, the cure period with respect to such Default or Event of Default shall be automatically stayed and the cure period with respect to such Default or Event of Default shall be automatically reinstituted and any remedy stayed pending a final and non-appealable determination of a court of competent jurisdiction on such matter (a “</w:t>
      </w:r>
      <w:r>
        <w:rPr>
          <w:rFonts w:ascii="Times New Roman;serif" w:hAnsi="Times New Roman;serif"/>
          <w:b w:val="false"/>
          <w:i/>
          <w:color w:val="000000"/>
          <w:sz w:val="24"/>
        </w:rPr>
        <w:t>Final Decision</w:t>
      </w:r>
      <w:r>
        <w:rPr>
          <w:color w:val="000000"/>
        </w:rPr>
        <w:t>”</w:t>
      </w:r>
      <w:r>
        <w:rPr>
          <w:rFonts w:ascii="Times New Roman;serif" w:hAnsi="Times New Roman;serif"/>
          <w:b w:val="false"/>
          <w:color w:val="000000"/>
          <w:sz w:val="24"/>
        </w:rPr>
        <w:t>). Once such Officer’s Certificate has been provided to the Trustee, the Trustee shall take no further action pursuant to the related Noteholder Direction until it has actual knowledge of a Final Decision. Alternatively, if, following the delivery of a Noteholder Direction, but prior to acceleration of the Notes, the Issuer provides to the Trustee an Officer’s Certificate certifying that a Directing Holder failed to satisfy its Verification Covenant (a “</w:t>
      </w:r>
      <w:r>
        <w:rPr>
          <w:rFonts w:ascii="Times New Roman;serif" w:hAnsi="Times New Roman;serif"/>
          <w:b w:val="false"/>
          <w:i/>
          <w:color w:val="000000"/>
          <w:sz w:val="24"/>
        </w:rPr>
        <w:t>Verification Covenant Officer’s Certificate</w:t>
      </w:r>
      <w:r>
        <w:rPr>
          <w:color w:val="000000"/>
        </w:rPr>
        <w:t>”</w:t>
      </w:r>
      <w:r>
        <w:rPr>
          <w:rFonts w:ascii="Times New Roman;serif" w:hAnsi="Times New Roman;serif"/>
          <w:b w:val="false"/>
          <w:color w:val="000000"/>
          <w:sz w:val="24"/>
        </w:rPr>
        <w:t>), the cure period with respect to such Default or Event of Default shall be automatically stayed and the cure period with respect to any Default or Event of Default that resulted from the applicable Noteholder Direction shall be automatically reinstituted and any remedy stayed until such time as the Issuer provides the Trustee with an Officer’s Certificate that the Verification Covenant has been satisfied (a “</w:t>
      </w:r>
      <w:r>
        <w:rPr>
          <w:rFonts w:ascii="Times New Roman;serif" w:hAnsi="Times New Roman;serif"/>
          <w:b w:val="false"/>
          <w:i/>
          <w:color w:val="000000"/>
          <w:sz w:val="24"/>
        </w:rPr>
        <w:t>Covenant Satisfaction Officer’s Certificate</w:t>
      </w:r>
      <w:r>
        <w:rPr>
          <w:color w:val="000000"/>
        </w:rPr>
        <w:t>”</w:t>
      </w:r>
      <w:r>
        <w:rPr>
          <w:rFonts w:ascii="Times New Roman;serif" w:hAnsi="Times New Roman;serif"/>
          <w:b w:val="false"/>
          <w:color w:val="000000"/>
          <w:sz w:val="24"/>
        </w:rPr>
        <w:t xml:space="preserve">); </w:t>
      </w:r>
      <w:r>
        <w:rPr>
          <w:rFonts w:ascii="Times New Roman;serif" w:hAnsi="Times New Roman;serif"/>
          <w:b w:val="false"/>
          <w:i/>
          <w:color w:val="000000"/>
          <w:sz w:val="24"/>
        </w:rPr>
        <w:t>provided that</w:t>
      </w:r>
      <w:r>
        <w:rPr>
          <w:color w:val="000000"/>
        </w:rPr>
        <w:t xml:space="preserve"> </w:t>
      </w:r>
      <w:r>
        <w:rPr>
          <w:rFonts w:ascii="Times New Roman;serif" w:hAnsi="Times New Roman;serif"/>
          <w:b w:val="false"/>
          <w:color w:val="000000"/>
          <w:sz w:val="24"/>
        </w:rPr>
        <w:t>the Issuer shall promptly deliver such Officer’s Certificate to the Trustee upon becoming aware that the Verification Covenant has been satisfied. Any breach of the Position Representation (as evidenced by the delivery to the Trustee of the Officer’s Certificate stating that a Directing Holder failed to satisfy its Verification Covenant (a “</w:t>
      </w:r>
      <w:r>
        <w:rPr>
          <w:rFonts w:ascii="Times New Roman;serif" w:hAnsi="Times New Roman;serif"/>
          <w:b w:val="false"/>
          <w:i/>
          <w:color w:val="000000"/>
          <w:sz w:val="24"/>
        </w:rPr>
        <w:t>Covenant Failure Officer’s Certificate</w:t>
      </w:r>
      <w:r>
        <w:rPr>
          <w:color w:val="000000"/>
        </w:rPr>
        <w:t>”</w:t>
      </w:r>
      <w:r>
        <w:rPr>
          <w:rFonts w:ascii="Times New Roman;serif" w:hAnsi="Times New Roman;serif"/>
          <w:b w:val="false"/>
          <w:color w:val="000000"/>
          <w:sz w:val="24"/>
        </w:rPr>
        <w:t xml:space="preserve">)) shall result in such Directing Holder’s participation in such Noteholder Direction being disregarded; and if, without the participation of such Holder, the percentage of Notes held by the remaining Directing Holders that provided such Noteholder Direction would have been insufficient to validly provide such Noteholder Direction, such Noteholder Direction shall be void </w:t>
      </w:r>
      <w:r>
        <w:rPr>
          <w:rFonts w:ascii="Times New Roman;serif" w:hAnsi="Times New Roman;serif"/>
          <w:b w:val="false"/>
          <w:i/>
          <w:color w:val="000000"/>
          <w:sz w:val="24"/>
        </w:rPr>
        <w:t>ab initio</w:t>
      </w:r>
      <w:r>
        <w:rPr>
          <w:rFonts w:ascii="Times New Roman;serif" w:hAnsi="Times New Roman;serif"/>
          <w:b w:val="false"/>
          <w:color w:val="000000"/>
          <w:sz w:val="24"/>
        </w:rPr>
        <w:t>, with the effect that such Default or Event of Default shall be deemed never to have occurred, the related acceleration voided and the Trustee shall be deemed not to have received such Noteholder Direction or any notice of such Default or Event of Default and shall not be permitted to act thereon and shall be prohibited from accepting and acting on any future Noteholder Direction in relation to such Default or Event of Default. If the Directing Holder has satisfied its Verification Covenant, then the Trustee shall be permitted to act in accordance with such Noteholder Direction. Notwithstanding the above, if such Directing Holder’s participation is not required to achieve the requisite level of consent of Holders required under this Indenture to validly give such Noteholder Direction, the Trustee shall be permitted to act in accordance with such Noteholder Direction notwithstanding any action taken or to be taken by the Issuer (as described above). The Trustee shall be entitled to conclusively rely on any Noteholder Direction or Officer’s Certificate delivered to it in accordance with this Indenture without verification, investigation or otherwise as to the statements made therein.</w:t>
      </w:r>
    </w:p>
    <w:p>
      <w:pPr>
        <w:pStyle w:val="TextBody"/>
        <w:bidi w:val="0"/>
        <w:spacing w:lineRule="auto" w:line="240" w:before="0" w:after="240"/>
        <w:ind w:left="0" w:right="0" w:firstLine="720"/>
        <w:jc w:val="both"/>
        <w:rPr/>
      </w:pPr>
      <w:r>
        <w:rPr>
          <w:rFonts w:ascii="Times New Roman;serif" w:hAnsi="Times New Roman;serif"/>
          <w:b w:val="false"/>
          <w:color w:val="000000"/>
          <w:sz w:val="24"/>
        </w:rPr>
        <w:t>(c)</w:t>
      </w:r>
      <w:r>
        <w:rPr>
          <w:rFonts w:ascii="Times New Roman;serif" w:hAnsi="Times New Roman;serif"/>
          <w:b w:val="false"/>
          <w:color w:val="000000"/>
          <w:sz w:val="24"/>
        </w:rPr>
        <w:t xml:space="preserve">Notwithstanding anything in </w:t>
      </w:r>
      <w:r>
        <w:rPr>
          <w:rFonts w:ascii="Times New Roman;serif" w:hAnsi="Times New Roman;serif"/>
          <w:b w:val="false"/>
          <w:color w:val="000000"/>
          <w:sz w:val="24"/>
          <w:u w:val="single"/>
        </w:rPr>
        <w:t>Section 6.09(a)</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Section 6.09(b)</w:t>
      </w:r>
      <w:r>
        <w:rPr>
          <w:color w:val="000000"/>
        </w:rPr>
        <w:t xml:space="preserve"> </w:t>
      </w:r>
      <w:r>
        <w:rPr>
          <w:rFonts w:ascii="Times New Roman;serif" w:hAnsi="Times New Roman;serif"/>
          <w:b w:val="false"/>
          <w:color w:val="000000"/>
          <w:sz w:val="24"/>
        </w:rPr>
        <w:t>to the contrary, (i) any Noteholder Direction delivered to the Trustee during the pendency of an Event of Default as the result of a bankruptcy or similar proceeding shall not require compliance with the foregoing paragraphs and (ii) a notice of Default may not be given with respect to any action taken, and reported publicly or to Holders, more than two years prior to such notice of Default.</w:t>
      </w:r>
    </w:p>
    <w:p>
      <w:pPr>
        <w:pStyle w:val="TextBody"/>
        <w:bidi w:val="0"/>
        <w:spacing w:lineRule="auto" w:line="240" w:before="0" w:after="240"/>
        <w:ind w:left="0" w:right="0" w:firstLine="720"/>
        <w:jc w:val="both"/>
        <w:rPr/>
      </w:pPr>
      <w:r>
        <w:rPr>
          <w:rFonts w:ascii="Times New Roman;serif" w:hAnsi="Times New Roman;serif"/>
          <w:b w:val="false"/>
          <w:color w:val="000000"/>
          <w:sz w:val="24"/>
        </w:rPr>
        <w:t>(d)</w:t>
      </w:r>
      <w:r>
        <w:rPr>
          <w:rFonts w:ascii="Times New Roman;serif" w:hAnsi="Times New Roman;serif"/>
          <w:b w:val="false"/>
          <w:color w:val="000000"/>
          <w:sz w:val="24"/>
        </w:rPr>
        <w:t xml:space="preserve">Each Holder by accepting a Note acknowledges and agrees that the Trustee (and any agent) shall not be liable to any party for acting or refraining to act in accordance with (i) the foregoing provisions, (ii) any Noteholder Direction, (iii) any Officer’s Certificate, (iv) any Final Decision or (v) its duties under this Indenture, as the Trustee may determine in its sole discretion. </w:t>
      </w:r>
    </w:p>
    <w:p>
      <w:pPr>
        <w:pStyle w:val="TextBody"/>
        <w:bidi w:val="0"/>
        <w:spacing w:before="0" w:after="0"/>
        <w:jc w:val="left"/>
        <w:rPr/>
      </w:pPr>
      <w:r>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6480175" cy="768985"/>
                <wp:effectExtent l="0" t="0" r="0" b="0"/>
                <wp:wrapNone/>
                <wp:docPr id="240" name="Frame240"/>
                <a:graphic xmlns:a="http://schemas.openxmlformats.org/drawingml/2006/main">
                  <a:graphicData uri="http://schemas.microsoft.com/office/word/2010/wordprocessingShape">
                    <wps:wsp>
                      <wps:cNvSpPr txBox="1"/>
                      <wps:spPr>
                        <a:xfrm>
                          <a:off x="0" y="0"/>
                          <a:ext cx="6480175" cy="7689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67</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0.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67</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For the avoidance of doubt, the Trustee shall have no duty or obligation (i) to monitor, investigate, verify or otherwise determine if a Holder (or Beneficial Owners) holds a Net Short position, (ii) to inquire as to or investigate the accuracy of any Position Representation, enforce compliance with any Verification Covenant or verify any statements in any Officer’s Certificates delivered to it or otherwise make calculations with respect to Derivative Instruments, Net Shorts, Long Derivative Instruments, Short Derivative Instruments or otherwise, (iii) prior to acting pursuant to a Noteholder Direction, inquire if the Issuer will seek to take action to determine if a Directing Holder has breached its Position Representation, (iv) monitor any court proceedings undertaken in connection therewith, or (v) monitor or investigate whether any Default or Event of Default has been publicly reported. The Trustee shall have no obligation to monitor or determine whether a Holder is Net Short and can rely conclusively on a Directing Holder’s Position Representation, the Officer’s Certificates delivered by the Issuer and determinations made by a court of competent jurisdiction and shall have no liability for ceasing to take any action, staying any remedy or otherwise failing to act in accordance with a Noteholder Direction during the pendency of Litigation or a Noteholder Direction after a Verification Covenant Officer’s Certificate has been provided but prior to receipt of a Covenant Satisfaction Officer’s Certificate. The Trustee shall have no liability or responsibility to the Issuer or to any Holder or any other Person in connection with any Noteholder Direction or to determine whether or not any Holder has delivered a Position Representation or that such Position Representation conforms with this Indenture or any other agreement.</w:t>
      </w:r>
    </w:p>
    <w:p>
      <w:pPr>
        <w:pStyle w:val="TextBody"/>
        <w:bidi w:val="0"/>
        <w:spacing w:lineRule="auto" w:line="240" w:before="0" w:after="240"/>
        <w:jc w:val="center"/>
        <w:rPr/>
      </w:pPr>
      <w:r>
        <w:rPr>
          <w:rFonts w:ascii="Times New Roman;serif" w:hAnsi="Times New Roman;serif"/>
          <w:b w:val="false"/>
          <w:color w:val="000000"/>
          <w:sz w:val="24"/>
        </w:rPr>
        <w:t>Article 7</w:t>
      </w:r>
      <w:r>
        <w:rPr>
          <w:rFonts w:ascii="Times New Roman;serif" w:hAnsi="Times New Roman;serif"/>
          <w:b w:val="false"/>
          <w:color w:val="000000"/>
          <w:sz w:val="24"/>
        </w:rPr>
        <w:br/>
        <w:t>TRUSTEE</w:t>
      </w:r>
    </w:p>
    <w:p>
      <w:pPr>
        <w:pStyle w:val="TextBody"/>
        <w:bidi w:val="0"/>
        <w:spacing w:lineRule="auto" w:line="240" w:before="0" w:after="240"/>
        <w:jc w:val="left"/>
        <w:rPr/>
      </w:pPr>
      <w:r>
        <w:rPr>
          <w:rFonts w:ascii="Times New Roman;serif" w:hAnsi="Times New Roman;serif"/>
          <w:b w:val="false"/>
          <w:color w:val="000000"/>
          <w:sz w:val="24"/>
        </w:rPr>
        <w:t>Section 7.01</w:t>
      </w:r>
      <w:r>
        <w:rPr>
          <w:rFonts w:ascii="Times New Roman;serif" w:hAnsi="Times New Roman;serif"/>
          <w:b w:val="false"/>
          <w:color w:val="000000"/>
          <w:sz w:val="24"/>
          <w:u w:val="single"/>
        </w:rPr>
        <w:t>Duties of Trustee</w:t>
      </w:r>
      <w:r>
        <w:rPr>
          <w:rFonts w:ascii="Times New Roman;serif" w:hAnsi="Times New Roman;serif"/>
          <w:b w:val="false"/>
          <w:color w:val="000000"/>
          <w:sz w:val="24"/>
        </w:rPr>
        <w:t xml:space="preserve">. </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rPr>
        <w:t>If an Event of Default of which a Responsible Officer of the Trustee has actual knowledge, or has received written notice, has occurred and is continuing, the Trustee will exercise such of the rights and powers vested in it by this Indenture, and use the same degree of care and skill in its exercise, as a prudent Person would exercise or use under the circumstances in the conduct of such person’s own affairs; provided, that such standard shall not be deemed to require the Trustee to take action if the terms of this Indenture provide that the Trustee acts at the direction of another Person, including any Holder of any outstanding Notes, and such Person has not provided such direction.</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rPr>
        <w:t>Except during the continuance of an Event of Default of which a Responsible Officer of the Trustee has actual knowledge or has received written notice:</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(1)the duties of the Trustee will be determined solely by the express provisions of this Indenture and only with respect to the Notes as to which it is Trustee and the Trustee need perform only those duties that are specifically set forth in this Indenture and no others, and no implied covenants or obligations shall be read into this Indenture against the Trustee; and</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(2)in the absence of bad faith on its part, the Trustee may conclusively rely, as to the truth of the statements and the correctness of the opinions expressed therein, upon certificates or opinions furnished to the Trustee and conforming to the requirements of this Indenture. However, with respect to certificates or opinions specifically required by any provision hereof to be furnished to it, the Trustee will examine the certificates and opinions to determine whether or not they conform to the requirements of this Indenture (but need not confirm or investigate the accuracy of mathematical calculations or other facts stated therein).</w:t>
      </w:r>
    </w:p>
    <w:p>
      <w:pPr>
        <w:pStyle w:val="TextBody"/>
        <w:bidi w:val="0"/>
        <w:spacing w:before="0" w:after="0"/>
        <w:jc w:val="left"/>
        <w:rPr/>
      </w:pPr>
      <w:r>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6480175" cy="768985"/>
                <wp:effectExtent l="0" t="0" r="0" b="0"/>
                <wp:wrapNone/>
                <wp:docPr id="241" name="Frame241"/>
                <a:graphic xmlns:a="http://schemas.openxmlformats.org/drawingml/2006/main">
                  <a:graphicData uri="http://schemas.microsoft.com/office/word/2010/wordprocessingShape">
                    <wps:wsp>
                      <wps:cNvSpPr txBox="1"/>
                      <wps:spPr>
                        <a:xfrm>
                          <a:off x="0" y="0"/>
                          <a:ext cx="6480175" cy="7689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68</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0.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68</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00000"/>
          <w:sz w:val="24"/>
        </w:rPr>
        <w:t>(c)</w:t>
      </w:r>
      <w:r>
        <w:rPr>
          <w:rFonts w:ascii="Times New Roman;serif" w:hAnsi="Times New Roman;serif"/>
          <w:b w:val="false"/>
          <w:color w:val="000000"/>
          <w:sz w:val="24"/>
        </w:rPr>
        <w:t>The Trustee may not be relieved from liabilities for its own grossly negligent action, its own grossly negligent failure to act, or its own willful misconduct, except that:</w:t>
      </w:r>
    </w:p>
    <w:p>
      <w:pPr>
        <w:pStyle w:val="TextBody"/>
        <w:bidi w:val="0"/>
        <w:spacing w:lineRule="auto" w:line="240" w:before="0" w:after="240"/>
        <w:ind w:left="0" w:right="0" w:firstLine="720"/>
        <w:jc w:val="both"/>
        <w:rPr/>
      </w:pPr>
      <w:r>
        <w:rPr>
          <w:rFonts w:ascii="Times New Roman;serif" w:hAnsi="Times New Roman;serif"/>
          <w:b w:val="false"/>
          <w:color w:val="000000"/>
          <w:sz w:val="24"/>
        </w:rPr>
        <w:t xml:space="preserve">(1)this </w:t>
      </w:r>
      <w:r>
        <w:rPr>
          <w:rFonts w:ascii="Times New Roman;serif" w:hAnsi="Times New Roman;serif"/>
          <w:b w:val="false"/>
          <w:color w:val="000000"/>
          <w:sz w:val="24"/>
          <w:u w:val="single"/>
        </w:rPr>
        <w:t>Section 7.01(c)</w:t>
      </w:r>
      <w:r>
        <w:rPr>
          <w:color w:val="000000"/>
        </w:rPr>
        <w:t xml:space="preserve"> </w:t>
      </w:r>
      <w:r>
        <w:rPr>
          <w:rFonts w:ascii="Times New Roman;serif" w:hAnsi="Times New Roman;serif"/>
          <w:b w:val="false"/>
          <w:color w:val="000000"/>
          <w:sz w:val="24"/>
        </w:rPr>
        <w:t xml:space="preserve">does not limit the effect of </w:t>
      </w:r>
      <w:r>
        <w:rPr>
          <w:rFonts w:ascii="Times New Roman;serif" w:hAnsi="Times New Roman;serif"/>
          <w:b w:val="false"/>
          <w:color w:val="000000"/>
          <w:sz w:val="24"/>
          <w:u w:val="single"/>
        </w:rPr>
        <w:t>Section 7.01(b)</w:t>
      </w:r>
      <w:r>
        <w:rPr>
          <w:rFonts w:ascii="Times New Roman;serif" w:hAnsi="Times New Roman;serif"/>
          <w:b w:val="false"/>
          <w:color w:val="000000"/>
          <w:sz w:val="24"/>
        </w:rPr>
        <w:t>;</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(2)the Trustee will not be liable for any error of judgment made in good faith by a Responsible Officer, unless it is proved that the Trustee was grossly negligent in ascertaining the pertinent facts; and</w:t>
      </w:r>
    </w:p>
    <w:p>
      <w:pPr>
        <w:pStyle w:val="TextBody"/>
        <w:bidi w:val="0"/>
        <w:spacing w:lineRule="auto" w:line="240" w:before="0" w:after="240"/>
        <w:ind w:left="0" w:right="0" w:firstLine="720"/>
        <w:jc w:val="both"/>
        <w:rPr/>
      </w:pPr>
      <w:r>
        <w:rPr>
          <w:rFonts w:ascii="Times New Roman;serif" w:hAnsi="Times New Roman;serif"/>
          <w:b w:val="false"/>
          <w:color w:val="000000"/>
          <w:sz w:val="24"/>
        </w:rPr>
        <w:t xml:space="preserve">(3)the Trustee will not be liable with respect to any action it takes or omits to take in good faith in accordance with a direction received by it pursuant to </w:t>
      </w:r>
      <w:r>
        <w:rPr>
          <w:rFonts w:ascii="Times New Roman;serif" w:hAnsi="Times New Roman;serif"/>
          <w:b w:val="false"/>
          <w:color w:val="000000"/>
          <w:sz w:val="24"/>
          <w:u w:val="single"/>
        </w:rPr>
        <w:t>Section 6.04</w:t>
      </w:r>
      <w:r>
        <w:rPr>
          <w:color w:val="000000"/>
        </w:rPr>
        <w:t xml:space="preserve"> </w:t>
      </w:r>
      <w:r>
        <w:rPr>
          <w:rFonts w:ascii="Times New Roman;serif" w:hAnsi="Times New Roman;serif"/>
          <w:b w:val="false"/>
          <w:color w:val="000000"/>
          <w:sz w:val="24"/>
        </w:rPr>
        <w:t>hereof, relating to the time, method and place of conducting any proceeding for any remedy available to the Trustee, or exercising any trust or power conferred upon the Trustee, under this Indenture with respect to the Notes.</w:t>
      </w:r>
    </w:p>
    <w:p>
      <w:pPr>
        <w:pStyle w:val="TextBody"/>
        <w:bidi w:val="0"/>
        <w:spacing w:lineRule="auto" w:line="240" w:before="0" w:after="240"/>
        <w:ind w:left="0" w:right="0" w:firstLine="720"/>
        <w:jc w:val="both"/>
        <w:rPr/>
      </w:pPr>
      <w:r>
        <w:rPr>
          <w:rFonts w:ascii="Times New Roman;serif" w:hAnsi="Times New Roman;serif"/>
          <w:b w:val="false"/>
          <w:color w:val="000000"/>
          <w:sz w:val="24"/>
        </w:rPr>
        <w:t>(d)</w:t>
      </w:r>
      <w:r>
        <w:rPr>
          <w:rFonts w:ascii="Times New Roman;serif" w:hAnsi="Times New Roman;serif"/>
          <w:b w:val="false"/>
          <w:color w:val="000000"/>
          <w:sz w:val="24"/>
        </w:rPr>
        <w:t>No provision of this Indenture will require the Trustee to expend or risk its own funds or incur any liability.</w:t>
      </w:r>
    </w:p>
    <w:p>
      <w:pPr>
        <w:pStyle w:val="TextBody"/>
        <w:bidi w:val="0"/>
        <w:spacing w:lineRule="auto" w:line="240" w:before="0" w:after="240"/>
        <w:ind w:left="0" w:right="0" w:firstLine="720"/>
        <w:jc w:val="both"/>
        <w:rPr/>
      </w:pPr>
      <w:r>
        <w:rPr>
          <w:rFonts w:ascii="Times New Roman;serif" w:hAnsi="Times New Roman;serif"/>
          <w:b w:val="false"/>
          <w:color w:val="000000"/>
          <w:sz w:val="24"/>
        </w:rPr>
        <w:t>(e)</w:t>
      </w:r>
      <w:r>
        <w:rPr>
          <w:rFonts w:ascii="Times New Roman;serif" w:hAnsi="Times New Roman;serif"/>
          <w:b w:val="false"/>
          <w:color w:val="000000"/>
          <w:sz w:val="24"/>
        </w:rPr>
        <w:t>The Trustee will not be liable for interest on or the investment of any money received by it except as the Trustee may agree in writing with the Issuer. Money held in trust by the Trustee need not be segregated from other funds except to the extent required by law.</w:t>
      </w:r>
    </w:p>
    <w:p>
      <w:pPr>
        <w:pStyle w:val="TextBody"/>
        <w:bidi w:val="0"/>
        <w:spacing w:lineRule="auto" w:line="240" w:before="0" w:after="240"/>
        <w:ind w:left="0" w:right="0" w:firstLine="720"/>
        <w:jc w:val="both"/>
        <w:rPr/>
      </w:pPr>
      <w:r>
        <w:rPr>
          <w:rFonts w:ascii="Times New Roman;serif" w:hAnsi="Times New Roman;serif"/>
          <w:b w:val="false"/>
          <w:color w:val="000000"/>
          <w:sz w:val="24"/>
        </w:rPr>
        <w:t>(f)</w:t>
      </w:r>
      <w:r>
        <w:rPr>
          <w:rFonts w:ascii="Times New Roman;serif" w:hAnsi="Times New Roman;serif"/>
          <w:b w:val="false"/>
          <w:color w:val="000000"/>
          <w:sz w:val="24"/>
        </w:rPr>
        <w:t xml:space="preserve">Whether or not therein expressly so provided, every provision of this Indenture that in any way relates to the Trustee is subject to </w:t>
      </w:r>
      <w:r>
        <w:rPr>
          <w:rFonts w:ascii="Times New Roman;serif" w:hAnsi="Times New Roman;serif"/>
          <w:b w:val="false"/>
          <w:color w:val="000000"/>
          <w:sz w:val="24"/>
          <w:u w:val="single"/>
        </w:rPr>
        <w:t>Section 7.01</w:t>
      </w:r>
      <w:r>
        <w:rPr>
          <w:rFonts w:ascii="Times New Roman;serif" w:hAnsi="Times New Roman;serif"/>
          <w:b w:val="false"/>
          <w:color w:val="000000"/>
          <w:sz w:val="24"/>
        </w:rPr>
        <w:t>.</w:t>
      </w:r>
    </w:p>
    <w:p>
      <w:pPr>
        <w:pStyle w:val="TextBody"/>
        <w:bidi w:val="0"/>
        <w:spacing w:lineRule="auto" w:line="240" w:before="0" w:after="240"/>
        <w:jc w:val="left"/>
        <w:rPr/>
      </w:pPr>
      <w:r>
        <w:rPr>
          <w:rFonts w:ascii="Times New Roman;serif" w:hAnsi="Times New Roman;serif"/>
          <w:b w:val="false"/>
          <w:color w:val="000000"/>
          <w:sz w:val="24"/>
        </w:rPr>
        <w:t>Section 7.02</w:t>
      </w:r>
      <w:r>
        <w:rPr>
          <w:rFonts w:ascii="Times New Roman;serif" w:hAnsi="Times New Roman;serif"/>
          <w:b w:val="false"/>
          <w:color w:val="000000"/>
          <w:sz w:val="24"/>
          <w:u w:val="single"/>
        </w:rPr>
        <w:t>Rights of Trustee</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rPr>
        <w:t>The Trustee may conclusively rely and shall be fully protected in acting or refraining from acting upon any resolution, certificate, statement, instrument, opinion, report, notice, request, direction, consent, order, bond, debenture, note, other evidence of indebtedness or other paper or document believed by it to be genuine and to have been signed or presented by the proper Person.</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rPr>
        <w:t>Before the Trustee acts or refrains from acting, it may require an Officer’s Certificate or an Opinion of Counsel or both. The Trustee will not be liable for any action it takes or omits to take in good faith in reliance on such Officer’s Certificate or Opinion of Counsel. The Trustee may consult with counsel of its own selection and the advice of such counsel or any Opinion of Counsel will be full and complete authorization and protection from liability in respect of any action taken, suffered or omitted by it hereunder in good faith and in reliance thereon.</w:t>
      </w:r>
    </w:p>
    <w:p>
      <w:pPr>
        <w:pStyle w:val="TextBody"/>
        <w:bidi w:val="0"/>
        <w:spacing w:lineRule="auto" w:line="240" w:before="0" w:after="240"/>
        <w:ind w:left="0" w:right="0" w:firstLine="720"/>
        <w:jc w:val="both"/>
        <w:rPr/>
      </w:pPr>
      <w:r>
        <w:rPr>
          <w:rFonts w:ascii="Times New Roman;serif" w:hAnsi="Times New Roman;serif"/>
          <w:b w:val="false"/>
          <w:color w:val="000000"/>
          <w:sz w:val="24"/>
        </w:rPr>
        <w:t>(c)</w:t>
      </w:r>
      <w:r>
        <w:rPr>
          <w:rFonts w:ascii="Times New Roman;serif" w:hAnsi="Times New Roman;serif"/>
          <w:b w:val="false"/>
          <w:color w:val="000000"/>
          <w:sz w:val="24"/>
        </w:rPr>
        <w:t>The Trustee may act through its attorneys and agents and will not be responsible for the misconduct, negligence or failure to act or omission to act of any attorney or agent appointed with due care.</w:t>
      </w:r>
    </w:p>
    <w:p>
      <w:pPr>
        <w:pStyle w:val="TextBody"/>
        <w:bidi w:val="0"/>
        <w:spacing w:lineRule="auto" w:line="240" w:before="0" w:after="240"/>
        <w:ind w:left="0" w:right="0" w:firstLine="720"/>
        <w:jc w:val="both"/>
        <w:rPr/>
      </w:pPr>
      <w:r>
        <w:rPr>
          <w:rFonts w:ascii="Times New Roman;serif" w:hAnsi="Times New Roman;serif"/>
          <w:b w:val="false"/>
          <w:color w:val="000000"/>
          <w:sz w:val="24"/>
        </w:rPr>
        <w:t>(d)</w:t>
      </w:r>
      <w:r>
        <w:rPr>
          <w:rFonts w:ascii="Times New Roman;serif" w:hAnsi="Times New Roman;serif"/>
          <w:b w:val="false"/>
          <w:color w:val="000000"/>
          <w:sz w:val="24"/>
        </w:rPr>
        <w:t>The Trustee will not be liable for any action it takes, suffers or omits to take in good faith that it believes to be authorized or within the discretion or rights or powers conferred upon it by this Indenture.</w:t>
      </w:r>
    </w:p>
    <w:p>
      <w:pPr>
        <w:pStyle w:val="TextBody"/>
        <w:bidi w:val="0"/>
        <w:spacing w:lineRule="auto" w:line="240" w:before="0" w:after="240"/>
        <w:ind w:left="0" w:right="0" w:firstLine="720"/>
        <w:jc w:val="both"/>
        <w:rPr/>
      </w:pPr>
      <w:r>
        <w:rPr>
          <w:rFonts w:ascii="Times New Roman;serif" w:hAnsi="Times New Roman;serif"/>
          <w:b w:val="false"/>
          <w:color w:val="000000"/>
          <w:sz w:val="24"/>
        </w:rPr>
        <w:t>(e)</w:t>
      </w:r>
      <w:r>
        <w:rPr>
          <w:rFonts w:ascii="Times New Roman;serif" w:hAnsi="Times New Roman;serif"/>
          <w:b w:val="false"/>
          <w:color w:val="000000"/>
          <w:sz w:val="24"/>
        </w:rPr>
        <w:t xml:space="preserve">In the event the Trustee receives inconsistent or conflicting requests and indemnity from two or more groups of Holders, each representing less than a majority in aggregate principal amount of the Notes then outstanding, pursuant to the provisions of this Indenture, the Trustee, in its sole discretion, may determine what actions, if any, will be taken </w:t>
      </w:r>
    </w:p>
    <w:p>
      <w:pPr>
        <w:pStyle w:val="TextBody"/>
        <w:bidi w:val="0"/>
        <w:spacing w:before="0" w:after="0"/>
        <w:jc w:val="left"/>
        <w:rPr/>
      </w:pPr>
      <w:r>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6480175" cy="768985"/>
                <wp:effectExtent l="0" t="0" r="0" b="0"/>
                <wp:wrapNone/>
                <wp:docPr id="242" name="Frame242"/>
                <a:graphic xmlns:a="http://schemas.openxmlformats.org/drawingml/2006/main">
                  <a:graphicData uri="http://schemas.microsoft.com/office/word/2010/wordprocessingShape">
                    <wps:wsp>
                      <wps:cNvSpPr txBox="1"/>
                      <wps:spPr>
                        <a:xfrm>
                          <a:off x="0" y="0"/>
                          <a:ext cx="6480175" cy="7689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69</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0.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69</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and the Trustee shall be entitled not to take any action until such instructions have been resolved or clarified to its satisfaction and the Trustee shall not be or become liable in any way or person for any failure to comply with any conflicting, unclear or equivocal instructions.</w:t>
      </w:r>
    </w:p>
    <w:p>
      <w:pPr>
        <w:pStyle w:val="TextBody"/>
        <w:bidi w:val="0"/>
        <w:spacing w:lineRule="auto" w:line="240" w:before="0" w:after="240"/>
        <w:ind w:left="0" w:right="0" w:firstLine="720"/>
        <w:jc w:val="both"/>
        <w:rPr/>
      </w:pPr>
      <w:r>
        <w:rPr>
          <w:rFonts w:ascii="Times New Roman;serif" w:hAnsi="Times New Roman;serif"/>
          <w:b w:val="false"/>
          <w:color w:val="000000"/>
          <w:sz w:val="24"/>
        </w:rPr>
        <w:t>(f)</w:t>
      </w:r>
      <w:r>
        <w:rPr>
          <w:rFonts w:ascii="Times New Roman;serif" w:hAnsi="Times New Roman;serif"/>
          <w:b w:val="false"/>
          <w:color w:val="000000"/>
          <w:sz w:val="24"/>
        </w:rPr>
        <w:t>The permissive right of the Trustee to take the actions permitted by this Indenture will not be construed as an obligation or duty to do so.</w:t>
      </w:r>
    </w:p>
    <w:p>
      <w:pPr>
        <w:pStyle w:val="TextBody"/>
        <w:bidi w:val="0"/>
        <w:spacing w:lineRule="auto" w:line="240" w:before="0" w:after="240"/>
        <w:ind w:left="0" w:right="0" w:firstLine="720"/>
        <w:jc w:val="both"/>
        <w:rPr/>
      </w:pPr>
      <w:r>
        <w:rPr>
          <w:rFonts w:ascii="Times New Roman;serif" w:hAnsi="Times New Roman;serif"/>
          <w:b w:val="false"/>
          <w:color w:val="000000"/>
          <w:sz w:val="24"/>
        </w:rPr>
        <w:t>(g)</w:t>
      </w:r>
      <w:r>
        <w:rPr>
          <w:rFonts w:ascii="Times New Roman;serif" w:hAnsi="Times New Roman;serif"/>
          <w:b w:val="false"/>
          <w:color w:val="000000"/>
          <w:sz w:val="24"/>
        </w:rPr>
        <w:t>Unless otherwise specifically provided in this Indenture, any demand, request, direction or notice from the Issuer or any Subsidiary Guarantor, as applicable, will be sufficient if signed by an Officer of the Issuer or such Subsidiary Guarantor, as applicable.</w:t>
      </w:r>
    </w:p>
    <w:p>
      <w:pPr>
        <w:pStyle w:val="TextBody"/>
        <w:bidi w:val="0"/>
        <w:spacing w:lineRule="auto" w:line="240" w:before="0" w:after="240"/>
        <w:ind w:left="0" w:right="0" w:firstLine="720"/>
        <w:jc w:val="both"/>
        <w:rPr/>
      </w:pPr>
      <w:r>
        <w:rPr>
          <w:rFonts w:ascii="Times New Roman;serif" w:hAnsi="Times New Roman;serif"/>
          <w:b w:val="false"/>
          <w:color w:val="000000"/>
          <w:sz w:val="24"/>
        </w:rPr>
        <w:t>(h)</w:t>
      </w:r>
      <w:r>
        <w:rPr>
          <w:rFonts w:ascii="Times New Roman;serif" w:hAnsi="Times New Roman;serif"/>
          <w:b w:val="false"/>
          <w:color w:val="000000"/>
          <w:sz w:val="24"/>
        </w:rPr>
        <w:t>The Trustee will be under no obligation to exercise any of the rights or powers vested in it by this Indenture at the request or direction of any of the Holders unless such Holders have offered to the Trustee indemnity and/or security satisfactory to the Trustee against the losses, liabilities and expenses that might be incurred by the Trustee in compliance with such request or direction.</w:t>
      </w:r>
    </w:p>
    <w:p>
      <w:pPr>
        <w:pStyle w:val="TextBody"/>
        <w:bidi w:val="0"/>
        <w:spacing w:lineRule="auto" w:line="240" w:before="0" w:after="240"/>
        <w:ind w:left="0" w:right="0" w:firstLine="720"/>
        <w:jc w:val="both"/>
        <w:rPr/>
      </w:pPr>
      <w:r>
        <w:rPr>
          <w:rFonts w:ascii="Times New Roman;serif" w:hAnsi="Times New Roman;serif"/>
          <w:b w:val="false"/>
          <w:color w:val="000000"/>
          <w:sz w:val="24"/>
        </w:rPr>
        <w:t>(i)</w:t>
      </w:r>
      <w:r>
        <w:rPr>
          <w:rFonts w:ascii="Times New Roman;serif" w:hAnsi="Times New Roman;serif"/>
          <w:b w:val="false"/>
          <w:color w:val="000000"/>
          <w:sz w:val="24"/>
        </w:rPr>
        <w:t>In no event shall the Trustee be responsible or liable for special, indirect, punitive, or consequential loss or damage of any kind whatsoever (including, but not limited to, loss of profit) irrespective of whether the Trustee has been advised of the likelihood of such loss or damage and regardless of the form of action.</w:t>
      </w:r>
    </w:p>
    <w:p>
      <w:pPr>
        <w:pStyle w:val="TextBody"/>
        <w:bidi w:val="0"/>
        <w:spacing w:lineRule="auto" w:line="240" w:before="0" w:after="240"/>
        <w:ind w:left="0" w:right="0" w:firstLine="720"/>
        <w:jc w:val="both"/>
        <w:rPr/>
      </w:pPr>
      <w:r>
        <w:rPr>
          <w:rFonts w:ascii="Times New Roman;serif" w:hAnsi="Times New Roman;serif"/>
          <w:b w:val="false"/>
          <w:color w:val="000000"/>
          <w:sz w:val="24"/>
        </w:rPr>
        <w:t>(j)</w:t>
      </w:r>
      <w:r>
        <w:rPr>
          <w:rFonts w:ascii="Times New Roman;serif" w:hAnsi="Times New Roman;serif"/>
          <w:b w:val="false"/>
          <w:color w:val="000000"/>
          <w:sz w:val="24"/>
        </w:rPr>
        <w:t>The Trustee shall not be deemed to have notice of any Default or Event of Default unless a Responsible Officer of the Trustee has actual knowledge thereof or unless written notice of any event which is in fact such a default is received by the Trustee at the Corporate Trust Office of the Trustee, and such notice references the Notes and this Indenture.</w:t>
      </w:r>
    </w:p>
    <w:p>
      <w:pPr>
        <w:pStyle w:val="TextBody"/>
        <w:bidi w:val="0"/>
        <w:spacing w:lineRule="auto" w:line="240" w:before="0" w:after="240"/>
        <w:ind w:left="0" w:right="0" w:firstLine="720"/>
        <w:jc w:val="both"/>
        <w:rPr/>
      </w:pPr>
      <w:r>
        <w:rPr>
          <w:rFonts w:ascii="Times New Roman;serif" w:hAnsi="Times New Roman;serif"/>
          <w:b w:val="false"/>
          <w:color w:val="000000"/>
          <w:sz w:val="24"/>
        </w:rPr>
        <w:t>(k)</w:t>
      </w:r>
      <w:r>
        <w:rPr>
          <w:rFonts w:ascii="Times New Roman;serif" w:hAnsi="Times New Roman;serif"/>
          <w:b w:val="false"/>
          <w:color w:val="000000"/>
          <w:sz w:val="24"/>
        </w:rPr>
        <w:t>The rights, privileges, protections, immunities and benefits given to the Trustee, including, without limitation, its right to be indemnified, are extended to, and shall be enforceable by, the Trustee in each of its capacities hereunder as Registrar and Paying Agent, and each Agent, Custodian and other Person employed to act hereunder.</w:t>
      </w:r>
    </w:p>
    <w:p>
      <w:pPr>
        <w:pStyle w:val="TextBody"/>
        <w:bidi w:val="0"/>
        <w:spacing w:lineRule="auto" w:line="240" w:before="0" w:after="240"/>
        <w:ind w:left="0" w:right="0" w:firstLine="720"/>
        <w:jc w:val="both"/>
        <w:rPr/>
      </w:pPr>
      <w:r>
        <w:rPr>
          <w:rFonts w:ascii="Times New Roman;serif" w:hAnsi="Times New Roman;serif"/>
          <w:b w:val="false"/>
          <w:color w:val="000000"/>
          <w:sz w:val="24"/>
        </w:rPr>
        <w:t>(l)</w:t>
      </w:r>
      <w:r>
        <w:rPr>
          <w:rFonts w:ascii="Times New Roman;serif" w:hAnsi="Times New Roman;serif"/>
          <w:b w:val="false"/>
          <w:color w:val="000000"/>
          <w:sz w:val="24"/>
        </w:rPr>
        <w:t>The Trustee may request that the Issuer and each Subsidiary Guarantor deliver an Officer’s Certificate setting forth the names of individuals and/or titles of Officers authorized at such time to take specified actions pursuant to this Indenture, which Officer’s Certificate may be signed by any Person authorized to sign an Officer’s Certificate, including any Person specified as so authorized in any such certificate previously delivered and not superseded.</w:t>
      </w:r>
    </w:p>
    <w:p>
      <w:pPr>
        <w:pStyle w:val="TextBody"/>
        <w:bidi w:val="0"/>
        <w:spacing w:lineRule="auto" w:line="240" w:before="0" w:after="240"/>
        <w:ind w:left="0" w:right="0" w:firstLine="720"/>
        <w:jc w:val="both"/>
        <w:rPr/>
      </w:pPr>
      <w:r>
        <w:rPr>
          <w:rFonts w:ascii="Times New Roman;serif" w:hAnsi="Times New Roman;serif"/>
          <w:b w:val="false"/>
          <w:color w:val="000000"/>
          <w:sz w:val="24"/>
        </w:rPr>
        <w:t>(m)</w:t>
      </w:r>
      <w:r>
        <w:rPr>
          <w:rFonts w:ascii="Times New Roman;serif" w:hAnsi="Times New Roman;serif"/>
          <w:b w:val="false"/>
          <w:color w:val="000000"/>
          <w:sz w:val="24"/>
        </w:rPr>
        <w:t>The Trustee shall not have any obligation or duty to monitor, determine or inquire as to compliance, and shall not be responsible or liable for compliance with restrictions on transfer, exchange, redemption, purchase or repurchase, as applicable, of minimum denominations imposed under this Indenture or under applicable law or regulation with respect to any transfer, exchange, redemption, purchase or repurchase, as applicable, of any interest in any Notes.</w:t>
      </w:r>
    </w:p>
    <w:p>
      <w:pPr>
        <w:pStyle w:val="TextBody"/>
        <w:bidi w:val="0"/>
        <w:spacing w:lineRule="auto" w:line="240" w:before="0" w:after="240"/>
        <w:ind w:left="0" w:right="0" w:firstLine="720"/>
        <w:jc w:val="both"/>
        <w:rPr/>
      </w:pPr>
      <w:r>
        <w:rPr>
          <w:rFonts w:ascii="Times New Roman;serif" w:hAnsi="Times New Roman;serif"/>
          <w:b w:val="false"/>
          <w:color w:val="000000"/>
          <w:sz w:val="24"/>
        </w:rPr>
        <w:t>(n)</w:t>
      </w:r>
      <w:r>
        <w:rPr>
          <w:rFonts w:ascii="Times New Roman;serif" w:hAnsi="Times New Roman;serif"/>
          <w:b w:val="false"/>
          <w:color w:val="000000"/>
          <w:sz w:val="24"/>
        </w:rPr>
        <w:t xml:space="preserve">Notwithstanding any provision herein to the contrary, in no event shall the Trustee be liable for any failure or delay in the performance of its obligations under this Indenture because of circumstances beyond its control, including, but not limited to, nuclear or natural catastrophes or acts of God, flood, war (whether declared or undeclared), terrorism, fire, riot, strikes or work stoppages for any reason, embargo, government action, including any laws, ordinances, regulations or the like which restrict or prohibit the providing of the services contemplated by this Indenture, inability to obtain material, equipment, or communications or computer (software and hardware) facilities, or the failure of equipment or interruption of </w:t>
      </w:r>
    </w:p>
    <w:p>
      <w:pPr>
        <w:pStyle w:val="TextBody"/>
        <w:bidi w:val="0"/>
        <w:spacing w:before="0" w:after="0"/>
        <w:jc w:val="left"/>
        <w:rPr/>
      </w:pPr>
      <w:r>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6480175" cy="768985"/>
                <wp:effectExtent l="0" t="0" r="0" b="0"/>
                <wp:wrapNone/>
                <wp:docPr id="243" name="Frame243"/>
                <a:graphic xmlns:a="http://schemas.openxmlformats.org/drawingml/2006/main">
                  <a:graphicData uri="http://schemas.microsoft.com/office/word/2010/wordprocessingShape">
                    <wps:wsp>
                      <wps:cNvSpPr txBox="1"/>
                      <wps:spPr>
                        <a:xfrm>
                          <a:off x="0" y="0"/>
                          <a:ext cx="6480175" cy="7689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70</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0.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70</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utilities, communications or computer (software and hardware) facilities, and other causes beyond its control whether or not of the same class or kind as specifically named above.</w:t>
      </w:r>
    </w:p>
    <w:p>
      <w:pPr>
        <w:pStyle w:val="TextBody"/>
        <w:bidi w:val="0"/>
        <w:spacing w:lineRule="auto" w:line="240" w:before="0" w:after="240"/>
        <w:ind w:left="0" w:right="0" w:firstLine="720"/>
        <w:jc w:val="both"/>
        <w:rPr/>
      </w:pPr>
      <w:r>
        <w:rPr>
          <w:rFonts w:ascii="Times New Roman;serif" w:hAnsi="Times New Roman;serif"/>
          <w:b w:val="false"/>
          <w:color w:val="000000"/>
          <w:sz w:val="24"/>
        </w:rPr>
        <w:t>(o)</w:t>
      </w:r>
      <w:r>
        <w:rPr>
          <w:rFonts w:ascii="Times New Roman;serif" w:hAnsi="Times New Roman;serif"/>
          <w:b w:val="false"/>
          <w:color w:val="000000"/>
          <w:sz w:val="24"/>
        </w:rPr>
        <w:t>The Trustee shall not be bound to make any investigation into the facts or matters stated in any resolution, certificate, statement, instrument, opinion, report, notice, request, direction, consent, order, bond, debenture, note, other evidence of indebtedness or other paper or document, but the Trustee, in its discretion, may make such further inquiry or investigation into such facts or matters as it may see fit, and, if the Trustee shall determine to make such further inquiry or investigation, it shall be entitled to examine the books, records and premises of the Issuer, personally or by agent or attorney at the sole cost of the Issuer and shall incur no liability or additional liability of any kind by reason of such inquiry or investigation.</w:t>
      </w:r>
    </w:p>
    <w:p>
      <w:pPr>
        <w:pStyle w:val="TextBody"/>
        <w:bidi w:val="0"/>
        <w:spacing w:lineRule="auto" w:line="240" w:before="0" w:after="240"/>
        <w:ind w:left="0" w:right="0" w:firstLine="720"/>
        <w:jc w:val="both"/>
        <w:rPr/>
      </w:pPr>
      <w:r>
        <w:rPr>
          <w:rFonts w:ascii="Times New Roman;serif" w:hAnsi="Times New Roman;serif"/>
          <w:b w:val="false"/>
          <w:color w:val="000000"/>
          <w:sz w:val="24"/>
        </w:rPr>
        <w:t>(p)</w:t>
      </w:r>
      <w:r>
        <w:rPr>
          <w:rFonts w:ascii="Times New Roman;serif" w:hAnsi="Times New Roman;serif"/>
          <w:b w:val="false"/>
          <w:color w:val="000000"/>
          <w:sz w:val="24"/>
        </w:rPr>
        <w:t>The Trustee shall not be required to give any bond or surety in respect of the performance of its powers and duties hereunder.</w:t>
      </w:r>
    </w:p>
    <w:p>
      <w:pPr>
        <w:pStyle w:val="TextBody"/>
        <w:bidi w:val="0"/>
        <w:spacing w:lineRule="auto" w:line="240" w:before="0" w:after="240"/>
        <w:ind w:left="0" w:right="0" w:firstLine="720"/>
        <w:jc w:val="both"/>
        <w:rPr/>
      </w:pPr>
      <w:r>
        <w:rPr>
          <w:rFonts w:ascii="Times New Roman;serif" w:hAnsi="Times New Roman;serif"/>
          <w:b w:val="false"/>
          <w:color w:val="000000"/>
          <w:sz w:val="24"/>
        </w:rPr>
        <w:t>(q)</w:t>
      </w:r>
      <w:r>
        <w:rPr>
          <w:rFonts w:ascii="Times New Roman;serif" w:hAnsi="Times New Roman;serif"/>
          <w:b w:val="false"/>
          <w:color w:val="000000"/>
          <w:sz w:val="24"/>
        </w:rPr>
        <w:t>The Trustee may assume without inquiry in the absence of actual knowledge that the Issuer and each of the Subsidiaries is duly complying with their obligations contained in any Note Document required to be performed and observed by them, and that no Default or Event of Default or other event which would require repayment of the Notes has occurred.</w:t>
      </w:r>
    </w:p>
    <w:p>
      <w:pPr>
        <w:pStyle w:val="TextBody"/>
        <w:bidi w:val="0"/>
        <w:spacing w:lineRule="auto" w:line="240" w:before="0" w:after="240"/>
        <w:ind w:left="0" w:right="0" w:firstLine="720"/>
        <w:jc w:val="both"/>
        <w:rPr/>
      </w:pPr>
      <w:r>
        <w:rPr>
          <w:rFonts w:ascii="Times New Roman;serif" w:hAnsi="Times New Roman;serif"/>
          <w:b w:val="false"/>
          <w:color w:val="000000"/>
          <w:sz w:val="24"/>
        </w:rPr>
        <w:t>(r)</w:t>
      </w:r>
      <w:r>
        <w:rPr>
          <w:rFonts w:ascii="Times New Roman;serif" w:hAnsi="Times New Roman;serif"/>
          <w:b w:val="false"/>
          <w:color w:val="000000"/>
          <w:sz w:val="24"/>
        </w:rPr>
        <w:t>The Trustee shall be under no obligation to effect or maintain insurance or to renew any policies of insurance or to inquire as to the sufficiency of any policies of insurance carried by the Issuer, or to report, or make or file claims or proof of loss for, any loss or damage insured against it that may occur, or to keep itself informed or advised as to the payment of any taxes or assessments, or to require any such payment be made.</w:t>
      </w:r>
    </w:p>
    <w:p>
      <w:pPr>
        <w:pStyle w:val="TextBody"/>
        <w:bidi w:val="0"/>
        <w:spacing w:lineRule="auto" w:line="240" w:before="0" w:after="240"/>
        <w:jc w:val="left"/>
        <w:rPr/>
      </w:pPr>
      <w:r>
        <w:rPr>
          <w:rFonts w:ascii="Times New Roman;serif" w:hAnsi="Times New Roman;serif"/>
          <w:b w:val="false"/>
          <w:color w:val="000000"/>
          <w:sz w:val="24"/>
        </w:rPr>
        <w:t>Section 7.03</w:t>
      </w:r>
      <w:r>
        <w:rPr>
          <w:rFonts w:ascii="Times New Roman;serif" w:hAnsi="Times New Roman;serif"/>
          <w:b w:val="false"/>
          <w:color w:val="000000"/>
          <w:sz w:val="24"/>
          <w:u w:val="single"/>
        </w:rPr>
        <w:t>Individual Rights of Trustee</w:t>
      </w:r>
      <w:r>
        <w:rPr>
          <w:rFonts w:ascii="Times New Roman;serif" w:hAnsi="Times New Roman;serif"/>
          <w:b w:val="false"/>
          <w:color w:val="000000"/>
          <w:sz w:val="24"/>
        </w:rPr>
        <w: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Trustee in its individual or any other capacity, may become the owner or pledgee of Notes and may otherwise deal with either the Issuer or any Subsidiary Guarantor or any Affiliate of the Issuer or any Subsidiary Guarantor with the same rights it would have if it were not Trustee. However, in the event that the Trustee acquires any conflicting interest it must eliminate such conflict within 90 days, apply to the SEC for permission to continue as Trustee (if this Indenture has been qualified under the TIA) or resign. Any Agent may do the same with like rights and duties.</w:t>
      </w:r>
    </w:p>
    <w:p>
      <w:pPr>
        <w:pStyle w:val="TextBody"/>
        <w:bidi w:val="0"/>
        <w:spacing w:lineRule="auto" w:line="240" w:before="0" w:after="240"/>
        <w:jc w:val="left"/>
        <w:rPr/>
      </w:pPr>
      <w:r>
        <w:rPr>
          <w:rFonts w:ascii="Times New Roman;serif" w:hAnsi="Times New Roman;serif"/>
          <w:b w:val="false"/>
          <w:color w:val="000000"/>
          <w:sz w:val="24"/>
        </w:rPr>
        <w:t>Section 7.04</w:t>
      </w:r>
      <w:r>
        <w:rPr>
          <w:rFonts w:ascii="Times New Roman;serif" w:hAnsi="Times New Roman;serif"/>
          <w:b w:val="false"/>
          <w:color w:val="000000"/>
          <w:sz w:val="24"/>
          <w:u w:val="single"/>
        </w:rPr>
        <w:t>Trustee’s Disclaimer</w:t>
      </w:r>
      <w:r>
        <w:rPr>
          <w:rFonts w:ascii="Times New Roman;serif" w:hAnsi="Times New Roman;serif"/>
          <w:b w:val="false"/>
          <w:color w:val="000000"/>
          <w:sz w:val="24"/>
        </w:rPr>
        <w: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Trustee will not be responsible for and makes no representation as to the validity or adequacy of any offering materials, the Note Documents, the Notes or any Subsidiary Guarantee; it shall not be accountable for the Issuer’s use of the proceeds from the Notes or any money paid to the Issuer or upon the Issuer’s direction under any provision of this Indenture; it will not be responsible for the use or application of any money received by any Paying Agent other than the Trustee; and it will not be responsible for any statement or recital herein or any statement in the Notes, any Subsidiary Guarantee or any other document in connection with the sale of the Notes or pursuant to this Indenture other than its certificate of authentication.</w:t>
      </w:r>
    </w:p>
    <w:p>
      <w:pPr>
        <w:pStyle w:val="TextBody"/>
        <w:bidi w:val="0"/>
        <w:spacing w:before="0" w:after="0"/>
        <w:jc w:val="left"/>
        <w:rPr/>
      </w:pPr>
      <w:r>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6480175" cy="768985"/>
                <wp:effectExtent l="0" t="0" r="0" b="0"/>
                <wp:wrapNone/>
                <wp:docPr id="244" name="Frame244"/>
                <a:graphic xmlns:a="http://schemas.openxmlformats.org/drawingml/2006/main">
                  <a:graphicData uri="http://schemas.microsoft.com/office/word/2010/wordprocessingShape">
                    <wps:wsp>
                      <wps:cNvSpPr txBox="1"/>
                      <wps:spPr>
                        <a:xfrm>
                          <a:off x="0" y="0"/>
                          <a:ext cx="6480175" cy="7689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71</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0.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71</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pPr>
      <w:r>
        <w:rPr>
          <w:rFonts w:ascii="Times New Roman;serif" w:hAnsi="Times New Roman;serif"/>
          <w:b w:val="false"/>
          <w:color w:val="000000"/>
          <w:sz w:val="24"/>
        </w:rPr>
        <w:t>Section 7.05</w:t>
      </w:r>
      <w:r>
        <w:rPr>
          <w:rFonts w:ascii="Times New Roman;serif" w:hAnsi="Times New Roman;serif"/>
          <w:b w:val="false"/>
          <w:color w:val="000000"/>
          <w:sz w:val="24"/>
          <w:u w:val="single"/>
        </w:rPr>
        <w:t>Notice of Defaults</w:t>
      </w:r>
      <w:r>
        <w:rPr>
          <w:rFonts w:ascii="Times New Roman;serif" w:hAnsi="Times New Roman;serif"/>
          <w:b w:val="false"/>
          <w:color w:val="000000"/>
          <w:sz w:val="24"/>
        </w:rPr>
        <w: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If a Default or Event of Default occurs and is continuing and if it is known to the Trustee, the Trustee will mail or deliver electronically to Holders a notice of the Default or Event of Default within 90 days after it occurs. Except in the case of a Default or Event of Default in payment of principal of, premium, if any, or interest on, any Note, the Trustee may and shall be protected in withholding the notice if and so long as it in good faith determines that withholding the notice is in the interests of the Holders.</w:t>
      </w:r>
    </w:p>
    <w:p>
      <w:pPr>
        <w:pStyle w:val="TextBody"/>
        <w:bidi w:val="0"/>
        <w:spacing w:lineRule="auto" w:line="288" w:before="0" w:after="240"/>
        <w:jc w:val="left"/>
        <w:rPr/>
      </w:pPr>
      <w:r>
        <w:rPr>
          <w:rFonts w:ascii="Times New Roman;serif" w:hAnsi="Times New Roman;serif"/>
          <w:b w:val="false"/>
          <w:color w:val="000000"/>
          <w:sz w:val="24"/>
        </w:rPr>
        <w:t>Section 7.06</w:t>
      </w:r>
      <w:r>
        <w:rPr>
          <w:rFonts w:ascii="Times New Roman;serif" w:hAnsi="Times New Roman;serif"/>
          <w:b w:val="false"/>
          <w:color w:val="000000"/>
          <w:sz w:val="24"/>
          <w:u w:val="single"/>
        </w:rPr>
        <w:t>Compensation and Indemnity</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rPr>
        <w:t>The Issuer and any Subsidiary Guarantors, jointly and severally, shall pay to the Trustee from time to time reasonable compensation, as agreed in writing from time to time, for its acceptance and administration of this Indenture and services hereunder. The Trustee’s compensation will not be limited by any law on compensation of a Trustee of an express trust. The Issuer and any Subsidiary Guarantors, jointly and severally, shall reimburse the Trustee promptly upon request for all reasonable and documented disbursements, advances and expenses incurred or made by it in addition to the compensation for its services. Such expenses will include the reasonable and documented compensation, disbursements and expenses of the Trustee’s agents and counsel.</w:t>
      </w:r>
    </w:p>
    <w:p>
      <w:pPr>
        <w:pStyle w:val="TextBody"/>
        <w:bidi w:val="0"/>
        <w:spacing w:lineRule="auto" w:line="288"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rPr>
        <w:t xml:space="preserve">The Issuer and any Subsidiary Guarantor, jointly and severally, will indemnify the Trustee and hold it harmless from and against any and all losses, liabilities, claims, damages, costs or expenses incurred by it arising out of or in connection with the acceptance or administration of its duties or the exercise of its rights under this Indenture, each supplemental indenture and any Subsidiary Guarantees, including the reasonable and documented costs and expenses of enforcing this Indenture, each supplemental indenture and any Subsidiary Guarantees against the Issuer and any Subsidiary Guarantors (including this </w:t>
      </w:r>
      <w:r>
        <w:rPr>
          <w:rFonts w:ascii="Times New Roman;serif" w:hAnsi="Times New Roman;serif"/>
          <w:b w:val="false"/>
          <w:color w:val="000000"/>
          <w:sz w:val="24"/>
          <w:u w:val="single"/>
        </w:rPr>
        <w:t>Section 7.06</w:t>
      </w:r>
      <w:r>
        <w:rPr>
          <w:rFonts w:ascii="Times New Roman;serif" w:hAnsi="Times New Roman;serif"/>
          <w:b w:val="false"/>
          <w:color w:val="000000"/>
          <w:sz w:val="24"/>
        </w:rPr>
        <w:t>) and defending itself against any claim (whether asserted by the Issuer, any Subsidiary Guarantors, any Holder or any other Person) or liability in connection with the exercise or performance of any of its powers or duties under this Indenture and each supplemental indenture, except to the extent any such loss, liability or expense may be attributable to its own gross negligence or bad faith or willful misconduct. The Trustee will notify the Issuer promptly of any claim for which it may seek indemnity. Failure by the Trustee to so notify the Issuer will not relieve the Issuer or any Subsidiary Guarantors of their obligations hereunder. The Issuer or any such Subsidiary Guarantor shall defend the claim and the Trustee shall cooperate in the defense. The Trustee may have separate counsel and the Issuer and/or any Subsidiary Guarantors shall pay the reasonable and documented fees and expenses of such counsel. Neither the Issuer nor any Subsidiary Guarantor need pay for any settlement made without its consent, which consent shall not be unreasonably withheld.</w:t>
      </w:r>
    </w:p>
    <w:p>
      <w:pPr>
        <w:pStyle w:val="TextBody"/>
        <w:bidi w:val="0"/>
        <w:spacing w:lineRule="auto" w:line="288" w:before="0" w:after="240"/>
        <w:ind w:left="0" w:right="0" w:firstLine="720"/>
        <w:jc w:val="both"/>
        <w:rPr/>
      </w:pPr>
      <w:r>
        <w:rPr>
          <w:rFonts w:ascii="Times New Roman;serif" w:hAnsi="Times New Roman;serif"/>
          <w:b w:val="false"/>
          <w:color w:val="000000"/>
          <w:sz w:val="24"/>
        </w:rPr>
        <w:t>(c)</w:t>
      </w:r>
      <w:r>
        <w:rPr>
          <w:rFonts w:ascii="Times New Roman;serif" w:hAnsi="Times New Roman;serif"/>
          <w:b w:val="false"/>
          <w:color w:val="000000"/>
          <w:sz w:val="24"/>
        </w:rPr>
        <w:t xml:space="preserve">When the Trustee incurs expenses or renders services after an Event of Default specified in clause (6) of </w:t>
      </w:r>
      <w:r>
        <w:rPr>
          <w:rFonts w:ascii="Times New Roman;serif" w:hAnsi="Times New Roman;serif"/>
          <w:b w:val="false"/>
          <w:color w:val="000000"/>
          <w:sz w:val="24"/>
          <w:u w:val="single"/>
        </w:rPr>
        <w:t>Section 6.01</w:t>
      </w:r>
      <w:r>
        <w:rPr>
          <w:color w:val="000000"/>
        </w:rPr>
        <w:t xml:space="preserve"> </w:t>
      </w:r>
      <w:r>
        <w:rPr>
          <w:rFonts w:ascii="Times New Roman;serif" w:hAnsi="Times New Roman;serif"/>
          <w:b w:val="false"/>
          <w:color w:val="000000"/>
          <w:sz w:val="24"/>
        </w:rPr>
        <w:t>hereof occurs, the expenses and the compensation for the services (including the fees and expenses of its agents and counsel) are intended to constitute expenses of administration under any Bankruptcy Law.</w:t>
      </w:r>
    </w:p>
    <w:p>
      <w:pPr>
        <w:pStyle w:val="TextBody"/>
        <w:bidi w:val="0"/>
        <w:spacing w:before="0" w:after="0"/>
        <w:jc w:val="left"/>
        <w:rPr/>
      </w:pPr>
      <w:r>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6480175" cy="768985"/>
                <wp:effectExtent l="0" t="0" r="0" b="0"/>
                <wp:wrapNone/>
                <wp:docPr id="245" name="Frame245"/>
                <a:graphic xmlns:a="http://schemas.openxmlformats.org/drawingml/2006/main">
                  <a:graphicData uri="http://schemas.microsoft.com/office/word/2010/wordprocessingShape">
                    <wps:wsp>
                      <wps:cNvSpPr txBox="1"/>
                      <wps:spPr>
                        <a:xfrm>
                          <a:off x="0" y="0"/>
                          <a:ext cx="6480175" cy="7689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72</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0.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72</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4"/>
        </w:rPr>
        <w:t>(d)</w:t>
      </w:r>
      <w:r>
        <w:rPr>
          <w:rFonts w:ascii="Times New Roman;serif" w:hAnsi="Times New Roman;serif"/>
          <w:b w:val="false"/>
          <w:color w:val="000000"/>
          <w:sz w:val="24"/>
        </w:rPr>
        <w:t xml:space="preserve">The Issuer’s and Subsidiary Guarantors’ obligations under this </w:t>
      </w:r>
      <w:r>
        <w:rPr>
          <w:rFonts w:ascii="Times New Roman;serif" w:hAnsi="Times New Roman;serif"/>
          <w:b w:val="false"/>
          <w:color w:val="000000"/>
          <w:sz w:val="24"/>
          <w:u w:val="single"/>
        </w:rPr>
        <w:t>Section 7.06</w:t>
      </w:r>
      <w:r>
        <w:rPr>
          <w:color w:val="000000"/>
        </w:rPr>
        <w:t xml:space="preserve"> </w:t>
      </w:r>
      <w:r>
        <w:rPr>
          <w:rFonts w:ascii="Times New Roman;serif" w:hAnsi="Times New Roman;serif"/>
          <w:b w:val="false"/>
          <w:color w:val="000000"/>
          <w:sz w:val="24"/>
        </w:rPr>
        <w:t>shall survive the resignation or removal of the Trustee, the satisfaction and discharge of this Indenture with respect to any Notes, the complete satisfaction and discharge of this Indenture, any termination of this Indenture or any supplemental indenture, including any termination or rejection of this Indenture or any supplemental indenture in any insolvency or similar proceeding, and the repayment of all the Notes.</w:t>
      </w:r>
    </w:p>
    <w:p>
      <w:pPr>
        <w:pStyle w:val="TextBody"/>
        <w:bidi w:val="0"/>
        <w:spacing w:lineRule="auto" w:line="288" w:before="0" w:after="240"/>
        <w:jc w:val="left"/>
        <w:rPr/>
      </w:pPr>
      <w:r>
        <w:rPr>
          <w:rFonts w:ascii="Times New Roman;serif" w:hAnsi="Times New Roman;serif"/>
          <w:b w:val="false"/>
          <w:color w:val="000000"/>
          <w:sz w:val="24"/>
        </w:rPr>
        <w:t>Section 7.07</w:t>
      </w:r>
      <w:r>
        <w:rPr>
          <w:rFonts w:ascii="Times New Roman;serif" w:hAnsi="Times New Roman;serif"/>
          <w:b w:val="false"/>
          <w:color w:val="000000"/>
          <w:sz w:val="24"/>
          <w:u w:val="single"/>
        </w:rPr>
        <w:t>Replacement of Trustee</w:t>
      </w:r>
      <w:r>
        <w:rPr>
          <w:rFonts w:ascii="Times New Roman;serif" w:hAnsi="Times New Roman;serif"/>
          <w:b w:val="false"/>
          <w:color w:val="000000"/>
          <w:sz w:val="24"/>
        </w:rPr>
        <w:t xml:space="preserve">. </w:t>
      </w:r>
    </w:p>
    <w:p>
      <w:pPr>
        <w:pStyle w:val="TextBody"/>
        <w:bidi w:val="0"/>
        <w:spacing w:lineRule="auto" w:line="288"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rPr>
        <w:t xml:space="preserve">A resignation or removal of the Trustee and appointment of a successor Trustee will become effective only upon the successor Trustee’s acceptance of appointment as provided in this </w:t>
      </w:r>
      <w:r>
        <w:rPr>
          <w:rFonts w:ascii="Times New Roman;serif" w:hAnsi="Times New Roman;serif"/>
          <w:b w:val="false"/>
          <w:color w:val="000000"/>
          <w:sz w:val="24"/>
          <w:u w:val="single"/>
        </w:rPr>
        <w:t>Section 7.07</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rPr>
        <w:t>The Trustee may resign at any time, with respect to the Notes, and be discharged from the trust hereby created by so notifying the Issuer in writing. The Holders of a majority in aggregate principal amount of the then outstanding Notes may remove the Trustee by so notifying the Trustee and the Issuer in writing not less than 30 days prior to the effective date of such removal. The Issuer may remove the Trustee with respect to the Notes if:</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(1)the Trustee fails to comply with </w:t>
      </w:r>
      <w:r>
        <w:rPr>
          <w:rFonts w:ascii="Times New Roman;serif" w:hAnsi="Times New Roman;serif"/>
          <w:b w:val="false"/>
          <w:color w:val="000000"/>
          <w:sz w:val="24"/>
          <w:u w:val="single"/>
        </w:rPr>
        <w:t>Section 7.09</w:t>
      </w:r>
      <w:r>
        <w:rPr>
          <w:color w:val="000000"/>
        </w:rPr>
        <w:t xml:space="preserve"> </w:t>
      </w:r>
      <w:r>
        <w:rPr>
          <w:rFonts w:ascii="Times New Roman;serif" w:hAnsi="Times New Roman;serif"/>
          <w:b w:val="false"/>
          <w:color w:val="000000"/>
          <w:sz w:val="24"/>
        </w:rPr>
        <w:t>hereof;</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(2)the Trustee is adjudged a bankrupt or an insolvent or an order for relief is entered with respect to the Trustee under any Bankruptcy Law;</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(3)a custodian or public officer takes charge of the Trustee or its property; or</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(4)the Trustee becomes incapable of acting.</w:t>
      </w:r>
    </w:p>
    <w:p>
      <w:pPr>
        <w:pStyle w:val="TextBody"/>
        <w:bidi w:val="0"/>
        <w:spacing w:lineRule="auto" w:line="288" w:before="0" w:after="240"/>
        <w:ind w:left="0" w:right="0" w:firstLine="720"/>
        <w:jc w:val="both"/>
        <w:rPr/>
      </w:pPr>
      <w:r>
        <w:rPr>
          <w:rFonts w:ascii="Times New Roman;serif" w:hAnsi="Times New Roman;serif"/>
          <w:b w:val="false"/>
          <w:color w:val="000000"/>
          <w:sz w:val="24"/>
        </w:rPr>
        <w:t>(c)</w:t>
      </w:r>
      <w:r>
        <w:rPr>
          <w:rFonts w:ascii="Times New Roman;serif" w:hAnsi="Times New Roman;serif"/>
          <w:b w:val="false"/>
          <w:color w:val="000000"/>
          <w:sz w:val="24"/>
        </w:rPr>
        <w:t>If the Trustee resigns or is removed or if a vacancy exists in the office of Trustee with respect to Notes for any reason, the Issuer will promptly appoint a successor Trustee. Within one year after the successor Trustee takes office, the Holders of a majority in aggregate principal amount of the then outstanding Notes may appoint a successor Trustee to replace the successor Trustee appointed by the Issuer.</w:t>
      </w:r>
    </w:p>
    <w:p>
      <w:pPr>
        <w:pStyle w:val="TextBody"/>
        <w:bidi w:val="0"/>
        <w:spacing w:lineRule="auto" w:line="288" w:before="0" w:after="240"/>
        <w:ind w:left="0" w:right="0" w:firstLine="720"/>
        <w:jc w:val="both"/>
        <w:rPr/>
      </w:pPr>
      <w:r>
        <w:rPr>
          <w:rFonts w:ascii="Times New Roman;serif" w:hAnsi="Times New Roman;serif"/>
          <w:b w:val="false"/>
          <w:color w:val="000000"/>
          <w:sz w:val="24"/>
        </w:rPr>
        <w:t>(d)</w:t>
      </w:r>
      <w:r>
        <w:rPr>
          <w:rFonts w:ascii="Times New Roman;serif" w:hAnsi="Times New Roman;serif"/>
          <w:b w:val="false"/>
          <w:color w:val="000000"/>
          <w:sz w:val="24"/>
        </w:rPr>
        <w:t>If a successor Trustee with respect to the Notes does not take office within 30 days after the retiring Trustee resigns or is removed, the retiring or removed Trustee, the Issuer, or the Holders of at least 10% in aggregate principal amount of the then outstanding Notes may, at the expense of the Issuer, petition any court of competent jurisdiction for the appointment of a successor Trustee.</w:t>
      </w:r>
    </w:p>
    <w:p>
      <w:pPr>
        <w:pStyle w:val="TextBody"/>
        <w:bidi w:val="0"/>
        <w:spacing w:lineRule="auto" w:line="288" w:before="0" w:after="240"/>
        <w:ind w:left="0" w:right="0" w:firstLine="720"/>
        <w:jc w:val="both"/>
        <w:rPr/>
      </w:pPr>
      <w:r>
        <w:rPr>
          <w:rFonts w:ascii="Times New Roman;serif" w:hAnsi="Times New Roman;serif"/>
          <w:b w:val="false"/>
          <w:color w:val="000000"/>
          <w:sz w:val="24"/>
        </w:rPr>
        <w:t>(e)</w:t>
      </w:r>
      <w:r>
        <w:rPr>
          <w:rFonts w:ascii="Times New Roman;serif" w:hAnsi="Times New Roman;serif"/>
          <w:b w:val="false"/>
          <w:color w:val="000000"/>
          <w:sz w:val="24"/>
        </w:rPr>
        <w:t xml:space="preserve">If the Trustee, after written request by any Holder who has been a Holder for at least six months, fails to comply with </w:t>
      </w:r>
      <w:r>
        <w:rPr>
          <w:rFonts w:ascii="Times New Roman;serif" w:hAnsi="Times New Roman;serif"/>
          <w:b w:val="false"/>
          <w:color w:val="000000"/>
          <w:sz w:val="24"/>
          <w:u w:val="single"/>
        </w:rPr>
        <w:t>Section 7.09</w:t>
      </w:r>
      <w:r>
        <w:rPr>
          <w:color w:val="000000"/>
        </w:rPr>
        <w:t xml:space="preserve"> </w:t>
      </w:r>
      <w:r>
        <w:rPr>
          <w:rFonts w:ascii="Times New Roman;serif" w:hAnsi="Times New Roman;serif"/>
          <w:b w:val="false"/>
          <w:color w:val="000000"/>
          <w:sz w:val="24"/>
        </w:rPr>
        <w:t>hereof, such Holder may petition at the expense of the Issuer any court of competent jurisdiction for the removal of the Trustee and the appointment of a successor Trustee.</w:t>
      </w:r>
    </w:p>
    <w:p>
      <w:pPr>
        <w:pStyle w:val="TextBody"/>
        <w:bidi w:val="0"/>
        <w:spacing w:before="0" w:after="0"/>
        <w:jc w:val="left"/>
        <w:rPr/>
      </w:pPr>
      <w:r>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6480175" cy="768985"/>
                <wp:effectExtent l="0" t="0" r="0" b="0"/>
                <wp:wrapNone/>
                <wp:docPr id="246" name="Frame246"/>
                <a:graphic xmlns:a="http://schemas.openxmlformats.org/drawingml/2006/main">
                  <a:graphicData uri="http://schemas.microsoft.com/office/word/2010/wordprocessingShape">
                    <wps:wsp>
                      <wps:cNvSpPr txBox="1"/>
                      <wps:spPr>
                        <a:xfrm>
                          <a:off x="0" y="0"/>
                          <a:ext cx="6480175" cy="7689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73</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0.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73</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4"/>
        </w:rPr>
        <w:t>(f)</w:t>
      </w:r>
      <w:r>
        <w:rPr>
          <w:rFonts w:ascii="Times New Roman;serif" w:hAnsi="Times New Roman;serif"/>
          <w:b w:val="false"/>
          <w:color w:val="000000"/>
          <w:sz w:val="24"/>
        </w:rPr>
        <w:t xml:space="preserve">A successor Trustee will deliver a written acceptance of its appointment to the retiring Trustee and to the Issuer. Thereupon, the resignation or removal of the retiring Trustee will become effective, and the successor Trustee will have all the rights, powers and duties of the Trustee for which it is acting as Trustee under this Indenture. The successor Trustee will mail or deliver electronically a notice of its succession to Holders. The retiring Trustee will promptly transfer all property held by it as Trustee to the successor Trustee; </w:t>
      </w:r>
      <w:r>
        <w:rPr>
          <w:rFonts w:ascii="Times New Roman;serif" w:hAnsi="Times New Roman;serif"/>
          <w:b w:val="false"/>
          <w:i/>
          <w:color w:val="000000"/>
          <w:sz w:val="24"/>
        </w:rPr>
        <w:t>provided that</w:t>
      </w:r>
      <w:r>
        <w:rPr>
          <w:color w:val="000000"/>
        </w:rPr>
        <w:t xml:space="preserve"> </w:t>
      </w:r>
      <w:r>
        <w:rPr>
          <w:rFonts w:ascii="Times New Roman;serif" w:hAnsi="Times New Roman;serif"/>
          <w:b w:val="false"/>
          <w:color w:val="000000"/>
          <w:sz w:val="24"/>
        </w:rPr>
        <w:t>all sums owing to the Trustee hereunder have been paid.</w:t>
      </w:r>
    </w:p>
    <w:p>
      <w:pPr>
        <w:pStyle w:val="TextBody"/>
        <w:bidi w:val="0"/>
        <w:spacing w:lineRule="auto" w:line="240" w:before="0" w:after="240"/>
        <w:ind w:left="0" w:right="0" w:firstLine="720"/>
        <w:jc w:val="both"/>
        <w:rPr/>
      </w:pPr>
      <w:r>
        <w:rPr>
          <w:rFonts w:ascii="Times New Roman;serif" w:hAnsi="Times New Roman;serif"/>
          <w:b w:val="false"/>
          <w:color w:val="000000"/>
          <w:sz w:val="24"/>
        </w:rPr>
        <w:t>(g)</w:t>
      </w:r>
      <w:r>
        <w:rPr>
          <w:rFonts w:ascii="Times New Roman;serif" w:hAnsi="Times New Roman;serif"/>
          <w:b w:val="false"/>
          <w:color w:val="000000"/>
          <w:sz w:val="24"/>
        </w:rPr>
        <w:t>The retiring Trustee shall have no responsibility or liability for any action or inaction of a successor Trustee.</w:t>
      </w:r>
    </w:p>
    <w:p>
      <w:pPr>
        <w:pStyle w:val="TextBody"/>
        <w:bidi w:val="0"/>
        <w:spacing w:lineRule="auto" w:line="240" w:before="0" w:after="240"/>
        <w:jc w:val="left"/>
        <w:rPr/>
      </w:pPr>
      <w:r>
        <w:rPr>
          <w:rFonts w:ascii="Times New Roman;serif" w:hAnsi="Times New Roman;serif"/>
          <w:b w:val="false"/>
          <w:color w:val="000000"/>
          <w:sz w:val="24"/>
        </w:rPr>
        <w:t>Section 7.08</w:t>
      </w:r>
      <w:r>
        <w:rPr>
          <w:rFonts w:ascii="Times New Roman;serif" w:hAnsi="Times New Roman;serif"/>
          <w:b w:val="false"/>
          <w:color w:val="000000"/>
          <w:sz w:val="24"/>
          <w:u w:val="single"/>
        </w:rPr>
        <w:t>Successor Trustee by Merger, etc.</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If the Trustee consolidates, merges or converts into, or transfers all or substantially all of its corporate trust business (including this transaction) to, another corporation, the successor corporation without any further act will be the successor Trustee.</w:t>
      </w:r>
    </w:p>
    <w:p>
      <w:pPr>
        <w:pStyle w:val="TextBody"/>
        <w:bidi w:val="0"/>
        <w:spacing w:lineRule="auto" w:line="240" w:before="0" w:after="240"/>
        <w:jc w:val="left"/>
        <w:rPr/>
      </w:pPr>
      <w:r>
        <w:rPr>
          <w:rFonts w:ascii="Times New Roman;serif" w:hAnsi="Times New Roman;serif"/>
          <w:b w:val="false"/>
          <w:color w:val="000000"/>
          <w:sz w:val="24"/>
        </w:rPr>
        <w:t>Section 7.09</w:t>
      </w:r>
      <w:r>
        <w:rPr>
          <w:rFonts w:ascii="Times New Roman;serif" w:hAnsi="Times New Roman;serif"/>
          <w:b w:val="false"/>
          <w:color w:val="000000"/>
          <w:sz w:val="24"/>
          <w:u w:val="single"/>
        </w:rPr>
        <w:t>Eligibility; Disqualification</w:t>
      </w:r>
      <w:r>
        <w:rPr>
          <w:rFonts w:ascii="Times New Roman;serif" w:hAnsi="Times New Roman;serif"/>
          <w:b w:val="false"/>
          <w:color w:val="000000"/>
          <w:sz w:val="24"/>
        </w:rPr>
        <w:t xml:space="preserve">. </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There will at all times be a Trustee hereunder that is an entity organized and doing business under the laws of the United States of America or of any state thereof that is authorized under such laws to exercise corporate trust powers, that is subject to supervision or examination by federal or state authorities and that has a combined capital and surplus of at least $50.0 million as set forth in its most recent published annual report of condition.</w:t>
      </w:r>
    </w:p>
    <w:p>
      <w:pPr>
        <w:pStyle w:val="TextBody"/>
        <w:bidi w:val="0"/>
        <w:spacing w:lineRule="auto" w:line="240" w:before="0" w:after="240"/>
        <w:jc w:val="center"/>
        <w:rPr/>
      </w:pPr>
      <w:r>
        <w:rPr>
          <w:rFonts w:ascii="Times New Roman;serif" w:hAnsi="Times New Roman;serif"/>
          <w:b w:val="false"/>
          <w:color w:val="000000"/>
          <w:sz w:val="24"/>
        </w:rPr>
        <w:t>Article 8</w:t>
      </w:r>
      <w:r>
        <w:rPr>
          <w:rFonts w:ascii="Times New Roman;serif" w:hAnsi="Times New Roman;serif"/>
          <w:b w:val="false"/>
          <w:color w:val="000000"/>
          <w:sz w:val="24"/>
        </w:rPr>
        <w:br/>
        <w:t>LEGAL DEFEASANCE AND COVENANT DEFEASANCE</w:t>
      </w:r>
    </w:p>
    <w:p>
      <w:pPr>
        <w:pStyle w:val="TextBody"/>
        <w:bidi w:val="0"/>
        <w:spacing w:lineRule="auto" w:line="240" w:before="0" w:after="240"/>
        <w:jc w:val="left"/>
        <w:rPr/>
      </w:pPr>
      <w:r>
        <w:rPr>
          <w:rFonts w:ascii="Times New Roman;serif" w:hAnsi="Times New Roman;serif"/>
          <w:b w:val="false"/>
          <w:color w:val="000000"/>
          <w:sz w:val="24"/>
        </w:rPr>
        <w:t>Section 8.01</w:t>
      </w:r>
      <w:r>
        <w:rPr>
          <w:rFonts w:ascii="Times New Roman;serif" w:hAnsi="Times New Roman;serif"/>
          <w:b w:val="false"/>
          <w:color w:val="000000"/>
          <w:sz w:val="24"/>
          <w:u w:val="single"/>
        </w:rPr>
        <w:t>Option to Effect Legal Defeasance or Covenant Defeasance</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The Issuer may, at its option evidenced by a resolution of its Board of Directors set forth in an Officer’s Certificate, at any time, elect to have either </w:t>
      </w:r>
      <w:r>
        <w:rPr>
          <w:rFonts w:ascii="Times New Roman;serif" w:hAnsi="Times New Roman;serif"/>
          <w:b w:val="false"/>
          <w:color w:val="000000"/>
          <w:sz w:val="24"/>
          <w:u w:val="single"/>
        </w:rPr>
        <w:t>Section 8.02</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Section 8.03</w:t>
      </w:r>
      <w:r>
        <w:rPr>
          <w:color w:val="000000"/>
        </w:rPr>
        <w:t xml:space="preserve"> </w:t>
      </w:r>
      <w:r>
        <w:rPr>
          <w:rFonts w:ascii="Times New Roman;serif" w:hAnsi="Times New Roman;serif"/>
          <w:b w:val="false"/>
          <w:color w:val="000000"/>
          <w:sz w:val="24"/>
        </w:rPr>
        <w:t xml:space="preserve">hereof be applied to the Note Documents upon compliance with the conditions set forth below in this </w:t>
      </w:r>
      <w:r>
        <w:rPr>
          <w:rFonts w:ascii="Times New Roman;serif" w:hAnsi="Times New Roman;serif"/>
          <w:b w:val="false"/>
          <w:color w:val="000000"/>
          <w:sz w:val="24"/>
          <w:u w:val="single"/>
        </w:rPr>
        <w:t>Article 8</w:t>
      </w:r>
      <w:r>
        <w:rPr>
          <w:rFonts w:ascii="Times New Roman;serif" w:hAnsi="Times New Roman;serif"/>
          <w:b w:val="false"/>
          <w:color w:val="000000"/>
          <w:sz w:val="24"/>
        </w:rPr>
        <w:t>.</w:t>
      </w:r>
    </w:p>
    <w:p>
      <w:pPr>
        <w:pStyle w:val="TextBody"/>
        <w:bidi w:val="0"/>
        <w:spacing w:lineRule="auto" w:line="240" w:before="0" w:after="240"/>
        <w:jc w:val="left"/>
        <w:rPr/>
      </w:pPr>
      <w:r>
        <w:rPr>
          <w:rFonts w:ascii="Times New Roman;serif" w:hAnsi="Times New Roman;serif"/>
          <w:b w:val="false"/>
          <w:color w:val="000000"/>
          <w:sz w:val="24"/>
        </w:rPr>
        <w:t>Section 8.02</w:t>
      </w:r>
      <w:r>
        <w:rPr>
          <w:rFonts w:ascii="Times New Roman;serif" w:hAnsi="Times New Roman;serif"/>
          <w:b w:val="false"/>
          <w:color w:val="000000"/>
          <w:sz w:val="24"/>
          <w:u w:val="single"/>
        </w:rPr>
        <w:t>Legal Defeasance</w:t>
      </w:r>
      <w:r>
        <w:rPr>
          <w:rFonts w:ascii="Times New Roman;serif" w:hAnsi="Times New Roman;serif"/>
          <w:b w:val="false"/>
          <w:color w:val="000000"/>
          <w:sz w:val="24"/>
        </w:rPr>
        <w:t>.</w:t>
      </w:r>
    </w:p>
    <w:p>
      <w:pPr>
        <w:pStyle w:val="TextBody"/>
        <w:bidi w:val="0"/>
        <w:spacing w:lineRule="auto" w:line="300" w:before="0" w:after="240"/>
        <w:ind w:left="0" w:right="0" w:firstLine="720"/>
        <w:jc w:val="both"/>
        <w:rPr/>
      </w:pPr>
      <w:r>
        <w:rPr>
          <w:rFonts w:ascii="Times New Roman;serif" w:hAnsi="Times New Roman;serif"/>
          <w:b w:val="false"/>
          <w:color w:val="000000"/>
          <w:sz w:val="24"/>
        </w:rPr>
        <w:t xml:space="preserve">Upon the Issuer’s exercise under </w:t>
      </w:r>
      <w:r>
        <w:rPr>
          <w:rFonts w:ascii="Times New Roman;serif" w:hAnsi="Times New Roman;serif"/>
          <w:b w:val="false"/>
          <w:color w:val="000000"/>
          <w:sz w:val="24"/>
          <w:u w:val="single"/>
        </w:rPr>
        <w:t>Section 8.01</w:t>
      </w:r>
      <w:r>
        <w:rPr>
          <w:color w:val="000000"/>
        </w:rPr>
        <w:t xml:space="preserve"> </w:t>
      </w:r>
      <w:r>
        <w:rPr>
          <w:rFonts w:ascii="Times New Roman;serif" w:hAnsi="Times New Roman;serif"/>
          <w:b w:val="false"/>
          <w:color w:val="000000"/>
          <w:sz w:val="24"/>
        </w:rPr>
        <w:t xml:space="preserve">hereof of the option applicable to this </w:t>
      </w:r>
      <w:r>
        <w:rPr>
          <w:rFonts w:ascii="Times New Roman;serif" w:hAnsi="Times New Roman;serif"/>
          <w:b w:val="false"/>
          <w:color w:val="000000"/>
          <w:sz w:val="24"/>
          <w:u w:val="single"/>
        </w:rPr>
        <w:t>Section 8.02</w:t>
      </w:r>
      <w:r>
        <w:rPr>
          <w:rFonts w:ascii="Times New Roman;serif" w:hAnsi="Times New Roman;serif"/>
          <w:b w:val="false"/>
          <w:color w:val="000000"/>
          <w:sz w:val="24"/>
        </w:rPr>
        <w:t xml:space="preserve">, the Issuer and each of the Subsidiary Guarantors shall, subject to the satisfaction of the conditions set forth in </w:t>
      </w:r>
      <w:r>
        <w:rPr>
          <w:rFonts w:ascii="Times New Roman;serif" w:hAnsi="Times New Roman;serif"/>
          <w:b w:val="false"/>
          <w:color w:val="000000"/>
          <w:sz w:val="24"/>
          <w:u w:val="single"/>
        </w:rPr>
        <w:t>Section 8.04</w:t>
      </w:r>
      <w:r>
        <w:rPr>
          <w:color w:val="000000"/>
        </w:rPr>
        <w:t xml:space="preserve"> </w:t>
      </w:r>
      <w:r>
        <w:rPr>
          <w:rFonts w:ascii="Times New Roman;serif" w:hAnsi="Times New Roman;serif"/>
          <w:b w:val="false"/>
          <w:color w:val="000000"/>
          <w:sz w:val="24"/>
        </w:rPr>
        <w:t xml:space="preserve">hereof, be deemed to have been discharged from their obligations with respect to the Note Documents (including the Subsidiary Guarantees) on the date the conditions set forth in </w:t>
      </w:r>
      <w:r>
        <w:rPr>
          <w:rFonts w:ascii="Times New Roman;serif" w:hAnsi="Times New Roman;serif"/>
          <w:b w:val="false"/>
          <w:color w:val="000000"/>
          <w:sz w:val="24"/>
          <w:u w:val="single"/>
        </w:rPr>
        <w:t>Section 8.04</w:t>
      </w:r>
      <w:r>
        <w:rPr>
          <w:color w:val="000000"/>
        </w:rPr>
        <w:t xml:space="preserve"> </w:t>
      </w:r>
      <w:r>
        <w:rPr>
          <w:rFonts w:ascii="Times New Roman;serif" w:hAnsi="Times New Roman;serif"/>
          <w:b w:val="false"/>
          <w:color w:val="000000"/>
          <w:sz w:val="24"/>
        </w:rPr>
        <w:t>hereof are satisfied (hereinafter, “</w:t>
      </w:r>
      <w:r>
        <w:rPr>
          <w:rFonts w:ascii="Times New Roman;serif" w:hAnsi="Times New Roman;serif"/>
          <w:b w:val="false"/>
          <w:i/>
          <w:color w:val="000000"/>
          <w:sz w:val="24"/>
        </w:rPr>
        <w:t>Legal Defeasance</w:t>
      </w:r>
      <w:r>
        <w:rPr>
          <w:color w:val="000000"/>
        </w:rPr>
        <w:t>”</w:t>
      </w:r>
      <w:r>
        <w:rPr>
          <w:rFonts w:ascii="Times New Roman;serif" w:hAnsi="Times New Roman;serif"/>
          <w:b w:val="false"/>
          <w:color w:val="000000"/>
          <w:sz w:val="24"/>
        </w:rPr>
        <w:t xml:space="preserve">). For this purpose, Legal Defeasance means that the Issuer and any Subsidiary Guarantors shall be deemed to have paid and discharged the entire Indebtedness represented by the Notes (including any Subsidiary Guarantees with respect to the Notes), which will thereafter be deemed to be “outstanding” only for the purposes of </w:t>
      </w:r>
      <w:r>
        <w:rPr>
          <w:rFonts w:ascii="Times New Roman;serif" w:hAnsi="Times New Roman;serif"/>
          <w:b w:val="false"/>
          <w:color w:val="000000"/>
          <w:sz w:val="24"/>
          <w:u w:val="single"/>
        </w:rPr>
        <w:t>Section 8.05</w:t>
      </w:r>
      <w:r>
        <w:rPr>
          <w:color w:val="000000"/>
        </w:rPr>
        <w:t xml:space="preserve"> </w:t>
      </w:r>
      <w:r>
        <w:rPr>
          <w:rFonts w:ascii="Times New Roman;serif" w:hAnsi="Times New Roman;serif"/>
          <w:b w:val="false"/>
          <w:color w:val="000000"/>
          <w:sz w:val="24"/>
        </w:rPr>
        <w:t xml:space="preserve">hereof and the other Sections hereof referred to in clauses (1) and (2) below, and to have satisfied all their other </w:t>
      </w:r>
    </w:p>
    <w:p>
      <w:pPr>
        <w:pStyle w:val="TextBody"/>
        <w:bidi w:val="0"/>
        <w:spacing w:before="0" w:after="0"/>
        <w:jc w:val="left"/>
        <w:rPr/>
      </w:pPr>
      <w:r>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6480175" cy="768985"/>
                <wp:effectExtent l="0" t="0" r="0" b="0"/>
                <wp:wrapNone/>
                <wp:docPr id="247" name="Frame247"/>
                <a:graphic xmlns:a="http://schemas.openxmlformats.org/drawingml/2006/main">
                  <a:graphicData uri="http://schemas.microsoft.com/office/word/2010/wordprocessingShape">
                    <wps:wsp>
                      <wps:cNvSpPr txBox="1"/>
                      <wps:spPr>
                        <a:xfrm>
                          <a:off x="0" y="0"/>
                          <a:ext cx="6480175" cy="7689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74</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0.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74</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300" w:before="0" w:after="240"/>
        <w:jc w:val="both"/>
        <w:rPr>
          <w:rFonts w:ascii="Times New Roman;serif" w:hAnsi="Times New Roman;serif"/>
          <w:b w:val="false"/>
          <w:color w:val="000000"/>
          <w:sz w:val="24"/>
        </w:rPr>
      </w:pPr>
      <w:r>
        <w:rPr>
          <w:rFonts w:ascii="Times New Roman;serif" w:hAnsi="Times New Roman;serif"/>
          <w:b w:val="false"/>
          <w:color w:val="000000"/>
          <w:sz w:val="24"/>
        </w:rPr>
        <w:t>obligations under the applicable Note Documents (and the Trustee, on demand of and at the expense of the Issuer, shall execute proper instruments acknowledging the same), except for the following provisions which will survive until otherwise terminated or discharged hereunder:</w:t>
      </w:r>
    </w:p>
    <w:p>
      <w:pPr>
        <w:pStyle w:val="TextBody"/>
        <w:bidi w:val="0"/>
        <w:spacing w:lineRule="auto" w:line="300" w:before="0" w:after="240"/>
        <w:ind w:left="0" w:right="0" w:firstLine="720"/>
        <w:jc w:val="both"/>
        <w:rPr/>
      </w:pPr>
      <w:r>
        <w:rPr>
          <w:rFonts w:ascii="Times New Roman;serif" w:hAnsi="Times New Roman;serif"/>
          <w:b w:val="false"/>
          <w:color w:val="000000"/>
          <w:sz w:val="24"/>
        </w:rPr>
        <w:t xml:space="preserve">(1)the rights of Holders of such Notes that are then outstanding to receive payments in respect of the principal of, or interest or premium on, such Notes when such payments are due from the trust referred to in </w:t>
      </w:r>
      <w:r>
        <w:rPr>
          <w:rFonts w:ascii="Times New Roman;serif" w:hAnsi="Times New Roman;serif"/>
          <w:b w:val="false"/>
          <w:color w:val="000000"/>
          <w:sz w:val="24"/>
          <w:u w:val="single"/>
        </w:rPr>
        <w:t>Section 8.04</w:t>
      </w:r>
      <w:r>
        <w:rPr>
          <w:color w:val="000000"/>
        </w:rPr>
        <w:t xml:space="preserve"> </w:t>
      </w:r>
      <w:r>
        <w:rPr>
          <w:rFonts w:ascii="Times New Roman;serif" w:hAnsi="Times New Roman;serif"/>
          <w:b w:val="false"/>
          <w:color w:val="000000"/>
          <w:sz w:val="24"/>
        </w:rPr>
        <w:t>hereof;</w:t>
      </w:r>
    </w:p>
    <w:p>
      <w:pPr>
        <w:pStyle w:val="TextBody"/>
        <w:bidi w:val="0"/>
        <w:spacing w:lineRule="auto" w:line="300" w:before="0" w:after="240"/>
        <w:ind w:left="0" w:right="0" w:firstLine="720"/>
        <w:jc w:val="both"/>
        <w:rPr/>
      </w:pPr>
      <w:r>
        <w:rPr>
          <w:rFonts w:ascii="Times New Roman;serif" w:hAnsi="Times New Roman;serif"/>
          <w:b w:val="false"/>
          <w:color w:val="000000"/>
          <w:sz w:val="24"/>
        </w:rPr>
        <w:t xml:space="preserve">(2)the Issuer’s Obligations with respect to such Notes under </w:t>
      </w:r>
      <w:r>
        <w:rPr>
          <w:rFonts w:ascii="Times New Roman;serif" w:hAnsi="Times New Roman;serif"/>
          <w:b w:val="false"/>
          <w:color w:val="000000"/>
          <w:sz w:val="24"/>
          <w:u w:val="single"/>
        </w:rPr>
        <w:t>Article 2</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Section 4.02</w:t>
      </w:r>
      <w:r>
        <w:rPr>
          <w:color w:val="000000"/>
        </w:rPr>
        <w:t xml:space="preserve"> </w:t>
      </w:r>
      <w:r>
        <w:rPr>
          <w:rFonts w:ascii="Times New Roman;serif" w:hAnsi="Times New Roman;serif"/>
          <w:b w:val="false"/>
          <w:color w:val="000000"/>
          <w:sz w:val="24"/>
        </w:rPr>
        <w:t>hereof;</w:t>
      </w:r>
    </w:p>
    <w:p>
      <w:pPr>
        <w:pStyle w:val="TextBody"/>
        <w:bidi w:val="0"/>
        <w:spacing w:lineRule="auto" w:line="30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(3)the rights, powers, trusts, duties, indemnities and immunities of the Trustee hereunder, and the Issuer’s and any Subsidiary Guarantors’ Obligations in connection therewith; and</w:t>
      </w:r>
    </w:p>
    <w:p>
      <w:pPr>
        <w:pStyle w:val="TextBody"/>
        <w:bidi w:val="0"/>
        <w:spacing w:lineRule="auto" w:line="300" w:before="0" w:after="240"/>
        <w:ind w:left="0" w:right="0" w:firstLine="720"/>
        <w:jc w:val="both"/>
        <w:rPr/>
      </w:pPr>
      <w:r>
        <w:rPr>
          <w:rFonts w:ascii="Times New Roman;serif" w:hAnsi="Times New Roman;serif"/>
          <w:b w:val="false"/>
          <w:color w:val="000000"/>
          <w:sz w:val="24"/>
        </w:rPr>
        <w:t xml:space="preserve">(4)this </w:t>
      </w:r>
      <w:r>
        <w:rPr>
          <w:rFonts w:ascii="Times New Roman;serif" w:hAnsi="Times New Roman;serif"/>
          <w:b w:val="false"/>
          <w:color w:val="000000"/>
          <w:sz w:val="24"/>
          <w:u w:val="single"/>
        </w:rPr>
        <w:t>Article 8</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Subject to compliance with this </w:t>
      </w:r>
      <w:r>
        <w:rPr>
          <w:rFonts w:ascii="Times New Roman;serif" w:hAnsi="Times New Roman;serif"/>
          <w:b w:val="false"/>
          <w:color w:val="000000"/>
          <w:sz w:val="24"/>
          <w:u w:val="single"/>
        </w:rPr>
        <w:t>Article 8</w:t>
      </w:r>
      <w:r>
        <w:rPr>
          <w:rFonts w:ascii="Times New Roman;serif" w:hAnsi="Times New Roman;serif"/>
          <w:b w:val="false"/>
          <w:color w:val="000000"/>
          <w:sz w:val="24"/>
        </w:rPr>
        <w:t xml:space="preserve">, the Issuer may exercise its option under this </w:t>
      </w:r>
      <w:r>
        <w:rPr>
          <w:rFonts w:ascii="Times New Roman;serif" w:hAnsi="Times New Roman;serif"/>
          <w:b w:val="false"/>
          <w:color w:val="000000"/>
          <w:sz w:val="24"/>
          <w:u w:val="single"/>
        </w:rPr>
        <w:t>Section 8.02</w:t>
      </w:r>
      <w:r>
        <w:rPr>
          <w:color w:val="000000"/>
        </w:rPr>
        <w:t xml:space="preserve"> </w:t>
      </w:r>
      <w:r>
        <w:rPr>
          <w:rFonts w:ascii="Times New Roman;serif" w:hAnsi="Times New Roman;serif"/>
          <w:b w:val="false"/>
          <w:color w:val="000000"/>
          <w:sz w:val="24"/>
        </w:rPr>
        <w:t xml:space="preserve">notwithstanding the prior exercise of its option under </w:t>
      </w:r>
      <w:r>
        <w:rPr>
          <w:rFonts w:ascii="Times New Roman;serif" w:hAnsi="Times New Roman;serif"/>
          <w:b w:val="false"/>
          <w:color w:val="000000"/>
          <w:sz w:val="24"/>
          <w:u w:val="single"/>
        </w:rPr>
        <w:t>Section 8.03</w:t>
      </w:r>
      <w:r>
        <w:rPr>
          <w:color w:val="000000"/>
        </w:rPr>
        <w:t xml:space="preserve"> </w:t>
      </w:r>
      <w:r>
        <w:rPr>
          <w:rFonts w:ascii="Times New Roman;serif" w:hAnsi="Times New Roman;serif"/>
          <w:b w:val="false"/>
          <w:color w:val="000000"/>
          <w:sz w:val="24"/>
        </w:rPr>
        <w:t>hereof.</w:t>
      </w:r>
    </w:p>
    <w:p>
      <w:pPr>
        <w:pStyle w:val="TextBody"/>
        <w:bidi w:val="0"/>
        <w:spacing w:lineRule="auto" w:line="240" w:before="0" w:after="240"/>
        <w:jc w:val="left"/>
        <w:rPr/>
      </w:pPr>
      <w:r>
        <w:rPr>
          <w:rFonts w:ascii="Times New Roman;serif" w:hAnsi="Times New Roman;serif"/>
          <w:b w:val="false"/>
          <w:color w:val="000000"/>
          <w:sz w:val="24"/>
        </w:rPr>
        <w:t>Section 8.03</w:t>
      </w:r>
      <w:r>
        <w:rPr>
          <w:rFonts w:ascii="Times New Roman;serif" w:hAnsi="Times New Roman;serif"/>
          <w:b w:val="false"/>
          <w:color w:val="000000"/>
          <w:sz w:val="24"/>
          <w:u w:val="single"/>
        </w:rPr>
        <w:t>Covenant Defeasance</w:t>
      </w:r>
      <w:r>
        <w:rPr>
          <w:rFonts w:ascii="Times New Roman;serif" w:hAnsi="Times New Roman;serif"/>
          <w:b w:val="false"/>
          <w:color w:val="000000"/>
          <w:sz w:val="24"/>
        </w:rPr>
        <w:t>.</w:t>
      </w:r>
    </w:p>
    <w:p>
      <w:pPr>
        <w:pStyle w:val="TextBody"/>
        <w:bidi w:val="0"/>
        <w:spacing w:lineRule="auto" w:line="300" w:before="0" w:after="240"/>
        <w:ind w:left="0" w:right="0" w:firstLine="720"/>
        <w:jc w:val="both"/>
        <w:rPr/>
      </w:pPr>
      <w:r>
        <w:rPr>
          <w:rFonts w:ascii="Times New Roman;serif" w:hAnsi="Times New Roman;serif"/>
          <w:b w:val="false"/>
          <w:color w:val="000000"/>
          <w:sz w:val="24"/>
        </w:rPr>
        <w:t xml:space="preserve">Upon the Issuer’s exercise under </w:t>
      </w:r>
      <w:r>
        <w:rPr>
          <w:rFonts w:ascii="Times New Roman;serif" w:hAnsi="Times New Roman;serif"/>
          <w:b w:val="false"/>
          <w:color w:val="000000"/>
          <w:sz w:val="24"/>
          <w:u w:val="single"/>
        </w:rPr>
        <w:t>Section 8.01</w:t>
      </w:r>
      <w:r>
        <w:rPr>
          <w:color w:val="000000"/>
        </w:rPr>
        <w:t xml:space="preserve"> </w:t>
      </w:r>
      <w:r>
        <w:rPr>
          <w:rFonts w:ascii="Times New Roman;serif" w:hAnsi="Times New Roman;serif"/>
          <w:b w:val="false"/>
          <w:color w:val="000000"/>
          <w:sz w:val="24"/>
        </w:rPr>
        <w:t xml:space="preserve">hereof of the option applicable to this </w:t>
      </w:r>
      <w:r>
        <w:rPr>
          <w:rFonts w:ascii="Times New Roman;serif" w:hAnsi="Times New Roman;serif"/>
          <w:b w:val="false"/>
          <w:color w:val="000000"/>
          <w:sz w:val="24"/>
          <w:u w:val="single"/>
        </w:rPr>
        <w:t>Section 8.03</w:t>
      </w:r>
      <w:r>
        <w:rPr>
          <w:rFonts w:ascii="Times New Roman;serif" w:hAnsi="Times New Roman;serif"/>
          <w:b w:val="false"/>
          <w:color w:val="000000"/>
          <w:sz w:val="24"/>
        </w:rPr>
        <w:t xml:space="preserve">, the Issuer and the Subsidiary Guarantors shall, subject to the satisfaction of the conditions set forth in </w:t>
      </w:r>
      <w:r>
        <w:rPr>
          <w:rFonts w:ascii="Times New Roman;serif" w:hAnsi="Times New Roman;serif"/>
          <w:b w:val="false"/>
          <w:color w:val="000000"/>
          <w:sz w:val="24"/>
          <w:u w:val="single"/>
        </w:rPr>
        <w:t>Section 8.04</w:t>
      </w:r>
      <w:r>
        <w:rPr>
          <w:color w:val="000000"/>
        </w:rPr>
        <w:t xml:space="preserve"> </w:t>
      </w:r>
      <w:r>
        <w:rPr>
          <w:rFonts w:ascii="Times New Roman;serif" w:hAnsi="Times New Roman;serif"/>
          <w:b w:val="false"/>
          <w:color w:val="000000"/>
          <w:sz w:val="24"/>
        </w:rPr>
        <w:t xml:space="preserve">hereof, be released from each of their obligations under </w:t>
      </w:r>
      <w:r>
        <w:rPr>
          <w:rFonts w:ascii="Times New Roman;serif" w:hAnsi="Times New Roman;serif"/>
          <w:b w:val="false"/>
          <w:color w:val="000000"/>
          <w:sz w:val="24"/>
          <w:u w:val="single"/>
        </w:rPr>
        <w:t>Section 4.03 through (and including) Section 4.08</w:t>
      </w:r>
      <w:r>
        <w:rPr>
          <w:color w:val="000000"/>
        </w:rPr>
        <w:t xml:space="preserve"> </w:t>
      </w:r>
      <w:r>
        <w:rPr>
          <w:rFonts w:ascii="Times New Roman;serif" w:hAnsi="Times New Roman;serif"/>
          <w:b w:val="false"/>
          <w:color w:val="000000"/>
          <w:sz w:val="24"/>
        </w:rPr>
        <w:t xml:space="preserve">hereof with respect to the Notes on and after the date the conditions set forth in </w:t>
      </w:r>
      <w:r>
        <w:rPr>
          <w:rFonts w:ascii="Times New Roman;serif" w:hAnsi="Times New Roman;serif"/>
          <w:b w:val="false"/>
          <w:color w:val="000000"/>
          <w:sz w:val="24"/>
          <w:u w:val="single"/>
        </w:rPr>
        <w:t>Section 8.04</w:t>
      </w:r>
      <w:r>
        <w:rPr>
          <w:color w:val="000000"/>
        </w:rPr>
        <w:t xml:space="preserve"> </w:t>
      </w:r>
      <w:r>
        <w:rPr>
          <w:rFonts w:ascii="Times New Roman;serif" w:hAnsi="Times New Roman;serif"/>
          <w:b w:val="false"/>
          <w:color w:val="000000"/>
          <w:sz w:val="24"/>
        </w:rPr>
        <w:t>hereof</w:t>
      </w:r>
      <w:r>
        <w:rPr>
          <w:color w:val="000000"/>
        </w:rPr>
        <w:t xml:space="preserve"> </w:t>
      </w:r>
      <w:r>
        <w:rPr>
          <w:rFonts w:ascii="Times New Roman;serif" w:hAnsi="Times New Roman;serif"/>
          <w:b w:val="false"/>
          <w:color w:val="000000"/>
          <w:sz w:val="24"/>
        </w:rPr>
        <w:t>are</w:t>
      </w:r>
      <w:r>
        <w:rPr>
          <w:color w:val="000000"/>
        </w:rPr>
        <w:t xml:space="preserve"> </w:t>
      </w:r>
      <w:r>
        <w:rPr>
          <w:rFonts w:ascii="Times New Roman;serif" w:hAnsi="Times New Roman;serif"/>
          <w:b w:val="false"/>
          <w:color w:val="000000"/>
          <w:sz w:val="24"/>
        </w:rPr>
        <w:t>satisfied (hereinafter, “</w:t>
      </w:r>
      <w:r>
        <w:rPr>
          <w:rFonts w:ascii="Times New Roman;serif" w:hAnsi="Times New Roman;serif"/>
          <w:b w:val="false"/>
          <w:i/>
          <w:color w:val="000000"/>
          <w:sz w:val="24"/>
        </w:rPr>
        <w:t>Covenant Defeasance</w:t>
      </w:r>
      <w:r>
        <w:rPr>
          <w:color w:val="000000"/>
        </w:rPr>
        <w:t>”</w:t>
      </w:r>
      <w:r>
        <w:rPr>
          <w:rFonts w:ascii="Times New Roman;serif" w:hAnsi="Times New Roman;serif"/>
          <w:b w:val="false"/>
          <w:color w:val="000000"/>
          <w:sz w:val="24"/>
        </w:rPr>
        <w:t xml:space="preserve">), and the Notes will thereafter be deemed not “outstanding” for the purposes of any direction, waiver, consent or declaration or act of the Holders (and the consequences of any thereof) in connection with such covenants, but will continue to be deemed “outstanding” for all other purposes hereunder (it being understood that such Notes will not be deemed outstanding for accounting purposes). For this purpose, Covenant Defeasance means that, with respect to the Notes and any Subsidiary Guarantees, the Issuer and any Subsidiary Guarantors may omit to comply with and shall have no liability in respect of any term, condition or limitation set forth in any such covenant, whether directly or indirectly, by reason of any reference elsewhere herein to any such covenant or by reason of any reference in any such covenant to any other provision herein or in any other Note Document and such omission to comply will not constitute a Default or an Event of Default under </w:t>
      </w:r>
      <w:r>
        <w:rPr>
          <w:rFonts w:ascii="Times New Roman;serif" w:hAnsi="Times New Roman;serif"/>
          <w:b w:val="false"/>
          <w:color w:val="000000"/>
          <w:sz w:val="24"/>
          <w:u w:val="single"/>
        </w:rPr>
        <w:t>Section 6.01</w:t>
      </w:r>
      <w:r>
        <w:rPr>
          <w:color w:val="000000"/>
        </w:rPr>
        <w:t xml:space="preserve"> </w:t>
      </w:r>
      <w:r>
        <w:rPr>
          <w:rFonts w:ascii="Times New Roman;serif" w:hAnsi="Times New Roman;serif"/>
          <w:b w:val="false"/>
          <w:color w:val="000000"/>
          <w:sz w:val="24"/>
        </w:rPr>
        <w:t xml:space="preserve">hereof, but, except as specified above, the remainder of this Indenture and such Notes and Subsidiary Guarantees shall be unaffected thereby. In addition, upon the Issuer’s exercise under </w:t>
      </w:r>
      <w:r>
        <w:rPr>
          <w:rFonts w:ascii="Times New Roman;serif" w:hAnsi="Times New Roman;serif"/>
          <w:b w:val="false"/>
          <w:color w:val="000000"/>
          <w:sz w:val="24"/>
          <w:u w:val="single"/>
        </w:rPr>
        <w:t>Section 8.01</w:t>
      </w:r>
      <w:r>
        <w:rPr>
          <w:color w:val="000000"/>
        </w:rPr>
        <w:t xml:space="preserve"> </w:t>
      </w:r>
      <w:r>
        <w:rPr>
          <w:rFonts w:ascii="Times New Roman;serif" w:hAnsi="Times New Roman;serif"/>
          <w:b w:val="false"/>
          <w:color w:val="000000"/>
          <w:sz w:val="24"/>
        </w:rPr>
        <w:t xml:space="preserve">hereof of the option applicable to this </w:t>
      </w:r>
      <w:r>
        <w:rPr>
          <w:rFonts w:ascii="Times New Roman;serif" w:hAnsi="Times New Roman;serif"/>
          <w:b w:val="false"/>
          <w:color w:val="000000"/>
          <w:sz w:val="24"/>
          <w:u w:val="single"/>
        </w:rPr>
        <w:t>Section 8.03</w:t>
      </w:r>
      <w:r>
        <w:rPr>
          <w:rFonts w:ascii="Times New Roman;serif" w:hAnsi="Times New Roman;serif"/>
          <w:b w:val="false"/>
          <w:color w:val="000000"/>
          <w:sz w:val="24"/>
        </w:rPr>
        <w:t xml:space="preserve">, subject to the satisfaction of the conditions set forth in </w:t>
      </w:r>
      <w:r>
        <w:rPr>
          <w:rFonts w:ascii="Times New Roman;serif" w:hAnsi="Times New Roman;serif"/>
          <w:b w:val="false"/>
          <w:color w:val="000000"/>
          <w:sz w:val="24"/>
          <w:u w:val="single"/>
        </w:rPr>
        <w:t>Sections 8.04</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6.01(3)</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6.01(4)</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6.01(5)</w:t>
      </w:r>
      <w:r>
        <w:rPr>
          <w:color w:val="000000"/>
        </w:rPr>
        <w:t xml:space="preserve"> </w:t>
      </w:r>
      <w:r>
        <w:rPr>
          <w:rFonts w:ascii="Times New Roman;serif" w:hAnsi="Times New Roman;serif"/>
          <w:b w:val="false"/>
          <w:color w:val="000000"/>
          <w:sz w:val="24"/>
        </w:rPr>
        <w:t>hereof shall not constitute Events of Default.</w:t>
      </w:r>
    </w:p>
    <w:p>
      <w:pPr>
        <w:pStyle w:val="TextBody"/>
        <w:bidi w:val="0"/>
        <w:spacing w:before="0" w:after="0"/>
        <w:jc w:val="left"/>
        <w:rPr/>
      </w:pPr>
      <w:r>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6480175" cy="768985"/>
                <wp:effectExtent l="0" t="0" r="0" b="0"/>
                <wp:wrapNone/>
                <wp:docPr id="248" name="Frame248"/>
                <a:graphic xmlns:a="http://schemas.openxmlformats.org/drawingml/2006/main">
                  <a:graphicData uri="http://schemas.microsoft.com/office/word/2010/wordprocessingShape">
                    <wps:wsp>
                      <wps:cNvSpPr txBox="1"/>
                      <wps:spPr>
                        <a:xfrm>
                          <a:off x="0" y="0"/>
                          <a:ext cx="6480175" cy="7689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75</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0.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75</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300" w:before="0" w:after="240"/>
        <w:jc w:val="left"/>
        <w:rPr/>
      </w:pPr>
      <w:r>
        <w:rPr>
          <w:rFonts w:ascii="Times New Roman;serif" w:hAnsi="Times New Roman;serif"/>
          <w:b w:val="false"/>
          <w:color w:val="000000"/>
          <w:sz w:val="24"/>
        </w:rPr>
        <w:t>Section 8.04</w:t>
      </w:r>
      <w:r>
        <w:rPr>
          <w:rFonts w:ascii="Times New Roman;serif" w:hAnsi="Times New Roman;serif"/>
          <w:b w:val="false"/>
          <w:color w:val="000000"/>
          <w:sz w:val="24"/>
          <w:u w:val="single"/>
        </w:rPr>
        <w:t>Conditions to Legal or Covenant Defeasance</w:t>
      </w:r>
      <w:r>
        <w:rPr>
          <w:rFonts w:ascii="Times New Roman;serif" w:hAnsi="Times New Roman;serif"/>
          <w:b w:val="false"/>
          <w:color w:val="000000"/>
          <w:sz w:val="24"/>
        </w:rPr>
        <w:t>.</w:t>
      </w:r>
    </w:p>
    <w:p>
      <w:pPr>
        <w:pStyle w:val="TextBody"/>
        <w:bidi w:val="0"/>
        <w:spacing w:lineRule="auto" w:line="30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rPr>
        <w:t xml:space="preserve">In order to exercise either Legal Defeasance or Covenant Defeasance with respect to the Note Documents under either </w:t>
      </w:r>
      <w:r>
        <w:rPr>
          <w:rFonts w:ascii="Times New Roman;serif" w:hAnsi="Times New Roman;serif"/>
          <w:b w:val="false"/>
          <w:color w:val="000000"/>
          <w:sz w:val="24"/>
          <w:u w:val="single"/>
        </w:rPr>
        <w:t>Section 8.02</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Section 8.03</w:t>
      </w:r>
      <w:r>
        <w:rPr>
          <w:color w:val="000000"/>
        </w:rPr>
        <w:t xml:space="preserve"> </w:t>
      </w:r>
      <w:r>
        <w:rPr>
          <w:rFonts w:ascii="Times New Roman;serif" w:hAnsi="Times New Roman;serif"/>
          <w:b w:val="false"/>
          <w:color w:val="000000"/>
          <w:sz w:val="24"/>
        </w:rPr>
        <w:t>hereof:</w:t>
      </w:r>
    </w:p>
    <w:p>
      <w:pPr>
        <w:pStyle w:val="TextBody"/>
        <w:bidi w:val="0"/>
        <w:spacing w:lineRule="auto" w:line="30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(1)the Issuer must irrevocably deposit with the Trustee, in trust, for the benefit of the Holders, cash in U.S. dollars, non-callable Government Securities or a combination of cash in U.S. dollars and non-callable Government Securities, in amounts as will be sufficient to pay the principal of, or interest and premium on, such Notes that are then outstanding on the Stated Maturity or on the applicable redemption date, as the case may be, and the Issuer must specify whether such Notes are being defeased to maturity or to a particular redemption date;</w:t>
      </w:r>
    </w:p>
    <w:p>
      <w:pPr>
        <w:pStyle w:val="TextBody"/>
        <w:bidi w:val="0"/>
        <w:spacing w:lineRule="auto" w:line="30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(2)in the case of Legal Defeasance, the Issuer shall have delivered to the Trustee an Opinion of Counsel reasonably acceptable to the Trustee confirming that, subject to customary assumptions and exclusions, (a) the Issuer has received from, or there has been published by, the U.S. Internal Revenue Service a ruling or (b) since the Issue Date, there has been a change in the applicable U.S. federal income tax law, in either case to the effect that, and based thereon such Opinion of Counsel will confirm that, the beneficial owners of such Notes that are then outstanding will not recognize income, gain or loss for U.S. federal income tax purposes as a result of such Legal Defeasance and will be subject to U.S. federal income tax on the same amounts, in the same manner and at the same times as would have been the case if such Legal Defeasance had not occurred;</w:t>
      </w:r>
    </w:p>
    <w:p>
      <w:pPr>
        <w:pStyle w:val="TextBody"/>
        <w:bidi w:val="0"/>
        <w:spacing w:lineRule="auto" w:line="30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(3)in the case of Covenant Defeasance, the Issuer shall have delivered to the Trustee an Opinion of Counsel reasonably acceptable to the Trustee confirming that, subject to customary assumptions and exclusions, the beneficial owners of such Notes that are then outstanding will not recognize income, gain or loss for U.S. federal income tax purposes as a result of such Covenant Defeasance and will be subject to U.S. federal income tax on the same amounts, in the same manner and at the same times as would have been the case if such Covenant Defeasance had not occurred;</w:t>
      </w:r>
    </w:p>
    <w:p>
      <w:pPr>
        <w:pStyle w:val="TextBody"/>
        <w:bidi w:val="0"/>
        <w:spacing w:lineRule="auto" w:line="30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(4)no Default or Event of Default has occurred and is continuing on the date of such deposit (other than a Default or Event of Default resulting from the borrowing of funds to be applied to such deposit);</w:t>
      </w:r>
    </w:p>
    <w:p>
      <w:pPr>
        <w:pStyle w:val="TextBody"/>
        <w:bidi w:val="0"/>
        <w:spacing w:lineRule="auto" w:line="30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(5)such Legal Defeasance or Covenant Defeasance will not result in a breach or violation of, or constitute a default under any material agreement or instrument (other than this Indenture) to which the Issuer or any of its Subsidiaries is a party or by which the Issuer or any of its Subsidiaries are bound;</w:t>
      </w:r>
    </w:p>
    <w:p>
      <w:pPr>
        <w:pStyle w:val="TextBody"/>
        <w:bidi w:val="0"/>
        <w:spacing w:lineRule="auto" w:line="30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(6)the Issuer must deliver to the Trustee an Officer’s Certificate stating that the deposit was not made by the Issuer with the intent of preferring the Holders over the </w:t>
      </w:r>
    </w:p>
    <w:p>
      <w:pPr>
        <w:pStyle w:val="TextBody"/>
        <w:bidi w:val="0"/>
        <w:spacing w:before="0" w:after="0"/>
        <w:jc w:val="left"/>
        <w:rPr/>
      </w:pPr>
      <w:r>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6480175" cy="768985"/>
                <wp:effectExtent l="0" t="0" r="0" b="0"/>
                <wp:wrapNone/>
                <wp:docPr id="249" name="Frame249"/>
                <a:graphic xmlns:a="http://schemas.openxmlformats.org/drawingml/2006/main">
                  <a:graphicData uri="http://schemas.microsoft.com/office/word/2010/wordprocessingShape">
                    <wps:wsp>
                      <wps:cNvSpPr txBox="1"/>
                      <wps:spPr>
                        <a:xfrm>
                          <a:off x="0" y="0"/>
                          <a:ext cx="6480175" cy="7689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76</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0.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76</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300" w:before="0" w:after="240"/>
        <w:jc w:val="both"/>
        <w:rPr>
          <w:rFonts w:ascii="Times New Roman;serif" w:hAnsi="Times New Roman;serif"/>
          <w:b w:val="false"/>
          <w:color w:val="000000"/>
          <w:sz w:val="24"/>
        </w:rPr>
      </w:pPr>
      <w:r>
        <w:rPr>
          <w:rFonts w:ascii="Times New Roman;serif" w:hAnsi="Times New Roman;serif"/>
          <w:b w:val="false"/>
          <w:color w:val="000000"/>
          <w:sz w:val="24"/>
        </w:rPr>
        <w:t>other creditors of the Issuer with the intent of defeating, hindering, delaying or defrauding creditors of the Issuer or others; and</w:t>
      </w:r>
    </w:p>
    <w:p>
      <w:pPr>
        <w:pStyle w:val="TextBody"/>
        <w:bidi w:val="0"/>
        <w:spacing w:lineRule="auto" w:line="30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(7)the Issuer must deliver to the Trustee an Officer’s Certificate and an Opinion of Counsel, each stating that all conditions precedent relating to the Legal Defeasance or the Covenant Defeasance have been complied with.</w:t>
      </w:r>
    </w:p>
    <w:p>
      <w:pPr>
        <w:pStyle w:val="TextBody"/>
        <w:bidi w:val="0"/>
        <w:spacing w:lineRule="auto" w:line="300" w:before="0" w:after="240"/>
        <w:jc w:val="left"/>
        <w:rPr/>
      </w:pPr>
      <w:r>
        <w:rPr>
          <w:rFonts w:ascii="Times New Roman;serif" w:hAnsi="Times New Roman;serif"/>
          <w:b w:val="false"/>
          <w:color w:val="000000"/>
          <w:sz w:val="24"/>
        </w:rPr>
        <w:t>Section 8.05</w:t>
      </w:r>
      <w:r>
        <w:rPr>
          <w:rFonts w:ascii="Times New Roman;serif" w:hAnsi="Times New Roman;serif"/>
          <w:b w:val="false"/>
          <w:color w:val="000000"/>
          <w:sz w:val="24"/>
          <w:u w:val="single"/>
        </w:rPr>
        <w:t>Deposited Money and Government Securities to Be Held in Trust; Other Miscellaneous Provisions</w:t>
      </w:r>
      <w:r>
        <w:rPr>
          <w:rFonts w:ascii="Times New Roman;serif" w:hAnsi="Times New Roman;serif"/>
          <w:b w:val="false"/>
          <w:color w:val="000000"/>
          <w:sz w:val="24"/>
        </w:rPr>
        <w:t>.</w:t>
      </w:r>
    </w:p>
    <w:p>
      <w:pPr>
        <w:pStyle w:val="TextBody"/>
        <w:bidi w:val="0"/>
        <w:spacing w:lineRule="auto" w:line="300" w:before="0" w:after="240"/>
        <w:ind w:left="0" w:right="0" w:firstLine="720"/>
        <w:jc w:val="both"/>
        <w:rPr/>
      </w:pPr>
      <w:r>
        <w:rPr>
          <w:rFonts w:ascii="Times New Roman;serif" w:hAnsi="Times New Roman;serif"/>
          <w:b w:val="false"/>
          <w:color w:val="000000"/>
          <w:sz w:val="24"/>
        </w:rPr>
        <w:t xml:space="preserve">Subject to </w:t>
      </w:r>
      <w:r>
        <w:rPr>
          <w:rFonts w:ascii="Times New Roman;serif" w:hAnsi="Times New Roman;serif"/>
          <w:b w:val="false"/>
          <w:color w:val="000000"/>
          <w:sz w:val="24"/>
          <w:u w:val="single"/>
        </w:rPr>
        <w:t>Section 8.06</w:t>
      </w:r>
      <w:r>
        <w:rPr>
          <w:color w:val="000000"/>
        </w:rPr>
        <w:t xml:space="preserve"> </w:t>
      </w:r>
      <w:r>
        <w:rPr>
          <w:rFonts w:ascii="Times New Roman;serif" w:hAnsi="Times New Roman;serif"/>
          <w:b w:val="false"/>
          <w:color w:val="000000"/>
          <w:sz w:val="24"/>
        </w:rPr>
        <w:t xml:space="preserve">hereof, all money and non-callable Government Securities (including the proceeds thereof) deposited with the Trustee (or other qualifying trustee, collectively for purposes of this </w:t>
      </w:r>
      <w:r>
        <w:rPr>
          <w:rFonts w:ascii="Times New Roman;serif" w:hAnsi="Times New Roman;serif"/>
          <w:b w:val="false"/>
          <w:color w:val="000000"/>
          <w:sz w:val="24"/>
          <w:u w:val="single"/>
        </w:rPr>
        <w:t>Section 8.05</w:t>
      </w:r>
      <w:r>
        <w:rPr>
          <w:rFonts w:ascii="Times New Roman;serif" w:hAnsi="Times New Roman;serif"/>
          <w:b w:val="false"/>
          <w:color w:val="000000"/>
          <w:sz w:val="24"/>
        </w:rPr>
        <w:t>, the “</w:t>
      </w:r>
      <w:r>
        <w:rPr>
          <w:rFonts w:ascii="Times New Roman;serif" w:hAnsi="Times New Roman;serif"/>
          <w:b w:val="false"/>
          <w:i/>
          <w:color w:val="000000"/>
          <w:sz w:val="24"/>
        </w:rPr>
        <w:t>Trustee</w:t>
      </w:r>
      <w:r>
        <w:rPr>
          <w:color w:val="000000"/>
        </w:rPr>
        <w:t>”</w:t>
      </w:r>
      <w:r>
        <w:rPr>
          <w:rFonts w:ascii="Times New Roman;serif" w:hAnsi="Times New Roman;serif"/>
          <w:b w:val="false"/>
          <w:color w:val="000000"/>
          <w:sz w:val="24"/>
        </w:rPr>
        <w:t xml:space="preserve">) pursuant to </w:t>
      </w:r>
      <w:r>
        <w:rPr>
          <w:rFonts w:ascii="Times New Roman;serif" w:hAnsi="Times New Roman;serif"/>
          <w:b w:val="false"/>
          <w:color w:val="000000"/>
          <w:sz w:val="24"/>
          <w:u w:val="single"/>
        </w:rPr>
        <w:t>Section 8.04</w:t>
      </w:r>
      <w:r>
        <w:rPr>
          <w:color w:val="000000"/>
        </w:rPr>
        <w:t xml:space="preserve"> </w:t>
      </w:r>
      <w:r>
        <w:rPr>
          <w:rFonts w:ascii="Times New Roman;serif" w:hAnsi="Times New Roman;serif"/>
          <w:b w:val="false"/>
          <w:color w:val="000000"/>
          <w:sz w:val="24"/>
        </w:rPr>
        <w:t>hereof in respect of the outstanding Notes shall be held in trust and applied by the Trustee, in accordance with the provisions of such Notes and this Indenture, to the payment, either directly or through any Paying Agent (including the Issuer acting as Paying Agent) as the Trustee may determine, to the Holders of such Notes of all sums due and to become due thereon in respect of principal, premium, if any, and interest, but such money need not be segregated from other funds except to the extent required by law.</w:t>
      </w:r>
    </w:p>
    <w:p>
      <w:pPr>
        <w:pStyle w:val="TextBody"/>
        <w:bidi w:val="0"/>
        <w:spacing w:lineRule="auto" w:line="300" w:before="0" w:after="240"/>
        <w:ind w:left="0" w:right="0" w:firstLine="720"/>
        <w:jc w:val="both"/>
        <w:rPr/>
      </w:pPr>
      <w:r>
        <w:rPr>
          <w:rFonts w:ascii="Times New Roman;serif" w:hAnsi="Times New Roman;serif"/>
          <w:b w:val="false"/>
          <w:color w:val="000000"/>
          <w:sz w:val="24"/>
        </w:rPr>
        <w:t xml:space="preserve">The Issuer shall pay and indemnify the Trustee against any tax, fee or other charge imposed on or assessed against the cash or non-callable Government Securities deposited pursuant to </w:t>
      </w:r>
      <w:r>
        <w:rPr>
          <w:rFonts w:ascii="Times New Roman;serif" w:hAnsi="Times New Roman;serif"/>
          <w:b w:val="false"/>
          <w:color w:val="000000"/>
          <w:sz w:val="24"/>
          <w:u w:val="single"/>
        </w:rPr>
        <w:t>Section 8.04</w:t>
      </w:r>
      <w:r>
        <w:rPr>
          <w:color w:val="000000"/>
        </w:rPr>
        <w:t xml:space="preserve"> </w:t>
      </w:r>
      <w:r>
        <w:rPr>
          <w:rFonts w:ascii="Times New Roman;serif" w:hAnsi="Times New Roman;serif"/>
          <w:b w:val="false"/>
          <w:color w:val="000000"/>
          <w:sz w:val="24"/>
        </w:rPr>
        <w:t>hereof or the principal and interest received in respect thereof other than any such tax, fee or other charge which by law is for the account of the Holders of the outstanding Notes.</w:t>
      </w:r>
    </w:p>
    <w:p>
      <w:pPr>
        <w:pStyle w:val="TextBody"/>
        <w:bidi w:val="0"/>
        <w:spacing w:lineRule="auto" w:line="300" w:before="0" w:after="240"/>
        <w:ind w:left="0" w:right="0" w:firstLine="720"/>
        <w:jc w:val="both"/>
        <w:rPr/>
      </w:pPr>
      <w:r>
        <w:rPr>
          <w:rFonts w:ascii="Times New Roman;serif" w:hAnsi="Times New Roman;serif"/>
          <w:b w:val="false"/>
          <w:color w:val="000000"/>
          <w:sz w:val="24"/>
        </w:rPr>
        <w:t xml:space="preserve">Notwithstanding anything in this </w:t>
      </w:r>
      <w:r>
        <w:rPr>
          <w:rFonts w:ascii="Times New Roman;serif" w:hAnsi="Times New Roman;serif"/>
          <w:b w:val="false"/>
          <w:color w:val="000000"/>
          <w:sz w:val="24"/>
          <w:u w:val="single"/>
        </w:rPr>
        <w:t>Article 8</w:t>
      </w:r>
      <w:r>
        <w:rPr>
          <w:color w:val="000000"/>
        </w:rPr>
        <w:t xml:space="preserve"> </w:t>
      </w:r>
      <w:r>
        <w:rPr>
          <w:rFonts w:ascii="Times New Roman;serif" w:hAnsi="Times New Roman;serif"/>
          <w:b w:val="false"/>
          <w:color w:val="000000"/>
          <w:sz w:val="24"/>
        </w:rPr>
        <w:t xml:space="preserve">to the contrary, the Trustee shall deliver or pay to the Issuer from time to time upon the request of the Issuer any money or non-callable Government Securities held by it as provided in </w:t>
      </w:r>
      <w:r>
        <w:rPr>
          <w:rFonts w:ascii="Times New Roman;serif" w:hAnsi="Times New Roman;serif"/>
          <w:b w:val="false"/>
          <w:color w:val="000000"/>
          <w:sz w:val="24"/>
          <w:u w:val="single"/>
        </w:rPr>
        <w:t>Section 8.04</w:t>
      </w:r>
      <w:r>
        <w:rPr>
          <w:color w:val="000000"/>
        </w:rPr>
        <w:t xml:space="preserve"> </w:t>
      </w:r>
      <w:r>
        <w:rPr>
          <w:rFonts w:ascii="Times New Roman;serif" w:hAnsi="Times New Roman;serif"/>
          <w:b w:val="false"/>
          <w:color w:val="000000"/>
          <w:sz w:val="24"/>
        </w:rPr>
        <w:t xml:space="preserve">hereof which, in the opinion of a nationally recognized firm of independent public accountants expressed in a written certification thereof delivered to the Trustee (which may be the opinion delivered under </w:t>
      </w:r>
      <w:r>
        <w:rPr>
          <w:rFonts w:ascii="Times New Roman;serif" w:hAnsi="Times New Roman;serif"/>
          <w:b w:val="false"/>
          <w:color w:val="000000"/>
          <w:sz w:val="24"/>
          <w:u w:val="single"/>
        </w:rPr>
        <w:t>Section 8.04(a)(1)</w:t>
      </w:r>
      <w:r>
        <w:rPr>
          <w:color w:val="000000"/>
        </w:rPr>
        <w:t xml:space="preserve"> </w:t>
      </w:r>
      <w:r>
        <w:rPr>
          <w:rFonts w:ascii="Times New Roman;serif" w:hAnsi="Times New Roman;serif"/>
          <w:b w:val="false"/>
          <w:color w:val="000000"/>
          <w:sz w:val="24"/>
        </w:rPr>
        <w:t>hereof), are in excess of the amount thereof that would then be required to be deposited to effect an equivalent Legal Defeasance or Covenant Defeasance.</w:t>
      </w:r>
    </w:p>
    <w:p>
      <w:pPr>
        <w:pStyle w:val="TextBody"/>
        <w:bidi w:val="0"/>
        <w:spacing w:lineRule="auto" w:line="300" w:before="0" w:after="240"/>
        <w:jc w:val="both"/>
        <w:rPr/>
      </w:pPr>
      <w:r>
        <w:rPr>
          <w:rFonts w:ascii="Times New Roman;serif" w:hAnsi="Times New Roman;serif"/>
          <w:b w:val="false"/>
          <w:color w:val="000000"/>
          <w:sz w:val="24"/>
        </w:rPr>
        <w:t>Section 8.06</w:t>
      </w:r>
      <w:r>
        <w:rPr>
          <w:rFonts w:ascii="Times New Roman;serif" w:hAnsi="Times New Roman;serif"/>
          <w:b w:val="false"/>
          <w:color w:val="000000"/>
          <w:sz w:val="24"/>
          <w:u w:val="single"/>
        </w:rPr>
        <w:t>Repayment to the Issuer</w:t>
      </w:r>
      <w:r>
        <w:rPr>
          <w:rFonts w:ascii="Times New Roman;serif" w:hAnsi="Times New Roman;serif"/>
          <w:b w:val="false"/>
          <w:color w:val="000000"/>
          <w:sz w:val="24"/>
        </w:rPr>
        <w:t>.</w:t>
      </w:r>
    </w:p>
    <w:p>
      <w:pPr>
        <w:pStyle w:val="TextBody"/>
        <w:bidi w:val="0"/>
        <w:spacing w:lineRule="auto" w:line="30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Any money deposited with the Trustee or any Paying Agent, or then held by the Issuer, in trust for the payment of the principal of, premium, if any, or interest on, any Notes and remaining unclaimed for two years after such principal, premium, if any, or interest has become due and payable, shall be paid to the Issuer on its written request or (if then held by the Issuer) will be discharged from such trust; and the Holders of such Notes will thereafter be permitted to look only to the Issuer for payment thereof, and all liability of the Trustee or such Paying Agent with respect to such trust money, and all liability of the Issuer as trustee thereof, will thereupon cease.</w:t>
      </w:r>
    </w:p>
    <w:p>
      <w:pPr>
        <w:pStyle w:val="TextBody"/>
        <w:bidi w:val="0"/>
        <w:spacing w:before="0" w:after="0"/>
        <w:jc w:val="left"/>
        <w:rPr/>
      </w:pPr>
      <w:r>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6480175" cy="768985"/>
                <wp:effectExtent l="0" t="0" r="0" b="0"/>
                <wp:wrapNone/>
                <wp:docPr id="250" name="Frame250"/>
                <a:graphic xmlns:a="http://schemas.openxmlformats.org/drawingml/2006/main">
                  <a:graphicData uri="http://schemas.microsoft.com/office/word/2010/wordprocessingShape">
                    <wps:wsp>
                      <wps:cNvSpPr txBox="1"/>
                      <wps:spPr>
                        <a:xfrm>
                          <a:off x="0" y="0"/>
                          <a:ext cx="6480175" cy="7689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77</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0.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77</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300" w:before="0" w:after="240"/>
        <w:jc w:val="both"/>
        <w:rPr/>
      </w:pPr>
      <w:r>
        <w:rPr>
          <w:rFonts w:ascii="Times New Roman;serif" w:hAnsi="Times New Roman;serif"/>
          <w:b w:val="false"/>
          <w:color w:val="000000"/>
          <w:sz w:val="24"/>
        </w:rPr>
        <w:t>Section 8.07</w:t>
      </w:r>
      <w:r>
        <w:rPr>
          <w:rFonts w:ascii="Times New Roman;serif" w:hAnsi="Times New Roman;serif"/>
          <w:b w:val="false"/>
          <w:color w:val="000000"/>
          <w:sz w:val="24"/>
          <w:u w:val="single"/>
        </w:rPr>
        <w:t>Reinstatement</w:t>
      </w:r>
      <w:r>
        <w:rPr>
          <w:rFonts w:ascii="Times New Roman;serif" w:hAnsi="Times New Roman;serif"/>
          <w:b w:val="false"/>
          <w:color w:val="000000"/>
          <w:sz w:val="24"/>
        </w:rPr>
        <w:t>.</w:t>
      </w:r>
    </w:p>
    <w:p>
      <w:pPr>
        <w:pStyle w:val="TextBody"/>
        <w:bidi w:val="0"/>
        <w:spacing w:lineRule="auto" w:line="300" w:before="0" w:after="240"/>
        <w:ind w:left="0" w:right="0" w:firstLine="720"/>
        <w:jc w:val="both"/>
        <w:rPr/>
      </w:pPr>
      <w:r>
        <w:rPr>
          <w:rFonts w:ascii="Times New Roman;serif" w:hAnsi="Times New Roman;serif"/>
          <w:b w:val="false"/>
          <w:color w:val="000000"/>
          <w:sz w:val="24"/>
        </w:rPr>
        <w:t xml:space="preserve">If the Trustee or Paying Agent is unable to apply any United States dollars or non-callable Government Securities in accordance with </w:t>
      </w:r>
      <w:r>
        <w:rPr>
          <w:rFonts w:ascii="Times New Roman;serif" w:hAnsi="Times New Roman;serif"/>
          <w:b w:val="false"/>
          <w:color w:val="000000"/>
          <w:sz w:val="24"/>
          <w:u w:val="single"/>
        </w:rPr>
        <w:t>Section 8.02</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Section 8.03</w:t>
      </w:r>
      <w:r>
        <w:rPr>
          <w:color w:val="000000"/>
        </w:rPr>
        <w:t xml:space="preserve"> </w:t>
      </w:r>
      <w:r>
        <w:rPr>
          <w:rFonts w:ascii="Times New Roman;serif" w:hAnsi="Times New Roman;serif"/>
          <w:b w:val="false"/>
          <w:color w:val="000000"/>
          <w:sz w:val="24"/>
        </w:rPr>
        <w:t xml:space="preserve">hereof, as the case may be, by reason of any order or judgment of any court or Governmental Authority enjoining, restraining or otherwise prohibiting such application, then the Issuer’s and any Subsidiary Guarantors’ obligations under the applicable Note Documents will be revived and reinstated as though no deposit had occurred pursuant to </w:t>
      </w:r>
      <w:r>
        <w:rPr>
          <w:rFonts w:ascii="Times New Roman;serif" w:hAnsi="Times New Roman;serif"/>
          <w:b w:val="false"/>
          <w:color w:val="000000"/>
          <w:sz w:val="24"/>
          <w:u w:val="single"/>
        </w:rPr>
        <w:t>Section 8.02</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Section 8.03</w:t>
      </w:r>
      <w:r>
        <w:rPr>
          <w:color w:val="000000"/>
        </w:rPr>
        <w:t xml:space="preserve"> </w:t>
      </w:r>
      <w:r>
        <w:rPr>
          <w:rFonts w:ascii="Times New Roman;serif" w:hAnsi="Times New Roman;serif"/>
          <w:b w:val="false"/>
          <w:color w:val="000000"/>
          <w:sz w:val="24"/>
        </w:rPr>
        <w:t xml:space="preserve">hereof until such time as the Trustee or Paying Agent is permitted to apply all such money in accordance with </w:t>
      </w:r>
      <w:r>
        <w:rPr>
          <w:rFonts w:ascii="Times New Roman;serif" w:hAnsi="Times New Roman;serif"/>
          <w:b w:val="false"/>
          <w:color w:val="000000"/>
          <w:sz w:val="24"/>
          <w:u w:val="single"/>
        </w:rPr>
        <w:t>Section 8.02</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Section 8.03</w:t>
      </w:r>
      <w:r>
        <w:rPr>
          <w:color w:val="000000"/>
        </w:rPr>
        <w:t xml:space="preserve"> </w:t>
      </w:r>
      <w:r>
        <w:rPr>
          <w:rFonts w:ascii="Times New Roman;serif" w:hAnsi="Times New Roman;serif"/>
          <w:b w:val="false"/>
          <w:color w:val="000000"/>
          <w:sz w:val="24"/>
        </w:rPr>
        <w:t xml:space="preserve">hereof, as the case may be;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w:t>
      </w:r>
      <w:r>
        <w:rPr>
          <w:rFonts w:ascii="Times New Roman;serif" w:hAnsi="Times New Roman;serif"/>
          <w:b w:val="false"/>
          <w:i/>
          <w:color w:val="000000"/>
          <w:sz w:val="24"/>
        </w:rPr>
        <w:t>however</w:t>
      </w:r>
      <w:r>
        <w:rPr>
          <w:rFonts w:ascii="Times New Roman;serif" w:hAnsi="Times New Roman;serif"/>
          <w:b w:val="false"/>
          <w:color w:val="000000"/>
          <w:sz w:val="24"/>
        </w:rPr>
        <w:t>, that, if the Issuer makes any payment of principal of, premium, if any, or interest on any Note following the reinstatement of its obligations, the Issuer shall be subrogated to the rights of the Holders of such Notes to receive such payment from the money held by the Trustee or Paying Agent.</w:t>
      </w:r>
    </w:p>
    <w:p>
      <w:pPr>
        <w:pStyle w:val="TextBody"/>
        <w:bidi w:val="0"/>
        <w:spacing w:lineRule="auto" w:line="240" w:before="0" w:after="240"/>
        <w:jc w:val="center"/>
        <w:rPr/>
      </w:pPr>
      <w:r>
        <w:rPr>
          <w:rFonts w:ascii="Times New Roman;serif" w:hAnsi="Times New Roman;serif"/>
          <w:b w:val="false"/>
          <w:color w:val="000000"/>
          <w:sz w:val="24"/>
        </w:rPr>
        <w:t>Article 9</w:t>
      </w:r>
      <w:r>
        <w:rPr>
          <w:rFonts w:ascii="Times New Roman;serif" w:hAnsi="Times New Roman;serif"/>
          <w:b w:val="false"/>
          <w:color w:val="000000"/>
          <w:sz w:val="24"/>
        </w:rPr>
        <w:br/>
        <w:t>AMENDMENT, SUPPLEMENT AND WAIVER</w:t>
      </w:r>
    </w:p>
    <w:p>
      <w:pPr>
        <w:pStyle w:val="TextBody"/>
        <w:bidi w:val="0"/>
        <w:spacing w:lineRule="auto" w:line="240" w:before="0" w:after="240"/>
        <w:jc w:val="left"/>
        <w:rPr/>
      </w:pPr>
      <w:r>
        <w:rPr>
          <w:rFonts w:ascii="Times New Roman;serif" w:hAnsi="Times New Roman;serif"/>
          <w:b w:val="false"/>
          <w:color w:val="000000"/>
          <w:sz w:val="24"/>
        </w:rPr>
        <w:t>Section 9.01</w:t>
      </w:r>
      <w:r>
        <w:rPr>
          <w:rFonts w:ascii="Times New Roman;serif" w:hAnsi="Times New Roman;serif"/>
          <w:b w:val="false"/>
          <w:color w:val="000000"/>
          <w:sz w:val="24"/>
          <w:u w:val="single"/>
        </w:rPr>
        <w:t>Without Consent of Holders of Notes</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Notwithstanding </w:t>
      </w:r>
      <w:r>
        <w:rPr>
          <w:rFonts w:ascii="Times New Roman;serif" w:hAnsi="Times New Roman;serif"/>
          <w:b w:val="false"/>
          <w:color w:val="000000"/>
          <w:sz w:val="24"/>
          <w:u w:val="single"/>
        </w:rPr>
        <w:t>Article 9</w:t>
      </w:r>
      <w:r>
        <w:rPr>
          <w:color w:val="000000"/>
        </w:rPr>
        <w:t xml:space="preserve"> </w:t>
      </w:r>
      <w:r>
        <w:rPr>
          <w:rFonts w:ascii="Times New Roman;serif" w:hAnsi="Times New Roman;serif"/>
          <w:b w:val="false"/>
          <w:color w:val="000000"/>
          <w:sz w:val="24"/>
        </w:rPr>
        <w:t>hereof, the Issuer, the Subsidiary Guarantors and the Trustee may amend or supplement the Note Documents without the consent of any Holder:</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(1)to cure any ambiguity, omission, mistake, defect, error or inconsistency;</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(2)to provide for uncertificated Notes in addition to or in place of certificated Notes;</w:t>
      </w:r>
    </w:p>
    <w:p>
      <w:pPr>
        <w:pStyle w:val="TextBody"/>
        <w:bidi w:val="0"/>
        <w:spacing w:lineRule="auto" w:line="240" w:before="0" w:after="240"/>
        <w:ind w:left="0" w:right="0" w:firstLine="720"/>
        <w:jc w:val="both"/>
        <w:rPr/>
      </w:pPr>
      <w:r>
        <w:rPr>
          <w:rFonts w:ascii="Times New Roman;serif" w:hAnsi="Times New Roman;serif"/>
          <w:b w:val="false"/>
          <w:color w:val="000000"/>
          <w:sz w:val="24"/>
        </w:rPr>
        <w:t xml:space="preserve">(3)to provide for the assumption of the Issuer’s or a Subsidiary Guarantor’s Obligations to Holders in the case of a merger or consolidation or sale of all or substantially all of the Issuer’s or such Subsidiary Guarantor’s assets pursuant to </w:t>
      </w:r>
      <w:r>
        <w:rPr>
          <w:rFonts w:ascii="Times New Roman;serif" w:hAnsi="Times New Roman;serif"/>
          <w:b w:val="false"/>
          <w:color w:val="000000"/>
          <w:sz w:val="24"/>
          <w:u w:val="single"/>
        </w:rPr>
        <w:t>Article 5</w:t>
      </w:r>
      <w:r>
        <w:rPr>
          <w:color w:val="000000"/>
        </w:rPr>
        <w:t xml:space="preserve"> </w:t>
      </w:r>
      <w:r>
        <w:rPr>
          <w:rFonts w:ascii="Times New Roman;serif" w:hAnsi="Times New Roman;serif"/>
          <w:b w:val="false"/>
          <w:color w:val="000000"/>
          <w:sz w:val="24"/>
        </w:rPr>
        <w:t>of this Indenture (if applicable);</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(4)to make any change that would provide any additional rights or benefits to the Holders or that does not adversely affect their legal rights under this Indenture in any material respect;</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(5)to comply with requirements of the SEC in order to effect or maintain the qualification of this Indenture under the TIA;</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(6)[reserved];</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(7)to evidence and provide for the acceptance and appointment under this Indenture of a successor Trustee pursuant to the requirements thereof;</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(8)to provide for the issuance of Additional Notes in accordance with the limitations set forth in this Indenture;</w:t>
      </w:r>
    </w:p>
    <w:p>
      <w:pPr>
        <w:pStyle w:val="TextBody"/>
        <w:bidi w:val="0"/>
        <w:spacing w:lineRule="auto" w:line="240" w:before="0" w:after="240"/>
        <w:ind w:left="0" w:right="0" w:firstLine="720"/>
        <w:jc w:val="both"/>
        <w:rPr/>
      </w:pPr>
      <w:r>
        <w:rPr>
          <w:rFonts w:ascii="Times New Roman;serif" w:hAnsi="Times New Roman;serif"/>
          <w:b w:val="false"/>
          <w:color w:val="000000"/>
          <w:sz w:val="24"/>
        </w:rPr>
        <w:t xml:space="preserve">(9)to allow any Subsidiary to execute a supplemental indenture and/or a Subsidiary Guarantee with respect to the Notes; </w:t>
      </w:r>
      <w:r>
        <w:rPr>
          <w:rFonts w:ascii="Times New Roman;serif" w:hAnsi="Times New Roman;serif"/>
          <w:b w:val="false"/>
          <w:i/>
          <w:color w:val="000000"/>
          <w:sz w:val="24"/>
        </w:rPr>
        <w:t>provided that</w:t>
      </w:r>
      <w:r>
        <w:rPr>
          <w:color w:val="000000"/>
        </w:rPr>
        <w:t xml:space="preserve"> </w:t>
      </w:r>
      <w:r>
        <w:rPr>
          <w:rFonts w:ascii="Times New Roman;serif" w:hAnsi="Times New Roman;serif"/>
          <w:b w:val="false"/>
          <w:color w:val="000000"/>
          <w:sz w:val="24"/>
        </w:rPr>
        <w:t xml:space="preserve">any supplemental indenture </w:t>
      </w:r>
    </w:p>
    <w:p>
      <w:pPr>
        <w:pStyle w:val="TextBody"/>
        <w:bidi w:val="0"/>
        <w:spacing w:before="0" w:after="0"/>
        <w:jc w:val="left"/>
        <w:rPr/>
      </w:pPr>
      <w:r>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6480175" cy="768985"/>
                <wp:effectExtent l="0" t="0" r="0" b="0"/>
                <wp:wrapNone/>
                <wp:docPr id="251" name="Frame251"/>
                <a:graphic xmlns:a="http://schemas.openxmlformats.org/drawingml/2006/main">
                  <a:graphicData uri="http://schemas.microsoft.com/office/word/2010/wordprocessingShape">
                    <wps:wsp>
                      <wps:cNvSpPr txBox="1"/>
                      <wps:spPr>
                        <a:xfrm>
                          <a:off x="0" y="0"/>
                          <a:ext cx="6480175" cy="7689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78</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0.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78</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to add a Subsidiary Guarantor need only be signed by the Issuer, the Subsidiary Guarantor providing the Subsidiary Guarantee, and the Trustee;</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(10)to release any Subsidiary Guarantor from its Subsidiary Guarantee pursuant to this Indenture when permitted or required by this Indenture;</w:t>
      </w:r>
    </w:p>
    <w:p>
      <w:pPr>
        <w:pStyle w:val="TextBody"/>
        <w:bidi w:val="0"/>
        <w:spacing w:lineRule="auto" w:line="240" w:before="0" w:after="240"/>
        <w:ind w:left="0" w:right="0" w:firstLine="720"/>
        <w:jc w:val="both"/>
        <w:rPr/>
      </w:pPr>
      <w:r>
        <w:rPr>
          <w:rFonts w:ascii="Times New Roman;serif" w:hAnsi="Times New Roman;serif"/>
          <w:b w:val="false"/>
          <w:color w:val="000000"/>
          <w:sz w:val="24"/>
        </w:rPr>
        <w:t xml:space="preserve">(11)to make any amendment to the provisions of this Indenture relating to the transfer and legending of Notes not prohibited by this Indenture, including to facilitate the issuance and administration of Notes;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w:t>
      </w:r>
      <w:r>
        <w:rPr>
          <w:rFonts w:ascii="Times New Roman;serif" w:hAnsi="Times New Roman;serif"/>
          <w:b w:val="false"/>
          <w:i/>
          <w:color w:val="000000"/>
          <w:sz w:val="24"/>
        </w:rPr>
        <w:t>however</w:t>
      </w:r>
      <w:r>
        <w:rPr>
          <w:rFonts w:ascii="Times New Roman;serif" w:hAnsi="Times New Roman;serif"/>
          <w:b w:val="false"/>
          <w:color w:val="000000"/>
          <w:sz w:val="24"/>
        </w:rPr>
        <w:t xml:space="preserve">, that such amendment does not materially and adversely affect the rights of Holders to transfer the Notes; </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(12)to comply with the rules and procedures of any applicable securities depositary; or</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(13)make any amendment to the provisions of any Note Document to eliminate the effect of any Accounting Change or in the application thereof.</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After an amendment, supplement or waiver under this </w:t>
      </w:r>
      <w:r>
        <w:rPr>
          <w:rFonts w:ascii="Times New Roman;serif" w:hAnsi="Times New Roman;serif"/>
          <w:b w:val="false"/>
          <w:color w:val="000000"/>
          <w:sz w:val="24"/>
          <w:u w:val="single"/>
        </w:rPr>
        <w:t>Section 9.01</w:t>
      </w:r>
      <w:r>
        <w:rPr>
          <w:color w:val="000000"/>
        </w:rPr>
        <w:t xml:space="preserve"> </w:t>
      </w:r>
      <w:r>
        <w:rPr>
          <w:rFonts w:ascii="Times New Roman;serif" w:hAnsi="Times New Roman;serif"/>
          <w:b w:val="false"/>
          <w:color w:val="000000"/>
          <w:sz w:val="24"/>
        </w:rPr>
        <w:t>becomes effective, the Issuer shall deliver to the Holders a notice briefly describing such amendment, supplement or waiver. Any failure of the Issuer to deliver such notice to all Holders, or any defect in the notice, will not, however, in any way impair or affect the validity of any such amendment, supplement or waiver.</w:t>
      </w:r>
    </w:p>
    <w:p>
      <w:pPr>
        <w:pStyle w:val="TextBody"/>
        <w:bidi w:val="0"/>
        <w:spacing w:lineRule="auto" w:line="240" w:before="0" w:after="240"/>
        <w:jc w:val="left"/>
        <w:rPr/>
      </w:pPr>
      <w:r>
        <w:rPr>
          <w:rFonts w:ascii="Times New Roman;serif" w:hAnsi="Times New Roman;serif"/>
          <w:b w:val="false"/>
          <w:color w:val="000000"/>
          <w:sz w:val="24"/>
        </w:rPr>
        <w:t>Section 9.02</w:t>
      </w:r>
      <w:r>
        <w:rPr>
          <w:rFonts w:ascii="Times New Roman;serif" w:hAnsi="Times New Roman;serif"/>
          <w:b w:val="false"/>
          <w:color w:val="000000"/>
          <w:sz w:val="24"/>
          <w:u w:val="single"/>
        </w:rPr>
        <w:t>With Consent of Holders of Notes</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rPr>
        <w:t xml:space="preserve">Except as provided in </w:t>
      </w:r>
      <w:r>
        <w:rPr>
          <w:rFonts w:ascii="Times New Roman;serif" w:hAnsi="Times New Roman;serif"/>
          <w:b w:val="false"/>
          <w:color w:val="000000"/>
          <w:sz w:val="24"/>
          <w:u w:val="single"/>
        </w:rPr>
        <w:t>Section 9.02(b)</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Section 9.02(c)</w:t>
      </w:r>
      <w:r>
        <w:rPr>
          <w:rFonts w:ascii="Times New Roman;serif" w:hAnsi="Times New Roman;serif"/>
          <w:b w:val="false"/>
          <w:color w:val="000000"/>
          <w:sz w:val="24"/>
        </w:rPr>
        <w:t xml:space="preserve">, the Issuer, the Subsidiary Guarantors and the Trustee may amend or supplement the Note Documents with the consent of the Holders of at least a majority in aggregate principal amount of the Notes then outstanding (including, without limitation, consents obtained in connection with a purchase of, or tender offer or exchange offer for, the Notes), and any existing Default or Event of Default or compliance with any provision of the Note Documents may be waived with the consent of the Holders of a majority in aggregate principal amount of the Notes then outstanding (including, without limitation, consents obtained in connection with a purchase of, or tender offer or exchange offer for, such Notes). </w:t>
      </w:r>
      <w:r>
        <w:rPr>
          <w:rFonts w:ascii="Times New Roman;serif" w:hAnsi="Times New Roman;serif"/>
          <w:b w:val="false"/>
          <w:color w:val="000000"/>
          <w:sz w:val="24"/>
          <w:u w:val="single"/>
        </w:rPr>
        <w:t>Section 2.09</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Section 2.10</w:t>
      </w:r>
      <w:r>
        <w:rPr>
          <w:color w:val="000000"/>
        </w:rPr>
        <w:t xml:space="preserve"> </w:t>
      </w:r>
      <w:r>
        <w:rPr>
          <w:rFonts w:ascii="Times New Roman;serif" w:hAnsi="Times New Roman;serif"/>
          <w:b w:val="false"/>
          <w:color w:val="000000"/>
          <w:sz w:val="24"/>
        </w:rPr>
        <w:t xml:space="preserve">hereof shall determine which Notes are considered to be “outstanding” for purposes of this </w:t>
      </w:r>
      <w:r>
        <w:rPr>
          <w:rFonts w:ascii="Times New Roman;serif" w:hAnsi="Times New Roman;serif"/>
          <w:b w:val="false"/>
          <w:color w:val="000000"/>
          <w:sz w:val="24"/>
          <w:u w:val="single"/>
        </w:rPr>
        <w:t>Article 9</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rPr>
        <w:t xml:space="preserve">Without the consent of each Holder affected, an amendment, supplement or waiver under this </w:t>
      </w:r>
      <w:r>
        <w:rPr>
          <w:rFonts w:ascii="Times New Roman;serif" w:hAnsi="Times New Roman;serif"/>
          <w:b w:val="false"/>
          <w:color w:val="000000"/>
          <w:sz w:val="24"/>
          <w:u w:val="single"/>
        </w:rPr>
        <w:t>Article 9</w:t>
      </w:r>
      <w:r>
        <w:rPr>
          <w:color w:val="000000"/>
        </w:rPr>
        <w:t xml:space="preserve"> </w:t>
      </w:r>
      <w:r>
        <w:rPr>
          <w:rFonts w:ascii="Times New Roman;serif" w:hAnsi="Times New Roman;serif"/>
          <w:b w:val="false"/>
          <w:color w:val="000000"/>
          <w:sz w:val="24"/>
        </w:rPr>
        <w:t>may not (with respect to any such Notes held by a non-consenting Holder):</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(1)reduce the principal amount of Notes whose Holders must consent to an amendment, supplement or waiver;</w:t>
      </w:r>
    </w:p>
    <w:p>
      <w:pPr>
        <w:pStyle w:val="TextBody"/>
        <w:bidi w:val="0"/>
        <w:spacing w:lineRule="auto" w:line="240" w:before="0" w:after="240"/>
        <w:ind w:left="0" w:right="0" w:firstLine="720"/>
        <w:jc w:val="both"/>
        <w:rPr/>
      </w:pPr>
      <w:r>
        <w:rPr>
          <w:rFonts w:ascii="Times New Roman;serif" w:hAnsi="Times New Roman;serif"/>
          <w:b w:val="false"/>
          <w:color w:val="000000"/>
          <w:sz w:val="24"/>
        </w:rPr>
        <w:t xml:space="preserve">(2)reduce the principal of or extend the fixed maturity of any such Note or alter the provisions with respect to the redemption of such Notes (other than </w:t>
      </w:r>
      <w:r>
        <w:rPr>
          <w:rFonts w:ascii="Times New Roman;serif" w:hAnsi="Times New Roman;serif"/>
          <w:b w:val="false"/>
          <w:color w:val="000000"/>
          <w:sz w:val="24"/>
          <w:u w:val="single"/>
        </w:rPr>
        <w:t>Section 4.08</w:t>
      </w:r>
      <w:r>
        <w:rPr>
          <w:color w:val="000000"/>
        </w:rPr>
        <w:t xml:space="preserve"> </w:t>
      </w:r>
      <w:r>
        <w:rPr>
          <w:rFonts w:ascii="Times New Roman;serif" w:hAnsi="Times New Roman;serif"/>
          <w:b w:val="false"/>
          <w:color w:val="000000"/>
          <w:sz w:val="24"/>
        </w:rPr>
        <w:t>and the provisions relating to the number of days of notice to be given in the event of a redemption);</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(3)reduce the rate of or extend the stated time for payment of interest on any such Note;</w:t>
      </w:r>
    </w:p>
    <w:p>
      <w:pPr>
        <w:pStyle w:val="TextBody"/>
        <w:bidi w:val="0"/>
        <w:spacing w:before="0" w:after="0"/>
        <w:jc w:val="left"/>
        <w:rPr/>
      </w:pPr>
      <w:r>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6480175" cy="768985"/>
                <wp:effectExtent l="0" t="0" r="0" b="0"/>
                <wp:wrapNone/>
                <wp:docPr id="252" name="Frame252"/>
                <a:graphic xmlns:a="http://schemas.openxmlformats.org/drawingml/2006/main">
                  <a:graphicData uri="http://schemas.microsoft.com/office/word/2010/wordprocessingShape">
                    <wps:wsp>
                      <wps:cNvSpPr txBox="1"/>
                      <wps:spPr>
                        <a:xfrm>
                          <a:off x="0" y="0"/>
                          <a:ext cx="6480175" cy="7689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79</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0.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79</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(4)waive a Default or Event of Default in the payment of principal of, or interest or premium on the Notes (except a rescission of acceleration of the Notes by the Holders of a majority in aggregate principal amount of the Notes and a waiver of the payment default that resulted from such acceleration);</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(5)make any Note payable in currency other than that stated in the Notes;</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(6)make any change in the provisions of this Indenture relating to waivers of past Defaults;</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(7)impair the contractual right expressly set forth in the Notes or this Indenture of any Holder to institute suit for the enforcement of any payment on or with respect to such Holder’s Notes on or after the due dates therefor; or</w:t>
      </w:r>
    </w:p>
    <w:p>
      <w:pPr>
        <w:pStyle w:val="TextBody"/>
        <w:bidi w:val="0"/>
        <w:spacing w:lineRule="auto" w:line="240" w:before="0" w:after="240"/>
        <w:ind w:left="0" w:right="0" w:firstLine="720"/>
        <w:jc w:val="both"/>
        <w:rPr/>
      </w:pPr>
      <w:r>
        <w:rPr>
          <w:rFonts w:ascii="Times New Roman;serif" w:hAnsi="Times New Roman;serif"/>
          <w:b w:val="false"/>
          <w:color w:val="000000"/>
          <w:sz w:val="24"/>
        </w:rPr>
        <w:t xml:space="preserve">(8)make any change to </w:t>
      </w:r>
      <w:r>
        <w:rPr>
          <w:rFonts w:ascii="Times New Roman;serif" w:hAnsi="Times New Roman;serif"/>
          <w:b w:val="false"/>
          <w:color w:val="000000"/>
          <w:sz w:val="24"/>
          <w:u w:val="single"/>
        </w:rPr>
        <w:t>Section 9.01</w:t>
      </w:r>
      <w:r>
        <w:rPr>
          <w:color w:val="000000"/>
        </w:rPr>
        <w:t xml:space="preserve"> </w:t>
      </w:r>
      <w:r>
        <w:rPr>
          <w:rFonts w:ascii="Times New Roman;serif" w:hAnsi="Times New Roman;serif"/>
          <w:b w:val="false"/>
          <w:color w:val="000000"/>
          <w:sz w:val="24"/>
        </w:rPr>
        <w:t xml:space="preserve">and this </w:t>
      </w:r>
      <w:r>
        <w:rPr>
          <w:rFonts w:ascii="Times New Roman;serif" w:hAnsi="Times New Roman;serif"/>
          <w:b w:val="false"/>
          <w:color w:val="000000"/>
          <w:sz w:val="24"/>
          <w:u w:val="single"/>
        </w:rPr>
        <w:t>Article 9</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(c)</w:t>
      </w:r>
      <w:r>
        <w:rPr>
          <w:rFonts w:ascii="Times New Roman;serif" w:hAnsi="Times New Roman;serif"/>
          <w:b w:val="false"/>
          <w:color w:val="000000"/>
          <w:sz w:val="24"/>
        </w:rPr>
        <w:t xml:space="preserve">Without the consent of the Holders of at least 66 2/3% in aggregate principal amount of the Notes then outstanding, no amendment or waiver may make any change to </w:t>
      </w:r>
      <w:r>
        <w:rPr>
          <w:rFonts w:ascii="Times New Roman;serif" w:hAnsi="Times New Roman;serif"/>
          <w:b w:val="false"/>
          <w:color w:val="000000"/>
          <w:sz w:val="24"/>
          <w:u w:val="single"/>
        </w:rPr>
        <w:t>Section 4.05</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(d)</w:t>
      </w:r>
      <w:r>
        <w:rPr>
          <w:rFonts w:ascii="Times New Roman;serif" w:hAnsi="Times New Roman;serif"/>
          <w:b w:val="false"/>
          <w:color w:val="000000"/>
          <w:sz w:val="24"/>
        </w:rPr>
        <w:t xml:space="preserve">For the avoidance of doubt, no amendment, waiver, modification or deletion of the provisions described under </w:t>
      </w:r>
      <w:r>
        <w:rPr>
          <w:rFonts w:ascii="Times New Roman;serif" w:hAnsi="Times New Roman;serif"/>
          <w:b w:val="false"/>
          <w:color w:val="000000"/>
          <w:sz w:val="24"/>
          <w:u w:val="single"/>
        </w:rPr>
        <w:t>Article 3</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Article 4</w:t>
      </w:r>
      <w:r>
        <w:rPr>
          <w:color w:val="000000"/>
        </w:rPr>
        <w:t xml:space="preserve"> </w:t>
      </w:r>
      <w:r>
        <w:rPr>
          <w:rFonts w:ascii="Times New Roman;serif" w:hAnsi="Times New Roman;serif"/>
          <w:b w:val="false"/>
          <w:color w:val="000000"/>
          <w:sz w:val="24"/>
        </w:rPr>
        <w:t>shall be deemed to impair or affect any rights of Holders to institute suit for the enforcement of any payment on or with respect to, or to receive payment of principal of, or premium, if any, or interest on, the Notes.</w:t>
      </w:r>
    </w:p>
    <w:p>
      <w:pPr>
        <w:pStyle w:val="TextBody"/>
        <w:bidi w:val="0"/>
        <w:spacing w:lineRule="auto" w:line="240" w:before="0" w:after="240"/>
        <w:ind w:left="0" w:right="0" w:firstLine="720"/>
        <w:jc w:val="both"/>
        <w:rPr/>
      </w:pPr>
      <w:r>
        <w:rPr>
          <w:rFonts w:ascii="Times New Roman;serif" w:hAnsi="Times New Roman;serif"/>
          <w:b w:val="false"/>
          <w:color w:val="000000"/>
          <w:sz w:val="24"/>
        </w:rPr>
        <w:t>(e)</w:t>
      </w:r>
      <w:r>
        <w:rPr>
          <w:rFonts w:ascii="Times New Roman;serif" w:hAnsi="Times New Roman;serif"/>
          <w:b w:val="false"/>
          <w:color w:val="000000"/>
          <w:sz w:val="24"/>
        </w:rPr>
        <w:t xml:space="preserve">The consent of the Holders is not necessary under this </w:t>
      </w:r>
      <w:r>
        <w:rPr>
          <w:rFonts w:ascii="Times New Roman;serif" w:hAnsi="Times New Roman;serif"/>
          <w:b w:val="false"/>
          <w:color w:val="000000"/>
          <w:sz w:val="24"/>
          <w:u w:val="single"/>
        </w:rPr>
        <w:t xml:space="preserve">Article 9 </w:t>
      </w:r>
      <w:r>
        <w:rPr>
          <w:rFonts w:ascii="Times New Roman;serif" w:hAnsi="Times New Roman;serif"/>
          <w:b w:val="false"/>
          <w:color w:val="000000"/>
          <w:sz w:val="24"/>
        </w:rPr>
        <w:t>to approve the particular form of any proposed amendment, supplement or waiver. It is sufficient if such consent approves the substance of the proposed amendment, supplement or waiver. A consent to any amendment, supplement or waiver under this Indenture by any Holder given in connection with a tender of such Holder’s Notes will not be rendered invalid by such tender.</w:t>
      </w:r>
    </w:p>
    <w:p>
      <w:pPr>
        <w:pStyle w:val="TextBody"/>
        <w:bidi w:val="0"/>
        <w:spacing w:lineRule="auto" w:line="240" w:before="0" w:after="240"/>
        <w:ind w:left="0" w:right="0" w:firstLine="720"/>
        <w:jc w:val="both"/>
        <w:rPr/>
      </w:pPr>
      <w:r>
        <w:rPr>
          <w:rFonts w:ascii="Times New Roman;serif" w:hAnsi="Times New Roman;serif"/>
          <w:b w:val="false"/>
          <w:color w:val="000000"/>
          <w:sz w:val="24"/>
        </w:rPr>
        <w:t>(f)</w:t>
      </w:r>
      <w:r>
        <w:rPr>
          <w:rFonts w:ascii="Times New Roman;serif" w:hAnsi="Times New Roman;serif"/>
          <w:b w:val="false"/>
          <w:color w:val="000000"/>
          <w:sz w:val="24"/>
        </w:rPr>
        <w:t xml:space="preserve">After an amendment, supplement or waiver under this </w:t>
      </w:r>
      <w:r>
        <w:rPr>
          <w:rFonts w:ascii="Times New Roman;serif" w:hAnsi="Times New Roman;serif"/>
          <w:b w:val="false"/>
          <w:color w:val="000000"/>
          <w:sz w:val="24"/>
          <w:u w:val="single"/>
        </w:rPr>
        <w:t>Article 9</w:t>
      </w:r>
      <w:r>
        <w:rPr>
          <w:color w:val="000000"/>
        </w:rPr>
        <w:t xml:space="preserve"> </w:t>
      </w:r>
      <w:r>
        <w:rPr>
          <w:rFonts w:ascii="Times New Roman;serif" w:hAnsi="Times New Roman;serif"/>
          <w:b w:val="false"/>
          <w:color w:val="000000"/>
          <w:sz w:val="24"/>
        </w:rPr>
        <w:t>becomes effective, the Issuer shall deliver to the Holders a notice briefly describing such amendment, supplement or waiver. Any failure of the Issuer to deliver such notice to all Holders, or any defect in the notice, will not impair or affect the validity of any such amendment, supplement or waiver.</w:t>
      </w:r>
    </w:p>
    <w:p>
      <w:pPr>
        <w:pStyle w:val="TextBody"/>
        <w:bidi w:val="0"/>
        <w:spacing w:lineRule="auto" w:line="240" w:before="0" w:after="240"/>
        <w:jc w:val="left"/>
        <w:rPr/>
      </w:pPr>
      <w:r>
        <w:rPr>
          <w:rFonts w:ascii="Times New Roman;serif" w:hAnsi="Times New Roman;serif"/>
          <w:b w:val="false"/>
          <w:color w:val="000000"/>
          <w:sz w:val="24"/>
        </w:rPr>
        <w:t>Section 9.03</w:t>
      </w:r>
      <w:r>
        <w:rPr>
          <w:rFonts w:ascii="Times New Roman;serif" w:hAnsi="Times New Roman;serif"/>
          <w:b w:val="false"/>
          <w:color w:val="000000"/>
          <w:sz w:val="24"/>
          <w:u w:val="single"/>
        </w:rPr>
        <w:t>Effect of Consents</w:t>
      </w:r>
      <w:r>
        <w:rPr>
          <w:rFonts w:ascii="Times New Roman;serif" w:hAnsi="Times New Roman;serif"/>
          <w:b w:val="false"/>
          <w:color w:val="000000"/>
          <w:sz w:val="24"/>
        </w:rPr>
        <w: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Until an amendment, supplement or waiver becomes effective, a consent to it by a Holder of a Note is a continuing consent by the Holder of a Note and every subsequent Holder of a Note or portion of a Note that evidences the same debt as the consenting Holder’s Note, even if notation of the consent is not made on any Note. An amendment, supplement or waiver becomes effective in accordance with its terms and thereafter binds every Holder.</w:t>
      </w:r>
    </w:p>
    <w:p>
      <w:pPr>
        <w:pStyle w:val="TextBody"/>
        <w:bidi w:val="0"/>
        <w:spacing w:lineRule="auto" w:line="240" w:before="0" w:after="240"/>
        <w:jc w:val="left"/>
        <w:rPr/>
      </w:pPr>
      <w:r>
        <w:rPr>
          <w:rFonts w:ascii="Times New Roman;serif" w:hAnsi="Times New Roman;serif"/>
          <w:b w:val="false"/>
          <w:color w:val="000000"/>
          <w:sz w:val="24"/>
        </w:rPr>
        <w:t>Section 9.04</w:t>
      </w:r>
      <w:r>
        <w:rPr>
          <w:rFonts w:ascii="Times New Roman;serif" w:hAnsi="Times New Roman;serif"/>
          <w:b w:val="false"/>
          <w:color w:val="000000"/>
          <w:sz w:val="24"/>
          <w:u w:val="single"/>
        </w:rPr>
        <w:t>Notation on or Exchange of Notes</w:t>
      </w:r>
      <w:r>
        <w:rPr>
          <w:rFonts w:ascii="Times New Roman;serif" w:hAnsi="Times New Roman;serif"/>
          <w:b w:val="false"/>
          <w:color w:val="000000"/>
          <w:sz w:val="24"/>
        </w:rPr>
        <w: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Trustee may place an appropriate notation about an amendment, supplement or waiver on any Note thereafter authenticated. The Issuer in exchange for all Notes may issue and the Trustee shall, upon receipt of an Issuer Order, authenticate new Notes that reflect the amendment, supplement or waiver.</w:t>
      </w:r>
    </w:p>
    <w:p>
      <w:pPr>
        <w:pStyle w:val="TextBody"/>
        <w:bidi w:val="0"/>
        <w:spacing w:before="0" w:after="0"/>
        <w:jc w:val="left"/>
        <w:rPr/>
      </w:pPr>
      <w:r>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6480175" cy="768985"/>
                <wp:effectExtent l="0" t="0" r="0" b="0"/>
                <wp:wrapNone/>
                <wp:docPr id="253" name="Frame253"/>
                <a:graphic xmlns:a="http://schemas.openxmlformats.org/drawingml/2006/main">
                  <a:graphicData uri="http://schemas.microsoft.com/office/word/2010/wordprocessingShape">
                    <wps:wsp>
                      <wps:cNvSpPr txBox="1"/>
                      <wps:spPr>
                        <a:xfrm>
                          <a:off x="0" y="0"/>
                          <a:ext cx="6480175" cy="7689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80</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0.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80</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Failure to make the appropriate notation or issue a new Note will not affect the validity and effect of such amendment, supplement or waiver.</w:t>
      </w:r>
    </w:p>
    <w:p>
      <w:pPr>
        <w:pStyle w:val="TextBody"/>
        <w:bidi w:val="0"/>
        <w:spacing w:lineRule="auto" w:line="240" w:before="0" w:after="240"/>
        <w:jc w:val="left"/>
        <w:rPr/>
      </w:pPr>
      <w:r>
        <w:rPr>
          <w:rFonts w:ascii="Times New Roman;serif" w:hAnsi="Times New Roman;serif"/>
          <w:b w:val="false"/>
          <w:color w:val="000000"/>
          <w:sz w:val="24"/>
        </w:rPr>
        <w:t>Section 9.05</w:t>
      </w:r>
      <w:r>
        <w:rPr>
          <w:rFonts w:ascii="Times New Roman;serif" w:hAnsi="Times New Roman;serif"/>
          <w:b w:val="false"/>
          <w:color w:val="000000"/>
          <w:sz w:val="24"/>
          <w:u w:val="single"/>
        </w:rPr>
        <w:t>Trustee to Sign Amendments, etc.</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Upon the request of the Issuer and upon the filing with the Trustee of evidence satisfactory to the Trustee of the consent of the Holders as aforesaid, the Trustee shall sign any amended or supplemental indenture or other amendment of or supplement to or waiver under any Note Document authorized pursuant to this </w:t>
      </w:r>
      <w:r>
        <w:rPr>
          <w:rFonts w:ascii="Times New Roman;serif" w:hAnsi="Times New Roman;serif"/>
          <w:b w:val="false"/>
          <w:color w:val="000000"/>
          <w:sz w:val="24"/>
          <w:u w:val="single"/>
        </w:rPr>
        <w:t>Article 9</w:t>
      </w:r>
      <w:r>
        <w:rPr>
          <w:color w:val="000000"/>
        </w:rPr>
        <w:t xml:space="preserve"> </w:t>
      </w:r>
      <w:r>
        <w:rPr>
          <w:rFonts w:ascii="Times New Roman;serif" w:hAnsi="Times New Roman;serif"/>
          <w:b w:val="false"/>
          <w:color w:val="000000"/>
          <w:sz w:val="24"/>
        </w:rPr>
        <w:t xml:space="preserve">if the amendment, supplement or waiver does not adversely affect the rights, duties, liabilities or immunities of the Trustee under this Indenture, in which case the Trustee may in its discretion, but will not be obligated to, enter into such amended or supplemental indenture or any amendment of or supplement to or waiver under any Note Document. In executing any amended or supplemental indenture or other amendment of or supplement to or waiver under any Note Document, the Trustee will be entitled to receive and (subject to </w:t>
      </w:r>
      <w:r>
        <w:rPr>
          <w:rFonts w:ascii="Times New Roman;serif" w:hAnsi="Times New Roman;serif"/>
          <w:b w:val="false"/>
          <w:color w:val="000000"/>
          <w:sz w:val="24"/>
          <w:u w:val="single"/>
        </w:rPr>
        <w:t>Section 7.01</w:t>
      </w:r>
      <w:r>
        <w:rPr>
          <w:color w:val="000000"/>
        </w:rPr>
        <w:t xml:space="preserve"> </w:t>
      </w:r>
      <w:r>
        <w:rPr>
          <w:rFonts w:ascii="Times New Roman;serif" w:hAnsi="Times New Roman;serif"/>
          <w:b w:val="false"/>
          <w:color w:val="000000"/>
          <w:sz w:val="24"/>
        </w:rPr>
        <w:t>hereof) will be fully protected in relying upon an Officer’s Certificate and an Opinion of Counsel stating that the execution of such amended or supplemental indenture or other amendment of or supplement to or waiver under any Note Document is authorized or permitted by this Indenture.</w:t>
      </w:r>
    </w:p>
    <w:p>
      <w:pPr>
        <w:pStyle w:val="TextBody"/>
        <w:bidi w:val="0"/>
        <w:spacing w:lineRule="auto" w:line="240" w:before="0" w:after="240"/>
        <w:jc w:val="center"/>
        <w:rPr/>
      </w:pPr>
      <w:r>
        <w:rPr>
          <w:rFonts w:ascii="Times New Roman;serif" w:hAnsi="Times New Roman;serif"/>
          <w:b w:val="false"/>
          <w:color w:val="000000"/>
          <w:sz w:val="24"/>
        </w:rPr>
        <w:t>Article 10</w:t>
      </w:r>
      <w:r>
        <w:rPr>
          <w:rFonts w:ascii="Times New Roman;serif" w:hAnsi="Times New Roman;serif"/>
          <w:b w:val="false"/>
          <w:color w:val="000000"/>
          <w:sz w:val="24"/>
        </w:rPr>
        <w:br/>
        <w:t>SATISFACTION AND DISCHARGE</w:t>
      </w:r>
    </w:p>
    <w:p>
      <w:pPr>
        <w:pStyle w:val="TextBody"/>
        <w:bidi w:val="0"/>
        <w:spacing w:lineRule="auto" w:line="240" w:before="0" w:after="240"/>
        <w:jc w:val="left"/>
        <w:rPr/>
      </w:pPr>
      <w:r>
        <w:rPr>
          <w:rFonts w:ascii="Times New Roman;serif" w:hAnsi="Times New Roman;serif"/>
          <w:b w:val="false"/>
          <w:color w:val="000000"/>
          <w:sz w:val="24"/>
        </w:rPr>
        <w:t>Section 10.01</w:t>
      </w:r>
      <w:r>
        <w:rPr>
          <w:rFonts w:ascii="Times New Roman;serif" w:hAnsi="Times New Roman;serif"/>
          <w:b w:val="false"/>
          <w:color w:val="000000"/>
          <w:sz w:val="24"/>
          <w:u w:val="single"/>
        </w:rPr>
        <w:t>Satisfaction and Discharge</w:t>
      </w:r>
      <w:r>
        <w:rPr>
          <w:rFonts w:ascii="Times New Roman;serif" w:hAnsi="Times New Roman;serif"/>
          <w:b w:val="false"/>
          <w:color w:val="000000"/>
          <w:sz w:val="24"/>
        </w:rPr>
        <w:t xml:space="preserve">. </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This Indenture will be discharged and will cease to be of further effect as to all Notes issued hereunder, when:</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(1)either:</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(A)all such Notes that have been authenticated, except lost, stolen or destroyed Notes that have been replaced or paid and Notes for whose payment money has been deposited in trust and thereafter repaid to the Issuer, have been delivered to the Trustee for cancellation; or</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(B)all such Notes that have not been delivered to the Trustee for cancellation have become due and payable by reason of the issuance of a notice of redemption or otherwise or will become due and payable within one year and the Issuer or any Subsidiary Guarantor has irrevocably deposited or caused to be deposited with the Trustee as trust funds in trust solely for the benefit of the Holders thereof, cash in U.S. dollars, non-callable Government Securities or a combination of cash in U.S. dollars and non-callable Government Securities, in amounts as will be sufficient, without consideration of any reinvestment of interest, to pay and discharge the entire Indebtedness on the Notes not delivered to the Trustee for cancellation for principal, premium, if any, and accrued interest to the date of maturity or redemption;</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(2)no Default or Event of Default under this Indenture has occurred and is continuing on the date of the deposit (other than a Default or Event of Default resulting from the borrowing of funds to be applied to such deposit) and the deposit will not result </w:t>
      </w:r>
    </w:p>
    <w:p>
      <w:pPr>
        <w:pStyle w:val="TextBody"/>
        <w:bidi w:val="0"/>
        <w:spacing w:before="0" w:after="0"/>
        <w:jc w:val="left"/>
        <w:rPr/>
      </w:pPr>
      <w:r>
        <w:rPr/>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6480175" cy="768985"/>
                <wp:effectExtent l="0" t="0" r="0" b="0"/>
                <wp:wrapNone/>
                <wp:docPr id="254" name="Frame254"/>
                <a:graphic xmlns:a="http://schemas.openxmlformats.org/drawingml/2006/main">
                  <a:graphicData uri="http://schemas.microsoft.com/office/word/2010/wordprocessingShape">
                    <wps:wsp>
                      <wps:cNvSpPr txBox="1"/>
                      <wps:spPr>
                        <a:xfrm>
                          <a:off x="0" y="0"/>
                          <a:ext cx="6480175" cy="7689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81</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0.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81</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in a breach or violation of, or constitute a default under, any other instrument to which the Issuer or any Subsidiary Guarantor is a party or by which the Issuer or any such Subsidiary Guarantor is bound;</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(3)the Issuer or any Subsidiary Guarantor has paid or caused to be paid all sums payable by it with respect to the Notes issued under this Indenture; and</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(4)the Issuer has delivered irrevocable written instructions to the Trustee under this Indenture to apply the deposited money toward the payment of the Notes at maturity or the redemption date, as the case may be.</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In addition, the Issuer must deliver to the Trustee an Officer’s Certificate and an Opinion of Counsel stating that all conditions precedent to satisfaction and discharge have been satisfied.</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Notwithstanding the satisfaction and discharge of this Indenture, if money has been deposited with the Trustee pursuant to subclause (B) of clause (1) of this </w:t>
      </w:r>
      <w:r>
        <w:rPr>
          <w:rFonts w:ascii="Times New Roman;serif" w:hAnsi="Times New Roman;serif"/>
          <w:b w:val="false"/>
          <w:color w:val="000000"/>
          <w:sz w:val="24"/>
          <w:u w:val="single"/>
        </w:rPr>
        <w:t>Section 10.01</w:t>
      </w:r>
      <w:r>
        <w:rPr>
          <w:rFonts w:ascii="Times New Roman;serif" w:hAnsi="Times New Roman;serif"/>
          <w:b w:val="false"/>
          <w:color w:val="000000"/>
          <w:sz w:val="24"/>
        </w:rPr>
        <w:t xml:space="preserve">, the provisions of </w:t>
      </w:r>
      <w:r>
        <w:rPr>
          <w:rFonts w:ascii="Times New Roman;serif" w:hAnsi="Times New Roman;serif"/>
          <w:b w:val="false"/>
          <w:color w:val="000000"/>
          <w:sz w:val="24"/>
          <w:u w:val="single"/>
        </w:rPr>
        <w:t>Section 10.02</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Section 8.06</w:t>
      </w:r>
      <w:r>
        <w:rPr>
          <w:color w:val="000000"/>
        </w:rPr>
        <w:t xml:space="preserve"> </w:t>
      </w:r>
      <w:r>
        <w:rPr>
          <w:rFonts w:ascii="Times New Roman;serif" w:hAnsi="Times New Roman;serif"/>
          <w:b w:val="false"/>
          <w:color w:val="000000"/>
          <w:sz w:val="24"/>
        </w:rPr>
        <w:t xml:space="preserve">hereof will survive. In addition, nothing in this </w:t>
      </w:r>
      <w:r>
        <w:rPr>
          <w:rFonts w:ascii="Times New Roman;serif" w:hAnsi="Times New Roman;serif"/>
          <w:b w:val="false"/>
          <w:color w:val="000000"/>
          <w:sz w:val="24"/>
          <w:u w:val="single"/>
        </w:rPr>
        <w:t>Section 10.01</w:t>
      </w:r>
      <w:r>
        <w:rPr>
          <w:color w:val="000000"/>
        </w:rPr>
        <w:t xml:space="preserve"> </w:t>
      </w:r>
      <w:r>
        <w:rPr>
          <w:rFonts w:ascii="Times New Roman;serif" w:hAnsi="Times New Roman;serif"/>
          <w:b w:val="false"/>
          <w:color w:val="000000"/>
          <w:sz w:val="24"/>
        </w:rPr>
        <w:t xml:space="preserve">will be deemed to discharge those provisions of </w:t>
      </w:r>
      <w:r>
        <w:rPr>
          <w:rFonts w:ascii="Times New Roman;serif" w:hAnsi="Times New Roman;serif"/>
          <w:b w:val="false"/>
          <w:color w:val="000000"/>
          <w:sz w:val="24"/>
          <w:u w:val="single"/>
        </w:rPr>
        <w:t>Section 7.06</w:t>
      </w:r>
      <w:r>
        <w:rPr>
          <w:color w:val="000000"/>
        </w:rPr>
        <w:t xml:space="preserve"> </w:t>
      </w:r>
      <w:r>
        <w:rPr>
          <w:rFonts w:ascii="Times New Roman;serif" w:hAnsi="Times New Roman;serif"/>
          <w:b w:val="false"/>
          <w:color w:val="000000"/>
          <w:sz w:val="24"/>
        </w:rPr>
        <w:t>hereof, that, by their terms, survive the satisfaction and discharge of this Indenture.</w:t>
      </w:r>
    </w:p>
    <w:p>
      <w:pPr>
        <w:pStyle w:val="TextBody"/>
        <w:bidi w:val="0"/>
        <w:spacing w:lineRule="auto" w:line="240" w:before="0" w:after="240"/>
        <w:jc w:val="left"/>
        <w:rPr/>
      </w:pPr>
      <w:r>
        <w:rPr>
          <w:rFonts w:ascii="Times New Roman;serif" w:hAnsi="Times New Roman;serif"/>
          <w:b w:val="false"/>
          <w:color w:val="000000"/>
          <w:sz w:val="24"/>
        </w:rPr>
        <w:t>Section 10.02</w:t>
      </w:r>
      <w:r>
        <w:rPr>
          <w:rFonts w:ascii="Times New Roman;serif" w:hAnsi="Times New Roman;serif"/>
          <w:b w:val="false"/>
          <w:color w:val="000000"/>
          <w:sz w:val="24"/>
          <w:u w:val="single"/>
        </w:rPr>
        <w:t>Application of Trust Money</w:t>
      </w:r>
      <w:r>
        <w:rPr>
          <w:rFonts w:ascii="Times New Roman;serif" w:hAnsi="Times New Roman;serif"/>
          <w:b w:val="false"/>
          <w:color w:val="000000"/>
          <w:sz w:val="24"/>
        </w:rPr>
        <w:t xml:space="preserve">. </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Subject to the provisions of </w:t>
      </w:r>
      <w:r>
        <w:rPr>
          <w:rFonts w:ascii="Times New Roman;serif" w:hAnsi="Times New Roman;serif"/>
          <w:b w:val="false"/>
          <w:color w:val="000000"/>
          <w:sz w:val="24"/>
          <w:u w:val="single"/>
        </w:rPr>
        <w:t>Section 8.06</w:t>
      </w:r>
      <w:r>
        <w:rPr>
          <w:color w:val="000000"/>
        </w:rPr>
        <w:t xml:space="preserve"> </w:t>
      </w:r>
      <w:r>
        <w:rPr>
          <w:rFonts w:ascii="Times New Roman;serif" w:hAnsi="Times New Roman;serif"/>
          <w:b w:val="false"/>
          <w:color w:val="000000"/>
          <w:sz w:val="24"/>
        </w:rPr>
        <w:t xml:space="preserve">hereof, all money deposited with the Trustee pursuant to </w:t>
      </w:r>
      <w:r>
        <w:rPr>
          <w:rFonts w:ascii="Times New Roman;serif" w:hAnsi="Times New Roman;serif"/>
          <w:b w:val="false"/>
          <w:color w:val="000000"/>
          <w:sz w:val="24"/>
          <w:u w:val="single"/>
        </w:rPr>
        <w:t>Section 10.01</w:t>
      </w:r>
      <w:r>
        <w:rPr>
          <w:color w:val="000000"/>
        </w:rPr>
        <w:t xml:space="preserve"> </w:t>
      </w:r>
      <w:r>
        <w:rPr>
          <w:rFonts w:ascii="Times New Roman;serif" w:hAnsi="Times New Roman;serif"/>
          <w:b w:val="false"/>
          <w:color w:val="000000"/>
          <w:sz w:val="24"/>
        </w:rPr>
        <w:t>hereof shall be held in trust and applied by it, in accordance with the provisions of the Notes and this Indenture, to the payment, either directly or through any Paying Agent (including the Issuer acting as its own Paying Agent) as the Trustee may determine, to the Persons entitled thereto, of the principal, premium, if any, and interest for whose payment such money has been deposited with the Trustee; but such money need not be segregated from other funds except to the extent required by law.</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If the Trustee or Paying Agent is unable to apply any money or Government Securities in accordance with </w:t>
      </w:r>
      <w:r>
        <w:rPr>
          <w:rFonts w:ascii="Times New Roman;serif" w:hAnsi="Times New Roman;serif"/>
          <w:b w:val="false"/>
          <w:color w:val="000000"/>
          <w:sz w:val="24"/>
          <w:u w:val="single"/>
        </w:rPr>
        <w:t>Section 10.01</w:t>
      </w:r>
      <w:r>
        <w:rPr>
          <w:color w:val="000000"/>
        </w:rPr>
        <w:t xml:space="preserve"> </w:t>
      </w:r>
      <w:r>
        <w:rPr>
          <w:rFonts w:ascii="Times New Roman;serif" w:hAnsi="Times New Roman;serif"/>
          <w:b w:val="false"/>
          <w:color w:val="000000"/>
          <w:sz w:val="24"/>
        </w:rPr>
        <w:t xml:space="preserve">hereof by reason of any legal proceeding or by reason of any order or judgment of any court or Governmental Authority enjoining, restraining or otherwise prohibiting such application, the Issuer’s and any applicable Subsidiary Guarantor’s obligations under this Indenture and the Notes shall be revived and reinstated as though no deposit had occurred pursuant to </w:t>
      </w:r>
      <w:r>
        <w:rPr>
          <w:rFonts w:ascii="Times New Roman;serif" w:hAnsi="Times New Roman;serif"/>
          <w:b w:val="false"/>
          <w:color w:val="000000"/>
          <w:sz w:val="24"/>
          <w:u w:val="single"/>
        </w:rPr>
        <w:t>Section 10.01</w:t>
      </w:r>
      <w:r>
        <w:rPr>
          <w:color w:val="000000"/>
        </w:rPr>
        <w:t xml:space="preserve"> </w:t>
      </w:r>
      <w:r>
        <w:rPr>
          <w:rFonts w:ascii="Times New Roman;serif" w:hAnsi="Times New Roman;serif"/>
          <w:b w:val="false"/>
          <w:color w:val="000000"/>
          <w:sz w:val="24"/>
        </w:rPr>
        <w:t xml:space="preserve">hereof; </w:t>
      </w:r>
      <w:r>
        <w:rPr>
          <w:rFonts w:ascii="Times New Roman;serif" w:hAnsi="Times New Roman;serif"/>
          <w:b w:val="false"/>
          <w:i/>
          <w:color w:val="000000"/>
          <w:sz w:val="24"/>
        </w:rPr>
        <w:t>provided that</w:t>
      </w:r>
      <w:r>
        <w:rPr>
          <w:color w:val="000000"/>
        </w:rPr>
        <w:t xml:space="preserve"> </w:t>
      </w:r>
      <w:r>
        <w:rPr>
          <w:rFonts w:ascii="Times New Roman;serif" w:hAnsi="Times New Roman;serif"/>
          <w:b w:val="false"/>
          <w:color w:val="000000"/>
          <w:sz w:val="24"/>
        </w:rPr>
        <w:t>if the Issuer has made any payment of principal of, premium, if any, or interest on any Notes because of the reinstatement of its obligations, the Issuer shall be subrogated to the rights of the Holders of such Notes to receive such payment from the money or Government Securities held by the Trustee or Paying Agent.</w:t>
      </w:r>
    </w:p>
    <w:p>
      <w:pPr>
        <w:pStyle w:val="TextBody"/>
        <w:bidi w:val="0"/>
        <w:spacing w:lineRule="auto" w:line="240" w:before="0" w:after="240"/>
        <w:jc w:val="center"/>
        <w:rPr/>
      </w:pPr>
      <w:r>
        <w:rPr>
          <w:rFonts w:ascii="Times New Roman;serif" w:hAnsi="Times New Roman;serif"/>
          <w:b w:val="false"/>
          <w:color w:val="000000"/>
          <w:sz w:val="24"/>
        </w:rPr>
        <w:t>Article 11</w:t>
      </w:r>
      <w:r>
        <w:rPr>
          <w:rFonts w:ascii="Times New Roman;serif" w:hAnsi="Times New Roman;serif"/>
          <w:b w:val="false"/>
          <w:color w:val="000000"/>
          <w:sz w:val="24"/>
        </w:rPr>
        <w:br/>
        <w:t>SUBSIDIARY GUARANTEES</w:t>
      </w:r>
    </w:p>
    <w:p>
      <w:pPr>
        <w:pStyle w:val="TextBody"/>
        <w:bidi w:val="0"/>
        <w:spacing w:lineRule="auto" w:line="240" w:before="0" w:after="240"/>
        <w:jc w:val="left"/>
        <w:rPr/>
      </w:pPr>
      <w:r>
        <w:rPr>
          <w:rFonts w:ascii="Times New Roman;serif" w:hAnsi="Times New Roman;serif"/>
          <w:b w:val="false"/>
          <w:color w:val="000000"/>
          <w:sz w:val="24"/>
        </w:rPr>
        <w:t>Section 11.01</w:t>
      </w:r>
      <w:r>
        <w:rPr>
          <w:rFonts w:ascii="Times New Roman;serif" w:hAnsi="Times New Roman;serif"/>
          <w:b w:val="false"/>
          <w:color w:val="000000"/>
          <w:sz w:val="24"/>
          <w:u w:val="single"/>
        </w:rPr>
        <w:t>Guarantee</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rPr>
        <w:t xml:space="preserve">Subject to this </w:t>
      </w:r>
      <w:r>
        <w:rPr>
          <w:rFonts w:ascii="Times New Roman;serif" w:hAnsi="Times New Roman;serif"/>
          <w:b w:val="false"/>
          <w:color w:val="000000"/>
          <w:sz w:val="24"/>
          <w:u w:val="single"/>
        </w:rPr>
        <w:t>Article 11</w:t>
      </w:r>
      <w:r>
        <w:rPr>
          <w:rFonts w:ascii="Times New Roman;serif" w:hAnsi="Times New Roman;serif"/>
          <w:b w:val="false"/>
          <w:color w:val="000000"/>
          <w:sz w:val="24"/>
        </w:rPr>
        <w:t>, each of the Subsidiary Guarantors hereby, jointly and severally unconditionally guarantees to each</w:t>
      </w:r>
      <w:r>
        <w:rPr>
          <w:color w:val="000000"/>
        </w:rPr>
        <w:t xml:space="preserve"> </w:t>
      </w:r>
      <w:r>
        <w:rPr>
          <w:rFonts w:ascii="Times New Roman;serif" w:hAnsi="Times New Roman;serif"/>
          <w:b w:val="false"/>
          <w:color w:val="000000"/>
          <w:sz w:val="24"/>
        </w:rPr>
        <w:t>Holder of a Note authenticated and delivered by the Trustee and to the Trustee and its successors and assigns, irrespective of the validity and</w:t>
      </w:r>
      <w:r>
        <w:rPr>
          <w:color w:val="000000"/>
        </w:rPr>
        <w:t xml:space="preserve"> </w:t>
      </w:r>
    </w:p>
    <w:p>
      <w:pPr>
        <w:pStyle w:val="TextBody"/>
        <w:bidi w:val="0"/>
        <w:spacing w:before="0" w:after="0"/>
        <w:jc w:val="left"/>
        <w:rPr/>
      </w:pPr>
      <w:r>
        <w:rPr/>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6480175" cy="768985"/>
                <wp:effectExtent l="0" t="0" r="0" b="0"/>
                <wp:wrapNone/>
                <wp:docPr id="255" name="Frame255"/>
                <a:graphic xmlns:a="http://schemas.openxmlformats.org/drawingml/2006/main">
                  <a:graphicData uri="http://schemas.microsoft.com/office/word/2010/wordprocessingShape">
                    <wps:wsp>
                      <wps:cNvSpPr txBox="1"/>
                      <wps:spPr>
                        <a:xfrm>
                          <a:off x="0" y="0"/>
                          <a:ext cx="6480175" cy="7689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82</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0.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82</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enforceability of this Indenture, the Notes or the obligations of the Issuer hereunder or thereunder, that:</w:t>
      </w:r>
    </w:p>
    <w:p>
      <w:pPr>
        <w:pStyle w:val="TextBody"/>
        <w:bidi w:val="0"/>
        <w:spacing w:lineRule="auto" w:line="240" w:before="0" w:after="240"/>
        <w:ind w:left="0" w:right="0" w:firstLine="720"/>
        <w:jc w:val="both"/>
        <w:rPr/>
      </w:pPr>
      <w:r>
        <w:rPr>
          <w:rFonts w:ascii="Times New Roman;serif" w:hAnsi="Times New Roman;serif"/>
          <w:b w:val="false"/>
          <w:color w:val="000000"/>
          <w:sz w:val="24"/>
        </w:rPr>
        <w:t>(1)the principal of, premium, if any, and interest on the Notes shall be promptly paid in full when due, whether at maturity, by acceleration,</w:t>
      </w:r>
      <w:r>
        <w:rPr>
          <w:color w:val="000000"/>
        </w:rPr>
        <w:t xml:space="preserve"> </w:t>
      </w:r>
      <w:r>
        <w:rPr>
          <w:rFonts w:ascii="Times New Roman;serif" w:hAnsi="Times New Roman;serif"/>
          <w:b w:val="false"/>
          <w:color w:val="000000"/>
          <w:sz w:val="24"/>
        </w:rPr>
        <w:t>redemption or otherwise, and interest on the overdue principal of and interest on the Notes, if any, if lawful, and all other obligations of the</w:t>
      </w:r>
      <w:r>
        <w:rPr>
          <w:color w:val="000000"/>
        </w:rPr>
        <w:t xml:space="preserve"> </w:t>
      </w:r>
      <w:r>
        <w:rPr>
          <w:rFonts w:ascii="Times New Roman;serif" w:hAnsi="Times New Roman;serif"/>
          <w:b w:val="false"/>
          <w:color w:val="000000"/>
          <w:sz w:val="24"/>
        </w:rPr>
        <w:t>Issuer to the Holders or the Trustee hereunder or thereunder shall be promptly paid in full or performed, all in accordance with the terms hereof</w:t>
      </w:r>
      <w:r>
        <w:rPr>
          <w:color w:val="000000"/>
        </w:rPr>
        <w:t xml:space="preserve"> </w:t>
      </w:r>
      <w:r>
        <w:rPr>
          <w:rFonts w:ascii="Times New Roman;serif" w:hAnsi="Times New Roman;serif"/>
          <w:b w:val="false"/>
          <w:color w:val="000000"/>
          <w:sz w:val="24"/>
        </w:rPr>
        <w:t>and thereof; and</w:t>
      </w:r>
    </w:p>
    <w:p>
      <w:pPr>
        <w:pStyle w:val="TextBody"/>
        <w:bidi w:val="0"/>
        <w:spacing w:lineRule="auto" w:line="240" w:before="0" w:after="240"/>
        <w:ind w:left="0" w:right="0" w:firstLine="720"/>
        <w:jc w:val="both"/>
        <w:rPr/>
      </w:pPr>
      <w:r>
        <w:rPr>
          <w:rFonts w:ascii="Times New Roman;serif" w:hAnsi="Times New Roman;serif"/>
          <w:b w:val="false"/>
          <w:color w:val="000000"/>
          <w:sz w:val="24"/>
        </w:rPr>
        <w:t>(2)in case of any extension of time of payment or renewal of any Notes or any of such other obligations, that same shall be promptly paid in</w:t>
      </w:r>
      <w:r>
        <w:rPr>
          <w:color w:val="000000"/>
        </w:rPr>
        <w:t xml:space="preserve"> </w:t>
      </w:r>
      <w:r>
        <w:rPr>
          <w:rFonts w:ascii="Times New Roman;serif" w:hAnsi="Times New Roman;serif"/>
          <w:b w:val="false"/>
          <w:color w:val="000000"/>
          <w:sz w:val="24"/>
        </w:rPr>
        <w:t>full when due or performed in accordance with the terms of the extension or renewal, whether at Stated Maturity, by acceleration or otherwise.</w:t>
      </w:r>
    </w:p>
    <w:p>
      <w:pPr>
        <w:pStyle w:val="TextBody"/>
        <w:bidi w:val="0"/>
        <w:spacing w:lineRule="auto" w:line="288" w:before="0" w:after="240"/>
        <w:jc w:val="both"/>
        <w:rPr/>
      </w:pPr>
      <w:r>
        <w:rPr>
          <w:rFonts w:ascii="Times New Roman;serif" w:hAnsi="Times New Roman;serif"/>
          <w:b w:val="false"/>
          <w:color w:val="000000"/>
          <w:sz w:val="24"/>
        </w:rPr>
        <w:t>Failing payment when due of any amount so guaranteed or any performance so guaranteed for whatever reason, the Subsidiary Guarantors</w:t>
      </w:r>
      <w:r>
        <w:rPr>
          <w:color w:val="000000"/>
        </w:rPr>
        <w:t xml:space="preserve"> </w:t>
      </w:r>
      <w:r>
        <w:rPr>
          <w:rFonts w:ascii="Times New Roman;serif" w:hAnsi="Times New Roman;serif"/>
          <w:b w:val="false"/>
          <w:color w:val="000000"/>
          <w:sz w:val="24"/>
        </w:rPr>
        <w:t>will be jointly and severally obligated to pay the same immediately. Each Subsidiary Guarantor agrees that this is a guarantee of payment and not a</w:t>
      </w:r>
      <w:r>
        <w:rPr>
          <w:color w:val="000000"/>
        </w:rPr>
        <w:t xml:space="preserve"> </w:t>
      </w:r>
      <w:r>
        <w:rPr>
          <w:rFonts w:ascii="Times New Roman;serif" w:hAnsi="Times New Roman;serif"/>
          <w:b w:val="false"/>
          <w:color w:val="000000"/>
          <w:sz w:val="24"/>
        </w:rPr>
        <w:t>guarantee</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collection.</w:t>
      </w:r>
      <w:r>
        <w:rPr>
          <w:color w:val="000000"/>
        </w:rPr>
        <w:t xml:space="preserve"> </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rPr>
        <w:t>The Subsidiary Guarantors hereby agree that their obligations hereunder are unconditional, irrespective of the validity, regularity or</w:t>
      </w:r>
      <w:r>
        <w:rPr>
          <w:color w:val="000000"/>
        </w:rPr>
        <w:t xml:space="preserve"> </w:t>
      </w:r>
      <w:r>
        <w:rPr>
          <w:rFonts w:ascii="Times New Roman;serif" w:hAnsi="Times New Roman;serif"/>
          <w:b w:val="false"/>
          <w:color w:val="000000"/>
          <w:sz w:val="24"/>
        </w:rPr>
        <w:t>enforceability</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Notes</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this Indenture,</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absence</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action</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enforce</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same,</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waiver</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consent</w:t>
      </w:r>
      <w:r>
        <w:rPr>
          <w:color w:val="000000"/>
        </w:rPr>
        <w:t xml:space="preserve"> </w:t>
      </w:r>
      <w:r>
        <w:rPr>
          <w:rFonts w:ascii="Times New Roman;serif" w:hAnsi="Times New Roman;serif"/>
          <w:b w:val="false"/>
          <w:color w:val="000000"/>
          <w:sz w:val="24"/>
        </w:rPr>
        <w:t>by</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Holder</w:t>
      </w:r>
      <w:r>
        <w:rPr>
          <w:color w:val="000000"/>
        </w:rPr>
        <w:t xml:space="preserve"> </w:t>
      </w:r>
      <w:r>
        <w:rPr>
          <w:rFonts w:ascii="Times New Roman;serif" w:hAnsi="Times New Roman;serif"/>
          <w:b w:val="false"/>
          <w:color w:val="000000"/>
          <w:sz w:val="24"/>
        </w:rPr>
        <w:t>with</w:t>
      </w:r>
      <w:r>
        <w:rPr>
          <w:color w:val="000000"/>
        </w:rPr>
        <w:t xml:space="preserve"> </w:t>
      </w:r>
      <w:r>
        <w:rPr>
          <w:rFonts w:ascii="Times New Roman;serif" w:hAnsi="Times New Roman;serif"/>
          <w:b w:val="false"/>
          <w:color w:val="000000"/>
          <w:sz w:val="24"/>
        </w:rPr>
        <w:t>respect to any provisions hereof or thereof, the recovery of any judgment against the Issuer, any action to enforce the same or any other circumstance</w:t>
      </w:r>
      <w:r>
        <w:rPr>
          <w:color w:val="000000"/>
        </w:rPr>
        <w:t xml:space="preserve"> </w:t>
      </w:r>
      <w:r>
        <w:rPr>
          <w:rFonts w:ascii="Times New Roman;serif" w:hAnsi="Times New Roman;serif"/>
          <w:b w:val="false"/>
          <w:color w:val="000000"/>
          <w:sz w:val="24"/>
        </w:rPr>
        <w:t>which might otherwise constitute a legal or equitable discharge or defense of a guarantor. Each Subsidiary Guarantor hereby waives diligence,</w:t>
      </w:r>
      <w:r>
        <w:rPr>
          <w:color w:val="000000"/>
        </w:rPr>
        <w:t xml:space="preserve"> </w:t>
      </w:r>
      <w:r>
        <w:rPr>
          <w:rFonts w:ascii="Times New Roman;serif" w:hAnsi="Times New Roman;serif"/>
          <w:b w:val="false"/>
          <w:color w:val="000000"/>
          <w:sz w:val="24"/>
        </w:rPr>
        <w:t>presentment, demand of payment, filing of claims with a court in the event of insolvency or bankruptcy of the Issuer, any right to require a proceeding</w:t>
      </w:r>
      <w:r>
        <w:rPr>
          <w:color w:val="000000"/>
        </w:rPr>
        <w:t xml:space="preserve"> </w:t>
      </w:r>
      <w:r>
        <w:rPr>
          <w:rFonts w:ascii="Times New Roman;serif" w:hAnsi="Times New Roman;serif"/>
          <w:b w:val="false"/>
          <w:color w:val="000000"/>
          <w:sz w:val="24"/>
        </w:rPr>
        <w:t>first against the Issuer, protest, notice and all demands whatsoever and covenant that this Subsidiary Guarantee will not be discharged except by</w:t>
      </w:r>
      <w:r>
        <w:rPr>
          <w:color w:val="000000"/>
        </w:rPr>
        <w:t xml:space="preserve"> </w:t>
      </w:r>
      <w:r>
        <w:rPr>
          <w:rFonts w:ascii="Times New Roman;serif" w:hAnsi="Times New Roman;serif"/>
          <w:b w:val="false"/>
          <w:color w:val="000000"/>
          <w:sz w:val="24"/>
        </w:rPr>
        <w:t>complete performance of the obligations contained in the Notes and this Indenture.</w:t>
      </w:r>
    </w:p>
    <w:p>
      <w:pPr>
        <w:pStyle w:val="TextBody"/>
        <w:bidi w:val="0"/>
        <w:spacing w:lineRule="auto" w:line="240" w:before="0" w:after="240"/>
        <w:ind w:left="0" w:right="0" w:firstLine="720"/>
        <w:jc w:val="both"/>
        <w:rPr/>
      </w:pPr>
      <w:r>
        <w:rPr>
          <w:rFonts w:ascii="Times New Roman;serif" w:hAnsi="Times New Roman;serif"/>
          <w:b w:val="false"/>
          <w:color w:val="000000"/>
          <w:sz w:val="24"/>
        </w:rPr>
        <w:t>(c)</w:t>
      </w:r>
      <w:r>
        <w:rPr>
          <w:rFonts w:ascii="Times New Roman;serif" w:hAnsi="Times New Roman;serif"/>
          <w:b w:val="false"/>
          <w:color w:val="000000"/>
          <w:sz w:val="24"/>
        </w:rPr>
        <w:t>If any Holder or the Trustee is required by any court or otherwise to return to the Issuer, the Subsidiary Guarantors or any custodian, trustee,</w:t>
      </w:r>
      <w:r>
        <w:rPr>
          <w:color w:val="000000"/>
        </w:rPr>
        <w:t xml:space="preserve"> </w:t>
      </w:r>
      <w:r>
        <w:rPr>
          <w:rFonts w:ascii="Times New Roman;serif" w:hAnsi="Times New Roman;serif"/>
          <w:b w:val="false"/>
          <w:color w:val="000000"/>
          <w:sz w:val="24"/>
        </w:rPr>
        <w:t>liquidator or other similar official acting in relation to either the Issuer or the Subsidiary Guarantors, any amount paid by either to the Trustee or such</w:t>
      </w:r>
      <w:r>
        <w:rPr>
          <w:color w:val="000000"/>
        </w:rPr>
        <w:t xml:space="preserve"> </w:t>
      </w:r>
      <w:r>
        <w:rPr>
          <w:rFonts w:ascii="Times New Roman;serif" w:hAnsi="Times New Roman;serif"/>
          <w:b w:val="false"/>
          <w:color w:val="000000"/>
          <w:sz w:val="24"/>
        </w:rPr>
        <w:t>Holder, this Subsidiary Guarantee, to the extent theretofore discharged, shall be reinstated in full force and effect.</w:t>
      </w:r>
    </w:p>
    <w:p>
      <w:pPr>
        <w:pStyle w:val="TextBody"/>
        <w:bidi w:val="0"/>
        <w:spacing w:lineRule="auto" w:line="240" w:before="0" w:after="240"/>
        <w:ind w:left="0" w:right="0" w:firstLine="720"/>
        <w:jc w:val="both"/>
        <w:rPr/>
      </w:pPr>
      <w:r>
        <w:rPr>
          <w:rFonts w:ascii="Times New Roman;serif" w:hAnsi="Times New Roman;serif"/>
          <w:b w:val="false"/>
          <w:color w:val="000000"/>
          <w:sz w:val="24"/>
        </w:rPr>
        <w:t>(d)</w:t>
      </w:r>
      <w:r>
        <w:rPr>
          <w:rFonts w:ascii="Times New Roman;serif" w:hAnsi="Times New Roman;serif"/>
          <w:b w:val="false"/>
          <w:color w:val="000000"/>
          <w:sz w:val="24"/>
        </w:rPr>
        <w:t>Each Subsidiary Guarantor agrees that it will not be entitled to any right of subrogation in relation to the Holders in respect of any obligations</w:t>
      </w:r>
      <w:r>
        <w:rPr>
          <w:color w:val="000000"/>
        </w:rPr>
        <w:t xml:space="preserve"> </w:t>
      </w:r>
      <w:r>
        <w:rPr>
          <w:rFonts w:ascii="Times New Roman;serif" w:hAnsi="Times New Roman;serif"/>
          <w:b w:val="false"/>
          <w:color w:val="000000"/>
          <w:sz w:val="24"/>
        </w:rPr>
        <w:t>guaranteed hereby until payment in full of all obligations guaranteed hereby. Each Subsidiary Guarantor further agrees that, as between the Subsidiary</w:t>
      </w:r>
      <w:r>
        <w:rPr>
          <w:color w:val="000000"/>
        </w:rPr>
        <w:t xml:space="preserve"> </w:t>
      </w:r>
      <w:r>
        <w:rPr>
          <w:rFonts w:ascii="Times New Roman;serif" w:hAnsi="Times New Roman;serif"/>
          <w:b w:val="false"/>
          <w:color w:val="000000"/>
          <w:sz w:val="24"/>
        </w:rPr>
        <w:t>Guarantors, on the one hand, and the Holders and the Trustee, on the other hand, (1) the maturity of the obligations guaranteed hereby may be</w:t>
      </w:r>
      <w:r>
        <w:rPr>
          <w:color w:val="000000"/>
        </w:rPr>
        <w:t xml:space="preserve"> </w:t>
      </w:r>
      <w:r>
        <w:rPr>
          <w:rFonts w:ascii="Times New Roman;serif" w:hAnsi="Times New Roman;serif"/>
          <w:b w:val="false"/>
          <w:color w:val="000000"/>
          <w:sz w:val="24"/>
        </w:rPr>
        <w:t xml:space="preserve">accelerated as provided in </w:t>
      </w:r>
      <w:r>
        <w:rPr>
          <w:rFonts w:ascii="Times New Roman;serif" w:hAnsi="Times New Roman;serif"/>
          <w:b w:val="false"/>
          <w:color w:val="000000"/>
          <w:sz w:val="24"/>
          <w:u w:val="single"/>
        </w:rPr>
        <w:t>Article 6</w:t>
      </w:r>
      <w:r>
        <w:rPr>
          <w:color w:val="000000"/>
        </w:rPr>
        <w:t xml:space="preserve"> </w:t>
      </w:r>
      <w:r>
        <w:rPr>
          <w:rFonts w:ascii="Times New Roman;serif" w:hAnsi="Times New Roman;serif"/>
          <w:b w:val="false"/>
          <w:color w:val="000000"/>
          <w:sz w:val="24"/>
        </w:rPr>
        <w:t>hereof for the purposes of this Subsidiary Guarantee, notwithstanding any stay, injunction or other prohibition</w:t>
      </w:r>
      <w:r>
        <w:rPr>
          <w:color w:val="000000"/>
        </w:rPr>
        <w:t xml:space="preserve"> </w:t>
      </w:r>
      <w:r>
        <w:rPr>
          <w:rFonts w:ascii="Times New Roman;serif" w:hAnsi="Times New Roman;serif"/>
          <w:b w:val="false"/>
          <w:color w:val="000000"/>
          <w:sz w:val="24"/>
        </w:rPr>
        <w:t>preventing</w:t>
      </w:r>
      <w:r>
        <w:rPr>
          <w:color w:val="000000"/>
        </w:rPr>
        <w:t xml:space="preserve"> </w:t>
      </w:r>
      <w:r>
        <w:rPr>
          <w:rFonts w:ascii="Times New Roman;serif" w:hAnsi="Times New Roman;serif"/>
          <w:b w:val="false"/>
          <w:color w:val="000000"/>
          <w:sz w:val="24"/>
        </w:rPr>
        <w:t>such</w:t>
      </w:r>
      <w:r>
        <w:rPr>
          <w:color w:val="000000"/>
        </w:rPr>
        <w:t xml:space="preserve"> </w:t>
      </w:r>
      <w:r>
        <w:rPr>
          <w:rFonts w:ascii="Times New Roman;serif" w:hAnsi="Times New Roman;serif"/>
          <w:b w:val="false"/>
          <w:color w:val="000000"/>
          <w:sz w:val="24"/>
        </w:rPr>
        <w:t>acceleration</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respect</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obligations</w:t>
      </w:r>
      <w:r>
        <w:rPr>
          <w:color w:val="000000"/>
        </w:rPr>
        <w:t xml:space="preserve"> </w:t>
      </w:r>
      <w:r>
        <w:rPr>
          <w:rFonts w:ascii="Times New Roman;serif" w:hAnsi="Times New Roman;serif"/>
          <w:b w:val="false"/>
          <w:color w:val="000000"/>
          <w:sz w:val="24"/>
        </w:rPr>
        <w:t>guaranteed</w:t>
      </w:r>
      <w:r>
        <w:rPr>
          <w:color w:val="000000"/>
        </w:rPr>
        <w:t xml:space="preserve"> </w:t>
      </w:r>
      <w:r>
        <w:rPr>
          <w:rFonts w:ascii="Times New Roman;serif" w:hAnsi="Times New Roman;serif"/>
          <w:b w:val="false"/>
          <w:color w:val="000000"/>
          <w:sz w:val="24"/>
        </w:rPr>
        <w:t>hereby,</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(2)</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event</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declaration</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acceleration</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such</w:t>
      </w:r>
      <w:r>
        <w:rPr>
          <w:color w:val="000000"/>
        </w:rPr>
        <w:t xml:space="preserve"> </w:t>
      </w:r>
      <w:r>
        <w:rPr>
          <w:rFonts w:ascii="Times New Roman;serif" w:hAnsi="Times New Roman;serif"/>
          <w:b w:val="false"/>
          <w:color w:val="000000"/>
          <w:sz w:val="24"/>
        </w:rPr>
        <w:t>obligations</w:t>
      </w:r>
      <w:r>
        <w:rPr>
          <w:color w:val="000000"/>
        </w:rPr>
        <w:t xml:space="preserve"> </w:t>
      </w:r>
      <w:r>
        <w:rPr>
          <w:rFonts w:ascii="Times New Roman;serif" w:hAnsi="Times New Roman;serif"/>
          <w:b w:val="false"/>
          <w:color w:val="000000"/>
          <w:sz w:val="24"/>
        </w:rPr>
        <w:t xml:space="preserve">as provided in </w:t>
      </w:r>
      <w:r>
        <w:rPr>
          <w:rFonts w:ascii="Times New Roman;serif" w:hAnsi="Times New Roman;serif"/>
          <w:b w:val="false"/>
          <w:color w:val="000000"/>
          <w:sz w:val="24"/>
          <w:u w:val="single"/>
        </w:rPr>
        <w:t>Article 6</w:t>
      </w:r>
      <w:r>
        <w:rPr>
          <w:color w:val="000000"/>
        </w:rPr>
        <w:t xml:space="preserve"> </w:t>
      </w:r>
      <w:r>
        <w:rPr>
          <w:rFonts w:ascii="Times New Roman;serif" w:hAnsi="Times New Roman;serif"/>
          <w:b w:val="false"/>
          <w:color w:val="000000"/>
          <w:sz w:val="24"/>
        </w:rPr>
        <w:t>hereof, such obligations (whether or not due and payable) will forthwith become due and payable by the Subsidiary Guarantors</w:t>
      </w:r>
      <w:r>
        <w:rPr>
          <w:color w:val="000000"/>
        </w:rPr>
        <w:t xml:space="preserve"> </w:t>
      </w:r>
      <w:r>
        <w:rPr>
          <w:rFonts w:ascii="Times New Roman;serif" w:hAnsi="Times New Roman;serif"/>
          <w:b w:val="false"/>
          <w:color w:val="000000"/>
          <w:sz w:val="24"/>
        </w:rPr>
        <w:t>for the purpose of this Subsidiary Guarantee. The Subsidiary Guarantors will have the right to seek contribution from any non-paying Subsidiary</w:t>
      </w:r>
      <w:r>
        <w:rPr>
          <w:color w:val="000000"/>
        </w:rPr>
        <w:t xml:space="preserve"> </w:t>
      </w:r>
      <w:r>
        <w:rPr>
          <w:rFonts w:ascii="Times New Roman;serif" w:hAnsi="Times New Roman;serif"/>
          <w:b w:val="false"/>
          <w:color w:val="000000"/>
          <w:sz w:val="24"/>
        </w:rPr>
        <w:t>Guarantor so long as the exercise of such right does not impair the rights of the Holders under the Subsidiary Guarantee.</w:t>
      </w:r>
    </w:p>
    <w:p>
      <w:pPr>
        <w:pStyle w:val="TextBody"/>
        <w:bidi w:val="0"/>
        <w:spacing w:before="0" w:after="0"/>
        <w:jc w:val="left"/>
        <w:rPr/>
      </w:pPr>
      <w:r>
        <w:rPr/>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6480175" cy="768985"/>
                <wp:effectExtent l="0" t="0" r="0" b="0"/>
                <wp:wrapNone/>
                <wp:docPr id="256" name="Frame256"/>
                <a:graphic xmlns:a="http://schemas.openxmlformats.org/drawingml/2006/main">
                  <a:graphicData uri="http://schemas.microsoft.com/office/word/2010/wordprocessingShape">
                    <wps:wsp>
                      <wps:cNvSpPr txBox="1"/>
                      <wps:spPr>
                        <a:xfrm>
                          <a:off x="0" y="0"/>
                          <a:ext cx="6480175" cy="7689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83</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0.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83</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left"/>
        <w:rPr/>
      </w:pPr>
      <w:r>
        <w:rPr>
          <w:rFonts w:ascii="Times New Roman;serif" w:hAnsi="Times New Roman;serif"/>
          <w:b w:val="false"/>
          <w:color w:val="000000"/>
          <w:sz w:val="24"/>
        </w:rPr>
        <w:t>Section 11.02</w:t>
      </w:r>
      <w:r>
        <w:rPr>
          <w:rFonts w:ascii="Times New Roman;serif" w:hAnsi="Times New Roman;serif"/>
          <w:b w:val="false"/>
          <w:color w:val="000000"/>
          <w:sz w:val="24"/>
          <w:u w:val="single"/>
        </w:rPr>
        <w:t>Limitation on</w:t>
      </w:r>
      <w:r>
        <w:rPr>
          <w:color w:val="000000"/>
          <w:u w:val="single"/>
        </w:rPr>
        <w:t xml:space="preserve"> </w:t>
      </w:r>
      <w:r>
        <w:rPr>
          <w:rFonts w:ascii="Times New Roman;serif" w:hAnsi="Times New Roman;serif"/>
          <w:b w:val="false"/>
          <w:color w:val="000000"/>
          <w:sz w:val="24"/>
          <w:u w:val="single"/>
        </w:rPr>
        <w:t>Subsidiary Guarantor</w:t>
      </w:r>
      <w:r>
        <w:rPr>
          <w:color w:val="000000"/>
          <w:u w:val="single"/>
        </w:rPr>
        <w:t xml:space="preserve"> </w:t>
      </w:r>
      <w:r>
        <w:rPr>
          <w:rFonts w:ascii="Times New Roman;serif" w:hAnsi="Times New Roman;serif"/>
          <w:b w:val="false"/>
          <w:color w:val="000000"/>
          <w:sz w:val="24"/>
          <w:u w:val="single"/>
        </w:rPr>
        <w:t>Liability</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rFonts w:ascii="Times New Roman;serif" w:hAnsi="Times New Roman;serif"/>
          <w:b w:val="false"/>
          <w:color w:val="000000"/>
          <w:sz w:val="24"/>
        </w:rPr>
        <w:t>Each Subsidiary Guarantor, and by its acceptance of Notes, each Holder, hereby confirms that it is the intention of all such parties that the</w:t>
      </w:r>
      <w:r>
        <w:rPr>
          <w:color w:val="000000"/>
        </w:rPr>
        <w:t xml:space="preserve"> </w:t>
      </w:r>
      <w:r>
        <w:rPr>
          <w:rFonts w:ascii="Times New Roman;serif" w:hAnsi="Times New Roman;serif"/>
          <w:b w:val="false"/>
          <w:color w:val="000000"/>
          <w:sz w:val="24"/>
        </w:rPr>
        <w:t>Subsidiary Guarantee of such Subsidiary Guarantor not constitute a fraudulent transfer or conveyance for purposes of Bankruptcy Law, the Uniform</w:t>
      </w:r>
      <w:r>
        <w:rPr>
          <w:color w:val="000000"/>
        </w:rPr>
        <w:t xml:space="preserve"> </w:t>
      </w:r>
      <w:r>
        <w:rPr>
          <w:rFonts w:ascii="Times New Roman;serif" w:hAnsi="Times New Roman;serif"/>
          <w:b w:val="false"/>
          <w:color w:val="000000"/>
          <w:sz w:val="24"/>
        </w:rPr>
        <w:t>Fraudulent Conveyance Act, the Uniform Fraudulent Transfer Act or any similar federal or state law to the extent applicable to any Subsidiary Guarantee.</w:t>
      </w:r>
      <w:r>
        <w:rPr>
          <w:color w:val="000000"/>
        </w:rPr>
        <w:t xml:space="preserve"> </w:t>
      </w:r>
      <w:r>
        <w:rPr>
          <w:rFonts w:ascii="Times New Roman;serif" w:hAnsi="Times New Roman;serif"/>
          <w:b w:val="false"/>
          <w:color w:val="000000"/>
          <w:sz w:val="24"/>
        </w:rPr>
        <w:t>To effectuate the foregoing intention, the Trustee, the Holders and the Subsidiary Guarantors hereby irrevocably agree that the obligations of such</w:t>
      </w:r>
      <w:r>
        <w:rPr>
          <w:color w:val="000000"/>
        </w:rPr>
        <w:t xml:space="preserve"> </w:t>
      </w:r>
      <w:r>
        <w:rPr>
          <w:rFonts w:ascii="Times New Roman;serif" w:hAnsi="Times New Roman;serif"/>
          <w:b w:val="false"/>
          <w:color w:val="000000"/>
          <w:sz w:val="24"/>
        </w:rPr>
        <w:t>Subsidiary</w:t>
      </w:r>
      <w:r>
        <w:rPr>
          <w:color w:val="000000"/>
        </w:rPr>
        <w:t xml:space="preserve"> </w:t>
      </w:r>
      <w:r>
        <w:rPr>
          <w:rFonts w:ascii="Times New Roman;serif" w:hAnsi="Times New Roman;serif"/>
          <w:b w:val="false"/>
          <w:color w:val="000000"/>
          <w:sz w:val="24"/>
        </w:rPr>
        <w:t>Guarantor</w:t>
      </w:r>
      <w:r>
        <w:rPr>
          <w:color w:val="000000"/>
        </w:rPr>
        <w:t xml:space="preserve"> </w:t>
      </w:r>
      <w:r>
        <w:rPr>
          <w:rFonts w:ascii="Times New Roman;serif" w:hAnsi="Times New Roman;serif"/>
          <w:b w:val="false"/>
          <w:color w:val="000000"/>
          <w:sz w:val="24"/>
        </w:rPr>
        <w:t>will</w:t>
      </w:r>
      <w:r>
        <w:rPr>
          <w:color w:val="000000"/>
        </w:rPr>
        <w:t xml:space="preserve"> </w:t>
      </w:r>
      <w:r>
        <w:rPr>
          <w:rFonts w:ascii="Times New Roman;serif" w:hAnsi="Times New Roman;serif"/>
          <w:b w:val="false"/>
          <w:color w:val="000000"/>
          <w:sz w:val="24"/>
        </w:rPr>
        <w:t>be</w:t>
      </w:r>
      <w:r>
        <w:rPr>
          <w:color w:val="000000"/>
        </w:rPr>
        <w:t xml:space="preserve"> </w:t>
      </w:r>
      <w:r>
        <w:rPr>
          <w:rFonts w:ascii="Times New Roman;serif" w:hAnsi="Times New Roman;serif"/>
          <w:b w:val="false"/>
          <w:color w:val="000000"/>
          <w:sz w:val="24"/>
        </w:rPr>
        <w:t>limited</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maximum</w:t>
      </w:r>
      <w:r>
        <w:rPr>
          <w:color w:val="000000"/>
        </w:rPr>
        <w:t xml:space="preserve"> </w:t>
      </w:r>
      <w:r>
        <w:rPr>
          <w:rFonts w:ascii="Times New Roman;serif" w:hAnsi="Times New Roman;serif"/>
          <w:b w:val="false"/>
          <w:color w:val="000000"/>
          <w:sz w:val="24"/>
        </w:rPr>
        <w:t>amount</w:t>
      </w:r>
      <w:r>
        <w:rPr>
          <w:color w:val="000000"/>
        </w:rPr>
        <w:t xml:space="preserve"> </w:t>
      </w:r>
      <w:r>
        <w:rPr>
          <w:rFonts w:ascii="Times New Roman;serif" w:hAnsi="Times New Roman;serif"/>
          <w:b w:val="false"/>
          <w:color w:val="000000"/>
          <w:sz w:val="24"/>
        </w:rPr>
        <w:t>that</w:t>
      </w:r>
      <w:r>
        <w:rPr>
          <w:color w:val="000000"/>
        </w:rPr>
        <w:t xml:space="preserve"> </w:t>
      </w:r>
      <w:r>
        <w:rPr>
          <w:rFonts w:ascii="Times New Roman;serif" w:hAnsi="Times New Roman;serif"/>
          <w:b w:val="false"/>
          <w:color w:val="000000"/>
          <w:sz w:val="24"/>
        </w:rPr>
        <w:t>will,</w:t>
      </w:r>
      <w:r>
        <w:rPr>
          <w:color w:val="000000"/>
        </w:rPr>
        <w:t xml:space="preserve"> </w:t>
      </w:r>
      <w:r>
        <w:rPr>
          <w:rFonts w:ascii="Times New Roman;serif" w:hAnsi="Times New Roman;serif"/>
          <w:b w:val="false"/>
          <w:color w:val="000000"/>
          <w:sz w:val="24"/>
        </w:rPr>
        <w:t>after</w:t>
      </w:r>
      <w:r>
        <w:rPr>
          <w:color w:val="000000"/>
        </w:rPr>
        <w:t xml:space="preserve"> </w:t>
      </w:r>
      <w:r>
        <w:rPr>
          <w:rFonts w:ascii="Times New Roman;serif" w:hAnsi="Times New Roman;serif"/>
          <w:b w:val="false"/>
          <w:color w:val="000000"/>
          <w:sz w:val="24"/>
        </w:rPr>
        <w:t>giving</w:t>
      </w:r>
      <w:r>
        <w:rPr>
          <w:color w:val="000000"/>
        </w:rPr>
        <w:t xml:space="preserve"> </w:t>
      </w:r>
      <w:r>
        <w:rPr>
          <w:rFonts w:ascii="Times New Roman;serif" w:hAnsi="Times New Roman;serif"/>
          <w:b w:val="false"/>
          <w:color w:val="000000"/>
          <w:sz w:val="24"/>
        </w:rPr>
        <w:t>effect</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such</w:t>
      </w:r>
      <w:r>
        <w:rPr>
          <w:color w:val="000000"/>
        </w:rPr>
        <w:t xml:space="preserve"> </w:t>
      </w:r>
      <w:r>
        <w:rPr>
          <w:rFonts w:ascii="Times New Roman;serif" w:hAnsi="Times New Roman;serif"/>
          <w:b w:val="false"/>
          <w:color w:val="000000"/>
          <w:sz w:val="24"/>
        </w:rPr>
        <w:t>maximum</w:t>
      </w:r>
      <w:r>
        <w:rPr>
          <w:color w:val="000000"/>
        </w:rPr>
        <w:t xml:space="preserve"> </w:t>
      </w:r>
      <w:r>
        <w:rPr>
          <w:rFonts w:ascii="Times New Roman;serif" w:hAnsi="Times New Roman;serif"/>
          <w:b w:val="false"/>
          <w:color w:val="000000"/>
          <w:sz w:val="24"/>
        </w:rPr>
        <w:t>amount</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all</w:t>
      </w:r>
      <w:r>
        <w:rPr>
          <w:color w:val="000000"/>
        </w:rPr>
        <w:t xml:space="preserve"> </w:t>
      </w:r>
      <w:r>
        <w:rPr>
          <w:rFonts w:ascii="Times New Roman;serif" w:hAnsi="Times New Roman;serif"/>
          <w:b w:val="false"/>
          <w:color w:val="000000"/>
          <w:sz w:val="24"/>
        </w:rPr>
        <w:t>other</w:t>
      </w:r>
      <w:r>
        <w:rPr>
          <w:color w:val="000000"/>
        </w:rPr>
        <w:t xml:space="preserve"> </w:t>
      </w:r>
      <w:r>
        <w:rPr>
          <w:rFonts w:ascii="Times New Roman;serif" w:hAnsi="Times New Roman;serif"/>
          <w:b w:val="false"/>
          <w:color w:val="000000"/>
          <w:sz w:val="24"/>
        </w:rPr>
        <w:t>contingent</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fixed</w:t>
      </w:r>
      <w:r>
        <w:rPr>
          <w:color w:val="000000"/>
        </w:rPr>
        <w:t xml:space="preserve"> </w:t>
      </w:r>
      <w:r>
        <w:rPr>
          <w:rFonts w:ascii="Times New Roman;serif" w:hAnsi="Times New Roman;serif"/>
          <w:b w:val="false"/>
          <w:color w:val="000000"/>
          <w:sz w:val="24"/>
        </w:rPr>
        <w:t>liabilities of such Subsidiary Guarantor that are relevant under such laws, and after giving effect to any collections from, rights to receive contribution</w:t>
      </w:r>
      <w:r>
        <w:rPr>
          <w:color w:val="000000"/>
        </w:rPr>
        <w:t xml:space="preserve"> </w:t>
      </w:r>
      <w:r>
        <w:rPr>
          <w:rFonts w:ascii="Times New Roman;serif" w:hAnsi="Times New Roman;serif"/>
          <w:b w:val="false"/>
          <w:color w:val="000000"/>
          <w:sz w:val="24"/>
        </w:rPr>
        <w:t>from or payments made by or on behalf of any other Subsidiary Guarantor in respect of the obligations of such other Subsidiary Guarantor under this</w:t>
      </w:r>
      <w:r>
        <w:rPr>
          <w:color w:val="000000"/>
        </w:rPr>
        <w:t xml:space="preserve"> </w:t>
      </w:r>
      <w:r>
        <w:rPr>
          <w:rFonts w:ascii="Times New Roman;serif" w:hAnsi="Times New Roman;serif"/>
          <w:b w:val="false"/>
          <w:color w:val="000000"/>
          <w:sz w:val="24"/>
          <w:u w:val="single"/>
        </w:rPr>
        <w:t>Article 11</w:t>
      </w:r>
      <w:r>
        <w:rPr>
          <w:rFonts w:ascii="Times New Roman;serif" w:hAnsi="Times New Roman;serif"/>
          <w:b w:val="false"/>
          <w:color w:val="000000"/>
          <w:sz w:val="24"/>
        </w:rPr>
        <w:t>, result in the obligations of such Subsidiary Guarantor under its Subsidiary Guarantee not constituting a fraudulent transfer or conveyance.</w:t>
      </w:r>
    </w:p>
    <w:p>
      <w:pPr>
        <w:pStyle w:val="TextBody"/>
        <w:bidi w:val="0"/>
        <w:spacing w:lineRule="auto" w:line="240" w:before="0" w:after="240"/>
        <w:jc w:val="left"/>
        <w:rPr/>
      </w:pPr>
      <w:r>
        <w:rPr>
          <w:rFonts w:ascii="Times New Roman;serif" w:hAnsi="Times New Roman;serif"/>
          <w:b w:val="false"/>
          <w:color w:val="000000"/>
          <w:sz w:val="24"/>
        </w:rPr>
        <w:t>Section 11.03</w:t>
      </w:r>
      <w:r>
        <w:rPr>
          <w:rFonts w:ascii="Times New Roman;serif" w:hAnsi="Times New Roman;serif"/>
          <w:b w:val="false"/>
          <w:color w:val="000000"/>
          <w:sz w:val="24"/>
          <w:u w:val="single"/>
        </w:rPr>
        <w:t>Releases</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Subsidiary</w:t>
      </w:r>
      <w:r>
        <w:rPr>
          <w:color w:val="000000"/>
        </w:rPr>
        <w:t xml:space="preserve"> </w:t>
      </w:r>
      <w:r>
        <w:rPr>
          <w:rFonts w:ascii="Times New Roman;serif" w:hAnsi="Times New Roman;serif"/>
          <w:b w:val="false"/>
          <w:color w:val="000000"/>
          <w:sz w:val="24"/>
        </w:rPr>
        <w:t>Guarantee</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Subsidiary</w:t>
      </w:r>
      <w:r>
        <w:rPr>
          <w:color w:val="000000"/>
        </w:rPr>
        <w:t xml:space="preserve"> </w:t>
      </w:r>
      <w:r>
        <w:rPr>
          <w:rFonts w:ascii="Times New Roman;serif" w:hAnsi="Times New Roman;serif"/>
          <w:b w:val="false"/>
          <w:color w:val="000000"/>
          <w:sz w:val="24"/>
        </w:rPr>
        <w:t>Guarantor</w:t>
      </w:r>
      <w:r>
        <w:rPr>
          <w:color w:val="000000"/>
        </w:rPr>
        <w:t xml:space="preserve"> </w:t>
      </w:r>
      <w:r>
        <w:rPr>
          <w:rFonts w:ascii="Times New Roman;serif" w:hAnsi="Times New Roman;serif"/>
          <w:b w:val="false"/>
          <w:color w:val="000000"/>
          <w:sz w:val="24"/>
        </w:rPr>
        <w:t>will</w:t>
      </w:r>
      <w:r>
        <w:rPr>
          <w:color w:val="000000"/>
        </w:rPr>
        <w:t xml:space="preserve"> </w:t>
      </w:r>
      <w:r>
        <w:rPr>
          <w:rFonts w:ascii="Times New Roman;serif" w:hAnsi="Times New Roman;serif"/>
          <w:b w:val="false"/>
          <w:color w:val="000000"/>
          <w:sz w:val="24"/>
        </w:rPr>
        <w:t>be</w:t>
      </w:r>
      <w:r>
        <w:rPr>
          <w:color w:val="000000"/>
        </w:rPr>
        <w:t xml:space="preserve"> </w:t>
      </w:r>
      <w:r>
        <w:rPr>
          <w:rFonts w:ascii="Times New Roman;serif" w:hAnsi="Times New Roman;serif"/>
          <w:b w:val="false"/>
          <w:color w:val="000000"/>
          <w:sz w:val="24"/>
        </w:rPr>
        <w:t>released</w:t>
      </w:r>
      <w:r>
        <w:rPr>
          <w:color w:val="000000"/>
        </w:rPr>
        <w:t xml:space="preserve"> </w:t>
      </w:r>
      <w:r>
        <w:rPr>
          <w:rFonts w:ascii="Times New Roman;serif" w:hAnsi="Times New Roman;serif"/>
          <w:b w:val="false"/>
          <w:color w:val="000000"/>
          <w:sz w:val="24"/>
        </w:rPr>
        <w:t>automatically:</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(1)upon the release, discharge or termination of such Subsidiary Guarantor’s guarantee of all obligations of the Issuer under the Credit Agreement;</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(2)if such Subsidiary Guarantor has become a guarantor of any Additional Indebtedness, upon the release, discharge or termination of such Subsidiary Guarantor’s guarantee of all obligations of the Issuer under such Additional Indebtedness; </w:t>
      </w:r>
    </w:p>
    <w:p>
      <w:pPr>
        <w:pStyle w:val="TextBody"/>
        <w:bidi w:val="0"/>
        <w:spacing w:lineRule="auto" w:line="240" w:before="0" w:after="240"/>
        <w:ind w:left="0" w:right="0" w:firstLine="720"/>
        <w:jc w:val="both"/>
        <w:rPr/>
      </w:pPr>
      <w:r>
        <w:rPr>
          <w:rFonts w:ascii="Times New Roman;serif" w:hAnsi="Times New Roman;serif"/>
          <w:b w:val="false"/>
          <w:color w:val="000000"/>
          <w:sz w:val="24"/>
        </w:rPr>
        <w:t xml:space="preserve">(3)in connection with any sale or other disposition of all or substantially all of the properties and assets of such Subsidiary Guarantor (including by way of merger, consolidation or amalgamation) to a Person that is not (either before or after giving effect to such transaction) the Issuer or a Subsidiary Guarantor if the sale or disposition does not violate the provisions set forth in </w:t>
      </w:r>
      <w:r>
        <w:rPr>
          <w:rFonts w:ascii="Times New Roman;serif" w:hAnsi="Times New Roman;serif"/>
          <w:b w:val="false"/>
          <w:color w:val="000000"/>
          <w:sz w:val="24"/>
          <w:u w:val="single"/>
        </w:rPr>
        <w:t>Article 5</w:t>
      </w:r>
      <w:r>
        <w:rPr>
          <w:rFonts w:ascii="Times New Roman;serif" w:hAnsi="Times New Roman;serif"/>
          <w:b w:val="false"/>
          <w:color w:val="000000"/>
          <w:sz w:val="24"/>
        </w:rPr>
        <w:t>;</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(4)upon the liquidation or dissolution of such Subsidiary Guarantor;</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(5)upon the full and final payment of the Notes and performance of all Obligations of the Issuer and the Subsidiary Guarantors under the Note Documents;</w:t>
      </w:r>
    </w:p>
    <w:p>
      <w:pPr>
        <w:pStyle w:val="TextBody"/>
        <w:bidi w:val="0"/>
        <w:spacing w:lineRule="auto" w:line="240" w:before="0" w:after="240"/>
        <w:ind w:left="0" w:right="0" w:firstLine="720"/>
        <w:jc w:val="both"/>
        <w:rPr/>
      </w:pPr>
      <w:r>
        <w:rPr>
          <w:rFonts w:ascii="Times New Roman;serif" w:hAnsi="Times New Roman;serif"/>
          <w:b w:val="false"/>
          <w:color w:val="000000"/>
          <w:sz w:val="24"/>
        </w:rPr>
        <w:t>(6)upon</w:t>
      </w:r>
      <w:r>
        <w:rPr>
          <w:color w:val="000000"/>
        </w:rPr>
        <w:t xml:space="preserve"> </w:t>
      </w:r>
      <w:r>
        <w:rPr>
          <w:rFonts w:ascii="Times New Roman;serif" w:hAnsi="Times New Roman;serif"/>
          <w:b w:val="false"/>
          <w:color w:val="000000"/>
          <w:sz w:val="24"/>
        </w:rPr>
        <w:t>defeasance</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satisfaction</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discharge</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Notes</w:t>
      </w:r>
      <w:r>
        <w:rPr>
          <w:color w:val="000000"/>
        </w:rPr>
        <w:t xml:space="preserve"> </w:t>
      </w:r>
      <w:r>
        <w:rPr>
          <w:rFonts w:ascii="Times New Roman;serif" w:hAnsi="Times New Roman;serif"/>
          <w:b w:val="false"/>
          <w:color w:val="000000"/>
          <w:sz w:val="24"/>
        </w:rPr>
        <w:t>as</w:t>
      </w:r>
      <w:r>
        <w:rPr>
          <w:color w:val="000000"/>
        </w:rPr>
        <w:t xml:space="preserve"> </w:t>
      </w:r>
      <w:r>
        <w:rPr>
          <w:rFonts w:ascii="Times New Roman;serif" w:hAnsi="Times New Roman;serif"/>
          <w:b w:val="false"/>
          <w:color w:val="000000"/>
          <w:sz w:val="24"/>
        </w:rPr>
        <w:t>provided</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u w:val="single"/>
        </w:rPr>
        <w:t>Article 8</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u w:val="single"/>
        </w:rPr>
        <w:t>Article 10</w:t>
      </w:r>
      <w:r>
        <w:rPr>
          <w:color w:val="000000"/>
        </w:rPr>
        <w:t xml:space="preserve"> </w:t>
      </w:r>
      <w:r>
        <w:rPr>
          <w:rFonts w:ascii="Times New Roman;serif" w:hAnsi="Times New Roman;serif"/>
          <w:b w:val="false"/>
          <w:color w:val="000000"/>
          <w:sz w:val="24"/>
        </w:rPr>
        <w:t>hereof; or</w:t>
      </w:r>
    </w:p>
    <w:p>
      <w:pPr>
        <w:pStyle w:val="TextBody"/>
        <w:bidi w:val="0"/>
        <w:spacing w:lineRule="auto" w:line="240" w:before="0" w:after="240"/>
        <w:ind w:left="0" w:right="0" w:firstLine="720"/>
        <w:jc w:val="both"/>
        <w:rPr/>
      </w:pPr>
      <w:r>
        <w:rPr>
          <w:rFonts w:ascii="Times New Roman;serif" w:hAnsi="Times New Roman;serif"/>
          <w:b w:val="false"/>
          <w:color w:val="000000"/>
          <w:sz w:val="24"/>
        </w:rPr>
        <w:t xml:space="preserve">(7)as described in </w:t>
      </w:r>
      <w:r>
        <w:rPr>
          <w:rFonts w:ascii="Times New Roman;serif" w:hAnsi="Times New Roman;serif"/>
          <w:b w:val="false"/>
          <w:color w:val="000000"/>
          <w:sz w:val="24"/>
          <w:u w:val="single"/>
        </w:rPr>
        <w:t>Article 9</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rPr>
        <w:t>Upon delivery by the Issuer to the Trustee of an Officer’s Certificate certifying that (i) the action or event giving rise to a release has</w:t>
      </w:r>
      <w:r>
        <w:rPr>
          <w:color w:val="000000"/>
        </w:rPr>
        <w:t xml:space="preserve"> </w:t>
      </w:r>
      <w:r>
        <w:rPr>
          <w:rFonts w:ascii="Times New Roman;serif" w:hAnsi="Times New Roman;serif"/>
          <w:b w:val="false"/>
          <w:color w:val="000000"/>
          <w:sz w:val="24"/>
        </w:rPr>
        <w:t>occurred as specified above and (ii) the release is authorized or permitted by this Indenture, the Trustee shall execute any</w:t>
      </w:r>
      <w:r>
        <w:rPr>
          <w:color w:val="000000"/>
        </w:rPr>
        <w:t xml:space="preserve"> </w:t>
      </w:r>
      <w:r>
        <w:rPr>
          <w:rFonts w:ascii="Times New Roman;serif" w:hAnsi="Times New Roman;serif"/>
          <w:b w:val="false"/>
          <w:color w:val="000000"/>
          <w:sz w:val="24"/>
        </w:rPr>
        <w:t>documents reasonably requested by the Issuer or the Trustee in order to evidence the release of any Subsidiary Guarantor from its obligations under</w:t>
      </w:r>
      <w:r>
        <w:rPr>
          <w:color w:val="000000"/>
        </w:rPr>
        <w:t xml:space="preserve"> </w:t>
      </w:r>
      <w:r>
        <w:rPr>
          <w:rFonts w:ascii="Times New Roman;serif" w:hAnsi="Times New Roman;serif"/>
          <w:b w:val="false"/>
          <w:color w:val="000000"/>
          <w:sz w:val="24"/>
        </w:rPr>
        <w:t>its Subsidiary Guarantee.</w:t>
      </w:r>
    </w:p>
    <w:p>
      <w:pPr>
        <w:pStyle w:val="TextBody"/>
        <w:bidi w:val="0"/>
        <w:spacing w:before="0" w:after="0"/>
        <w:jc w:val="left"/>
        <w:rPr/>
      </w:pPr>
      <w:r>
        <w:rPr/>
      </w:r>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6480175" cy="768985"/>
                <wp:effectExtent l="0" t="0" r="0" b="0"/>
                <wp:wrapNone/>
                <wp:docPr id="257" name="Frame257"/>
                <a:graphic xmlns:a="http://schemas.openxmlformats.org/drawingml/2006/main">
                  <a:graphicData uri="http://schemas.microsoft.com/office/word/2010/wordprocessingShape">
                    <wps:wsp>
                      <wps:cNvSpPr txBox="1"/>
                      <wps:spPr>
                        <a:xfrm>
                          <a:off x="0" y="0"/>
                          <a:ext cx="6480175" cy="7689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84</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0.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84</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00000"/>
          <w:sz w:val="24"/>
        </w:rPr>
        <w:t>(c)</w:t>
      </w:r>
      <w:r>
        <w:rPr>
          <w:rFonts w:ascii="Times New Roman;serif" w:hAnsi="Times New Roman;serif"/>
          <w:b w:val="false"/>
          <w:color w:val="000000"/>
          <w:sz w:val="24"/>
        </w:rPr>
        <w:t xml:space="preserve">Any Subsidiary Guarantor not released from its obligations under its Subsidiary Guarantee as provided in this </w:t>
      </w:r>
      <w:r>
        <w:rPr>
          <w:rFonts w:ascii="Times New Roman;serif" w:hAnsi="Times New Roman;serif"/>
          <w:b w:val="false"/>
          <w:color w:val="000000"/>
          <w:sz w:val="24"/>
          <w:u w:val="single"/>
        </w:rPr>
        <w:t>Section 11.03</w:t>
      </w:r>
      <w:r>
        <w:rPr>
          <w:color w:val="000000"/>
        </w:rPr>
        <w:t xml:space="preserve"> </w:t>
      </w:r>
      <w:r>
        <w:rPr>
          <w:rFonts w:ascii="Times New Roman;serif" w:hAnsi="Times New Roman;serif"/>
          <w:b w:val="false"/>
          <w:color w:val="000000"/>
          <w:sz w:val="24"/>
        </w:rPr>
        <w:t xml:space="preserve">will remain liable for the full amount of principal of and interest and premium, if any, on the Notes and for the other obligations of any Subsidiary Guarantor under this Indenture as provided in this </w:t>
      </w:r>
      <w:r>
        <w:rPr>
          <w:rFonts w:ascii="Times New Roman;serif" w:hAnsi="Times New Roman;serif"/>
          <w:b w:val="false"/>
          <w:color w:val="000000"/>
          <w:sz w:val="24"/>
          <w:u w:val="single"/>
        </w:rPr>
        <w:t>Article 11</w:t>
      </w:r>
      <w:r>
        <w:rPr>
          <w:rFonts w:ascii="Times New Roman;serif" w:hAnsi="Times New Roman;serif"/>
          <w:b w:val="false"/>
          <w:color w:val="000000"/>
          <w:sz w:val="24"/>
        </w:rPr>
        <w:t>.</w:t>
      </w:r>
    </w:p>
    <w:p>
      <w:pPr>
        <w:pStyle w:val="TextBody"/>
        <w:bidi w:val="0"/>
        <w:spacing w:lineRule="auto" w:line="240" w:before="0" w:after="240"/>
        <w:jc w:val="left"/>
        <w:rPr/>
      </w:pPr>
      <w:r>
        <w:rPr>
          <w:rFonts w:ascii="Times New Roman;serif" w:hAnsi="Times New Roman;serif"/>
          <w:b w:val="false"/>
          <w:color w:val="000000"/>
          <w:sz w:val="24"/>
        </w:rPr>
        <w:t>Section 11.04</w:t>
      </w:r>
      <w:r>
        <w:rPr>
          <w:rFonts w:ascii="Times New Roman;serif" w:hAnsi="Times New Roman;serif"/>
          <w:b w:val="false"/>
          <w:color w:val="000000"/>
          <w:sz w:val="24"/>
          <w:u w:val="single"/>
        </w:rPr>
        <w:t>Notation Not Required</w:t>
      </w:r>
      <w:r>
        <w:rPr>
          <w:rFonts w:ascii="Times New Roman;serif" w:hAnsi="Times New Roman;serif"/>
          <w:b w:val="false"/>
          <w:color w:val="000000"/>
          <w:sz w:val="24"/>
        </w:rPr>
        <w: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Neither the Company nor any Subsidiary Guarantor shall be required to make a notation on the Notes to reflect any Subsidiary Guarantee or any release, termination or discharge thereof.</w:t>
      </w:r>
    </w:p>
    <w:p>
      <w:pPr>
        <w:pStyle w:val="TextBody"/>
        <w:bidi w:val="0"/>
        <w:spacing w:lineRule="auto" w:line="240" w:before="0" w:after="240"/>
        <w:jc w:val="center"/>
        <w:rPr/>
      </w:pPr>
      <w:r>
        <w:rPr>
          <w:rFonts w:ascii="Times New Roman;serif" w:hAnsi="Times New Roman;serif"/>
          <w:b w:val="false"/>
          <w:color w:val="000000"/>
          <w:sz w:val="24"/>
        </w:rPr>
        <w:t>Article 12</w:t>
      </w:r>
      <w:r>
        <w:rPr>
          <w:rFonts w:ascii="Times New Roman;serif" w:hAnsi="Times New Roman;serif"/>
          <w:b w:val="false"/>
          <w:color w:val="000000"/>
          <w:sz w:val="24"/>
        </w:rPr>
        <w:br/>
        <w:t>MISCELLANEOUS</w:t>
      </w:r>
    </w:p>
    <w:p>
      <w:pPr>
        <w:pStyle w:val="TextBody"/>
        <w:bidi w:val="0"/>
        <w:spacing w:lineRule="auto" w:line="240" w:before="0" w:after="240"/>
        <w:jc w:val="left"/>
        <w:rPr/>
      </w:pPr>
      <w:r>
        <w:rPr>
          <w:rFonts w:ascii="Times New Roman;serif" w:hAnsi="Times New Roman;serif"/>
          <w:b w:val="false"/>
          <w:color w:val="000000"/>
          <w:sz w:val="24"/>
        </w:rPr>
        <w:t>Section 12.01</w:t>
      </w:r>
      <w:r>
        <w:rPr>
          <w:rFonts w:ascii="Times New Roman;serif" w:hAnsi="Times New Roman;serif"/>
          <w:b w:val="false"/>
          <w:color w:val="000000"/>
          <w:sz w:val="24"/>
          <w:u w:val="single"/>
        </w:rPr>
        <w:t>Notices</w:t>
      </w:r>
      <w:r>
        <w:rPr>
          <w:rFonts w:ascii="Times New Roman;serif" w:hAnsi="Times New Roman;serif"/>
          <w:b w:val="false"/>
          <w:color w:val="000000"/>
          <w:sz w:val="24"/>
        </w:rPr>
        <w: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Any notice or communication by the Issuer or the Trustee to the other party hereto is duly given if in writing and delivered in Person or mailed by first class mail (registered or certified, return receipt requested), email or overnight air courier guaranteeing next-day delivery, to the others’ address:</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If to the Issuer:</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Talen Energy Supply, LLC</w:t>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2929 Allen Parkway, Suite 2200</w:t>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Houston, Texas 77019</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Attention: Treasurer</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Email: TalenTreasury@talenenergy.com</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With copies to:</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Talen Energy Supply, LLC</w:t>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2929 Allen Parkway, Suite 2200</w:t>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Houston, Texas 77019</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Attention: General Counsel</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Email: legalservices@talenenergy.com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White &amp; Case LLP</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1221 Avenue of the Americas</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New York, New York 10020</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Attention: Andrew Weisberg</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Email: andrew.weisberg@whitecase.com </w:t>
      </w:r>
    </w:p>
    <w:p>
      <w:pPr>
        <w:pStyle w:val="TextBody"/>
        <w:bidi w:val="0"/>
        <w:spacing w:before="0" w:after="0"/>
        <w:jc w:val="left"/>
        <w:rPr/>
      </w:pPr>
      <w:r>
        <w:rPr/>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If to the Trustee:</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Wilmington Savings Fund Society, FSB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Wilmington Savings Fund</w:t>
      </w:r>
    </w:p>
    <w:p>
      <w:pPr>
        <w:pStyle w:val="TextBody"/>
        <w:bidi w:val="0"/>
        <w:spacing w:lineRule="auto" w:line="288"/>
        <w:jc w:val="left"/>
        <w:rPr>
          <w:rFonts w:ascii="Times New Roman;serif" w:hAnsi="Times New Roman;serif"/>
          <w:b w:val="false"/>
          <w:color w:val="000000"/>
          <w:sz w:val="24"/>
        </w:rPr>
      </w:pPr>
      <w:r>
        <w:rPr>
          <w:rFonts w:ascii="Times New Roman;serif" w:hAnsi="Times New Roman;serif"/>
          <w:b w:val="false"/>
          <w:color w:val="000000"/>
          <w:sz w:val="24"/>
        </w:rPr>
        <w:t>300 Bellevue Parkway, Suite 300</w:t>
      </w:r>
    </w:p>
    <w:p>
      <w:pPr>
        <w:pStyle w:val="TextBody"/>
        <w:bidi w:val="0"/>
        <w:spacing w:before="0" w:after="0"/>
        <w:jc w:val="left"/>
        <w:rPr/>
      </w:pPr>
      <w:r>
        <w:rPr/>
      </w:r>
      <w:r>
        <mc:AlternateContent>
          <mc:Choice Requires="wps">
            <w:drawing>
              <wp:anchor behindDoc="0" distT="0" distB="0" distL="0" distR="0" simplePos="0" locked="0" layoutInCell="1" allowOverlap="1" relativeHeight="259">
                <wp:simplePos x="0" y="0"/>
                <wp:positionH relativeFrom="character">
                  <wp:align>left</wp:align>
                </wp:positionH>
                <wp:positionV relativeFrom="line">
                  <wp:posOffset>635</wp:posOffset>
                </wp:positionV>
                <wp:extent cx="6480175" cy="768985"/>
                <wp:effectExtent l="0" t="0" r="0" b="0"/>
                <wp:wrapNone/>
                <wp:docPr id="258" name="Frame258"/>
                <a:graphic xmlns:a="http://schemas.openxmlformats.org/drawingml/2006/main">
                  <a:graphicData uri="http://schemas.microsoft.com/office/word/2010/wordprocessingShape">
                    <wps:wsp>
                      <wps:cNvSpPr txBox="1"/>
                      <wps:spPr>
                        <a:xfrm>
                          <a:off x="0" y="0"/>
                          <a:ext cx="6480175" cy="7689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85</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0.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85</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Wilmington, Delaware 19809</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Attn: Anita Woolery</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E-Mail: awoolery@wsfsbank.com</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With copies to:</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4"/>
        </w:rPr>
        <w:t>Squire Patton Boggs (US) LLP</w:t>
        <w:br/>
        <w:t>1120 Avenue of the Americas, 13</w:t>
      </w:r>
      <w:r>
        <w:rPr>
          <w:rFonts w:ascii="Times New Roman;serif" w:hAnsi="Times New Roman;serif"/>
          <w:b w:val="false"/>
          <w:color w:val="000000"/>
          <w:sz w:val="16"/>
        </w:rPr>
        <w:t>th</w:t>
      </w:r>
      <w:r>
        <w:rPr>
          <w:color w:val="000000"/>
        </w:rPr>
        <w:t xml:space="preserve"> </w:t>
      </w:r>
      <w:r>
        <w:rPr>
          <w:rFonts w:ascii="Times New Roman;serif" w:hAnsi="Times New Roman;serif"/>
          <w:b w:val="false"/>
          <w:color w:val="000000"/>
          <w:sz w:val="24"/>
        </w:rPr>
        <w:t>Floor</w:t>
        <w:br/>
        <w:t>New York, NY 10036</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Attn: Heather Rees</w:t>
        <w:br/>
        <w:t>E-mail: heather.rees@squirepb.com</w:t>
      </w:r>
    </w:p>
    <w:p>
      <w:pPr>
        <w:pStyle w:val="TextBody"/>
        <w:bidi w:val="0"/>
        <w:spacing w:before="0" w:after="0"/>
        <w:jc w:val="left"/>
        <w:rPr/>
      </w:pPr>
      <w:r>
        <w:rPr/>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Issuer or the Trustee, by notice to the other, may designate additional or different addresses for subsequent notices or communications.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All notices and communications (other than those sent to Holders) will be deemed to have been duly given: at the time delivered by hand, if personally delivered; five Business Days after being deposited in the mail, postage prepaid, if mailed; when sent, without automatic reply that such was unsuccessful, if emailed; when receipt acknowledged, if sent by overnight air courier guaranteeing next day delivery.</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Any notice or communication to a Holder will be delivered electronically or mailed by first class mail, certified or registered, return receipt requested, or by overnight air courier guaranteeing next day delivery or emailed to its address shown on the register kept by the Registrar. Failure to mail a notice or communication to a Holder or any defect in it will not affect its sufficiency with respect to other Holders. For so long as any Notes are represented by Global Notes, all notices to Holders will be delivered to DTC, which will give such notices to the Holders of book-entry interests in accordance with the applicable procedures of DTC, delivery of which shall be deemed to satisfy the requirements of this paragraph.</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If a notice or communication is delivered or mailed in the manner provided above within the time prescribed, it is duly given, whether or not the addressee receives it.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If the Issuer delivers a notice or communication to Holders, it will mail a copy to the Trustee and each Agent at the same time.</w:t>
      </w:r>
    </w:p>
    <w:p>
      <w:pPr>
        <w:pStyle w:val="TextBody"/>
        <w:bidi w:val="0"/>
        <w:spacing w:lineRule="auto" w:line="240" w:before="0" w:after="240"/>
        <w:jc w:val="left"/>
        <w:rPr/>
      </w:pPr>
      <w:r>
        <w:rPr>
          <w:rFonts w:ascii="Times New Roman;serif" w:hAnsi="Times New Roman;serif"/>
          <w:b w:val="false"/>
          <w:color w:val="000000"/>
          <w:sz w:val="24"/>
        </w:rPr>
        <w:t>Section 12.02</w:t>
      </w:r>
      <w:r>
        <w:rPr>
          <w:rFonts w:ascii="Times New Roman;serif" w:hAnsi="Times New Roman;serif"/>
          <w:b w:val="false"/>
          <w:color w:val="000000"/>
          <w:sz w:val="24"/>
          <w:u w:val="single"/>
        </w:rPr>
        <w:t>Certificate and Opinion as to Conditions Precedent</w:t>
      </w:r>
      <w:r>
        <w:rPr>
          <w:rFonts w:ascii="Times New Roman;serif" w:hAnsi="Times New Roman;serif"/>
          <w:b w:val="false"/>
          <w:color w:val="000000"/>
          <w:sz w:val="24"/>
        </w:rPr>
        <w: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Upon any request or application by the Issuer to the Trustee to take any action under this Indenture (other than in connection with the Issuer Order, dated the date hereof, and delivered to the Trustee in connection with the issuance of the Initial Notes), the Issuer shall furnish to the Trustee:</w:t>
      </w:r>
    </w:p>
    <w:p>
      <w:pPr>
        <w:pStyle w:val="TextBody"/>
        <w:bidi w:val="0"/>
        <w:spacing w:lineRule="auto" w:line="240" w:before="0" w:after="240"/>
        <w:ind w:left="0" w:right="0" w:firstLine="720"/>
        <w:jc w:val="both"/>
        <w:rPr/>
      </w:pPr>
      <w:r>
        <w:rPr>
          <w:rFonts w:ascii="Times New Roman;serif" w:hAnsi="Times New Roman;serif"/>
          <w:b w:val="false"/>
          <w:color w:val="000000"/>
          <w:sz w:val="24"/>
        </w:rPr>
        <w:t xml:space="preserve">(1)an Officer’s Certificate in form and substance reasonably satisfactory to the Trustee (which must include the statements set forth in </w:t>
      </w:r>
      <w:r>
        <w:rPr>
          <w:rFonts w:ascii="Times New Roman;serif" w:hAnsi="Times New Roman;serif"/>
          <w:b w:val="false"/>
          <w:color w:val="000000"/>
          <w:sz w:val="24"/>
          <w:u w:val="single"/>
        </w:rPr>
        <w:t>Section 12.03</w:t>
      </w:r>
      <w:r>
        <w:rPr>
          <w:color w:val="000000"/>
        </w:rPr>
        <w:t xml:space="preserve"> </w:t>
      </w:r>
      <w:r>
        <w:rPr>
          <w:rFonts w:ascii="Times New Roman;serif" w:hAnsi="Times New Roman;serif"/>
          <w:b w:val="false"/>
          <w:color w:val="000000"/>
          <w:sz w:val="24"/>
        </w:rPr>
        <w:t xml:space="preserve">hereof) stating that, in the opinion of the signer, all conditions precedent and covenants, if any, provided </w:t>
      </w:r>
    </w:p>
    <w:p>
      <w:pPr>
        <w:pStyle w:val="TextBody"/>
        <w:bidi w:val="0"/>
        <w:spacing w:before="0" w:after="0"/>
        <w:jc w:val="left"/>
        <w:rPr/>
      </w:pPr>
      <w:r>
        <w:rPr/>
      </w:r>
      <w:r>
        <mc:AlternateContent>
          <mc:Choice Requires="wps">
            <w:drawing>
              <wp:anchor behindDoc="0" distT="0" distB="0" distL="0" distR="0" simplePos="0" locked="0" layoutInCell="1" allowOverlap="1" relativeHeight="260">
                <wp:simplePos x="0" y="0"/>
                <wp:positionH relativeFrom="character">
                  <wp:align>left</wp:align>
                </wp:positionH>
                <wp:positionV relativeFrom="line">
                  <wp:posOffset>635</wp:posOffset>
                </wp:positionV>
                <wp:extent cx="6480175" cy="768985"/>
                <wp:effectExtent l="0" t="0" r="0" b="0"/>
                <wp:wrapNone/>
                <wp:docPr id="259" name="Frame259"/>
                <a:graphic xmlns:a="http://schemas.openxmlformats.org/drawingml/2006/main">
                  <a:graphicData uri="http://schemas.microsoft.com/office/word/2010/wordprocessingShape">
                    <wps:wsp>
                      <wps:cNvSpPr txBox="1"/>
                      <wps:spPr>
                        <a:xfrm>
                          <a:off x="0" y="0"/>
                          <a:ext cx="6480175" cy="7689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86</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0.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86</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for in this Indenture and the other Note Documents relating to the proposed action have been satisfied; and</w:t>
      </w:r>
    </w:p>
    <w:p>
      <w:pPr>
        <w:pStyle w:val="TextBody"/>
        <w:bidi w:val="0"/>
        <w:spacing w:lineRule="auto" w:line="240" w:before="0" w:after="240"/>
        <w:ind w:left="0" w:right="0" w:firstLine="720"/>
        <w:jc w:val="both"/>
        <w:rPr/>
      </w:pPr>
      <w:r>
        <w:rPr>
          <w:rFonts w:ascii="Times New Roman;serif" w:hAnsi="Times New Roman;serif"/>
          <w:b w:val="false"/>
          <w:color w:val="000000"/>
          <w:sz w:val="24"/>
        </w:rPr>
        <w:t xml:space="preserve">(2)an Opinion of Counsel in form and substance reasonably satisfactory to the Trustee (which must include the statements set forth in </w:t>
      </w:r>
      <w:r>
        <w:rPr>
          <w:rFonts w:ascii="Times New Roman;serif" w:hAnsi="Times New Roman;serif"/>
          <w:b w:val="false"/>
          <w:color w:val="000000"/>
          <w:sz w:val="24"/>
          <w:u w:val="single"/>
        </w:rPr>
        <w:t>Section 12.03</w:t>
      </w:r>
      <w:r>
        <w:rPr>
          <w:color w:val="000000"/>
        </w:rPr>
        <w:t xml:space="preserve"> </w:t>
      </w:r>
      <w:r>
        <w:rPr>
          <w:rFonts w:ascii="Times New Roman;serif" w:hAnsi="Times New Roman;serif"/>
          <w:b w:val="false"/>
          <w:color w:val="000000"/>
          <w:sz w:val="24"/>
        </w:rPr>
        <w:t>hereof) stating that, in the opinion of such counsel, all such conditions precedent and covenants in the Note Documents relating to the proposed action have been satisfied.</w:t>
      </w:r>
    </w:p>
    <w:p>
      <w:pPr>
        <w:pStyle w:val="TextBody"/>
        <w:bidi w:val="0"/>
        <w:spacing w:lineRule="auto" w:line="240" w:before="0" w:after="240"/>
        <w:jc w:val="left"/>
        <w:rPr/>
      </w:pPr>
      <w:r>
        <w:rPr>
          <w:rFonts w:ascii="Times New Roman;serif" w:hAnsi="Times New Roman;serif"/>
          <w:b w:val="false"/>
          <w:color w:val="000000"/>
          <w:sz w:val="24"/>
        </w:rPr>
        <w:t>Section 12.03</w:t>
      </w:r>
      <w:r>
        <w:rPr>
          <w:rFonts w:ascii="Times New Roman;serif" w:hAnsi="Times New Roman;serif"/>
          <w:b w:val="false"/>
          <w:color w:val="000000"/>
          <w:sz w:val="24"/>
          <w:u w:val="single"/>
        </w:rPr>
        <w:t>Statements Required in Certificate or Opinion</w:t>
      </w:r>
      <w:r>
        <w:rPr>
          <w:rFonts w:ascii="Times New Roman;serif" w:hAnsi="Times New Roman;serif"/>
          <w:b w:val="false"/>
          <w:color w:val="000000"/>
          <w:sz w:val="24"/>
        </w:rPr>
        <w: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Each Officer’s Certificate or Opinion of Counsel with respect to compliance with a condition precedent or covenant provided for in this Indenture or the other Note Documents must include substantially:</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(1)a statement that the Person making such certificate or opinion has read such covenant or condition;</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(2)a brief statement as to the nature and scope of the examination or investigation upon which the statements or opinions contained in such certificate or opinion are based;</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(3)a statement that, in the opinion of such Person, he or she has made such examination or investigation as is necessary to enable him or her to express an informed opinion as to whether or not such covenant or condition has been satisfied; and</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(4)a statement as to whether or not, in the opinion of such Person, such condition or covenant has been satisfied.</w:t>
      </w:r>
    </w:p>
    <w:p>
      <w:pPr>
        <w:pStyle w:val="TextBody"/>
        <w:bidi w:val="0"/>
        <w:spacing w:lineRule="auto" w:line="240" w:before="0" w:after="240"/>
        <w:jc w:val="left"/>
        <w:rPr/>
      </w:pPr>
      <w:r>
        <w:rPr>
          <w:rFonts w:ascii="Times New Roman;serif" w:hAnsi="Times New Roman;serif"/>
          <w:b w:val="false"/>
          <w:color w:val="000000"/>
          <w:sz w:val="24"/>
        </w:rPr>
        <w:t>Section 12.04</w:t>
      </w:r>
      <w:r>
        <w:rPr>
          <w:rFonts w:ascii="Times New Roman;serif" w:hAnsi="Times New Roman;serif"/>
          <w:b w:val="false"/>
          <w:color w:val="000000"/>
          <w:sz w:val="24"/>
          <w:u w:val="single"/>
        </w:rPr>
        <w:t>Rules by Trustee and Agents</w:t>
      </w:r>
      <w:r>
        <w:rPr>
          <w:rFonts w:ascii="Times New Roman;serif" w:hAnsi="Times New Roman;serif"/>
          <w:b w:val="false"/>
          <w:color w:val="000000"/>
          <w:sz w:val="24"/>
        </w:rPr>
        <w: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Trustee may make reasonable rules for action by or at a meeting of Holders. The Agents may make reasonable rules and set reasonable requirements for its functions.</w:t>
      </w:r>
    </w:p>
    <w:p>
      <w:pPr>
        <w:pStyle w:val="TextBody"/>
        <w:bidi w:val="0"/>
        <w:spacing w:lineRule="auto" w:line="240" w:before="0" w:after="240"/>
        <w:jc w:val="left"/>
        <w:rPr/>
      </w:pPr>
      <w:r>
        <w:rPr>
          <w:rFonts w:ascii="Times New Roman;serif" w:hAnsi="Times New Roman;serif"/>
          <w:b w:val="false"/>
          <w:color w:val="000000"/>
          <w:sz w:val="24"/>
        </w:rPr>
        <w:t>Section 12.05</w:t>
      </w:r>
      <w:r>
        <w:rPr>
          <w:rFonts w:ascii="Times New Roman;serif" w:hAnsi="Times New Roman;serif"/>
          <w:b w:val="false"/>
          <w:color w:val="000000"/>
          <w:sz w:val="24"/>
          <w:u w:val="single"/>
        </w:rPr>
        <w:t>No Personal Liability of Directors, Officers, Employees and Stockholders</w:t>
      </w:r>
      <w:r>
        <w:rPr>
          <w:rFonts w:ascii="Times New Roman;serif" w:hAnsi="Times New Roman;serif"/>
          <w:b w:val="false"/>
          <w:color w:val="000000"/>
          <w:sz w:val="24"/>
        </w:rPr>
        <w: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No director, officer, employee, incorporator or stockholder of the Issuer or any Subsidiary Guarantor, as such, will have any liability for any Obligations of the Issuer or the Subsidiary Guarantors under this Indenture or Notes, or for any claim based on, in respect of, or by reason of, such Obligations or their creation. By accepting a Note, each Holder waives and releases all such liability. The waiver and release are part of the consideration for issuance of the Notes. The waiver may not be effective to waive liabilities under the federal securities laws.</w:t>
      </w:r>
    </w:p>
    <w:p>
      <w:pPr>
        <w:pStyle w:val="TextBody"/>
        <w:bidi w:val="0"/>
        <w:spacing w:lineRule="auto" w:line="240" w:before="0" w:after="240"/>
        <w:jc w:val="left"/>
        <w:rPr/>
      </w:pPr>
      <w:r>
        <w:rPr>
          <w:rFonts w:ascii="Times New Roman;serif" w:hAnsi="Times New Roman;serif"/>
          <w:b w:val="false"/>
          <w:color w:val="000000"/>
          <w:sz w:val="24"/>
        </w:rPr>
        <w:t>Section 12.06</w:t>
      </w:r>
      <w:r>
        <w:rPr>
          <w:rFonts w:ascii="Times New Roman;serif" w:hAnsi="Times New Roman;serif"/>
          <w:b w:val="false"/>
          <w:color w:val="000000"/>
          <w:sz w:val="24"/>
          <w:u w:val="single"/>
        </w:rPr>
        <w:t>Governing Law</w:t>
      </w:r>
      <w:r>
        <w:rPr>
          <w:rFonts w:ascii="Times New Roman;serif" w:hAnsi="Times New Roman;serif"/>
          <w:b w:val="false"/>
          <w:color w:val="000000"/>
          <w:sz w:val="24"/>
        </w:rPr>
        <w:t>.</w:t>
      </w:r>
    </w:p>
    <w:p>
      <w:pPr>
        <w:pStyle w:val="TextBody"/>
        <w:bidi w:val="0"/>
        <w:spacing w:lineRule="auto" w:line="30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rPr>
        <w:t>THIS INDENTURE, THE NOTES, AND ANY SUBSIDIARY GUARANTEES SHALL BE GOVERNED BY, AND CONSTRUED IN ACCORDANCE WITH THE LAWS OF THE STATE OF NEW YORK.</w:t>
      </w:r>
    </w:p>
    <w:p>
      <w:pPr>
        <w:pStyle w:val="TextBody"/>
        <w:bidi w:val="0"/>
        <w:spacing w:before="0" w:after="0"/>
        <w:jc w:val="left"/>
        <w:rPr/>
      </w:pPr>
      <w:r>
        <w:rPr/>
      </w:r>
      <w:r>
        <mc:AlternateContent>
          <mc:Choice Requires="wps">
            <w:drawing>
              <wp:anchor behindDoc="0" distT="0" distB="0" distL="0" distR="0" simplePos="0" locked="0" layoutInCell="1" allowOverlap="1" relativeHeight="261">
                <wp:simplePos x="0" y="0"/>
                <wp:positionH relativeFrom="character">
                  <wp:align>left</wp:align>
                </wp:positionH>
                <wp:positionV relativeFrom="line">
                  <wp:posOffset>635</wp:posOffset>
                </wp:positionV>
                <wp:extent cx="6480175" cy="768985"/>
                <wp:effectExtent l="0" t="0" r="0" b="0"/>
                <wp:wrapNone/>
                <wp:docPr id="260" name="Frame260"/>
                <a:graphic xmlns:a="http://schemas.openxmlformats.org/drawingml/2006/main">
                  <a:graphicData uri="http://schemas.microsoft.com/office/word/2010/wordprocessingShape">
                    <wps:wsp>
                      <wps:cNvSpPr txBox="1"/>
                      <wps:spPr>
                        <a:xfrm>
                          <a:off x="0" y="0"/>
                          <a:ext cx="6480175" cy="7689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87</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0.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87</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30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rPr>
        <w:t>Each party hereto irrevocably and unconditionally submits to the jurisdiction of the Supreme Court of the State of New York sitting in the Borough of Manhattan, New York County and of the United States District Court of the Southern District of New York sitting in the Borough of Manhattan, and any appellate court from any jurisdiction thereof, in any action or proceeding arising out of or relating to this Indenture, the Notes or any Subsidiary Guarantees, or for recognition or enforcement of any judgment, and each of the parties hereto hereby irrevocably and unconditionally agrees that all claims in respect of any such action or proceeding may be heard and determined in such New York State or, to the extent permitted by law, in such Federal court. Each party hereto agrees that a final judgment in any such action or proceeding shall be conclusive and may be enforced in other jurisdictions by suit on the judgment or in any other manner provided by law. Nothing in this Indenture shall affect any right that any party hereto otherwise have to bring any action or proceeding relating to this Indenture against any party hereto or its properties in the courts of any jurisdiction.</w:t>
      </w:r>
    </w:p>
    <w:p>
      <w:pPr>
        <w:pStyle w:val="TextBody"/>
        <w:bidi w:val="0"/>
        <w:spacing w:lineRule="auto" w:line="300" w:before="0" w:after="240"/>
        <w:ind w:left="0" w:right="0" w:firstLine="720"/>
        <w:jc w:val="both"/>
        <w:rPr/>
      </w:pPr>
      <w:r>
        <w:rPr>
          <w:rFonts w:ascii="Times New Roman;serif" w:hAnsi="Times New Roman;serif"/>
          <w:b w:val="false"/>
          <w:color w:val="000000"/>
          <w:sz w:val="24"/>
        </w:rPr>
        <w:t>(c)</w:t>
      </w:r>
      <w:r>
        <w:rPr>
          <w:rFonts w:ascii="Times New Roman;serif" w:hAnsi="Times New Roman;serif"/>
          <w:b w:val="false"/>
          <w:color w:val="000000"/>
          <w:sz w:val="24"/>
        </w:rPr>
        <w:t xml:space="preserve">Each party hereto irrevocably and unconditionally waives, to the fullest extent it may legally and effectively do so, any objection which it may now or hereafter have to the laying of venue of any suit, action or proceeding arising out of or relating to this Indenture in any court referred to in </w:t>
      </w:r>
      <w:r>
        <w:rPr>
          <w:rFonts w:ascii="Times New Roman;serif" w:hAnsi="Times New Roman;serif"/>
          <w:b w:val="false"/>
          <w:color w:val="000000"/>
          <w:sz w:val="24"/>
          <w:u w:val="single"/>
        </w:rPr>
        <w:t>Section 12.06(b)</w:t>
      </w:r>
      <w:r>
        <w:rPr>
          <w:color w:val="000000"/>
        </w:rPr>
        <w:t xml:space="preserve"> </w:t>
      </w:r>
      <w:r>
        <w:rPr>
          <w:rFonts w:ascii="Times New Roman;serif" w:hAnsi="Times New Roman;serif"/>
          <w:b w:val="false"/>
          <w:color w:val="000000"/>
          <w:sz w:val="24"/>
        </w:rPr>
        <w:t>hereto. Each party hereto irrevocably waives, to the fullest extent permitted by law, the defense of an inconvenient forum to the maintenance of such action or proceeding in any such court.</w:t>
      </w:r>
    </w:p>
    <w:p>
      <w:pPr>
        <w:pStyle w:val="TextBody"/>
        <w:bidi w:val="0"/>
        <w:spacing w:lineRule="auto" w:line="300" w:before="0" w:after="240"/>
        <w:ind w:left="0" w:right="0" w:firstLine="720"/>
        <w:jc w:val="both"/>
        <w:rPr/>
      </w:pPr>
      <w:r>
        <w:rPr>
          <w:rFonts w:ascii="Times New Roman;serif" w:hAnsi="Times New Roman;serif"/>
          <w:b w:val="false"/>
          <w:color w:val="000000"/>
          <w:sz w:val="24"/>
        </w:rPr>
        <w:t>(d)</w:t>
      </w:r>
      <w:r>
        <w:rPr>
          <w:rFonts w:ascii="Times New Roman;serif" w:hAnsi="Times New Roman;serif"/>
          <w:b w:val="false"/>
          <w:color w:val="000000"/>
          <w:sz w:val="24"/>
        </w:rPr>
        <w:t xml:space="preserve">Each party hereto irrevocably consents to service of process in the manner provided for notices in </w:t>
      </w:r>
      <w:r>
        <w:rPr>
          <w:rFonts w:ascii="Times New Roman;serif" w:hAnsi="Times New Roman;serif"/>
          <w:b w:val="false"/>
          <w:color w:val="000000"/>
          <w:sz w:val="24"/>
          <w:u w:val="single"/>
        </w:rPr>
        <w:t>Section 12.01</w:t>
      </w:r>
      <w:r>
        <w:rPr>
          <w:color w:val="000000"/>
        </w:rPr>
        <w:t xml:space="preserve"> </w:t>
      </w:r>
      <w:r>
        <w:rPr>
          <w:rFonts w:ascii="Times New Roman;serif" w:hAnsi="Times New Roman;serif"/>
          <w:b w:val="false"/>
          <w:color w:val="000000"/>
          <w:sz w:val="24"/>
        </w:rPr>
        <w:t>hereof, such service to be effective upon receipt. Nothing in this Indenture will affect the right of any party hereto to serve process in any other manner permitted by law.</w:t>
      </w:r>
    </w:p>
    <w:p>
      <w:pPr>
        <w:pStyle w:val="TextBody"/>
        <w:bidi w:val="0"/>
        <w:spacing w:lineRule="auto" w:line="300" w:before="0" w:after="240"/>
        <w:jc w:val="left"/>
        <w:rPr/>
      </w:pPr>
      <w:r>
        <w:rPr>
          <w:rFonts w:ascii="Times New Roman;serif" w:hAnsi="Times New Roman;serif"/>
          <w:b w:val="false"/>
          <w:color w:val="000000"/>
          <w:sz w:val="24"/>
        </w:rPr>
        <w:t>Section 12.07</w:t>
      </w:r>
      <w:r>
        <w:rPr>
          <w:rFonts w:ascii="Times New Roman;serif" w:hAnsi="Times New Roman;serif"/>
          <w:b w:val="false"/>
          <w:color w:val="000000"/>
          <w:sz w:val="24"/>
          <w:u w:val="single"/>
        </w:rPr>
        <w:t>Waiver of Immunity</w:t>
      </w:r>
      <w:r>
        <w:rPr>
          <w:rFonts w:ascii="Times New Roman;serif" w:hAnsi="Times New Roman;serif"/>
          <w:b w:val="false"/>
          <w:color w:val="000000"/>
          <w:sz w:val="24"/>
        </w:rPr>
        <w:t>.</w:t>
      </w:r>
    </w:p>
    <w:p>
      <w:pPr>
        <w:pStyle w:val="TextBody"/>
        <w:bidi w:val="0"/>
        <w:spacing w:lineRule="auto" w:line="30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To the extent that the Issuer has or hereafter may acquire any immunity from jurisdiction of any court or from any legal process (whether through service of notice, attachment prior to judgment, attachment in aid of execution or execution, on the ground of sovereignty or otherwise) with respect to itself or its property, it hereby irrevocably waives, to the fullest extent permitted by applicable law, such immunity in respect of its obligations under this Indenture and/or Note.</w:t>
      </w:r>
    </w:p>
    <w:p>
      <w:pPr>
        <w:pStyle w:val="TextBody"/>
        <w:bidi w:val="0"/>
        <w:spacing w:lineRule="auto" w:line="300" w:before="0" w:after="240"/>
        <w:jc w:val="left"/>
        <w:rPr/>
      </w:pPr>
      <w:r>
        <w:rPr>
          <w:rFonts w:ascii="Times New Roman;serif" w:hAnsi="Times New Roman;serif"/>
          <w:b w:val="false"/>
          <w:color w:val="000000"/>
          <w:sz w:val="24"/>
        </w:rPr>
        <w:t>Section 12.08</w:t>
      </w:r>
      <w:r>
        <w:rPr>
          <w:rFonts w:ascii="Times New Roman;serif" w:hAnsi="Times New Roman;serif"/>
          <w:b w:val="false"/>
          <w:color w:val="000000"/>
          <w:sz w:val="24"/>
          <w:u w:val="single"/>
        </w:rPr>
        <w:t>Waiver of Jury Trials</w:t>
      </w:r>
      <w:r>
        <w:rPr>
          <w:rFonts w:ascii="Times New Roman;serif" w:hAnsi="Times New Roman;serif"/>
          <w:b w:val="false"/>
          <w:color w:val="000000"/>
          <w:sz w:val="24"/>
        </w:rPr>
        <w:t>.</w:t>
      </w:r>
    </w:p>
    <w:p>
      <w:pPr>
        <w:pStyle w:val="TextBody"/>
        <w:bidi w:val="0"/>
        <w:spacing w:lineRule="auto" w:line="30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ALL PARTIES HERETO HEREBY IRREVOCABLY WAIVE ALL RIGHTS TO TRIAL BY JURY IN ANY ACTION, PROCEEDING OR COUNTERCLAIM (WHETHER BASED ON CONTRACT, TORT OR OTHERWISE) ARISING OUT OF OR RELATING TO THIS INDENTURE, THE SECURITIES OR THE TRANSACTIONS CONTEMPLATED HEREBY OR THEREBY.</w:t>
      </w:r>
    </w:p>
    <w:p>
      <w:pPr>
        <w:pStyle w:val="TextBody"/>
        <w:bidi w:val="0"/>
        <w:spacing w:before="0" w:after="0"/>
        <w:jc w:val="left"/>
        <w:rPr/>
      </w:pPr>
      <w:r>
        <w:rPr/>
      </w:r>
      <w:r>
        <mc:AlternateContent>
          <mc:Choice Requires="wps">
            <w:drawing>
              <wp:anchor behindDoc="0" distT="0" distB="0" distL="0" distR="0" simplePos="0" locked="0" layoutInCell="1" allowOverlap="1" relativeHeight="262">
                <wp:simplePos x="0" y="0"/>
                <wp:positionH relativeFrom="character">
                  <wp:align>left</wp:align>
                </wp:positionH>
                <wp:positionV relativeFrom="line">
                  <wp:posOffset>635</wp:posOffset>
                </wp:positionV>
                <wp:extent cx="6480175" cy="768985"/>
                <wp:effectExtent l="0" t="0" r="0" b="0"/>
                <wp:wrapNone/>
                <wp:docPr id="261" name="Frame261"/>
                <a:graphic xmlns:a="http://schemas.openxmlformats.org/drawingml/2006/main">
                  <a:graphicData uri="http://schemas.microsoft.com/office/word/2010/wordprocessingShape">
                    <wps:wsp>
                      <wps:cNvSpPr txBox="1"/>
                      <wps:spPr>
                        <a:xfrm>
                          <a:off x="0" y="0"/>
                          <a:ext cx="6480175" cy="7689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88</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0.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88</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300" w:before="0" w:after="240"/>
        <w:jc w:val="left"/>
        <w:rPr/>
      </w:pPr>
      <w:r>
        <w:rPr>
          <w:rFonts w:ascii="Times New Roman;serif" w:hAnsi="Times New Roman;serif"/>
          <w:b w:val="false"/>
          <w:color w:val="000000"/>
          <w:sz w:val="24"/>
        </w:rPr>
        <w:t>Section 12.09</w:t>
      </w:r>
      <w:r>
        <w:rPr>
          <w:rFonts w:ascii="Times New Roman;serif" w:hAnsi="Times New Roman;serif"/>
          <w:b w:val="false"/>
          <w:color w:val="000000"/>
          <w:sz w:val="24"/>
          <w:u w:val="single"/>
        </w:rPr>
        <w:t>No Adverse Interpretation of Other Agreements</w:t>
      </w:r>
      <w:r>
        <w:rPr>
          <w:rFonts w:ascii="Times New Roman;serif" w:hAnsi="Times New Roman;serif"/>
          <w:b w:val="false"/>
          <w:color w:val="000000"/>
          <w:sz w:val="24"/>
        </w:rPr>
        <w:t>.</w:t>
      </w:r>
    </w:p>
    <w:p>
      <w:pPr>
        <w:pStyle w:val="TextBody"/>
        <w:bidi w:val="0"/>
        <w:spacing w:lineRule="auto" w:line="30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This Indenture may not be used to interpret any other indenture, loan or debt agreement of the Issuer or its Subsidiaries or of any other Person. Any such indenture, loan or debt agreement may not be used to interpret this Indenture.</w:t>
      </w:r>
    </w:p>
    <w:p>
      <w:pPr>
        <w:pStyle w:val="TextBody"/>
        <w:bidi w:val="0"/>
        <w:spacing w:lineRule="auto" w:line="300" w:before="0" w:after="240"/>
        <w:jc w:val="left"/>
        <w:rPr/>
      </w:pPr>
      <w:r>
        <w:rPr>
          <w:rFonts w:ascii="Times New Roman;serif" w:hAnsi="Times New Roman;serif"/>
          <w:b w:val="false"/>
          <w:color w:val="000000"/>
          <w:sz w:val="24"/>
        </w:rPr>
        <w:t>Section 12.10</w:t>
      </w:r>
      <w:r>
        <w:rPr>
          <w:rFonts w:ascii="Times New Roman;serif" w:hAnsi="Times New Roman;serif"/>
          <w:b w:val="false"/>
          <w:color w:val="000000"/>
          <w:sz w:val="24"/>
          <w:u w:val="single"/>
        </w:rPr>
        <w:t>Successors</w:t>
      </w:r>
      <w:r>
        <w:rPr>
          <w:rFonts w:ascii="Times New Roman;serif" w:hAnsi="Times New Roman;serif"/>
          <w:b w:val="false"/>
          <w:color w:val="000000"/>
          <w:sz w:val="24"/>
        </w:rPr>
        <w:t>.</w:t>
      </w:r>
    </w:p>
    <w:p>
      <w:pPr>
        <w:pStyle w:val="TextBody"/>
        <w:bidi w:val="0"/>
        <w:spacing w:lineRule="auto" w:line="30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All agreements of the Issuer in this Indenture and the Notes will bind its successors. All agreements of the Trustee in this Indenture will bind its successors.</w:t>
      </w:r>
    </w:p>
    <w:p>
      <w:pPr>
        <w:pStyle w:val="TextBody"/>
        <w:bidi w:val="0"/>
        <w:spacing w:lineRule="auto" w:line="300" w:before="0" w:after="240"/>
        <w:jc w:val="left"/>
        <w:rPr/>
      </w:pPr>
      <w:r>
        <w:rPr>
          <w:rFonts w:ascii="Times New Roman;serif" w:hAnsi="Times New Roman;serif"/>
          <w:b w:val="false"/>
          <w:color w:val="000000"/>
          <w:sz w:val="24"/>
        </w:rPr>
        <w:t>Section 12.11</w:t>
      </w:r>
      <w:r>
        <w:rPr>
          <w:rFonts w:ascii="Times New Roman;serif" w:hAnsi="Times New Roman;serif"/>
          <w:b w:val="false"/>
          <w:color w:val="000000"/>
          <w:sz w:val="24"/>
          <w:u w:val="single"/>
        </w:rPr>
        <w:t>USA Patriot Act</w:t>
      </w:r>
      <w:r>
        <w:rPr>
          <w:rFonts w:ascii="Times New Roman;serif" w:hAnsi="Times New Roman;serif"/>
          <w:b w:val="false"/>
          <w:color w:val="000000"/>
          <w:sz w:val="24"/>
        </w:rPr>
        <w:t>.</w:t>
      </w:r>
    </w:p>
    <w:p>
      <w:pPr>
        <w:pStyle w:val="TextBody"/>
        <w:bidi w:val="0"/>
        <w:spacing w:lineRule="auto" w:line="30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parties hereto acknowledge that in accordance with Section 326 of the USA Patriot Act, the Trustee, like all financial institutions and in order to help fight the funding of terrorism and money laundering, is required to obtain, verify, and record information that identifies each person or legal entity that establishes a relationship or opens an account with the Trustee. The parties to this Indenture agree that they will provide the Trustee with such information as it may request in order for the Trustee to satisfy the requirements of the USA Patriot Act.</w:t>
      </w:r>
    </w:p>
    <w:p>
      <w:pPr>
        <w:pStyle w:val="TextBody"/>
        <w:bidi w:val="0"/>
        <w:spacing w:lineRule="auto" w:line="300" w:before="0" w:after="240"/>
        <w:jc w:val="left"/>
        <w:rPr/>
      </w:pPr>
      <w:r>
        <w:rPr>
          <w:rFonts w:ascii="Times New Roman;serif" w:hAnsi="Times New Roman;serif"/>
          <w:b w:val="false"/>
          <w:color w:val="000000"/>
          <w:sz w:val="24"/>
        </w:rPr>
        <w:t>Section 12.12</w:t>
      </w:r>
      <w:r>
        <w:rPr>
          <w:rFonts w:ascii="Times New Roman;serif" w:hAnsi="Times New Roman;serif"/>
          <w:b w:val="false"/>
          <w:color w:val="000000"/>
          <w:sz w:val="24"/>
          <w:u w:val="single"/>
        </w:rPr>
        <w:t>Severability</w:t>
      </w:r>
      <w:r>
        <w:rPr>
          <w:rFonts w:ascii="Times New Roman;serif" w:hAnsi="Times New Roman;serif"/>
          <w:b w:val="false"/>
          <w:color w:val="000000"/>
          <w:sz w:val="24"/>
        </w:rPr>
        <w:t>.</w:t>
      </w:r>
    </w:p>
    <w:p>
      <w:pPr>
        <w:pStyle w:val="TextBody"/>
        <w:bidi w:val="0"/>
        <w:spacing w:lineRule="auto" w:line="30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In case any provision in this Indenture or in the Notes is invalid, illegal or unenforceable, the validity, legality and enforceability of the remaining provisions will not in any way be affected or impaired thereby.</w:t>
      </w:r>
    </w:p>
    <w:p>
      <w:pPr>
        <w:pStyle w:val="TextBody"/>
        <w:bidi w:val="0"/>
        <w:spacing w:lineRule="auto" w:line="300" w:before="0" w:after="240"/>
        <w:jc w:val="left"/>
        <w:rPr/>
      </w:pPr>
      <w:r>
        <w:rPr>
          <w:rFonts w:ascii="Times New Roman;serif" w:hAnsi="Times New Roman;serif"/>
          <w:b w:val="false"/>
          <w:color w:val="000000"/>
          <w:sz w:val="24"/>
        </w:rPr>
        <w:t>Section 12.13</w:t>
      </w:r>
      <w:r>
        <w:rPr>
          <w:rFonts w:ascii="Times New Roman;serif" w:hAnsi="Times New Roman;serif"/>
          <w:b w:val="false"/>
          <w:color w:val="000000"/>
          <w:sz w:val="24"/>
          <w:u w:val="single"/>
        </w:rPr>
        <w:t>Counterpart Originals</w:t>
      </w:r>
      <w:r>
        <w:rPr>
          <w:rFonts w:ascii="Times New Roman;serif" w:hAnsi="Times New Roman;serif"/>
          <w:b w:val="false"/>
          <w:color w:val="000000"/>
          <w:sz w:val="24"/>
        </w:rPr>
        <w:t>.</w:t>
      </w:r>
    </w:p>
    <w:p>
      <w:pPr>
        <w:pStyle w:val="TextBody"/>
        <w:bidi w:val="0"/>
        <w:spacing w:lineRule="auto" w:line="300" w:before="0" w:after="240"/>
        <w:ind w:left="0" w:right="0" w:firstLine="720"/>
        <w:jc w:val="both"/>
        <w:rPr/>
      </w:pPr>
      <w:r>
        <w:rPr>
          <w:rFonts w:ascii="Times New Roman;serif" w:hAnsi="Times New Roman;serif"/>
          <w:b w:val="false"/>
          <w:color w:val="000000"/>
          <w:sz w:val="24"/>
        </w:rPr>
        <w:t xml:space="preserve">The parties may sign any number of copies of this Indenture. Each signed copy will be an original, but all of them together represent the same agreement. The exchange of copies of this Indenture and of signature pages by PDF or other electronic transmission shall constitute effective execution and delivery of this Indenture as to the parties hereto and may be used in lieu of the original Indenture and signature pages for all purposes and shall constitute effective execution and delivery of this Indenture as to the parties hereto and will be of the same effect, validity and enforceability as manually executed signatures or a paper-based recordkeeping system, as the case may be, to the extent and as provided for under applicable law, including the Electronic Signatures in Global and National Commerce Act of 2000 (15 U.S.C. §§ 7001-7006), the Electronic Signatures and Records Act of 1999 (N.Y. State Tech. §§ 301-309), or any other similar state laws based on the Uniform Electronic Transactions Act; </w:t>
      </w:r>
      <w:r>
        <w:rPr>
          <w:rFonts w:ascii="Times New Roman;serif" w:hAnsi="Times New Roman;serif"/>
          <w:b w:val="false"/>
          <w:i/>
          <w:color w:val="000000"/>
          <w:sz w:val="24"/>
        </w:rPr>
        <w:t>provided that</w:t>
      </w:r>
      <w:r>
        <w:rPr>
          <w:rFonts w:ascii="Times New Roman;serif" w:hAnsi="Times New Roman;serif"/>
          <w:b w:val="false"/>
          <w:color w:val="000000"/>
          <w:sz w:val="24"/>
        </w:rPr>
        <w:t>, notwithstanding anything herein to the contrary, the Trustee is not under any obligation to agree to accept electronic signatures in any form or in any format unless expressly agreed to by such Trustee pursuant to procedures approved by such Trustee.</w:t>
      </w:r>
    </w:p>
    <w:p>
      <w:pPr>
        <w:pStyle w:val="TextBody"/>
        <w:bidi w:val="0"/>
        <w:spacing w:before="0" w:after="0"/>
        <w:jc w:val="left"/>
        <w:rPr/>
      </w:pPr>
      <w:r>
        <w:rPr/>
      </w:r>
      <w:r>
        <mc:AlternateContent>
          <mc:Choice Requires="wps">
            <w:drawing>
              <wp:anchor behindDoc="0" distT="0" distB="0" distL="0" distR="0" simplePos="0" locked="0" layoutInCell="1" allowOverlap="1" relativeHeight="263">
                <wp:simplePos x="0" y="0"/>
                <wp:positionH relativeFrom="character">
                  <wp:align>left</wp:align>
                </wp:positionH>
                <wp:positionV relativeFrom="line">
                  <wp:posOffset>635</wp:posOffset>
                </wp:positionV>
                <wp:extent cx="6480175" cy="768985"/>
                <wp:effectExtent l="0" t="0" r="0" b="0"/>
                <wp:wrapNone/>
                <wp:docPr id="262" name="Frame262"/>
                <a:graphic xmlns:a="http://schemas.openxmlformats.org/drawingml/2006/main">
                  <a:graphicData uri="http://schemas.microsoft.com/office/word/2010/wordprocessingShape">
                    <wps:wsp>
                      <wps:cNvSpPr txBox="1"/>
                      <wps:spPr>
                        <a:xfrm>
                          <a:off x="0" y="0"/>
                          <a:ext cx="6480175" cy="7689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89</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0.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89</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300" w:before="0" w:after="240"/>
        <w:jc w:val="left"/>
        <w:rPr/>
      </w:pPr>
      <w:r>
        <w:rPr>
          <w:rFonts w:ascii="Times New Roman;serif" w:hAnsi="Times New Roman;serif"/>
          <w:b w:val="false"/>
          <w:color w:val="000000"/>
          <w:sz w:val="24"/>
        </w:rPr>
        <w:t>Section 12.14</w:t>
      </w:r>
      <w:r>
        <w:rPr>
          <w:rFonts w:ascii="Times New Roman;serif" w:hAnsi="Times New Roman;serif"/>
          <w:b w:val="false"/>
          <w:color w:val="000000"/>
          <w:sz w:val="24"/>
          <w:u w:val="single"/>
        </w:rPr>
        <w:t>Table of Contents, Headings, etc</w:t>
      </w:r>
      <w:r>
        <w:rPr>
          <w:rFonts w:ascii="Times New Roman;serif" w:hAnsi="Times New Roman;serif"/>
          <w:b w:val="false"/>
          <w:color w:val="000000"/>
          <w:sz w:val="24"/>
        </w:rPr>
        <w:t xml:space="preserve">. </w:t>
      </w:r>
    </w:p>
    <w:p>
      <w:pPr>
        <w:pStyle w:val="TextBody"/>
        <w:bidi w:val="0"/>
        <w:spacing w:lineRule="auto" w:line="30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Table of Contents and Headings of the Articles and Sections of this Indenture have been inserted for convenience of reference only, are not to be considered a part of this Indenture and will in no way modify or restrict any of the terms or provisions hereof.</w:t>
      </w:r>
    </w:p>
    <w:p>
      <w:pPr>
        <w:pStyle w:val="TextBody"/>
        <w:bidi w:val="0"/>
        <w:spacing w:lineRule="auto" w:line="300" w:before="0" w:after="240"/>
        <w:jc w:val="left"/>
        <w:rPr/>
      </w:pPr>
      <w:r>
        <w:rPr>
          <w:rFonts w:ascii="Times New Roman;serif" w:hAnsi="Times New Roman;serif"/>
          <w:b w:val="false"/>
          <w:color w:val="000000"/>
          <w:sz w:val="24"/>
        </w:rPr>
        <w:t>Section 12.15</w:t>
      </w:r>
      <w:r>
        <w:rPr>
          <w:rFonts w:ascii="Times New Roman;serif" w:hAnsi="Times New Roman;serif"/>
          <w:b w:val="false"/>
          <w:color w:val="000000"/>
          <w:sz w:val="24"/>
          <w:u w:val="single"/>
        </w:rPr>
        <w:t>Legal Holidays</w:t>
      </w:r>
      <w:r>
        <w:rPr>
          <w:rFonts w:ascii="Times New Roman;serif" w:hAnsi="Times New Roman;serif"/>
          <w:b w:val="false"/>
          <w:color w:val="000000"/>
          <w:sz w:val="24"/>
        </w:rPr>
        <w:t xml:space="preserve">. </w:t>
      </w:r>
    </w:p>
    <w:p>
      <w:pPr>
        <w:pStyle w:val="TextBody"/>
        <w:bidi w:val="0"/>
        <w:spacing w:lineRule="auto" w:line="300" w:before="0" w:after="240"/>
        <w:ind w:left="0" w:right="0" w:firstLine="720"/>
        <w:jc w:val="both"/>
        <w:rPr/>
      </w:pPr>
      <w:r>
        <w:rPr>
          <w:rFonts w:ascii="Times New Roman;serif" w:hAnsi="Times New Roman;serif"/>
          <w:b w:val="false"/>
          <w:color w:val="000000"/>
          <w:sz w:val="24"/>
        </w:rPr>
        <w:t xml:space="preserve">In any case where any interest payment date, redemption date, Change of Control Payment Date or Stated Maturity of any Note shall not be a Business Day, then (notwithstanding any other provision of this Indenture or of the Notes) payment of principal (or premium, if any) or interest or other required payment need not be made on such date, but may be made on the next succeeding Business Day with the same force and effect as if made on the Interest payment date, redemption date, Change of Control Payment Date or at the Stated Maturity; </w:t>
      </w:r>
      <w:r>
        <w:rPr>
          <w:rFonts w:ascii="Times New Roman;serif" w:hAnsi="Times New Roman;serif"/>
          <w:b w:val="false"/>
          <w:i/>
          <w:color w:val="000000"/>
          <w:sz w:val="24"/>
        </w:rPr>
        <w:t>provided that</w:t>
      </w:r>
      <w:r>
        <w:rPr>
          <w:color w:val="000000"/>
        </w:rPr>
        <w:t xml:space="preserve"> </w:t>
      </w:r>
      <w:r>
        <w:rPr>
          <w:rFonts w:ascii="Times New Roman;serif" w:hAnsi="Times New Roman;serif"/>
          <w:b w:val="false"/>
          <w:color w:val="000000"/>
          <w:sz w:val="24"/>
        </w:rPr>
        <w:t>no interest shall accrue on such payment for the period from and after such interest payment date, redemption date, Change of Control Payment Date or Stated Maturity, as the case may be.</w:t>
      </w:r>
    </w:p>
    <w:p>
      <w:pPr>
        <w:pStyle w:val="TextBody"/>
        <w:bidi w:val="0"/>
        <w:spacing w:lineRule="auto" w:line="300" w:before="0" w:after="240"/>
        <w:jc w:val="center"/>
        <w:rPr/>
      </w:pPr>
      <w:r>
        <w:rPr>
          <w:rFonts w:ascii="Times New Roman;serif" w:hAnsi="Times New Roman;serif"/>
          <w:b w:val="false"/>
          <w:color w:val="000000"/>
          <w:sz w:val="24"/>
        </w:rPr>
        <w:t>[</w:t>
      </w:r>
      <w:r>
        <w:rPr>
          <w:rFonts w:ascii="Times New Roman;serif" w:hAnsi="Times New Roman;serif"/>
          <w:b w:val="false"/>
          <w:i/>
          <w:color w:val="000000"/>
          <w:sz w:val="24"/>
        </w:rPr>
        <w:t>Signatures on following pages</w:t>
      </w:r>
      <w:r>
        <w:rPr>
          <w:rFonts w:ascii="Times New Roman;serif" w:hAnsi="Times New Roman;serif"/>
          <w:b w:val="false"/>
          <w:color w:val="000000"/>
          <w:sz w:val="24"/>
        </w:rPr>
        <w:t>]</w:t>
      </w:r>
    </w:p>
    <w:p>
      <w:pPr>
        <w:pStyle w:val="TextBody"/>
        <w:bidi w:val="0"/>
        <w:spacing w:before="0" w:after="2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64">
                <wp:simplePos x="0" y="0"/>
                <wp:positionH relativeFrom="character">
                  <wp:align>left</wp:align>
                </wp:positionH>
                <wp:positionV relativeFrom="line">
                  <wp:posOffset>635</wp:posOffset>
                </wp:positionV>
                <wp:extent cx="6480175" cy="768985"/>
                <wp:effectExtent l="0" t="0" r="0" b="0"/>
                <wp:wrapNone/>
                <wp:docPr id="263" name="Frame263"/>
                <a:graphic xmlns:a="http://schemas.openxmlformats.org/drawingml/2006/main">
                  <a:graphicData uri="http://schemas.microsoft.com/office/word/2010/wordprocessingShape">
                    <wps:wsp>
                      <wps:cNvSpPr txBox="1"/>
                      <wps:spPr>
                        <a:xfrm>
                          <a:off x="0" y="0"/>
                          <a:ext cx="6480175" cy="7689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90</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0.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4"/>
                        </w:rPr>
                      </w:pPr>
                      <w:r>
                        <w:rPr>
                          <w:rFonts w:ascii="Times New Roman;serif" w:hAnsi="Times New Roman;serif"/>
                          <w:b w:val="false"/>
                          <w:color w:val="000000"/>
                          <w:sz w:val="24"/>
                        </w:rPr>
                        <w:t>90</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Dated: April 29, 2026</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 xml:space="preserve">TALEN ENERGY SUPPLY, LLC, </w:t>
        <w:br/>
        <w:t>as Issuer</w:t>
      </w:r>
    </w:p>
    <w:p>
      <w:pPr>
        <w:pStyle w:val="TextBody"/>
        <w:bidi w:val="0"/>
        <w:spacing w:before="0" w:after="240"/>
        <w:jc w:val="left"/>
        <w:rPr/>
      </w:pPr>
      <w:r>
        <w:rPr/>
      </w:r>
    </w:p>
    <w:p>
      <w:pPr>
        <w:pStyle w:val="TextBody"/>
        <w:bidi w:val="0"/>
        <w:spacing w:lineRule="auto" w:line="288" w:before="0" w:after="0"/>
        <w:jc w:val="left"/>
        <w:rPr/>
      </w:pPr>
      <w:r>
        <w:rPr>
          <w:rFonts w:ascii="Times New Roman;serif" w:hAnsi="Times New Roman;serif"/>
          <w:b w:val="false"/>
          <w:color w:val="000000"/>
          <w:sz w:val="24"/>
        </w:rPr>
        <w:t>By:    </w:t>
      </w:r>
      <w:r>
        <w:rPr>
          <w:rFonts w:ascii="Times New Roman;serif" w:hAnsi="Times New Roman;serif"/>
          <w:b w:val="false"/>
          <w:color w:val="000000"/>
          <w:sz w:val="24"/>
          <w:u w:val="single"/>
        </w:rPr>
        <w:t xml:space="preserve">/s/ Sergio Castro </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 xml:space="preserve">Name:    Sergio Castro </w:t>
      </w:r>
    </w:p>
    <w:p>
      <w:pPr>
        <w:pStyle w:val="TextBody"/>
        <w:bidi w:val="0"/>
        <w:spacing w:lineRule="auto" w:line="288" w:before="0" w:after="240"/>
        <w:jc w:val="left"/>
        <w:rPr>
          <w:color w:val="000000"/>
        </w:rPr>
      </w:pPr>
      <w:r>
        <w:rPr>
          <w:color w:val="000000"/>
        </w:rPr>
        <w:t>    </w:t>
      </w:r>
      <w:r>
        <w:rPr>
          <w:rFonts w:ascii="Times New Roman;serif" w:hAnsi="Times New Roman;serif"/>
          <w:b w:val="false"/>
          <w:color w:val="000000"/>
          <w:sz w:val="24"/>
        </w:rPr>
        <w:t xml:space="preserve">Title: Vice President &amp; Treasurer </w:t>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65">
                <wp:simplePos x="0" y="0"/>
                <wp:positionH relativeFrom="character">
                  <wp:align>left</wp:align>
                </wp:positionH>
                <wp:positionV relativeFrom="line">
                  <wp:posOffset>635</wp:posOffset>
                </wp:positionV>
                <wp:extent cx="6480175" cy="146685"/>
                <wp:effectExtent l="0" t="0" r="0" b="0"/>
                <wp:wrapNone/>
                <wp:docPr id="264" name="Frame2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[Signature Page to the 2033 Notes Indenture]</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[Signature Page to the 2033 Notes Indenture]</w:t>
                      </w:r>
                    </w:p>
                  </w:txbxContent>
                </v:textbox>
                <w10:wrap type="none"/>
              </v:rect>
            </w:pict>
          </mc:Fallback>
        </mc:AlternateContent>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BRANDON SHORES LLC</w:t>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BRUNNER ISLAND, LLC</w:t>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COLSTRIP COMM SERV, LLC</w:t>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FORT ARMISTEAD ROAD – LOT 15 LANDFILL, LLC</w:t>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GUERNSEY POWER STATION LLC</w:t>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H.A. WAGNER LLC</w:t>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HOLTWOOD, LLC</w:t>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LIBERTY VIEW POWER, L.L.C.</w:t>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LMBE PROJECT COMPANY LLC</w:t>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MC OPCO LLC</w:t>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MC PROJECT COMPANY LLC</w:t>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MONTANA GROWTH HOLDINGS LLC</w:t>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MONTOUR, LLC</w:t>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MOXIE FREEDOM LLC</w:t>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MORRIS ENERGY OPERATIONS COMPANY, LLC</w:t>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NEWARK BAY COGENERATION PARTNERSHIP, L.P.</w:t>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NEWARK BAY HOLDING COMPANY, L.L.C.</w:t>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NORTHEAST GAS GENERATION HOLDINGS, LLC</w:t>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PENNSYLVANIA MINES, LLC</w:t>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RAVEN LOT 15 LLC</w:t>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RAVEN FS PROPERTY HOLDINGS LLC</w:t>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RAVEN POWER FINANCE LLC</w:t>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RAVEN POWER FORT SMALLWOOD LLC</w:t>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RAVEN POWER GENERATION HOLDINGS LLC</w:t>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RAVEN POWER GROUP LLC</w:t>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RAVEN POWER PROPERTY LLC</w:t>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RMGL HOLDINGS LLC</w:t>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SAPPHIRE POWER GENERATION HOLDINGS LLC</w:t>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SUSQUEHANNA NUCLEAR, LLC</w:t>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TALEN CONEMAUGH LLC</w:t>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TALEN ENERGY MARKETING, LLC</w:t>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TALEN ENERGY SERVICES GROUP, LLC</w:t>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TALEN ENERGY SERVICES HOLDINGS, LLC</w:t>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TALEN GENERATION, LLC</w:t>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TALEN KEYCON HOLDINGS LLC</w:t>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TALEN KEYSTONE LLC</w:t>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TALEN MCR HOLDINGS LLC</w:t>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TALEN MONTANA, LLC</w:t>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TALEN MONTANA HOLDINGS, LLC</w:t>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TALEN NE LLC</w:t>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THE RIVERLANDS RECREATION AREA LLC,</w:t>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as Subsidiary Guarantors </w:t>
      </w:r>
    </w:p>
    <w:p>
      <w:pPr>
        <w:pStyle w:val="TextBody"/>
        <w:bidi w:val="0"/>
        <w:spacing w:lineRule="auto" w:line="288" w:before="0" w:after="0"/>
        <w:jc w:val="left"/>
        <w:rPr/>
      </w:pPr>
      <w:r>
        <w:rPr>
          <w:rFonts w:ascii="Times New Roman;serif" w:hAnsi="Times New Roman;serif"/>
          <w:b w:val="false"/>
          <w:color w:val="000000"/>
          <w:sz w:val="24"/>
        </w:rPr>
        <w:t>By:    </w:t>
      </w:r>
      <w:r>
        <w:rPr>
          <w:rFonts w:ascii="Times New Roman;serif" w:hAnsi="Times New Roman;serif"/>
          <w:b w:val="false"/>
          <w:color w:val="000000"/>
          <w:sz w:val="24"/>
          <w:u w:val="single"/>
        </w:rPr>
        <w:t xml:space="preserve">/s/ Sergio Castro </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Name: Sergio Castro     </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Title: Vice President &amp; Treasurer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66">
                <wp:simplePos x="0" y="0"/>
                <wp:positionH relativeFrom="character">
                  <wp:align>left</wp:align>
                </wp:positionH>
                <wp:positionV relativeFrom="line">
                  <wp:posOffset>635</wp:posOffset>
                </wp:positionV>
                <wp:extent cx="6480175" cy="146685"/>
                <wp:effectExtent l="0" t="0" r="0" b="0"/>
                <wp:wrapNone/>
                <wp:docPr id="265" name="Frame2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[Signature Page to the 2033 Notes Indenture]</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[Signature Page to the 2033 Notes Indenture]</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WILMINGTON SAVINGS FUND SOCIETY, FSB,</w:t>
        <w:br/>
        <w:t>as Trustee</w:t>
      </w:r>
    </w:p>
    <w:p>
      <w:pPr>
        <w:pStyle w:val="TextBody"/>
        <w:bidi w:val="0"/>
        <w:spacing w:before="0" w:after="240"/>
        <w:jc w:val="left"/>
        <w:rPr/>
      </w:pPr>
      <w:r>
        <w:rPr/>
      </w:r>
    </w:p>
    <w:p>
      <w:pPr>
        <w:pStyle w:val="TextBody"/>
        <w:bidi w:val="0"/>
        <w:spacing w:lineRule="auto" w:line="288" w:before="0" w:after="0"/>
        <w:jc w:val="left"/>
        <w:rPr/>
      </w:pPr>
      <w:r>
        <w:rPr>
          <w:rFonts w:ascii="Times New Roman;serif" w:hAnsi="Times New Roman;serif"/>
          <w:b w:val="false"/>
          <w:color w:val="000000"/>
          <w:sz w:val="24"/>
        </w:rPr>
        <w:t>By:    </w:t>
      </w:r>
      <w:r>
        <w:rPr>
          <w:rFonts w:ascii="Times New Roman;serif" w:hAnsi="Times New Roman;serif"/>
          <w:b w:val="false"/>
          <w:color w:val="000000"/>
          <w:sz w:val="24"/>
          <w:u w:val="single"/>
        </w:rPr>
        <w:t>/s/ Anita Woolery</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 xml:space="preserve">Name:    Anita Woolery </w:t>
      </w:r>
    </w:p>
    <w:p>
      <w:pPr>
        <w:pStyle w:val="TextBody"/>
        <w:bidi w:val="0"/>
        <w:spacing w:lineRule="auto" w:line="288" w:before="0" w:after="240"/>
        <w:jc w:val="left"/>
        <w:rPr>
          <w:color w:val="000000"/>
        </w:rPr>
      </w:pPr>
      <w:r>
        <w:rPr>
          <w:color w:val="000000"/>
        </w:rPr>
        <w:t>    </w:t>
      </w:r>
      <w:r>
        <w:rPr>
          <w:rFonts w:ascii="Times New Roman;serif" w:hAnsi="Times New Roman;serif"/>
          <w:b w:val="false"/>
          <w:color w:val="000000"/>
          <w:sz w:val="24"/>
        </w:rPr>
        <w:t>Title: Vice President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67">
                <wp:simplePos x="0" y="0"/>
                <wp:positionH relativeFrom="character">
                  <wp:align>left</wp:align>
                </wp:positionH>
                <wp:positionV relativeFrom="line">
                  <wp:posOffset>635</wp:posOffset>
                </wp:positionV>
                <wp:extent cx="6480175" cy="146685"/>
                <wp:effectExtent l="0" t="0" r="0" b="0"/>
                <wp:wrapNone/>
                <wp:docPr id="266" name="Frame2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[Signature Page to the 2033 Notes Indenture]</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[Signature Page to the 2033 Notes Indenture]</w:t>
                      </w:r>
                    </w:p>
                  </w:txbxContent>
                </v:textbox>
                <w10:wrap type="none"/>
              </v:rect>
            </w:pict>
          </mc:Fallback>
        </mc:AlternateContent>
      </w:r>
    </w:p>
    <w:p>
      <w:pPr>
        <w:pStyle w:val="TextBody"/>
        <w:bidi w:val="0"/>
        <w:spacing w:lineRule="auto" w:line="240" w:before="0" w:after="240"/>
        <w:jc w:val="center"/>
        <w:rPr/>
      </w:pPr>
      <w:r>
        <w:rPr>
          <w:rFonts w:ascii="Times New Roman;serif" w:hAnsi="Times New Roman;serif"/>
          <w:b/>
          <w:color w:val="000000"/>
          <w:sz w:val="24"/>
        </w:rPr>
        <w:t>Exhibit A</w:t>
      </w:r>
      <w:r>
        <w:rPr>
          <w:rFonts w:ascii="Times New Roman;serif" w:hAnsi="Times New Roman;serif"/>
          <w:b/>
          <w:color w:val="000000"/>
          <w:sz w:val="24"/>
        </w:rPr>
        <w:br/>
        <w:br/>
        <w:t>FORM OF NOTE</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[FACE OF NOTE]</w:t>
      </w:r>
    </w:p>
    <w:p>
      <w:pPr>
        <w:pStyle w:val="TextBody"/>
        <w:bidi w:val="0"/>
        <w:spacing w:lineRule="auto" w:line="288" w:before="0" w:after="240"/>
        <w:jc w:val="left"/>
        <w:rPr/>
      </w:pPr>
      <w:r>
        <w:rPr>
          <w:rFonts w:ascii="Times New Roman;serif" w:hAnsi="Times New Roman;serif"/>
          <w:b w:val="false"/>
          <w:color w:val="000000"/>
          <w:sz w:val="24"/>
        </w:rPr>
        <w:t>6.375%</w:t>
      </w:r>
      <w:r>
        <w:rPr>
          <w:color w:val="000000"/>
        </w:rPr>
        <w:t xml:space="preserve"> </w:t>
      </w:r>
      <w:r>
        <w:rPr>
          <w:rFonts w:ascii="Times New Roman;serif" w:hAnsi="Times New Roman;serif"/>
          <w:b w:val="false"/>
          <w:color w:val="000000"/>
          <w:sz w:val="24"/>
        </w:rPr>
        <w:t>Senior Notes due</w:t>
      </w:r>
      <w:r>
        <w:rPr>
          <w:color w:val="000000"/>
        </w:rPr>
        <w:t xml:space="preserve"> </w:t>
      </w:r>
      <w:r>
        <w:rPr>
          <w:rFonts w:ascii="Times New Roman;serif" w:hAnsi="Times New Roman;serif"/>
          <w:b w:val="false"/>
          <w:color w:val="000000"/>
          <w:sz w:val="24"/>
        </w:rPr>
        <w:t>2033</w:t>
      </w:r>
      <w:r>
        <w:rPr>
          <w:color w:val="000000"/>
        </w:rPr>
        <w:t>    </w:t>
      </w:r>
      <w:r>
        <w:rPr>
          <w:rFonts w:ascii="Times New Roman;serif" w:hAnsi="Times New Roman;serif"/>
          <w:b w:val="false"/>
          <w:color w:val="000000"/>
          <w:sz w:val="24"/>
        </w:rPr>
        <w:t>CUSIP/ISIN: [●]</w:t>
      </w:r>
    </w:p>
    <w:p>
      <w:pPr>
        <w:pStyle w:val="TextBody"/>
        <w:bidi w:val="0"/>
        <w:spacing w:lineRule="auto" w:line="288" w:before="0" w:after="240"/>
        <w:jc w:val="left"/>
        <w:rPr/>
      </w:pPr>
      <w:r>
        <w:rPr>
          <w:rFonts w:ascii="Times New Roman;serif" w:hAnsi="Times New Roman;serif"/>
          <w:b w:val="false"/>
          <w:color w:val="000000"/>
          <w:sz w:val="24"/>
        </w:rPr>
        <w:t>No.</w:t>
      </w:r>
      <w:r>
        <w:rPr>
          <w:color w:val="000000"/>
        </w:rPr>
        <w:t xml:space="preserve"> </w:t>
      </w:r>
      <w:r>
        <w:rPr>
          <w:rFonts w:ascii="Times New Roman;serif" w:hAnsi="Times New Roman;serif"/>
          <w:b w:val="false"/>
          <w:color w:val="000000"/>
          <w:sz w:val="24"/>
        </w:rPr>
        <w:t>[●]</w:t>
      </w:r>
    </w:p>
    <w:p>
      <w:pPr>
        <w:pStyle w:val="TextBody"/>
        <w:bidi w:val="0"/>
        <w:spacing w:lineRule="auto" w:line="240" w:before="0" w:after="240"/>
        <w:jc w:val="center"/>
        <w:rPr/>
      </w:pPr>
      <w:r>
        <w:rPr>
          <w:rFonts w:ascii="Times New Roman;serif" w:hAnsi="Times New Roman;serif"/>
          <w:b/>
          <w:color w:val="000000"/>
          <w:sz w:val="24"/>
        </w:rPr>
        <w:t>Talen Energy Supply,</w:t>
      </w:r>
      <w:r>
        <w:rPr>
          <w:color w:val="000000"/>
        </w:rPr>
        <w:t xml:space="preserve"> </w:t>
      </w:r>
      <w:r>
        <w:rPr>
          <w:rFonts w:ascii="Times New Roman;serif" w:hAnsi="Times New Roman;serif"/>
          <w:b/>
          <w:color w:val="000000"/>
          <w:sz w:val="24"/>
        </w:rPr>
        <w:t>LLC</w:t>
      </w:r>
    </w:p>
    <w:p>
      <w:pPr>
        <w:pStyle w:val="TextBody"/>
        <w:bidi w:val="0"/>
        <w:spacing w:lineRule="auto" w:line="288" w:before="0" w:after="240"/>
        <w:jc w:val="left"/>
        <w:rPr/>
      </w:pPr>
      <w:r>
        <w:rPr>
          <w:rFonts w:ascii="Times New Roman;serif" w:hAnsi="Times New Roman;serif"/>
          <w:b w:val="false"/>
          <w:color w:val="000000"/>
          <w:sz w:val="24"/>
        </w:rPr>
        <w:t>promises</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pay</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CEDE</w:t>
      </w:r>
      <w:r>
        <w:rPr>
          <w:color w:val="000000"/>
        </w:rPr>
        <w:t xml:space="preserve"> </w:t>
      </w:r>
      <w:r>
        <w:rPr>
          <w:rFonts w:ascii="Times New Roman;serif" w:hAnsi="Times New Roman;serif"/>
          <w:b w:val="false"/>
          <w:color w:val="000000"/>
          <w:sz w:val="24"/>
        </w:rPr>
        <w:t>&amp;</w:t>
      </w:r>
      <w:r>
        <w:rPr>
          <w:color w:val="000000"/>
        </w:rPr>
        <w:t xml:space="preserve"> </w:t>
      </w:r>
      <w:r>
        <w:rPr>
          <w:rFonts w:ascii="Times New Roman;serif" w:hAnsi="Times New Roman;serif"/>
          <w:b w:val="false"/>
          <w:color w:val="000000"/>
          <w:sz w:val="24"/>
        </w:rPr>
        <w:t>CO.,</w:t>
      </w:r>
      <w:r>
        <w:rPr>
          <w:color w:val="000000"/>
        </w:rPr>
        <w:t xml:space="preserve"> </w:t>
      </w:r>
      <w:r>
        <w:rPr>
          <w:rFonts w:ascii="Times New Roman;serif" w:hAnsi="Times New Roman;serif"/>
          <w:b w:val="false"/>
          <w:color w:val="000000"/>
          <w:sz w:val="24"/>
        </w:rPr>
        <w:t>INC.</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registered</w:t>
      </w:r>
      <w:r>
        <w:rPr>
          <w:color w:val="000000"/>
        </w:rPr>
        <w:t xml:space="preserve"> </w:t>
      </w:r>
      <w:r>
        <w:rPr>
          <w:rFonts w:ascii="Times New Roman;serif" w:hAnsi="Times New Roman;serif"/>
          <w:b w:val="false"/>
          <w:color w:val="000000"/>
          <w:sz w:val="24"/>
        </w:rPr>
        <w:t>assigns,</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principal</w:t>
      </w:r>
      <w:r>
        <w:rPr>
          <w:color w:val="000000"/>
        </w:rPr>
        <w:t xml:space="preserve"> </w:t>
      </w:r>
      <w:r>
        <w:rPr>
          <w:rFonts w:ascii="Times New Roman;serif" w:hAnsi="Times New Roman;serif"/>
          <w:b w:val="false"/>
          <w:color w:val="000000"/>
          <w:sz w:val="24"/>
        </w:rPr>
        <w:t>sum</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Dollars</w:t>
      </w:r>
      <w:r>
        <w:rPr>
          <w:color w:val="000000"/>
        </w:rPr>
        <w:t xml:space="preserve"> </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on</w:t>
      </w:r>
      <w:r>
        <w:rPr>
          <w:color w:val="000000"/>
        </w:rPr>
        <w:t xml:space="preserve"> </w:t>
      </w:r>
      <w:r>
        <w:rPr>
          <w:rFonts w:ascii="Times New Roman;serif" w:hAnsi="Times New Roman;serif"/>
          <w:b w:val="false"/>
          <w:color w:val="000000"/>
          <w:sz w:val="24"/>
        </w:rPr>
        <w:t>May 1, 2033.</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 xml:space="preserve">Interest Payment Dates: May 1 and November 1 </w:t>
      </w:r>
    </w:p>
    <w:p>
      <w:pPr>
        <w:pStyle w:val="TextBody"/>
        <w:bidi w:val="0"/>
        <w:spacing w:lineRule="auto" w:line="288" w:before="0" w:after="240"/>
        <w:jc w:val="left"/>
        <w:rPr/>
      </w:pPr>
      <w:r>
        <w:rPr>
          <w:rFonts w:ascii="Times New Roman;serif" w:hAnsi="Times New Roman;serif"/>
          <w:b w:val="false"/>
          <w:color w:val="000000"/>
          <w:sz w:val="24"/>
        </w:rPr>
        <w:t>Record</w:t>
      </w:r>
      <w:r>
        <w:rPr>
          <w:color w:val="000000"/>
        </w:rPr>
        <w:t xml:space="preserve"> </w:t>
      </w:r>
      <w:r>
        <w:rPr>
          <w:rFonts w:ascii="Times New Roman;serif" w:hAnsi="Times New Roman;serif"/>
          <w:b w:val="false"/>
          <w:color w:val="000000"/>
          <w:sz w:val="24"/>
        </w:rPr>
        <w:t>Dates:</w:t>
      </w:r>
      <w:r>
        <w:rPr>
          <w:color w:val="000000"/>
        </w:rPr>
        <w:t xml:space="preserve"> </w:t>
      </w:r>
      <w:r>
        <w:rPr>
          <w:rFonts w:ascii="Times New Roman;serif" w:hAnsi="Times New Roman;serif"/>
          <w:b w:val="false"/>
          <w:color w:val="000000"/>
          <w:sz w:val="24"/>
        </w:rPr>
        <w:t xml:space="preserve">April 15 and October 15 </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Dated:    _______________ , 20[●]</w:t>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jc w:val="left"/>
        <w:rPr/>
      </w:pPr>
      <w:r>
        <w:rPr>
          <w:rFonts w:ascii="Times New Roman;serif" w:hAnsi="Times New Roman;serif"/>
          <w:b w:val="false"/>
          <w:color w:val="000000"/>
          <w:sz w:val="16"/>
        </w:rPr>
        <w:t>1</w:t>
      </w:r>
      <w:r>
        <w:rPr>
          <w:color w:val="000000"/>
        </w:rPr>
        <w:t xml:space="preserve"> </w:t>
      </w:r>
      <w:r>
        <w:rPr>
          <w:rFonts w:ascii="Times New Roman;serif" w:hAnsi="Times New Roman;serif"/>
          <w:b w:val="false"/>
          <w:color w:val="000000"/>
          <w:sz w:val="24"/>
        </w:rPr>
        <w:t>CUSIPs: 87422V AP3 (Rule 144A) and U8302W AL8 (Regulation S)</w:t>
      </w:r>
    </w:p>
    <w:p>
      <w:pPr>
        <w:pStyle w:val="TextBody"/>
        <w:bidi w:val="0"/>
        <w:spacing w:lineRule="auto" w:line="268"/>
        <w:jc w:val="left"/>
        <w:rPr/>
      </w:pPr>
      <w:r>
        <w:rPr>
          <w:rFonts w:ascii="Times New Roman;serif" w:hAnsi="Times New Roman;serif"/>
          <w:b w:val="false"/>
          <w:color w:val="000000"/>
          <w:sz w:val="16"/>
        </w:rPr>
        <w:t>2</w:t>
      </w:r>
      <w:r>
        <w:rPr>
          <w:color w:val="000000"/>
        </w:rPr>
        <w:t xml:space="preserve"> </w:t>
      </w:r>
      <w:r>
        <w:rPr>
          <w:rFonts w:ascii="Times New Roman;serif" w:hAnsi="Times New Roman;serif"/>
          <w:b w:val="false"/>
          <w:color w:val="000000"/>
          <w:sz w:val="24"/>
        </w:rPr>
        <w:t>ISINs: US87422VAP31 (Rule 144A) and USU8302WAL82 (Regulation S)</w:t>
      </w:r>
    </w:p>
    <w:p>
      <w:pPr>
        <w:pStyle w:val="TextBody"/>
        <w:bidi w:val="0"/>
        <w:spacing w:before="0" w:after="0"/>
        <w:jc w:val="left"/>
        <w:rPr/>
      </w:pPr>
      <w:r>
        <w:rPr/>
      </w:r>
      <w:r>
        <mc:AlternateContent>
          <mc:Choice Requires="wps">
            <w:drawing>
              <wp:anchor behindDoc="0" distT="0" distB="0" distL="0" distR="0" simplePos="0" locked="0" layoutInCell="1" allowOverlap="1" relativeHeight="268">
                <wp:simplePos x="0" y="0"/>
                <wp:positionH relativeFrom="character">
                  <wp:align>left</wp:align>
                </wp:positionH>
                <wp:positionV relativeFrom="line">
                  <wp:posOffset>635</wp:posOffset>
                </wp:positionV>
                <wp:extent cx="6480175" cy="175260"/>
                <wp:effectExtent l="0" t="0" r="0" b="0"/>
                <wp:wrapNone/>
                <wp:docPr id="267" name="Frame26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A-1</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WITNESS</w:t>
      </w:r>
      <w:r>
        <w:rPr>
          <w:color w:val="000000"/>
        </w:rPr>
        <w:t xml:space="preserve"> </w:t>
      </w:r>
      <w:r>
        <w:rPr>
          <w:rFonts w:ascii="Times New Roman;serif" w:hAnsi="Times New Roman;serif"/>
          <w:b w:val="false"/>
          <w:color w:val="000000"/>
          <w:sz w:val="24"/>
        </w:rPr>
        <w:t>WHEREOF,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Issuer</w:t>
      </w:r>
      <w:r>
        <w:rPr>
          <w:color w:val="000000"/>
        </w:rPr>
        <w:t xml:space="preserve"> </w:t>
      </w:r>
      <w:r>
        <w:rPr>
          <w:rFonts w:ascii="Times New Roman;serif" w:hAnsi="Times New Roman;serif"/>
          <w:b w:val="false"/>
          <w:color w:val="000000"/>
          <w:sz w:val="24"/>
        </w:rPr>
        <w:t>has</w:t>
      </w:r>
      <w:r>
        <w:rPr>
          <w:color w:val="000000"/>
        </w:rPr>
        <w:t xml:space="preserve"> </w:t>
      </w:r>
      <w:r>
        <w:rPr>
          <w:rFonts w:ascii="Times New Roman;serif" w:hAnsi="Times New Roman;serif"/>
          <w:b w:val="false"/>
          <w:color w:val="000000"/>
          <w:sz w:val="24"/>
        </w:rPr>
        <w:t>caused</w:t>
      </w:r>
      <w:r>
        <w:rPr>
          <w:color w:val="000000"/>
        </w:rPr>
        <w:t xml:space="preserve"> </w:t>
      </w:r>
      <w:r>
        <w:rPr>
          <w:rFonts w:ascii="Times New Roman;serif" w:hAnsi="Times New Roman;serif"/>
          <w:b w:val="false"/>
          <w:color w:val="000000"/>
          <w:sz w:val="24"/>
        </w:rPr>
        <w:t>this</w:t>
      </w:r>
      <w:r>
        <w:rPr>
          <w:color w:val="000000"/>
        </w:rPr>
        <w:t xml:space="preserve"> </w:t>
      </w:r>
      <w:r>
        <w:rPr>
          <w:rFonts w:ascii="Times New Roman;serif" w:hAnsi="Times New Roman;serif"/>
          <w:b w:val="false"/>
          <w:color w:val="000000"/>
          <w:sz w:val="24"/>
        </w:rPr>
        <w:t>Note</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be</w:t>
      </w:r>
      <w:r>
        <w:rPr>
          <w:color w:val="000000"/>
        </w:rPr>
        <w:t xml:space="preserve"> </w:t>
      </w:r>
      <w:r>
        <w:rPr>
          <w:rFonts w:ascii="Times New Roman;serif" w:hAnsi="Times New Roman;serif"/>
          <w:b w:val="false"/>
          <w:color w:val="000000"/>
          <w:sz w:val="24"/>
        </w:rPr>
        <w:t>duly</w:t>
      </w:r>
      <w:r>
        <w:rPr>
          <w:color w:val="000000"/>
        </w:rPr>
        <w:t xml:space="preserve"> </w:t>
      </w:r>
      <w:r>
        <w:rPr>
          <w:rFonts w:ascii="Times New Roman;serif" w:hAnsi="Times New Roman;serif"/>
          <w:b w:val="false"/>
          <w:color w:val="000000"/>
          <w:sz w:val="24"/>
        </w:rPr>
        <w:t>signed</w:t>
      </w:r>
      <w:r>
        <w:rPr>
          <w:color w:val="000000"/>
        </w:rPr>
        <w:t xml:space="preserve"> </w:t>
      </w:r>
      <w:r>
        <w:rPr>
          <w:rFonts w:ascii="Times New Roman;serif" w:hAnsi="Times New Roman;serif"/>
          <w:b w:val="false"/>
          <w:color w:val="000000"/>
          <w:sz w:val="24"/>
        </w:rPr>
        <w:t>below.</w:t>
      </w:r>
    </w:p>
    <w:p>
      <w:pPr>
        <w:pStyle w:val="TextBody"/>
        <w:bidi w:val="0"/>
        <w:spacing w:lineRule="auto" w:line="288" w:before="0" w:after="240"/>
        <w:jc w:val="left"/>
        <w:rPr>
          <w:rFonts w:ascii="Times New Roman;serif" w:hAnsi="Times New Roman;serif"/>
          <w:b/>
          <w:color w:val="000000"/>
          <w:sz w:val="24"/>
        </w:rPr>
      </w:pPr>
      <w:r>
        <w:rPr>
          <w:rFonts w:ascii="Times New Roman;serif" w:hAnsi="Times New Roman;serif"/>
          <w:b/>
          <w:color w:val="000000"/>
          <w:sz w:val="24"/>
        </w:rPr>
        <w:t>TALEN ENERGY SUPPLY, LLC</w:t>
      </w:r>
    </w:p>
    <w:p>
      <w:pPr>
        <w:pStyle w:val="TextBody"/>
        <w:bidi w:val="0"/>
        <w:spacing w:lineRule="auto" w:line="288" w:before="0" w:after="240"/>
        <w:jc w:val="left"/>
        <w:rPr/>
      </w:pPr>
      <w:r>
        <w:rPr>
          <w:rFonts w:ascii="Times New Roman;serif" w:hAnsi="Times New Roman;serif"/>
          <w:b w:val="false"/>
          <w:color w:val="000000"/>
          <w:sz w:val="24"/>
        </w:rPr>
        <w:t>By:    </w:t>
      </w:r>
      <w:r>
        <w:rPr>
          <w:color w:val="000000"/>
          <w:u w:val="single"/>
        </w:rPr>
        <w:t>        </w:t>
      </w:r>
      <w:r>
        <w:rPr>
          <w:rFonts w:ascii="Times New Roman;serif" w:hAnsi="Times New Roman;serif"/>
          <w:b w:val="false"/>
          <w:color w:val="000000"/>
          <w:sz w:val="24"/>
          <w:u w:val="single"/>
        </w:rPr>
        <w:br/>
      </w:r>
      <w:r>
        <w:rPr>
          <w:color w:val="000000"/>
        </w:rPr>
        <w:t>    </w:t>
      </w:r>
      <w:r>
        <w:rPr>
          <w:rFonts w:ascii="Times New Roman;serif" w:hAnsi="Times New Roman;serif"/>
          <w:b w:val="false"/>
          <w:color w:val="000000"/>
          <w:sz w:val="24"/>
        </w:rPr>
        <w:t>Name:    </w:t>
        <w:br/>
        <w:t>    Title:    </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Dated:    </w:t>
      </w:r>
    </w:p>
    <w:p>
      <w:pPr>
        <w:pStyle w:val="TextBody"/>
        <w:bidi w:val="0"/>
        <w:spacing w:lineRule="auto" w:line="288" w:before="0" w:after="240"/>
        <w:jc w:val="left"/>
        <w:rPr/>
      </w:pPr>
      <w:r>
        <w:rPr>
          <w:rFonts w:ascii="Times New Roman;serif" w:hAnsi="Times New Roman;serif"/>
          <w:b/>
          <w:color w:val="000000"/>
          <w:sz w:val="24"/>
        </w:rPr>
        <w:t>WILMINGTON SAVINGS FUND SOCIETY, FSB</w:t>
      </w:r>
      <w:r>
        <w:rPr>
          <w:rFonts w:ascii="Times New Roman;serif" w:hAnsi="Times New Roman;serif"/>
          <w:b w:val="false"/>
          <w:color w:val="000000"/>
          <w:sz w:val="24"/>
        </w:rPr>
        <w:t>,</w:t>
      </w:r>
      <w:r>
        <w:rPr>
          <w:color w:val="000000"/>
        </w:rPr>
        <w:t xml:space="preserve"> </w:t>
      </w:r>
      <w:r>
        <w:rPr>
          <w:rFonts w:ascii="Times New Roman;serif" w:hAnsi="Times New Roman;serif"/>
          <w:b/>
          <w:color w:val="000000"/>
          <w:sz w:val="24"/>
        </w:rPr>
        <w:br/>
      </w:r>
      <w:r>
        <w:rPr>
          <w:rFonts w:ascii="Times New Roman;serif" w:hAnsi="Times New Roman;serif"/>
          <w:b w:val="false"/>
          <w:color w:val="000000"/>
          <w:sz w:val="24"/>
        </w:rPr>
        <w:t>as Trustee certifies that this is one of the Notes described</w:t>
      </w:r>
      <w:r>
        <w:rPr>
          <w:color w:val="000000"/>
        </w:rPr>
        <w:t xml:space="preserve"> </w:t>
      </w:r>
      <w:r>
        <w:rPr>
          <w:rFonts w:ascii="Times New Roman;serif" w:hAnsi="Times New Roman;serif"/>
          <w:b w:val="false"/>
          <w:color w:val="000000"/>
          <w:sz w:val="24"/>
        </w:rPr>
        <w:t>in the within-named Indenture.</w:t>
      </w:r>
    </w:p>
    <w:p>
      <w:pPr>
        <w:pStyle w:val="TextBody"/>
        <w:bidi w:val="0"/>
        <w:spacing w:lineRule="auto" w:line="288"/>
        <w:jc w:val="left"/>
        <w:rPr/>
      </w:pPr>
      <w:r>
        <w:rPr>
          <w:rFonts w:ascii="Times New Roman;serif" w:hAnsi="Times New Roman;serif"/>
          <w:b w:val="false"/>
          <w:color w:val="000000"/>
          <w:sz w:val="24"/>
        </w:rPr>
        <w:t>By:    </w:t>
      </w:r>
      <w:r>
        <w:rPr>
          <w:color w:val="000000"/>
          <w:u w:val="single"/>
        </w:rPr>
        <w:t>                        </w:t>
      </w:r>
      <w:r>
        <w:rPr>
          <w:rFonts w:ascii="Times New Roman;serif" w:hAnsi="Times New Roman;serif"/>
          <w:b w:val="false"/>
          <w:color w:val="000000"/>
          <w:sz w:val="24"/>
          <w:u w:val="single"/>
        </w:rPr>
        <w:br/>
      </w:r>
      <w:r>
        <w:rPr>
          <w:color w:val="000000"/>
        </w:rPr>
        <w:t>    </w:t>
      </w:r>
      <w:r>
        <w:rPr>
          <w:rFonts w:ascii="Times New Roman;serif" w:hAnsi="Times New Roman;serif"/>
          <w:b w:val="false"/>
          <w:color w:val="000000"/>
          <w:sz w:val="24"/>
        </w:rPr>
        <w:t>Name:    </w:t>
        <w:br/>
        <w:t>    Title:    </w:t>
      </w:r>
    </w:p>
    <w:p>
      <w:pPr>
        <w:pStyle w:val="TextBody"/>
        <w:bidi w:val="0"/>
        <w:spacing w:before="0" w:after="0"/>
        <w:jc w:val="left"/>
        <w:rPr/>
      </w:pPr>
      <w:r>
        <w:rPr/>
      </w:r>
      <w:r>
        <mc:AlternateContent>
          <mc:Choice Requires="wps">
            <w:drawing>
              <wp:anchor behindDoc="0" distT="0" distB="0" distL="0" distR="0" simplePos="0" locked="0" layoutInCell="1" allowOverlap="1" relativeHeight="269">
                <wp:simplePos x="0" y="0"/>
                <wp:positionH relativeFrom="character">
                  <wp:align>left</wp:align>
                </wp:positionH>
                <wp:positionV relativeFrom="line">
                  <wp:posOffset>635</wp:posOffset>
                </wp:positionV>
                <wp:extent cx="6480175" cy="175260"/>
                <wp:effectExtent l="0" t="0" r="0" b="0"/>
                <wp:wrapNone/>
                <wp:docPr id="268" name="Frame26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A-2</w:t>
                      </w:r>
                    </w:p>
                  </w:txbxContent>
                </v:textbox>
                <w10:wrap type="none"/>
              </v:rect>
            </w:pict>
          </mc:Fallback>
        </mc:AlternateContent>
      </w:r>
    </w:p>
    <w:p>
      <w:pPr>
        <w:pStyle w:val="TextBody"/>
        <w:bidi w:val="0"/>
        <w:spacing w:lineRule="auto" w:line="240" w:before="0" w:after="240"/>
        <w:jc w:val="center"/>
        <w:rPr/>
      </w:pPr>
      <w:r>
        <w:rPr>
          <w:rFonts w:ascii="Times New Roman;serif" w:hAnsi="Times New Roman;serif"/>
          <w:b/>
          <w:color w:val="000000"/>
          <w:sz w:val="24"/>
        </w:rPr>
        <w:t>[BACK</w:t>
      </w:r>
      <w:r>
        <w:rPr>
          <w:color w:val="000000"/>
        </w:rPr>
        <w:t xml:space="preserve"> </w:t>
      </w:r>
      <w:r>
        <w:rPr>
          <w:rFonts w:ascii="Times New Roman;serif" w:hAnsi="Times New Roman;serif"/>
          <w:b/>
          <w:color w:val="000000"/>
          <w:sz w:val="24"/>
        </w:rPr>
        <w:t>OF</w:t>
      </w:r>
      <w:r>
        <w:rPr>
          <w:color w:val="000000"/>
        </w:rPr>
        <w:t xml:space="preserve"> </w:t>
      </w:r>
      <w:r>
        <w:rPr>
          <w:rFonts w:ascii="Times New Roman;serif" w:hAnsi="Times New Roman;serif"/>
          <w:b/>
          <w:color w:val="000000"/>
          <w:sz w:val="24"/>
        </w:rPr>
        <w:t>NOTE]</w:t>
      </w:r>
    </w:p>
    <w:p>
      <w:pPr>
        <w:pStyle w:val="TextBody"/>
        <w:bidi w:val="0"/>
        <w:spacing w:lineRule="auto" w:line="240" w:before="0" w:after="240"/>
        <w:jc w:val="center"/>
        <w:rPr/>
      </w:pPr>
      <w:r>
        <w:rPr>
          <w:rFonts w:ascii="Times New Roman;serif" w:hAnsi="Times New Roman;serif"/>
          <w:b/>
          <w:color w:val="000000"/>
          <w:sz w:val="24"/>
        </w:rPr>
        <w:t>6.375%</w:t>
      </w:r>
      <w:r>
        <w:rPr>
          <w:color w:val="000000"/>
        </w:rPr>
        <w:t xml:space="preserve"> </w:t>
      </w:r>
      <w:r>
        <w:rPr>
          <w:rFonts w:ascii="Times New Roman;serif" w:hAnsi="Times New Roman;serif"/>
          <w:b/>
          <w:color w:val="000000"/>
          <w:sz w:val="24"/>
        </w:rPr>
        <w:t>Senior</w:t>
      </w:r>
      <w:r>
        <w:rPr>
          <w:color w:val="000000"/>
        </w:rPr>
        <w:t xml:space="preserve"> </w:t>
      </w:r>
      <w:r>
        <w:rPr>
          <w:rFonts w:ascii="Times New Roman;serif" w:hAnsi="Times New Roman;serif"/>
          <w:b/>
          <w:color w:val="000000"/>
          <w:sz w:val="24"/>
        </w:rPr>
        <w:t>Notes</w:t>
      </w:r>
      <w:r>
        <w:rPr>
          <w:color w:val="000000"/>
        </w:rPr>
        <w:t xml:space="preserve"> </w:t>
      </w:r>
      <w:r>
        <w:rPr>
          <w:rFonts w:ascii="Times New Roman;serif" w:hAnsi="Times New Roman;serif"/>
          <w:b/>
          <w:color w:val="000000"/>
          <w:sz w:val="24"/>
        </w:rPr>
        <w:t>due</w:t>
      </w:r>
      <w:r>
        <w:rPr>
          <w:color w:val="000000"/>
        </w:rPr>
        <w:t xml:space="preserve"> </w:t>
      </w:r>
      <w:r>
        <w:rPr>
          <w:rFonts w:ascii="Times New Roman;serif" w:hAnsi="Times New Roman;serif"/>
          <w:b/>
          <w:color w:val="000000"/>
          <w:sz w:val="24"/>
        </w:rPr>
        <w:t>2033</w:t>
      </w:r>
    </w:p>
    <w:p>
      <w:pPr>
        <w:pStyle w:val="TextBody"/>
        <w:bidi w:val="0"/>
        <w:spacing w:lineRule="auto" w:line="288" w:before="0" w:after="240"/>
        <w:jc w:val="left"/>
        <w:rPr/>
      </w:pPr>
      <w:r>
        <w:rPr>
          <w:rFonts w:ascii="Times New Roman;serif" w:hAnsi="Times New Roman;serif"/>
          <w:b w:val="false"/>
          <w:i/>
          <w:color w:val="000000"/>
          <w:sz w:val="24"/>
        </w:rPr>
        <w:t>[Insert</w:t>
      </w:r>
      <w:r>
        <w:rPr>
          <w:color w:val="000000"/>
        </w:rPr>
        <w:t xml:space="preserve"> </w:t>
      </w:r>
      <w:r>
        <w:rPr>
          <w:rFonts w:ascii="Times New Roman;serif" w:hAnsi="Times New Roman;serif"/>
          <w:b w:val="false"/>
          <w:i/>
          <w:color w:val="000000"/>
          <w:sz w:val="24"/>
        </w:rPr>
        <w:t>the</w:t>
      </w:r>
      <w:r>
        <w:rPr>
          <w:color w:val="000000"/>
        </w:rPr>
        <w:t xml:space="preserve"> </w:t>
      </w:r>
      <w:r>
        <w:rPr>
          <w:rFonts w:ascii="Times New Roman;serif" w:hAnsi="Times New Roman;serif"/>
          <w:b w:val="false"/>
          <w:i/>
          <w:color w:val="000000"/>
          <w:sz w:val="24"/>
        </w:rPr>
        <w:t>Global</w:t>
      </w:r>
      <w:r>
        <w:rPr>
          <w:color w:val="000000"/>
        </w:rPr>
        <w:t xml:space="preserve"> </w:t>
      </w:r>
      <w:r>
        <w:rPr>
          <w:rFonts w:ascii="Times New Roman;serif" w:hAnsi="Times New Roman;serif"/>
          <w:b w:val="false"/>
          <w:i/>
          <w:color w:val="000000"/>
          <w:sz w:val="24"/>
        </w:rPr>
        <w:t>Note</w:t>
      </w:r>
      <w:r>
        <w:rPr>
          <w:color w:val="000000"/>
        </w:rPr>
        <w:t xml:space="preserve"> </w:t>
      </w:r>
      <w:r>
        <w:rPr>
          <w:rFonts w:ascii="Times New Roman;serif" w:hAnsi="Times New Roman;serif"/>
          <w:b w:val="false"/>
          <w:i/>
          <w:color w:val="000000"/>
          <w:sz w:val="24"/>
        </w:rPr>
        <w:t>Legend,</w:t>
      </w:r>
      <w:r>
        <w:rPr>
          <w:color w:val="000000"/>
        </w:rPr>
        <w:t xml:space="preserve"> </w:t>
      </w:r>
      <w:r>
        <w:rPr>
          <w:rFonts w:ascii="Times New Roman;serif" w:hAnsi="Times New Roman;serif"/>
          <w:b w:val="false"/>
          <w:i/>
          <w:color w:val="000000"/>
          <w:sz w:val="24"/>
        </w:rPr>
        <w:t>if</w:t>
      </w:r>
      <w:r>
        <w:rPr>
          <w:color w:val="000000"/>
        </w:rPr>
        <w:t xml:space="preserve"> </w:t>
      </w:r>
      <w:r>
        <w:rPr>
          <w:rFonts w:ascii="Times New Roman;serif" w:hAnsi="Times New Roman;serif"/>
          <w:b w:val="false"/>
          <w:i/>
          <w:color w:val="000000"/>
          <w:sz w:val="24"/>
        </w:rPr>
        <w:t>applicable</w:t>
      </w:r>
      <w:r>
        <w:rPr>
          <w:color w:val="000000"/>
        </w:rPr>
        <w:t xml:space="preserve"> </w:t>
      </w:r>
      <w:r>
        <w:rPr>
          <w:rFonts w:ascii="Times New Roman;serif" w:hAnsi="Times New Roman;serif"/>
          <w:b w:val="false"/>
          <w:i/>
          <w:color w:val="000000"/>
          <w:sz w:val="24"/>
        </w:rPr>
        <w:t>pursuant</w:t>
      </w:r>
      <w:r>
        <w:rPr>
          <w:color w:val="000000"/>
        </w:rPr>
        <w:t xml:space="preserve"> </w:t>
      </w:r>
      <w:r>
        <w:rPr>
          <w:rFonts w:ascii="Times New Roman;serif" w:hAnsi="Times New Roman;serif"/>
          <w:b w:val="false"/>
          <w:i/>
          <w:color w:val="000000"/>
          <w:sz w:val="24"/>
        </w:rPr>
        <w:t>to</w:t>
      </w:r>
      <w:r>
        <w:rPr>
          <w:color w:val="000000"/>
        </w:rPr>
        <w:t xml:space="preserve"> </w:t>
      </w:r>
      <w:r>
        <w:rPr>
          <w:rFonts w:ascii="Times New Roman;serif" w:hAnsi="Times New Roman;serif"/>
          <w:b w:val="false"/>
          <w:i/>
          <w:color w:val="000000"/>
          <w:sz w:val="24"/>
        </w:rPr>
        <w:t>the</w:t>
      </w:r>
      <w:r>
        <w:rPr>
          <w:color w:val="000000"/>
        </w:rPr>
        <w:t xml:space="preserve"> </w:t>
      </w:r>
      <w:r>
        <w:rPr>
          <w:rFonts w:ascii="Times New Roman;serif" w:hAnsi="Times New Roman;serif"/>
          <w:b w:val="false"/>
          <w:i/>
          <w:color w:val="000000"/>
          <w:sz w:val="24"/>
        </w:rPr>
        <w:t>provisions</w:t>
      </w:r>
      <w:r>
        <w:rPr>
          <w:color w:val="000000"/>
        </w:rPr>
        <w:t xml:space="preserve"> </w:t>
      </w:r>
      <w:r>
        <w:rPr>
          <w:rFonts w:ascii="Times New Roman;serif" w:hAnsi="Times New Roman;serif"/>
          <w:b w:val="false"/>
          <w:i/>
          <w:color w:val="000000"/>
          <w:sz w:val="24"/>
        </w:rPr>
        <w:t>of</w:t>
      </w:r>
      <w:r>
        <w:rPr>
          <w:color w:val="000000"/>
        </w:rPr>
        <w:t xml:space="preserve"> </w:t>
      </w:r>
      <w:r>
        <w:rPr>
          <w:rFonts w:ascii="Times New Roman;serif" w:hAnsi="Times New Roman;serif"/>
          <w:b w:val="false"/>
          <w:i/>
          <w:color w:val="000000"/>
          <w:sz w:val="24"/>
        </w:rPr>
        <w:t>the</w:t>
      </w:r>
      <w:r>
        <w:rPr>
          <w:color w:val="000000"/>
        </w:rPr>
        <w:t xml:space="preserve"> </w:t>
      </w:r>
      <w:r>
        <w:rPr>
          <w:rFonts w:ascii="Times New Roman;serif" w:hAnsi="Times New Roman;serif"/>
          <w:b w:val="false"/>
          <w:i/>
          <w:color w:val="000000"/>
          <w:sz w:val="24"/>
        </w:rPr>
        <w:t>Indenture]</w:t>
      </w:r>
      <w:r>
        <w:rPr>
          <w:color w:val="000000"/>
        </w:rPr>
        <w:t xml:space="preserve"> </w:t>
      </w:r>
    </w:p>
    <w:p>
      <w:pPr>
        <w:pStyle w:val="TextBody"/>
        <w:bidi w:val="0"/>
        <w:spacing w:lineRule="auto" w:line="288" w:before="0" w:after="240"/>
        <w:jc w:val="left"/>
        <w:rPr>
          <w:rFonts w:ascii="Times New Roman;serif" w:hAnsi="Times New Roman;serif"/>
          <w:b w:val="false"/>
          <w:i/>
          <w:color w:val="000000"/>
          <w:sz w:val="24"/>
        </w:rPr>
      </w:pPr>
      <w:r>
        <w:rPr>
          <w:rFonts w:ascii="Times New Roman;serif" w:hAnsi="Times New Roman;serif"/>
          <w:b w:val="false"/>
          <w:i/>
          <w:color w:val="000000"/>
          <w:sz w:val="24"/>
        </w:rPr>
        <w:t>[Insert the Private Placement Legend, if applicable pursuant to the provisions of the Indenture]</w:t>
      </w:r>
    </w:p>
    <w:p>
      <w:pPr>
        <w:pStyle w:val="TextBody"/>
        <w:bidi w:val="0"/>
        <w:spacing w:lineRule="auto" w:line="288" w:before="0" w:after="240"/>
        <w:jc w:val="left"/>
        <w:rPr/>
      </w:pPr>
      <w:r>
        <w:rPr>
          <w:rFonts w:ascii="Times New Roman;serif" w:hAnsi="Times New Roman;serif"/>
          <w:b w:val="false"/>
          <w:i/>
          <w:color w:val="000000"/>
          <w:sz w:val="24"/>
        </w:rPr>
        <w:t>[Insert</w:t>
      </w:r>
      <w:r>
        <w:rPr>
          <w:color w:val="000000"/>
        </w:rPr>
        <w:t xml:space="preserve"> </w:t>
      </w:r>
      <w:r>
        <w:rPr>
          <w:rFonts w:ascii="Times New Roman;serif" w:hAnsi="Times New Roman;serif"/>
          <w:b w:val="false"/>
          <w:i/>
          <w:color w:val="000000"/>
          <w:sz w:val="24"/>
        </w:rPr>
        <w:t>the</w:t>
      </w:r>
      <w:r>
        <w:rPr>
          <w:color w:val="000000"/>
        </w:rPr>
        <w:t xml:space="preserve"> </w:t>
      </w:r>
      <w:r>
        <w:rPr>
          <w:rFonts w:ascii="Times New Roman;serif" w:hAnsi="Times New Roman;serif"/>
          <w:b w:val="false"/>
          <w:i/>
          <w:color w:val="000000"/>
          <w:sz w:val="24"/>
        </w:rPr>
        <w:t>Regulation</w:t>
      </w:r>
      <w:r>
        <w:rPr>
          <w:color w:val="000000"/>
        </w:rPr>
        <w:t xml:space="preserve"> </w:t>
      </w:r>
      <w:r>
        <w:rPr>
          <w:rFonts w:ascii="Times New Roman;serif" w:hAnsi="Times New Roman;serif"/>
          <w:b w:val="false"/>
          <w:i/>
          <w:color w:val="000000"/>
          <w:sz w:val="24"/>
        </w:rPr>
        <w:t>S</w:t>
      </w:r>
      <w:r>
        <w:rPr>
          <w:color w:val="000000"/>
        </w:rPr>
        <w:t xml:space="preserve"> </w:t>
      </w:r>
      <w:r>
        <w:rPr>
          <w:rFonts w:ascii="Times New Roman;serif" w:hAnsi="Times New Roman;serif"/>
          <w:b w:val="false"/>
          <w:i/>
          <w:color w:val="000000"/>
          <w:sz w:val="24"/>
        </w:rPr>
        <w:t>Temporary</w:t>
      </w:r>
      <w:r>
        <w:rPr>
          <w:color w:val="000000"/>
        </w:rPr>
        <w:t xml:space="preserve"> </w:t>
      </w:r>
      <w:r>
        <w:rPr>
          <w:rFonts w:ascii="Times New Roman;serif" w:hAnsi="Times New Roman;serif"/>
          <w:b w:val="false"/>
          <w:i/>
          <w:color w:val="000000"/>
          <w:sz w:val="24"/>
        </w:rPr>
        <w:t>Global</w:t>
      </w:r>
      <w:r>
        <w:rPr>
          <w:color w:val="000000"/>
        </w:rPr>
        <w:t xml:space="preserve"> </w:t>
      </w:r>
      <w:r>
        <w:rPr>
          <w:rFonts w:ascii="Times New Roman;serif" w:hAnsi="Times New Roman;serif"/>
          <w:b w:val="false"/>
          <w:i/>
          <w:color w:val="000000"/>
          <w:sz w:val="24"/>
        </w:rPr>
        <w:t>Note</w:t>
      </w:r>
      <w:r>
        <w:rPr>
          <w:color w:val="000000"/>
        </w:rPr>
        <w:t xml:space="preserve"> </w:t>
      </w:r>
      <w:r>
        <w:rPr>
          <w:rFonts w:ascii="Times New Roman;serif" w:hAnsi="Times New Roman;serif"/>
          <w:b w:val="false"/>
          <w:i/>
          <w:color w:val="000000"/>
          <w:sz w:val="24"/>
        </w:rPr>
        <w:t>Placement</w:t>
      </w:r>
      <w:r>
        <w:rPr>
          <w:color w:val="000000"/>
        </w:rPr>
        <w:t xml:space="preserve"> </w:t>
      </w:r>
      <w:r>
        <w:rPr>
          <w:rFonts w:ascii="Times New Roman;serif" w:hAnsi="Times New Roman;serif"/>
          <w:b w:val="false"/>
          <w:i/>
          <w:color w:val="000000"/>
          <w:sz w:val="24"/>
        </w:rPr>
        <w:t>Legend,</w:t>
      </w:r>
      <w:r>
        <w:rPr>
          <w:color w:val="000000"/>
        </w:rPr>
        <w:t xml:space="preserve"> </w:t>
      </w:r>
      <w:r>
        <w:rPr>
          <w:rFonts w:ascii="Times New Roman;serif" w:hAnsi="Times New Roman;serif"/>
          <w:b w:val="false"/>
          <w:i/>
          <w:color w:val="000000"/>
          <w:sz w:val="24"/>
        </w:rPr>
        <w:t>if</w:t>
      </w:r>
      <w:r>
        <w:rPr>
          <w:color w:val="000000"/>
        </w:rPr>
        <w:t xml:space="preserve"> </w:t>
      </w:r>
      <w:r>
        <w:rPr>
          <w:rFonts w:ascii="Times New Roman;serif" w:hAnsi="Times New Roman;serif"/>
          <w:b w:val="false"/>
          <w:i/>
          <w:color w:val="000000"/>
          <w:sz w:val="24"/>
        </w:rPr>
        <w:t>applicable</w:t>
      </w:r>
      <w:r>
        <w:rPr>
          <w:color w:val="000000"/>
        </w:rPr>
        <w:t xml:space="preserve"> </w:t>
      </w:r>
      <w:r>
        <w:rPr>
          <w:rFonts w:ascii="Times New Roman;serif" w:hAnsi="Times New Roman;serif"/>
          <w:b w:val="false"/>
          <w:i/>
          <w:color w:val="000000"/>
          <w:sz w:val="24"/>
        </w:rPr>
        <w:t>pursuant</w:t>
      </w:r>
      <w:r>
        <w:rPr>
          <w:color w:val="000000"/>
        </w:rPr>
        <w:t xml:space="preserve"> </w:t>
      </w:r>
      <w:r>
        <w:rPr>
          <w:rFonts w:ascii="Times New Roman;serif" w:hAnsi="Times New Roman;serif"/>
          <w:b w:val="false"/>
          <w:i/>
          <w:color w:val="000000"/>
          <w:sz w:val="24"/>
        </w:rPr>
        <w:t>to</w:t>
      </w:r>
      <w:r>
        <w:rPr>
          <w:color w:val="000000"/>
        </w:rPr>
        <w:t xml:space="preserve"> </w:t>
      </w:r>
      <w:r>
        <w:rPr>
          <w:rFonts w:ascii="Times New Roman;serif" w:hAnsi="Times New Roman;serif"/>
          <w:b w:val="false"/>
          <w:i/>
          <w:color w:val="000000"/>
          <w:sz w:val="24"/>
        </w:rPr>
        <w:t>the</w:t>
      </w:r>
      <w:r>
        <w:rPr>
          <w:color w:val="000000"/>
        </w:rPr>
        <w:t xml:space="preserve"> </w:t>
      </w:r>
      <w:r>
        <w:rPr>
          <w:rFonts w:ascii="Times New Roman;serif" w:hAnsi="Times New Roman;serif"/>
          <w:b w:val="false"/>
          <w:i/>
          <w:color w:val="000000"/>
          <w:sz w:val="24"/>
        </w:rPr>
        <w:t>provisions</w:t>
      </w:r>
      <w:r>
        <w:rPr>
          <w:color w:val="000000"/>
        </w:rPr>
        <w:t xml:space="preserve"> </w:t>
      </w:r>
      <w:r>
        <w:rPr>
          <w:rFonts w:ascii="Times New Roman;serif" w:hAnsi="Times New Roman;serif"/>
          <w:b w:val="false"/>
          <w:i/>
          <w:color w:val="000000"/>
          <w:sz w:val="24"/>
        </w:rPr>
        <w:t>of</w:t>
      </w:r>
      <w:r>
        <w:rPr>
          <w:color w:val="000000"/>
        </w:rPr>
        <w:t xml:space="preserve"> </w:t>
      </w:r>
      <w:r>
        <w:rPr>
          <w:rFonts w:ascii="Times New Roman;serif" w:hAnsi="Times New Roman;serif"/>
          <w:b w:val="false"/>
          <w:i/>
          <w:color w:val="000000"/>
          <w:sz w:val="24"/>
        </w:rPr>
        <w:t>the</w:t>
      </w:r>
      <w:r>
        <w:rPr>
          <w:color w:val="000000"/>
        </w:rPr>
        <w:t xml:space="preserve"> </w:t>
      </w:r>
      <w:r>
        <w:rPr>
          <w:rFonts w:ascii="Times New Roman;serif" w:hAnsi="Times New Roman;serif"/>
          <w:b w:val="false"/>
          <w:i/>
          <w:color w:val="000000"/>
          <w:sz w:val="24"/>
        </w:rPr>
        <w:t>Indenture]</w:t>
      </w:r>
    </w:p>
    <w:p>
      <w:pPr>
        <w:pStyle w:val="TextBody"/>
        <w:bidi w:val="0"/>
        <w:spacing w:lineRule="auto" w:line="240" w:before="0" w:after="240"/>
        <w:ind w:left="0" w:right="0" w:firstLine="720"/>
        <w:jc w:val="both"/>
        <w:rPr/>
      </w:pPr>
      <w:r>
        <w:rPr>
          <w:rFonts w:ascii="Times New Roman;serif" w:hAnsi="Times New Roman;serif"/>
          <w:b w:val="false"/>
          <w:color w:val="000000"/>
          <w:sz w:val="24"/>
        </w:rPr>
        <w:t>Capitalized</w:t>
      </w:r>
      <w:r>
        <w:rPr>
          <w:color w:val="000000"/>
        </w:rPr>
        <w:t xml:space="preserve"> </w:t>
      </w:r>
      <w:r>
        <w:rPr>
          <w:rFonts w:ascii="Times New Roman;serif" w:hAnsi="Times New Roman;serif"/>
          <w:b w:val="false"/>
          <w:color w:val="000000"/>
          <w:sz w:val="24"/>
        </w:rPr>
        <w:t>terms</w:t>
      </w:r>
      <w:r>
        <w:rPr>
          <w:color w:val="000000"/>
        </w:rPr>
        <w:t xml:space="preserve"> </w:t>
      </w:r>
      <w:r>
        <w:rPr>
          <w:rFonts w:ascii="Times New Roman;serif" w:hAnsi="Times New Roman;serif"/>
          <w:b w:val="false"/>
          <w:color w:val="000000"/>
          <w:sz w:val="24"/>
        </w:rPr>
        <w:t>used</w:t>
      </w:r>
      <w:r>
        <w:rPr>
          <w:color w:val="000000"/>
        </w:rPr>
        <w:t xml:space="preserve"> </w:t>
      </w:r>
      <w:r>
        <w:rPr>
          <w:rFonts w:ascii="Times New Roman;serif" w:hAnsi="Times New Roman;serif"/>
          <w:b w:val="false"/>
          <w:color w:val="000000"/>
          <w:sz w:val="24"/>
        </w:rPr>
        <w:t>herein</w:t>
      </w:r>
      <w:r>
        <w:rPr>
          <w:color w:val="000000"/>
        </w:rPr>
        <w:t xml:space="preserve"> </w:t>
      </w:r>
      <w:r>
        <w:rPr>
          <w:rFonts w:ascii="Times New Roman;serif" w:hAnsi="Times New Roman;serif"/>
          <w:b w:val="false"/>
          <w:color w:val="000000"/>
          <w:sz w:val="24"/>
        </w:rPr>
        <w:t>have</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meanings</w:t>
      </w:r>
      <w:r>
        <w:rPr>
          <w:color w:val="000000"/>
        </w:rPr>
        <w:t xml:space="preserve"> </w:t>
      </w:r>
      <w:r>
        <w:rPr>
          <w:rFonts w:ascii="Times New Roman;serif" w:hAnsi="Times New Roman;serif"/>
          <w:b w:val="false"/>
          <w:color w:val="000000"/>
          <w:sz w:val="24"/>
        </w:rPr>
        <w:t>assigned</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them</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Indenture</w:t>
      </w:r>
      <w:r>
        <w:rPr>
          <w:color w:val="000000"/>
        </w:rPr>
        <w:t xml:space="preserve"> </w:t>
      </w:r>
      <w:r>
        <w:rPr>
          <w:rFonts w:ascii="Times New Roman;serif" w:hAnsi="Times New Roman;serif"/>
          <w:b w:val="false"/>
          <w:color w:val="000000"/>
          <w:sz w:val="24"/>
        </w:rPr>
        <w:t>referred</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below</w:t>
      </w:r>
      <w:r>
        <w:rPr>
          <w:color w:val="000000"/>
        </w:rPr>
        <w:t xml:space="preserve"> </w:t>
      </w:r>
      <w:r>
        <w:rPr>
          <w:rFonts w:ascii="Times New Roman;serif" w:hAnsi="Times New Roman;serif"/>
          <w:b w:val="false"/>
          <w:color w:val="000000"/>
          <w:sz w:val="24"/>
        </w:rPr>
        <w:t>unless</w:t>
      </w:r>
      <w:r>
        <w:rPr>
          <w:color w:val="000000"/>
        </w:rPr>
        <w:t xml:space="preserve"> </w:t>
      </w:r>
      <w:r>
        <w:rPr>
          <w:rFonts w:ascii="Times New Roman;serif" w:hAnsi="Times New Roman;serif"/>
          <w:b w:val="false"/>
          <w:color w:val="000000"/>
          <w:sz w:val="24"/>
        </w:rPr>
        <w:t>otherwise</w:t>
      </w:r>
      <w:r>
        <w:rPr>
          <w:color w:val="000000"/>
        </w:rPr>
        <w:t xml:space="preserve"> </w:t>
      </w:r>
      <w:r>
        <w:rPr>
          <w:rFonts w:ascii="Times New Roman;serif" w:hAnsi="Times New Roman;serif"/>
          <w:b w:val="false"/>
          <w:color w:val="000000"/>
          <w:sz w:val="24"/>
        </w:rPr>
        <w:t>indicated.</w:t>
      </w:r>
    </w:p>
    <w:p>
      <w:pPr>
        <w:pStyle w:val="TextBody"/>
        <w:bidi w:val="0"/>
        <w:spacing w:lineRule="auto" w:line="240" w:before="0" w:after="240"/>
        <w:ind w:left="0" w:right="0" w:firstLine="720"/>
        <w:jc w:val="both"/>
        <w:rPr/>
      </w:pPr>
      <w:r>
        <w:rPr>
          <w:rFonts w:ascii="Times New Roman;serif" w:hAnsi="Times New Roman;serif"/>
          <w:b w:val="false"/>
          <w:color w:val="000000"/>
          <w:sz w:val="24"/>
        </w:rPr>
        <w:t>1.</w:t>
      </w:r>
      <w:r>
        <w:rPr>
          <w:rFonts w:ascii="Times New Roman;serif" w:hAnsi="Times New Roman;serif"/>
          <w:b w:val="false"/>
          <w:i/>
          <w:color w:val="000000"/>
          <w:sz w:val="24"/>
        </w:rPr>
        <w:t>Interest</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Talen Energy Supply,</w:t>
      </w:r>
      <w:r>
        <w:rPr>
          <w:color w:val="000000"/>
        </w:rPr>
        <w:t xml:space="preserve"> </w:t>
      </w:r>
      <w:r>
        <w:rPr>
          <w:rFonts w:ascii="Times New Roman;serif" w:hAnsi="Times New Roman;serif"/>
          <w:b w:val="false"/>
          <w:color w:val="000000"/>
          <w:sz w:val="24"/>
        </w:rPr>
        <w:t>LLC,</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Delaware</w:t>
      </w:r>
      <w:r>
        <w:rPr>
          <w:color w:val="000000"/>
        </w:rPr>
        <w:t xml:space="preserve"> </w:t>
      </w:r>
      <w:r>
        <w:rPr>
          <w:rFonts w:ascii="Times New Roman;serif" w:hAnsi="Times New Roman;serif"/>
          <w:b w:val="false"/>
          <w:color w:val="000000"/>
          <w:sz w:val="24"/>
        </w:rPr>
        <w:t>limited</w:t>
      </w:r>
      <w:r>
        <w:rPr>
          <w:color w:val="000000"/>
        </w:rPr>
        <w:t xml:space="preserve"> </w:t>
      </w:r>
      <w:r>
        <w:rPr>
          <w:rFonts w:ascii="Times New Roman;serif" w:hAnsi="Times New Roman;serif"/>
          <w:b w:val="false"/>
          <w:color w:val="000000"/>
          <w:sz w:val="24"/>
        </w:rPr>
        <w:t>liability</w:t>
      </w:r>
      <w:r>
        <w:rPr>
          <w:color w:val="000000"/>
        </w:rPr>
        <w:t xml:space="preserve"> </w:t>
      </w:r>
      <w:r>
        <w:rPr>
          <w:rFonts w:ascii="Times New Roman;serif" w:hAnsi="Times New Roman;serif"/>
          <w:b w:val="false"/>
          <w:color w:val="000000"/>
          <w:sz w:val="24"/>
        </w:rPr>
        <w:t>company</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i/>
          <w:color w:val="000000"/>
          <w:sz w:val="24"/>
        </w:rPr>
        <w:t>Issuer</w:t>
      </w:r>
      <w:r>
        <w:rPr>
          <w:color w:val="000000"/>
        </w:rPr>
        <w:t>”</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promises</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pay</w:t>
      </w:r>
      <w:r>
        <w:rPr>
          <w:color w:val="000000"/>
        </w:rPr>
        <w:t xml:space="preserve"> </w:t>
      </w:r>
      <w:r>
        <w:rPr>
          <w:rFonts w:ascii="Times New Roman;serif" w:hAnsi="Times New Roman;serif"/>
          <w:b w:val="false"/>
          <w:color w:val="000000"/>
          <w:sz w:val="24"/>
        </w:rPr>
        <w:t>interest</w:t>
      </w:r>
      <w:r>
        <w:rPr>
          <w:color w:val="000000"/>
        </w:rPr>
        <w:t xml:space="preserve"> </w:t>
      </w:r>
      <w:r>
        <w:rPr>
          <w:rFonts w:ascii="Times New Roman;serif" w:hAnsi="Times New Roman;serif"/>
          <w:b w:val="false"/>
          <w:color w:val="000000"/>
          <w:sz w:val="24"/>
        </w:rPr>
        <w:t>on</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principal</w:t>
      </w:r>
      <w:r>
        <w:rPr>
          <w:color w:val="000000"/>
        </w:rPr>
        <w:t xml:space="preserve"> </w:t>
      </w:r>
      <w:r>
        <w:rPr>
          <w:rFonts w:ascii="Times New Roman;serif" w:hAnsi="Times New Roman;serif"/>
          <w:b w:val="false"/>
          <w:color w:val="000000"/>
          <w:sz w:val="24"/>
        </w:rPr>
        <w:t>amount</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this</w:t>
      </w:r>
      <w:r>
        <w:rPr>
          <w:color w:val="000000"/>
        </w:rPr>
        <w:t xml:space="preserve"> </w:t>
      </w:r>
      <w:r>
        <w:rPr>
          <w:rFonts w:ascii="Times New Roman;serif" w:hAnsi="Times New Roman;serif"/>
          <w:b w:val="false"/>
          <w:color w:val="000000"/>
          <w:sz w:val="24"/>
        </w:rPr>
        <w:t>Note</w:t>
      </w:r>
      <w:r>
        <w:rPr>
          <w:color w:val="000000"/>
        </w:rPr>
        <w:t xml:space="preserve"> </w:t>
      </w:r>
      <w:r>
        <w:rPr>
          <w:rFonts w:ascii="Times New Roman;serif" w:hAnsi="Times New Roman;serif"/>
          <w:b w:val="false"/>
          <w:color w:val="000000"/>
          <w:sz w:val="24"/>
        </w:rPr>
        <w:t>at</w:t>
      </w:r>
      <w:r>
        <w:rPr>
          <w:color w:val="000000"/>
        </w:rPr>
        <w:t xml:space="preserve"> </w:t>
      </w:r>
      <w:r>
        <w:rPr>
          <w:rFonts w:ascii="Times New Roman;serif" w:hAnsi="Times New Roman;serif"/>
          <w:b w:val="false"/>
          <w:color w:val="000000"/>
          <w:sz w:val="24"/>
        </w:rPr>
        <w:t>6.375%</w:t>
      </w:r>
      <w:r>
        <w:rPr>
          <w:color w:val="000000"/>
        </w:rPr>
        <w:t xml:space="preserve"> </w:t>
      </w:r>
      <w:r>
        <w:rPr>
          <w:rFonts w:ascii="Times New Roman;serif" w:hAnsi="Times New Roman;serif"/>
          <w:b w:val="false"/>
          <w:color w:val="000000"/>
          <w:sz w:val="24"/>
        </w:rPr>
        <w:t>per</w:t>
      </w:r>
      <w:r>
        <w:rPr>
          <w:color w:val="000000"/>
        </w:rPr>
        <w:t xml:space="preserve"> </w:t>
      </w:r>
      <w:r>
        <w:rPr>
          <w:rFonts w:ascii="Times New Roman;serif" w:hAnsi="Times New Roman;serif"/>
          <w:b w:val="false"/>
          <w:color w:val="000000"/>
          <w:sz w:val="24"/>
        </w:rPr>
        <w:t>annum</w:t>
      </w:r>
      <w:r>
        <w:rPr>
          <w:color w:val="000000"/>
        </w:rPr>
        <w:t xml:space="preserve"> </w:t>
      </w:r>
      <w:r>
        <w:rPr>
          <w:rFonts w:ascii="Times New Roman;serif" w:hAnsi="Times New Roman;serif"/>
          <w:b w:val="false"/>
          <w:color w:val="000000"/>
          <w:sz w:val="24"/>
        </w:rPr>
        <w:t>from</w:t>
      </w:r>
      <w:r>
        <w:rPr>
          <w:color w:val="000000"/>
        </w:rPr>
        <w:t xml:space="preserve"> </w:t>
      </w:r>
      <w:r>
        <w:rPr>
          <w:rFonts w:ascii="Times New Roman;serif" w:hAnsi="Times New Roman;serif"/>
          <w:b w:val="false"/>
          <w:color w:val="000000"/>
          <w:sz w:val="24"/>
        </w:rPr>
        <w:t>April 29, 2026 until</w:t>
      </w:r>
      <w:r>
        <w:rPr>
          <w:color w:val="000000"/>
        </w:rPr>
        <w:t xml:space="preserve"> </w:t>
      </w:r>
      <w:r>
        <w:rPr>
          <w:rFonts w:ascii="Times New Roman;serif" w:hAnsi="Times New Roman;serif"/>
          <w:b w:val="false"/>
          <w:color w:val="000000"/>
          <w:sz w:val="24"/>
        </w:rPr>
        <w:t>maturity.</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Issuer</w:t>
      </w:r>
      <w:r>
        <w:rPr>
          <w:color w:val="000000"/>
        </w:rPr>
        <w:t xml:space="preserve"> </w:t>
      </w:r>
      <w:r>
        <w:rPr>
          <w:rFonts w:ascii="Times New Roman;serif" w:hAnsi="Times New Roman;serif"/>
          <w:b w:val="false"/>
          <w:color w:val="000000"/>
          <w:sz w:val="24"/>
        </w:rPr>
        <w:t>shall</w:t>
      </w:r>
      <w:r>
        <w:rPr>
          <w:color w:val="000000"/>
        </w:rPr>
        <w:t xml:space="preserve"> </w:t>
      </w:r>
      <w:r>
        <w:rPr>
          <w:rFonts w:ascii="Times New Roman;serif" w:hAnsi="Times New Roman;serif"/>
          <w:b w:val="false"/>
          <w:color w:val="000000"/>
          <w:sz w:val="24"/>
        </w:rPr>
        <w:t>pay</w:t>
      </w:r>
      <w:r>
        <w:rPr>
          <w:color w:val="000000"/>
        </w:rPr>
        <w:t xml:space="preserve"> </w:t>
      </w:r>
      <w:r>
        <w:rPr>
          <w:rFonts w:ascii="Times New Roman;serif" w:hAnsi="Times New Roman;serif"/>
          <w:b w:val="false"/>
          <w:color w:val="000000"/>
          <w:sz w:val="24"/>
        </w:rPr>
        <w:t>interest</w:t>
      </w:r>
      <w:r>
        <w:rPr>
          <w:color w:val="000000"/>
        </w:rPr>
        <w:t xml:space="preserve"> </w:t>
      </w:r>
      <w:r>
        <w:rPr>
          <w:rFonts w:ascii="Times New Roman;serif" w:hAnsi="Times New Roman;serif"/>
          <w:b w:val="false"/>
          <w:color w:val="000000"/>
          <w:sz w:val="24"/>
        </w:rPr>
        <w:t>semi-annually</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arrears</w:t>
      </w:r>
      <w:r>
        <w:rPr>
          <w:color w:val="000000"/>
        </w:rPr>
        <w:t xml:space="preserve"> </w:t>
      </w:r>
      <w:r>
        <w:rPr>
          <w:rFonts w:ascii="Times New Roman;serif" w:hAnsi="Times New Roman;serif"/>
          <w:b w:val="false"/>
          <w:color w:val="000000"/>
          <w:sz w:val="24"/>
        </w:rPr>
        <w:t>on</w:t>
      </w:r>
      <w:r>
        <w:rPr>
          <w:color w:val="000000"/>
        </w:rPr>
        <w:t xml:space="preserve"> </w:t>
      </w:r>
      <w:r>
        <w:rPr>
          <w:rFonts w:ascii="Times New Roman;serif" w:hAnsi="Times New Roman;serif"/>
          <w:b w:val="false"/>
          <w:color w:val="000000"/>
          <w:sz w:val="24"/>
        </w:rPr>
        <w:t>May 1</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November 1 of each year, or if any such day is not a Business Day, on the next succeeding Business Day (and without any additional interest or other payment in</w:t>
      </w:r>
      <w:r>
        <w:rPr>
          <w:color w:val="000000"/>
        </w:rPr>
        <w:t xml:space="preserve"> </w:t>
      </w:r>
      <w:r>
        <w:rPr>
          <w:rFonts w:ascii="Times New Roman;serif" w:hAnsi="Times New Roman;serif"/>
          <w:b w:val="false"/>
          <w:color w:val="000000"/>
          <w:sz w:val="24"/>
        </w:rPr>
        <w:t>respect</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delay)</w:t>
      </w:r>
      <w:r>
        <w:rPr>
          <w:color w:val="000000"/>
        </w:rPr>
        <w:t xml:space="preserve"> </w:t>
      </w:r>
      <w:r>
        <w:rPr>
          <w:rFonts w:ascii="Times New Roman;serif" w:hAnsi="Times New Roman;serif"/>
          <w:b w:val="false"/>
          <w:color w:val="000000"/>
          <w:sz w:val="24"/>
        </w:rPr>
        <w:t>(each,</w:t>
      </w:r>
      <w:r>
        <w:rPr>
          <w:color w:val="000000"/>
        </w:rPr>
        <w:t xml:space="preserve"> </w:t>
      </w:r>
      <w:r>
        <w:rPr>
          <w:rFonts w:ascii="Times New Roman;serif" w:hAnsi="Times New Roman;serif"/>
          <w:b w:val="false"/>
          <w:color w:val="000000"/>
          <w:sz w:val="24"/>
        </w:rPr>
        <w:t>an</w:t>
      </w:r>
      <w:r>
        <w:rPr>
          <w:color w:val="000000"/>
        </w:rPr>
        <w:t xml:space="preserve"> “</w:t>
      </w:r>
      <w:r>
        <w:rPr>
          <w:rFonts w:ascii="Times New Roman;serif" w:hAnsi="Times New Roman;serif"/>
          <w:b w:val="false"/>
          <w:i/>
          <w:color w:val="000000"/>
          <w:sz w:val="24"/>
        </w:rPr>
        <w:t>Interest</w:t>
      </w:r>
      <w:r>
        <w:rPr>
          <w:color w:val="000000"/>
        </w:rPr>
        <w:t xml:space="preserve"> </w:t>
      </w:r>
      <w:r>
        <w:rPr>
          <w:rFonts w:ascii="Times New Roman;serif" w:hAnsi="Times New Roman;serif"/>
          <w:b w:val="false"/>
          <w:i/>
          <w:color w:val="000000"/>
          <w:sz w:val="24"/>
        </w:rPr>
        <w:t>Payment</w:t>
      </w:r>
      <w:r>
        <w:rPr>
          <w:color w:val="000000"/>
        </w:rPr>
        <w:t xml:space="preserve"> </w:t>
      </w:r>
      <w:r>
        <w:rPr>
          <w:rFonts w:ascii="Times New Roman;serif" w:hAnsi="Times New Roman;serif"/>
          <w:b w:val="false"/>
          <w:i/>
          <w:color w:val="000000"/>
          <w:sz w:val="24"/>
        </w:rPr>
        <w:t>Date</w:t>
      </w:r>
      <w:r>
        <w:rPr>
          <w:color w:val="000000"/>
        </w:rPr>
        <w:t>”</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with</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same</w:t>
      </w:r>
      <w:r>
        <w:rPr>
          <w:color w:val="000000"/>
        </w:rPr>
        <w:t xml:space="preserve"> </w:t>
      </w:r>
      <w:r>
        <w:rPr>
          <w:rFonts w:ascii="Times New Roman;serif" w:hAnsi="Times New Roman;serif"/>
          <w:b w:val="false"/>
          <w:color w:val="000000"/>
          <w:sz w:val="24"/>
        </w:rPr>
        <w:t>force</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effect</w:t>
      </w:r>
      <w:r>
        <w:rPr>
          <w:color w:val="000000"/>
        </w:rPr>
        <w:t xml:space="preserve"> </w:t>
      </w:r>
      <w:r>
        <w:rPr>
          <w:rFonts w:ascii="Times New Roman;serif" w:hAnsi="Times New Roman;serif"/>
          <w:b w:val="false"/>
          <w:color w:val="000000"/>
          <w:sz w:val="24"/>
        </w:rPr>
        <w:t>as</w:t>
      </w:r>
      <w:r>
        <w:rPr>
          <w:color w:val="000000"/>
        </w:rPr>
        <w:t xml:space="preserve"> </w:t>
      </w:r>
      <w:r>
        <w:rPr>
          <w:rFonts w:ascii="Times New Roman;serif" w:hAnsi="Times New Roman;serif"/>
          <w:b w:val="false"/>
          <w:color w:val="000000"/>
          <w:sz w:val="24"/>
        </w:rPr>
        <w:t>if</w:t>
      </w:r>
      <w:r>
        <w:rPr>
          <w:color w:val="000000"/>
        </w:rPr>
        <w:t xml:space="preserve"> </w:t>
      </w:r>
      <w:r>
        <w:rPr>
          <w:rFonts w:ascii="Times New Roman;serif" w:hAnsi="Times New Roman;serif"/>
          <w:b w:val="false"/>
          <w:color w:val="000000"/>
          <w:sz w:val="24"/>
        </w:rPr>
        <w:t>made</w:t>
      </w:r>
      <w:r>
        <w:rPr>
          <w:color w:val="000000"/>
        </w:rPr>
        <w:t xml:space="preserve"> </w:t>
      </w:r>
      <w:r>
        <w:rPr>
          <w:rFonts w:ascii="Times New Roman;serif" w:hAnsi="Times New Roman;serif"/>
          <w:b w:val="false"/>
          <w:color w:val="000000"/>
          <w:sz w:val="24"/>
        </w:rPr>
        <w:t>on</w:t>
      </w:r>
      <w:r>
        <w:rPr>
          <w:color w:val="000000"/>
        </w:rPr>
        <w:t xml:space="preserve"> </w:t>
      </w:r>
      <w:r>
        <w:rPr>
          <w:rFonts w:ascii="Times New Roman;serif" w:hAnsi="Times New Roman;serif"/>
          <w:b w:val="false"/>
          <w:color w:val="000000"/>
          <w:sz w:val="24"/>
        </w:rPr>
        <w:t>such</w:t>
      </w:r>
      <w:r>
        <w:rPr>
          <w:color w:val="000000"/>
        </w:rPr>
        <w:t xml:space="preserve"> </w:t>
      </w:r>
      <w:r>
        <w:rPr>
          <w:rFonts w:ascii="Times New Roman;serif" w:hAnsi="Times New Roman;serif"/>
          <w:b w:val="false"/>
          <w:color w:val="000000"/>
          <w:sz w:val="24"/>
        </w:rPr>
        <w:t>date.</w:t>
      </w:r>
      <w:r>
        <w:rPr>
          <w:color w:val="000000"/>
        </w:rPr>
        <w:t xml:space="preserve"> </w:t>
      </w:r>
      <w:r>
        <w:rPr>
          <w:rFonts w:ascii="Times New Roman;serif" w:hAnsi="Times New Roman;serif"/>
          <w:b w:val="false"/>
          <w:color w:val="000000"/>
          <w:sz w:val="24"/>
        </w:rPr>
        <w:t>Interest</w:t>
      </w:r>
      <w:r>
        <w:rPr>
          <w:color w:val="000000"/>
        </w:rPr>
        <w:t xml:space="preserve"> </w:t>
      </w:r>
      <w:r>
        <w:rPr>
          <w:rFonts w:ascii="Times New Roman;serif" w:hAnsi="Times New Roman;serif"/>
          <w:b w:val="false"/>
          <w:color w:val="000000"/>
          <w:sz w:val="24"/>
        </w:rPr>
        <w:t>on</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Notes</w:t>
      </w:r>
      <w:r>
        <w:rPr>
          <w:color w:val="000000"/>
        </w:rPr>
        <w:t xml:space="preserve"> </w:t>
      </w:r>
      <w:r>
        <w:rPr>
          <w:rFonts w:ascii="Times New Roman;serif" w:hAnsi="Times New Roman;serif"/>
          <w:b w:val="false"/>
          <w:color w:val="000000"/>
          <w:sz w:val="24"/>
        </w:rPr>
        <w:t>will</w:t>
      </w:r>
      <w:r>
        <w:rPr>
          <w:color w:val="000000"/>
        </w:rPr>
        <w:t xml:space="preserve"> </w:t>
      </w:r>
      <w:r>
        <w:rPr>
          <w:rFonts w:ascii="Times New Roman;serif" w:hAnsi="Times New Roman;serif"/>
          <w:b w:val="false"/>
          <w:color w:val="000000"/>
          <w:sz w:val="24"/>
        </w:rPr>
        <w:t>accrue</w:t>
      </w:r>
      <w:r>
        <w:rPr>
          <w:color w:val="000000"/>
        </w:rPr>
        <w:t xml:space="preserve"> </w:t>
      </w:r>
      <w:r>
        <w:rPr>
          <w:rFonts w:ascii="Times New Roman;serif" w:hAnsi="Times New Roman;serif"/>
          <w:b w:val="false"/>
          <w:color w:val="000000"/>
          <w:sz w:val="24"/>
        </w:rPr>
        <w:t>from</w:t>
      </w:r>
      <w:r>
        <w:rPr>
          <w:color w:val="000000"/>
        </w:rPr>
        <w:t xml:space="preserve"> </w:t>
      </w:r>
      <w:r>
        <w:rPr>
          <w:rFonts w:ascii="Times New Roman;serif" w:hAnsi="Times New Roman;serif"/>
          <w:b w:val="false"/>
          <w:color w:val="000000"/>
          <w:sz w:val="24"/>
        </w:rPr>
        <w:t>the most recent</w:t>
      </w:r>
      <w:r>
        <w:rPr>
          <w:color w:val="000000"/>
        </w:rPr>
        <w:t xml:space="preserve"> </w:t>
      </w:r>
      <w:r>
        <w:rPr>
          <w:rFonts w:ascii="Times New Roman;serif" w:hAnsi="Times New Roman;serif"/>
          <w:b w:val="false"/>
          <w:color w:val="000000"/>
          <w:sz w:val="24"/>
        </w:rPr>
        <w:t>date</w:t>
      </w:r>
      <w:r>
        <w:rPr>
          <w:color w:val="000000"/>
        </w:rPr>
        <w:t xml:space="preserve"> </w:t>
      </w:r>
      <w:r>
        <w:rPr>
          <w:rFonts w:ascii="Times New Roman;serif" w:hAnsi="Times New Roman;serif"/>
          <w:b w:val="false"/>
          <w:color w:val="000000"/>
          <w:sz w:val="24"/>
        </w:rPr>
        <w:t>to which</w:t>
      </w:r>
      <w:r>
        <w:rPr>
          <w:color w:val="000000"/>
        </w:rPr>
        <w:t xml:space="preserve"> </w:t>
      </w:r>
      <w:r>
        <w:rPr>
          <w:rFonts w:ascii="Times New Roman;serif" w:hAnsi="Times New Roman;serif"/>
          <w:b w:val="false"/>
          <w:color w:val="000000"/>
          <w:sz w:val="24"/>
        </w:rPr>
        <w:t>interest has</w:t>
      </w:r>
      <w:r>
        <w:rPr>
          <w:color w:val="000000"/>
        </w:rPr>
        <w:t xml:space="preserve"> </w:t>
      </w:r>
      <w:r>
        <w:rPr>
          <w:rFonts w:ascii="Times New Roman;serif" w:hAnsi="Times New Roman;serif"/>
          <w:b w:val="false"/>
          <w:color w:val="000000"/>
          <w:sz w:val="24"/>
        </w:rPr>
        <w:t>been</w:t>
      </w:r>
      <w:r>
        <w:rPr>
          <w:color w:val="000000"/>
        </w:rPr>
        <w:t xml:space="preserve"> </w:t>
      </w:r>
      <w:r>
        <w:rPr>
          <w:rFonts w:ascii="Times New Roman;serif" w:hAnsi="Times New Roman;serif"/>
          <w:b w:val="false"/>
          <w:color w:val="000000"/>
          <w:sz w:val="24"/>
        </w:rPr>
        <w:t>paid</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if no</w:t>
      </w:r>
      <w:r>
        <w:rPr>
          <w:color w:val="000000"/>
        </w:rPr>
        <w:t xml:space="preserve"> </w:t>
      </w:r>
      <w:r>
        <w:rPr>
          <w:rFonts w:ascii="Times New Roman;serif" w:hAnsi="Times New Roman;serif"/>
          <w:b w:val="false"/>
          <w:color w:val="000000"/>
          <w:sz w:val="24"/>
        </w:rPr>
        <w:t>interest has</w:t>
      </w:r>
      <w:r>
        <w:rPr>
          <w:color w:val="000000"/>
        </w:rPr>
        <w:t xml:space="preserve"> </w:t>
      </w:r>
      <w:r>
        <w:rPr>
          <w:rFonts w:ascii="Times New Roman;serif" w:hAnsi="Times New Roman;serif"/>
          <w:b w:val="false"/>
          <w:color w:val="000000"/>
          <w:sz w:val="24"/>
        </w:rPr>
        <w:t>been</w:t>
      </w:r>
      <w:r>
        <w:rPr>
          <w:color w:val="000000"/>
        </w:rPr>
        <w:t xml:space="preserve"> </w:t>
      </w:r>
      <w:r>
        <w:rPr>
          <w:rFonts w:ascii="Times New Roman;serif" w:hAnsi="Times New Roman;serif"/>
          <w:b w:val="false"/>
          <w:color w:val="000000"/>
          <w:sz w:val="24"/>
        </w:rPr>
        <w:t>paid,</w:t>
      </w:r>
      <w:r>
        <w:rPr>
          <w:color w:val="000000"/>
        </w:rPr>
        <w:t xml:space="preserve"> </w:t>
      </w:r>
      <w:r>
        <w:rPr>
          <w:rFonts w:ascii="Times New Roman;serif" w:hAnsi="Times New Roman;serif"/>
          <w:b w:val="false"/>
          <w:color w:val="000000"/>
          <w:sz w:val="24"/>
        </w:rPr>
        <w:t>from</w:t>
      </w:r>
      <w:r>
        <w:rPr>
          <w:color w:val="000000"/>
        </w:rPr>
        <w:t xml:space="preserve"> </w:t>
      </w:r>
      <w:r>
        <w:rPr>
          <w:rFonts w:ascii="Times New Roman;serif" w:hAnsi="Times New Roman;serif"/>
          <w:b w:val="false"/>
          <w:color w:val="000000"/>
          <w:sz w:val="24"/>
        </w:rPr>
        <w:t>the date</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issuance;</w:t>
      </w:r>
      <w:r>
        <w:rPr>
          <w:color w:val="000000"/>
        </w:rPr>
        <w:t xml:space="preserve"> </w:t>
      </w:r>
      <w:r>
        <w:rPr>
          <w:rFonts w:ascii="Times New Roman;serif" w:hAnsi="Times New Roman;serif"/>
          <w:b w:val="false"/>
          <w:i/>
          <w:color w:val="000000"/>
          <w:sz w:val="24"/>
        </w:rPr>
        <w:t xml:space="preserve">provided </w:t>
      </w:r>
      <w:r>
        <w:rPr>
          <w:rFonts w:ascii="Times New Roman;serif" w:hAnsi="Times New Roman;serif"/>
          <w:b w:val="false"/>
          <w:color w:val="000000"/>
          <w:sz w:val="24"/>
        </w:rPr>
        <w:t>that if there is no existing Default</w:t>
      </w:r>
      <w:r>
        <w:rPr>
          <w:color w:val="000000"/>
        </w:rPr>
        <w:t xml:space="preserve"> </w:t>
      </w:r>
      <w:r>
        <w:rPr>
          <w:rFonts w:ascii="Times New Roman;serif" w:hAnsi="Times New Roman;serif"/>
          <w:b w:val="false"/>
          <w:color w:val="000000"/>
          <w:sz w:val="24"/>
        </w:rPr>
        <w:t>in the payment of interest, and if this Note is authenticated between a record date referred to on the face hereof and the next succeeding Interest Payment</w:t>
      </w:r>
      <w:r>
        <w:rPr>
          <w:color w:val="000000"/>
        </w:rPr>
        <w:t xml:space="preserve"> </w:t>
      </w:r>
      <w:r>
        <w:rPr>
          <w:rFonts w:ascii="Times New Roman;serif" w:hAnsi="Times New Roman;serif"/>
          <w:b w:val="false"/>
          <w:color w:val="000000"/>
          <w:sz w:val="24"/>
        </w:rPr>
        <w:t xml:space="preserve">Date, interest shall accrue from such next succeeding Interest Payment Date; </w:t>
      </w:r>
      <w:r>
        <w:rPr>
          <w:rFonts w:ascii="Times New Roman;serif" w:hAnsi="Times New Roman;serif"/>
          <w:b w:val="false"/>
          <w:i/>
          <w:color w:val="000000"/>
          <w:sz w:val="24"/>
        </w:rPr>
        <w:t>provided further</w:t>
      </w:r>
      <w:r>
        <w:rPr>
          <w:rFonts w:ascii="Times New Roman;serif" w:hAnsi="Times New Roman;serif"/>
          <w:b w:val="false"/>
          <w:color w:val="000000"/>
          <w:sz w:val="24"/>
        </w:rPr>
        <w:t>, that the first Interest Payment Date shall be November 1, 2026. Interest will be computed on the basis of a 360-day year of twelve 30-day months, and with respect to any period less than a full calendar month, on</w:t>
      </w:r>
      <w:r>
        <w:rPr>
          <w:color w:val="000000"/>
        </w:rPr>
        <w:t xml:space="preserve"> </w:t>
      </w:r>
      <w:r>
        <w:rPr>
          <w:rFonts w:ascii="Times New Roman;serif" w:hAnsi="Times New Roman;serif"/>
          <w:b w:val="false"/>
          <w:color w:val="000000"/>
          <w:sz w:val="24"/>
        </w:rPr>
        <w:t>the basis of the actual number of days elapsed during the period.</w:t>
      </w:r>
    </w:p>
    <w:p>
      <w:pPr>
        <w:pStyle w:val="TextBody"/>
        <w:bidi w:val="0"/>
        <w:spacing w:lineRule="auto" w:line="240" w:before="0" w:after="240"/>
        <w:ind w:left="0" w:right="0" w:firstLine="720"/>
        <w:jc w:val="both"/>
        <w:rPr/>
      </w:pPr>
      <w:r>
        <w:rPr>
          <w:rFonts w:ascii="Times New Roman;serif" w:hAnsi="Times New Roman;serif"/>
          <w:b w:val="false"/>
          <w:color w:val="000000"/>
          <w:sz w:val="24"/>
        </w:rPr>
        <w:t>2.</w:t>
      </w:r>
      <w:r>
        <w:rPr>
          <w:rFonts w:ascii="Times New Roman;serif" w:hAnsi="Times New Roman;serif"/>
          <w:b w:val="false"/>
          <w:i/>
          <w:color w:val="000000"/>
          <w:sz w:val="24"/>
        </w:rPr>
        <w:t>Method</w:t>
      </w:r>
      <w:r>
        <w:rPr>
          <w:color w:val="000000"/>
        </w:rPr>
        <w:t xml:space="preserve"> </w:t>
      </w:r>
      <w:r>
        <w:rPr>
          <w:rFonts w:ascii="Times New Roman;serif" w:hAnsi="Times New Roman;serif"/>
          <w:b w:val="false"/>
          <w:i/>
          <w:color w:val="000000"/>
          <w:sz w:val="24"/>
        </w:rPr>
        <w:t>of</w:t>
      </w:r>
      <w:r>
        <w:rPr>
          <w:color w:val="000000"/>
        </w:rPr>
        <w:t xml:space="preserve"> </w:t>
      </w:r>
      <w:r>
        <w:rPr>
          <w:rFonts w:ascii="Times New Roman;serif" w:hAnsi="Times New Roman;serif"/>
          <w:b w:val="false"/>
          <w:i/>
          <w:color w:val="000000"/>
          <w:sz w:val="24"/>
        </w:rPr>
        <w:t>Payment</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Issuer</w:t>
      </w:r>
      <w:r>
        <w:rPr>
          <w:color w:val="000000"/>
        </w:rPr>
        <w:t xml:space="preserve"> </w:t>
      </w:r>
      <w:r>
        <w:rPr>
          <w:rFonts w:ascii="Times New Roman;serif" w:hAnsi="Times New Roman;serif"/>
          <w:b w:val="false"/>
          <w:color w:val="000000"/>
          <w:sz w:val="24"/>
        </w:rPr>
        <w:t>shall</w:t>
      </w:r>
      <w:r>
        <w:rPr>
          <w:color w:val="000000"/>
        </w:rPr>
        <w:t xml:space="preserve"> </w:t>
      </w:r>
      <w:r>
        <w:rPr>
          <w:rFonts w:ascii="Times New Roman;serif" w:hAnsi="Times New Roman;serif"/>
          <w:b w:val="false"/>
          <w:color w:val="000000"/>
          <w:sz w:val="24"/>
        </w:rPr>
        <w:t>pay</w:t>
      </w:r>
      <w:r>
        <w:rPr>
          <w:color w:val="000000"/>
        </w:rPr>
        <w:t xml:space="preserve"> </w:t>
      </w:r>
      <w:r>
        <w:rPr>
          <w:rFonts w:ascii="Times New Roman;serif" w:hAnsi="Times New Roman;serif"/>
          <w:b w:val="false"/>
          <w:color w:val="000000"/>
          <w:sz w:val="24"/>
        </w:rPr>
        <w:t>interest</w:t>
      </w:r>
      <w:r>
        <w:rPr>
          <w:color w:val="000000"/>
        </w:rPr>
        <w:t xml:space="preserve"> </w:t>
      </w:r>
      <w:r>
        <w:rPr>
          <w:rFonts w:ascii="Times New Roman;serif" w:hAnsi="Times New Roman;serif"/>
          <w:b w:val="false"/>
          <w:color w:val="000000"/>
          <w:sz w:val="24"/>
        </w:rPr>
        <w:t>on</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Notes</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Persons</w:t>
      </w:r>
      <w:r>
        <w:rPr>
          <w:color w:val="000000"/>
        </w:rPr>
        <w:t xml:space="preserve"> </w:t>
      </w:r>
      <w:r>
        <w:rPr>
          <w:rFonts w:ascii="Times New Roman;serif" w:hAnsi="Times New Roman;serif"/>
          <w:b w:val="false"/>
          <w:color w:val="000000"/>
          <w:sz w:val="24"/>
        </w:rPr>
        <w:t>who</w:t>
      </w:r>
      <w:r>
        <w:rPr>
          <w:color w:val="000000"/>
        </w:rPr>
        <w:t xml:space="preserve"> </w:t>
      </w:r>
      <w:r>
        <w:rPr>
          <w:rFonts w:ascii="Times New Roman;serif" w:hAnsi="Times New Roman;serif"/>
          <w:b w:val="false"/>
          <w:color w:val="000000"/>
          <w:sz w:val="24"/>
        </w:rPr>
        <w:t>are</w:t>
      </w:r>
      <w:r>
        <w:rPr>
          <w:color w:val="000000"/>
        </w:rPr>
        <w:t xml:space="preserve"> </w:t>
      </w:r>
      <w:r>
        <w:rPr>
          <w:rFonts w:ascii="Times New Roman;serif" w:hAnsi="Times New Roman;serif"/>
          <w:b w:val="false"/>
          <w:color w:val="000000"/>
          <w:sz w:val="24"/>
        </w:rPr>
        <w:t>registered</w:t>
      </w:r>
      <w:r>
        <w:rPr>
          <w:color w:val="000000"/>
        </w:rPr>
        <w:t xml:space="preserve"> </w:t>
      </w:r>
      <w:r>
        <w:rPr>
          <w:rFonts w:ascii="Times New Roman;serif" w:hAnsi="Times New Roman;serif"/>
          <w:b w:val="false"/>
          <w:color w:val="000000"/>
          <w:sz w:val="24"/>
        </w:rPr>
        <w:t>Holders</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Notes</w:t>
      </w:r>
      <w:r>
        <w:rPr>
          <w:color w:val="000000"/>
        </w:rPr>
        <w:t xml:space="preserve"> </w:t>
      </w:r>
      <w:r>
        <w:rPr>
          <w:rFonts w:ascii="Times New Roman;serif" w:hAnsi="Times New Roman;serif"/>
          <w:b w:val="false"/>
          <w:color w:val="000000"/>
          <w:sz w:val="24"/>
        </w:rPr>
        <w:t>on</w:t>
      </w:r>
      <w:r>
        <w:rPr>
          <w:color w:val="000000"/>
        </w:rPr>
        <w:t xml:space="preserve"> </w:t>
      </w:r>
      <w:r>
        <w:rPr>
          <w:rFonts w:ascii="Times New Roman;serif" w:hAnsi="Times New Roman;serif"/>
          <w:b w:val="false"/>
          <w:color w:val="000000"/>
          <w:sz w:val="24"/>
        </w:rPr>
        <w:t>April 15 and October 15</w:t>
      </w:r>
      <w:r>
        <w:rPr>
          <w:color w:val="000000"/>
        </w:rPr>
        <w:t xml:space="preserve"> </w:t>
      </w:r>
      <w:r>
        <w:rPr>
          <w:rFonts w:ascii="Times New Roman;serif" w:hAnsi="Times New Roman;serif"/>
          <w:b w:val="false"/>
          <w:color w:val="000000"/>
          <w:sz w:val="24"/>
        </w:rPr>
        <w:t>(whether or not a Business Day) immediately preceding the Interest Payment Date, except that interest payable at maturity will be paid to the person to</w:t>
      </w:r>
      <w:r>
        <w:rPr>
          <w:color w:val="000000"/>
        </w:rPr>
        <w:t xml:space="preserve"> </w:t>
      </w:r>
      <w:r>
        <w:rPr>
          <w:rFonts w:ascii="Times New Roman;serif" w:hAnsi="Times New Roman;serif"/>
          <w:b w:val="false"/>
          <w:color w:val="000000"/>
          <w:sz w:val="24"/>
        </w:rPr>
        <w:t>whom</w:t>
      </w:r>
      <w:r>
        <w:rPr>
          <w:color w:val="000000"/>
        </w:rPr>
        <w:t xml:space="preserve"> </w:t>
      </w:r>
      <w:r>
        <w:rPr>
          <w:rFonts w:ascii="Times New Roman;serif" w:hAnsi="Times New Roman;serif"/>
          <w:b w:val="false"/>
          <w:color w:val="000000"/>
          <w:sz w:val="24"/>
        </w:rPr>
        <w:t>principal</w:t>
      </w:r>
      <w:r>
        <w:rPr>
          <w:color w:val="000000"/>
        </w:rPr>
        <w:t xml:space="preserve"> </w:t>
      </w:r>
      <w:r>
        <w:rPr>
          <w:rFonts w:ascii="Times New Roman;serif" w:hAnsi="Times New Roman;serif"/>
          <w:b w:val="false"/>
          <w:color w:val="000000"/>
          <w:sz w:val="24"/>
        </w:rPr>
        <w:t>is</w:t>
      </w:r>
      <w:r>
        <w:rPr>
          <w:color w:val="000000"/>
        </w:rPr>
        <w:t xml:space="preserve"> </w:t>
      </w:r>
      <w:r>
        <w:rPr>
          <w:rFonts w:ascii="Times New Roman;serif" w:hAnsi="Times New Roman;serif"/>
          <w:b w:val="false"/>
          <w:color w:val="000000"/>
          <w:sz w:val="24"/>
        </w:rPr>
        <w:t>paid.</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Notes</w:t>
      </w:r>
      <w:r>
        <w:rPr>
          <w:color w:val="000000"/>
        </w:rPr>
        <w:t xml:space="preserve"> </w:t>
      </w:r>
      <w:r>
        <w:rPr>
          <w:rFonts w:ascii="Times New Roman;serif" w:hAnsi="Times New Roman;serif"/>
          <w:b w:val="false"/>
          <w:color w:val="000000"/>
          <w:sz w:val="24"/>
        </w:rPr>
        <w:t>will</w:t>
      </w:r>
      <w:r>
        <w:rPr>
          <w:color w:val="000000"/>
        </w:rPr>
        <w:t xml:space="preserve"> </w:t>
      </w:r>
      <w:r>
        <w:rPr>
          <w:rFonts w:ascii="Times New Roman;serif" w:hAnsi="Times New Roman;serif"/>
          <w:b w:val="false"/>
          <w:color w:val="000000"/>
          <w:sz w:val="24"/>
        </w:rPr>
        <w:t>be</w:t>
      </w:r>
      <w:r>
        <w:rPr>
          <w:color w:val="000000"/>
        </w:rPr>
        <w:t xml:space="preserve"> </w:t>
      </w:r>
      <w:r>
        <w:rPr>
          <w:rFonts w:ascii="Times New Roman;serif" w:hAnsi="Times New Roman;serif"/>
          <w:b w:val="false"/>
          <w:color w:val="000000"/>
          <w:sz w:val="24"/>
        </w:rPr>
        <w:t>payable</w:t>
      </w:r>
      <w:r>
        <w:rPr>
          <w:color w:val="000000"/>
        </w:rPr>
        <w:t xml:space="preserve"> </w:t>
      </w:r>
      <w:r>
        <w:rPr>
          <w:rFonts w:ascii="Times New Roman;serif" w:hAnsi="Times New Roman;serif"/>
          <w:b w:val="false"/>
          <w:color w:val="000000"/>
          <w:sz w:val="24"/>
        </w:rPr>
        <w:t>as</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principal,</w:t>
      </w:r>
      <w:r>
        <w:rPr>
          <w:color w:val="000000"/>
        </w:rPr>
        <w:t xml:space="preserve"> </w:t>
      </w:r>
      <w:r>
        <w:rPr>
          <w:rFonts w:ascii="Times New Roman;serif" w:hAnsi="Times New Roman;serif"/>
          <w:b w:val="false"/>
          <w:color w:val="000000"/>
          <w:sz w:val="24"/>
        </w:rPr>
        <w:t>premium,</w:t>
      </w:r>
      <w:r>
        <w:rPr>
          <w:color w:val="000000"/>
        </w:rPr>
        <w:t xml:space="preserve"> </w:t>
      </w:r>
      <w:r>
        <w:rPr>
          <w:rFonts w:ascii="Times New Roman;serif" w:hAnsi="Times New Roman;serif"/>
          <w:b w:val="false"/>
          <w:color w:val="000000"/>
          <w:sz w:val="24"/>
        </w:rPr>
        <w:t>if</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interest</w:t>
      </w:r>
      <w:r>
        <w:rPr>
          <w:color w:val="000000"/>
        </w:rPr>
        <w:t xml:space="preserve"> </w:t>
      </w:r>
      <w:r>
        <w:rPr>
          <w:rFonts w:ascii="Times New Roman;serif" w:hAnsi="Times New Roman;serif"/>
          <w:b w:val="false"/>
          <w:color w:val="000000"/>
          <w:sz w:val="24"/>
        </w:rPr>
        <w:t>at</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office</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agency</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Issuer</w:t>
      </w:r>
      <w:r>
        <w:rPr>
          <w:color w:val="000000"/>
        </w:rPr>
        <w:t xml:space="preserve"> </w:t>
      </w:r>
      <w:r>
        <w:rPr>
          <w:rFonts w:ascii="Times New Roman;serif" w:hAnsi="Times New Roman;serif"/>
          <w:b w:val="false"/>
          <w:color w:val="000000"/>
          <w:sz w:val="24"/>
        </w:rPr>
        <w:t>maintained</w:t>
      </w:r>
      <w:r>
        <w:rPr>
          <w:color w:val="000000"/>
        </w:rPr>
        <w:t xml:space="preserve"> </w:t>
      </w:r>
      <w:r>
        <w:rPr>
          <w:rFonts w:ascii="Times New Roman;serif" w:hAnsi="Times New Roman;serif"/>
          <w:b w:val="false"/>
          <w:color w:val="000000"/>
          <w:sz w:val="24"/>
        </w:rPr>
        <w:t>for</w:t>
      </w:r>
      <w:r>
        <w:rPr>
          <w:color w:val="000000"/>
        </w:rPr>
        <w:t xml:space="preserve"> </w:t>
      </w:r>
      <w:r>
        <w:rPr>
          <w:rFonts w:ascii="Times New Roman;serif" w:hAnsi="Times New Roman;serif"/>
          <w:b w:val="false"/>
          <w:color w:val="000000"/>
          <w:sz w:val="24"/>
        </w:rPr>
        <w:t>such</w:t>
      </w:r>
      <w:r>
        <w:rPr>
          <w:color w:val="000000"/>
        </w:rPr>
        <w:t xml:space="preserve"> </w:t>
      </w:r>
      <w:r>
        <w:rPr>
          <w:rFonts w:ascii="Times New Roman;serif" w:hAnsi="Times New Roman;serif"/>
          <w:b w:val="false"/>
          <w:color w:val="000000"/>
          <w:sz w:val="24"/>
        </w:rPr>
        <w:t>purpose, or, at the option of the Issuer, payment of interest and may be made by check mailed to the Holders at their addresses set forth in the register</w:t>
      </w:r>
      <w:r>
        <w:rPr>
          <w:color w:val="000000"/>
        </w:rPr>
        <w:t xml:space="preserve"> </w:t>
      </w:r>
      <w:r>
        <w:rPr>
          <w:rFonts w:ascii="Times New Roman;serif" w:hAnsi="Times New Roman;serif"/>
          <w:b w:val="false"/>
          <w:color w:val="000000"/>
          <w:sz w:val="24"/>
        </w:rPr>
        <w:t xml:space="preserve">of Holders; </w:t>
      </w:r>
      <w:r>
        <w:rPr>
          <w:rFonts w:ascii="Times New Roman;serif" w:hAnsi="Times New Roman;serif"/>
          <w:b w:val="false"/>
          <w:i/>
          <w:color w:val="000000"/>
          <w:sz w:val="24"/>
        </w:rPr>
        <w:t>provided that</w:t>
      </w:r>
      <w:r>
        <w:rPr>
          <w:color w:val="000000"/>
        </w:rPr>
        <w:t xml:space="preserve"> </w:t>
      </w:r>
      <w:r>
        <w:rPr>
          <w:rFonts w:ascii="Times New Roman;serif" w:hAnsi="Times New Roman;serif"/>
          <w:b w:val="false"/>
          <w:color w:val="000000"/>
          <w:sz w:val="24"/>
        </w:rPr>
        <w:t>payment by wire transfer of immediately available funds will be required with respect to principal of and interest and premium, if</w:t>
      </w:r>
      <w:r>
        <w:rPr>
          <w:color w:val="000000"/>
        </w:rPr>
        <w:t xml:space="preserve"> </w:t>
      </w:r>
      <w:r>
        <w:rPr>
          <w:rFonts w:ascii="Times New Roman;serif" w:hAnsi="Times New Roman;serif"/>
          <w:b w:val="false"/>
          <w:color w:val="000000"/>
          <w:sz w:val="24"/>
        </w:rPr>
        <w:t>any, on, all Global Notes and all other Notes the Holders of which will have provided wire transfer instructions to the Issuer or the Paying Agent. Such</w:t>
      </w:r>
      <w:r>
        <w:rPr>
          <w:color w:val="000000"/>
        </w:rPr>
        <w:t xml:space="preserve"> </w:t>
      </w:r>
      <w:r>
        <w:rPr>
          <w:rFonts w:ascii="Times New Roman;serif" w:hAnsi="Times New Roman;serif"/>
          <w:b w:val="false"/>
          <w:color w:val="000000"/>
          <w:sz w:val="24"/>
        </w:rPr>
        <w:t>payment</w:t>
      </w:r>
      <w:r>
        <w:rPr>
          <w:color w:val="000000"/>
        </w:rPr>
        <w:t xml:space="preserve"> </w:t>
      </w:r>
      <w:r>
        <w:rPr>
          <w:rFonts w:ascii="Times New Roman;serif" w:hAnsi="Times New Roman;serif"/>
          <w:b w:val="false"/>
          <w:color w:val="000000"/>
          <w:sz w:val="24"/>
        </w:rPr>
        <w:t>shall</w:t>
      </w:r>
      <w:r>
        <w:rPr>
          <w:color w:val="000000"/>
        </w:rPr>
        <w:t xml:space="preserve"> </w:t>
      </w:r>
      <w:r>
        <w:rPr>
          <w:rFonts w:ascii="Times New Roman;serif" w:hAnsi="Times New Roman;serif"/>
          <w:b w:val="false"/>
          <w:color w:val="000000"/>
          <w:sz w:val="24"/>
        </w:rPr>
        <w:t>be</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such</w:t>
      </w:r>
      <w:r>
        <w:rPr>
          <w:color w:val="000000"/>
        </w:rPr>
        <w:t xml:space="preserve"> </w:t>
      </w:r>
      <w:r>
        <w:rPr>
          <w:rFonts w:ascii="Times New Roman;serif" w:hAnsi="Times New Roman;serif"/>
          <w:b w:val="false"/>
          <w:color w:val="000000"/>
          <w:sz w:val="24"/>
        </w:rPr>
        <w:t>coin</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currency</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United</w:t>
      </w:r>
      <w:r>
        <w:rPr>
          <w:color w:val="000000"/>
        </w:rPr>
        <w:t xml:space="preserve"> </w:t>
      </w:r>
      <w:r>
        <w:rPr>
          <w:rFonts w:ascii="Times New Roman;serif" w:hAnsi="Times New Roman;serif"/>
          <w:b w:val="false"/>
          <w:color w:val="000000"/>
          <w:sz w:val="24"/>
        </w:rPr>
        <w:t>States</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America</w:t>
      </w:r>
      <w:r>
        <w:rPr>
          <w:color w:val="000000"/>
        </w:rPr>
        <w:t xml:space="preserve"> </w:t>
      </w:r>
      <w:r>
        <w:rPr>
          <w:rFonts w:ascii="Times New Roman;serif" w:hAnsi="Times New Roman;serif"/>
          <w:b w:val="false"/>
          <w:color w:val="000000"/>
          <w:sz w:val="24"/>
        </w:rPr>
        <w:t>as</w:t>
      </w:r>
      <w:r>
        <w:rPr>
          <w:color w:val="000000"/>
        </w:rPr>
        <w:t xml:space="preserve"> </w:t>
      </w:r>
      <w:r>
        <w:rPr>
          <w:rFonts w:ascii="Times New Roman;serif" w:hAnsi="Times New Roman;serif"/>
          <w:b w:val="false"/>
          <w:color w:val="000000"/>
          <w:sz w:val="24"/>
        </w:rPr>
        <w:t>at</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time</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payment</w:t>
      </w:r>
      <w:r>
        <w:rPr>
          <w:color w:val="000000"/>
        </w:rPr>
        <w:t xml:space="preserve"> </w:t>
      </w:r>
      <w:r>
        <w:rPr>
          <w:rFonts w:ascii="Times New Roman;serif" w:hAnsi="Times New Roman;serif"/>
          <w:b w:val="false"/>
          <w:color w:val="000000"/>
          <w:sz w:val="24"/>
        </w:rPr>
        <w:t>is</w:t>
      </w:r>
      <w:r>
        <w:rPr>
          <w:color w:val="000000"/>
        </w:rPr>
        <w:t xml:space="preserve"> </w:t>
      </w:r>
      <w:r>
        <w:rPr>
          <w:rFonts w:ascii="Times New Roman;serif" w:hAnsi="Times New Roman;serif"/>
          <w:b w:val="false"/>
          <w:color w:val="000000"/>
          <w:sz w:val="24"/>
        </w:rPr>
        <w:t>legal</w:t>
      </w:r>
      <w:r>
        <w:rPr>
          <w:color w:val="000000"/>
        </w:rPr>
        <w:t xml:space="preserve"> </w:t>
      </w:r>
      <w:r>
        <w:rPr>
          <w:rFonts w:ascii="Times New Roman;serif" w:hAnsi="Times New Roman;serif"/>
          <w:b w:val="false"/>
          <w:color w:val="000000"/>
          <w:sz w:val="24"/>
        </w:rPr>
        <w:t>tender</w:t>
      </w:r>
      <w:r>
        <w:rPr>
          <w:color w:val="000000"/>
        </w:rPr>
        <w:t xml:space="preserve"> </w:t>
      </w:r>
      <w:r>
        <w:rPr>
          <w:rFonts w:ascii="Times New Roman;serif" w:hAnsi="Times New Roman;serif"/>
          <w:b w:val="false"/>
          <w:color w:val="000000"/>
          <w:sz w:val="24"/>
        </w:rPr>
        <w:t>for</w:t>
      </w:r>
      <w:r>
        <w:rPr>
          <w:color w:val="000000"/>
        </w:rPr>
        <w:t xml:space="preserve"> </w:t>
      </w:r>
      <w:r>
        <w:rPr>
          <w:rFonts w:ascii="Times New Roman;serif" w:hAnsi="Times New Roman;serif"/>
          <w:b w:val="false"/>
          <w:color w:val="000000"/>
          <w:sz w:val="24"/>
        </w:rPr>
        <w:t>payment</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public</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private</w:t>
      </w:r>
      <w:r>
        <w:rPr>
          <w:color w:val="000000"/>
        </w:rPr>
        <w:t xml:space="preserve"> </w:t>
      </w:r>
      <w:r>
        <w:rPr>
          <w:rFonts w:ascii="Times New Roman;serif" w:hAnsi="Times New Roman;serif"/>
          <w:b w:val="false"/>
          <w:color w:val="000000"/>
          <w:sz w:val="24"/>
        </w:rPr>
        <w:t>debts.</w:t>
      </w:r>
    </w:p>
    <w:p>
      <w:pPr>
        <w:pStyle w:val="TextBody"/>
        <w:bidi w:val="0"/>
        <w:spacing w:lineRule="auto" w:line="240" w:before="0" w:after="240"/>
        <w:ind w:left="0" w:right="0" w:firstLine="720"/>
        <w:jc w:val="both"/>
        <w:rPr/>
      </w:pPr>
      <w:r>
        <w:rPr>
          <w:rFonts w:ascii="Times New Roman;serif" w:hAnsi="Times New Roman;serif"/>
          <w:b w:val="false"/>
          <w:color w:val="000000"/>
          <w:sz w:val="24"/>
        </w:rPr>
        <w:t>3.</w:t>
      </w:r>
      <w:r>
        <w:rPr>
          <w:rFonts w:ascii="Times New Roman;serif" w:hAnsi="Times New Roman;serif"/>
          <w:b w:val="false"/>
          <w:i/>
          <w:color w:val="000000"/>
          <w:sz w:val="24"/>
        </w:rPr>
        <w:t>Paying Agent and Registrar</w:t>
      </w:r>
      <w:r>
        <w:rPr>
          <w:rFonts w:ascii="Times New Roman;serif" w:hAnsi="Times New Roman;serif"/>
          <w:b w:val="false"/>
          <w:color w:val="000000"/>
          <w:sz w:val="24"/>
        </w:rPr>
        <w:t>. Initially, Wilmington Savings Fund Society, FSB, the Trustee under the Indenture, will act as Paying Agent and the</w:t>
      </w:r>
      <w:r>
        <w:rPr>
          <w:color w:val="000000"/>
        </w:rPr>
        <w:t xml:space="preserve"> </w:t>
      </w:r>
      <w:r>
        <w:rPr>
          <w:rFonts w:ascii="Times New Roman;serif" w:hAnsi="Times New Roman;serif"/>
          <w:b w:val="false"/>
          <w:color w:val="000000"/>
          <w:sz w:val="24"/>
        </w:rPr>
        <w:t>Registrar. The Issuer may change any Paying Agent or the Registrar without prior notice to any Holder. The Issuer or any of its Subsidiaries may</w:t>
      </w:r>
      <w:r>
        <w:rPr>
          <w:color w:val="000000"/>
        </w:rPr>
        <w:t xml:space="preserve"> </w:t>
      </w:r>
      <w:r>
        <w:rPr>
          <w:rFonts w:ascii="Times New Roman;serif" w:hAnsi="Times New Roman;serif"/>
          <w:b w:val="false"/>
          <w:color w:val="000000"/>
          <w:sz w:val="24"/>
        </w:rPr>
        <w:t>act in any such capacity.</w:t>
      </w:r>
    </w:p>
    <w:p>
      <w:pPr>
        <w:pStyle w:val="TextBody"/>
        <w:bidi w:val="0"/>
        <w:spacing w:lineRule="auto" w:line="240" w:before="0" w:after="240"/>
        <w:ind w:left="0" w:right="0" w:firstLine="720"/>
        <w:jc w:val="both"/>
        <w:rPr/>
      </w:pPr>
      <w:r>
        <w:rPr>
          <w:rFonts w:ascii="Times New Roman;serif" w:hAnsi="Times New Roman;serif"/>
          <w:b w:val="false"/>
          <w:color w:val="000000"/>
          <w:sz w:val="24"/>
        </w:rPr>
        <w:t>4.</w:t>
      </w:r>
      <w:r>
        <w:rPr>
          <w:rFonts w:ascii="Times New Roman;serif" w:hAnsi="Times New Roman;serif"/>
          <w:b w:val="false"/>
          <w:i/>
          <w:color w:val="000000"/>
          <w:sz w:val="24"/>
        </w:rPr>
        <w:t>Indenture</w:t>
      </w:r>
      <w:r>
        <w:rPr>
          <w:rFonts w:ascii="Times New Roman;serif" w:hAnsi="Times New Roman;serif"/>
          <w:b w:val="false"/>
          <w:color w:val="000000"/>
          <w:sz w:val="24"/>
        </w:rPr>
        <w:t>. The Issuer issued the Notes as one of a duly authenticated series of securities of the Issuer issued and to be issued in one or</w:t>
      </w:r>
      <w:r>
        <w:rPr>
          <w:color w:val="000000"/>
        </w:rPr>
        <w:t xml:space="preserve"> </w:t>
      </w:r>
      <w:r>
        <w:rPr>
          <w:rFonts w:ascii="Times New Roman;serif" w:hAnsi="Times New Roman;serif"/>
          <w:b w:val="false"/>
          <w:color w:val="000000"/>
          <w:sz w:val="24"/>
        </w:rPr>
        <w:t>more series under an Indenture dated as of April 29, 2026 (the “</w:t>
      </w:r>
      <w:r>
        <w:rPr>
          <w:rFonts w:ascii="Times New Roman;serif" w:hAnsi="Times New Roman;serif"/>
          <w:b w:val="false"/>
          <w:i/>
          <w:color w:val="000000"/>
          <w:sz w:val="24"/>
        </w:rPr>
        <w:t>Indenture</w:t>
      </w:r>
      <w:r>
        <w:rPr>
          <w:color w:val="000000"/>
        </w:rPr>
        <w:t>”</w:t>
      </w:r>
      <w:r>
        <w:rPr>
          <w:rFonts w:ascii="Times New Roman;serif" w:hAnsi="Times New Roman;serif"/>
          <w:b w:val="false"/>
          <w:color w:val="000000"/>
          <w:sz w:val="24"/>
        </w:rPr>
        <w:t>), among the</w:t>
      </w:r>
      <w:r>
        <w:rPr>
          <w:color w:val="000000"/>
        </w:rPr>
        <w:t xml:space="preserve"> </w:t>
      </w:r>
      <w:r>
        <w:rPr>
          <w:rFonts w:ascii="Times New Roman;serif" w:hAnsi="Times New Roman;serif"/>
          <w:b w:val="false"/>
          <w:color w:val="000000"/>
          <w:sz w:val="24"/>
        </w:rPr>
        <w:t>Issuer, the Subsidiary Guarantors party thereto and the Trustee, and Holders are referred to the Indenture for a statement of such terms. To the extent any provision</w:t>
      </w:r>
      <w:r>
        <w:rPr>
          <w:color w:val="000000"/>
        </w:rPr>
        <w:t xml:space="preserve"> </w:t>
      </w:r>
      <w:r>
        <w:rPr>
          <w:rFonts w:ascii="Times New Roman;serif" w:hAnsi="Times New Roman;serif"/>
          <w:b w:val="false"/>
          <w:color w:val="000000"/>
          <w:sz w:val="24"/>
        </w:rPr>
        <w:t>of this Note conflicts with the express provisions of the Indenture, the</w:t>
      </w:r>
      <w:r>
        <w:rPr>
          <w:color w:val="000000"/>
        </w:rPr>
        <w:t xml:space="preserve"> </w:t>
      </w:r>
    </w:p>
    <w:p>
      <w:pPr>
        <w:pStyle w:val="TextBody"/>
        <w:bidi w:val="0"/>
        <w:spacing w:before="0" w:after="0"/>
        <w:jc w:val="left"/>
        <w:rPr/>
      </w:pPr>
      <w:r>
        <w:rPr/>
      </w:r>
      <w:r>
        <mc:AlternateContent>
          <mc:Choice Requires="wps">
            <w:drawing>
              <wp:anchor behindDoc="0" distT="0" distB="0" distL="0" distR="0" simplePos="0" locked="0" layoutInCell="1" allowOverlap="1" relativeHeight="270">
                <wp:simplePos x="0" y="0"/>
                <wp:positionH relativeFrom="character">
                  <wp:align>left</wp:align>
                </wp:positionH>
                <wp:positionV relativeFrom="line">
                  <wp:posOffset>635</wp:posOffset>
                </wp:positionV>
                <wp:extent cx="6480175" cy="175260"/>
                <wp:effectExtent l="0" t="0" r="0" b="0"/>
                <wp:wrapNone/>
                <wp:docPr id="269" name="Frame26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A-3</w:t>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rPr>
        <w:t>provisions</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Indenture</w:t>
      </w:r>
      <w:r>
        <w:rPr>
          <w:color w:val="000000"/>
        </w:rPr>
        <w:t xml:space="preserve"> </w:t>
      </w:r>
      <w:r>
        <w:rPr>
          <w:rFonts w:ascii="Times New Roman;serif" w:hAnsi="Times New Roman;serif"/>
          <w:b w:val="false"/>
          <w:color w:val="000000"/>
          <w:sz w:val="24"/>
        </w:rPr>
        <w:t>shall</w:t>
      </w:r>
      <w:r>
        <w:rPr>
          <w:color w:val="000000"/>
        </w:rPr>
        <w:t xml:space="preserve"> </w:t>
      </w:r>
      <w:r>
        <w:rPr>
          <w:rFonts w:ascii="Times New Roman;serif" w:hAnsi="Times New Roman;serif"/>
          <w:b w:val="false"/>
          <w:color w:val="000000"/>
          <w:sz w:val="24"/>
        </w:rPr>
        <w:t>govern</w:t>
      </w:r>
      <w:r>
        <w:rPr>
          <w:color w:val="000000"/>
        </w:rPr>
        <w:t xml:space="preserve"> </w:t>
      </w:r>
      <w:r>
        <w:rPr>
          <w:rFonts w:ascii="Times New Roman;serif" w:hAnsi="Times New Roman;serif"/>
          <w:b w:val="false"/>
          <w:color w:val="000000"/>
          <w:sz w:val="24"/>
        </w:rPr>
        <w:t>and be controlling. The Issuer shall be entitled to issue Additional Notes pursuant to</w:t>
      </w:r>
      <w:r>
        <w:rPr>
          <w:color w:val="000000"/>
        </w:rPr>
        <w:t xml:space="preserve"> </w:t>
      </w:r>
      <w:r>
        <w:rPr>
          <w:rFonts w:ascii="Times New Roman;serif" w:hAnsi="Times New Roman;serif"/>
          <w:b w:val="false"/>
          <w:color w:val="000000"/>
          <w:sz w:val="24"/>
          <w:u w:val="single"/>
        </w:rPr>
        <w:t>Section 2.07</w:t>
      </w:r>
      <w:r>
        <w:rPr>
          <w:color w:val="000000"/>
          <w:u w:val="single"/>
        </w:rPr>
        <w:t xml:space="preserve"> </w:t>
      </w:r>
      <w:r>
        <w:rPr>
          <w:rFonts w:ascii="Times New Roman;serif" w:hAnsi="Times New Roman;serif"/>
          <w:b w:val="false"/>
          <w:color w:val="000000"/>
          <w:sz w:val="24"/>
        </w:rPr>
        <w:t>of the Indenture.</w:t>
      </w:r>
    </w:p>
    <w:p>
      <w:pPr>
        <w:pStyle w:val="TextBody"/>
        <w:bidi w:val="0"/>
        <w:spacing w:lineRule="auto" w:line="240" w:before="0" w:after="240"/>
        <w:ind w:left="0" w:right="0" w:firstLine="720"/>
        <w:jc w:val="both"/>
        <w:rPr/>
      </w:pPr>
      <w:r>
        <w:rPr>
          <w:rFonts w:ascii="Times New Roman;serif" w:hAnsi="Times New Roman;serif"/>
          <w:b w:val="false"/>
          <w:color w:val="000000"/>
          <w:sz w:val="24"/>
        </w:rPr>
        <w:t>5.</w:t>
      </w:r>
      <w:r>
        <w:rPr>
          <w:rFonts w:ascii="Times New Roman;serif" w:hAnsi="Times New Roman;serif"/>
          <w:b w:val="false"/>
          <w:i/>
          <w:color w:val="000000"/>
          <w:sz w:val="24"/>
        </w:rPr>
        <w:t>Optional</w:t>
      </w:r>
      <w:r>
        <w:rPr>
          <w:color w:val="000000"/>
        </w:rPr>
        <w:t xml:space="preserve"> </w:t>
      </w:r>
      <w:r>
        <w:rPr>
          <w:rFonts w:ascii="Times New Roman;serif" w:hAnsi="Times New Roman;serif"/>
          <w:b w:val="false"/>
          <w:i/>
          <w:color w:val="000000"/>
          <w:sz w:val="24"/>
        </w:rPr>
        <w:t>Redemption</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At any time prior to May 1, 2029, the Issuer may, on any one or more occasions, redeem all or a part of the Notes at a redemption price equal to 100% of the principal amount of the Notes to be redeemed, plus the Applicable Premium as of, and accrued and unpaid interest, if any, to, but excluding, the redemption date, subject to the rights of Holders of such Notes on the relevant record date to receive interest due on the relevant interest payment date.</w:t>
      </w:r>
    </w:p>
    <w:p>
      <w:pPr>
        <w:pStyle w:val="TextBody"/>
        <w:bidi w:val="0"/>
        <w:spacing w:lineRule="auto" w:line="240"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 xml:space="preserve">At any time prior to May 1, 2029, the Issuer may, on any one or more occasions, redeem the Notes with the proceeds from any Equity Offering at a redemption price equal to 106.375% of the principal amount of such Notes, plus accrued and unpaid interest, if any, to, but excluding, the redemption date (subject to the rights of Holders of such Notes on the relevant record date to receive interest due on the relevant interest payment date), in an aggregate principal amount for all such redemptions not to exceed 40% of the aggregate principal amount of the Notes issued under the Indenture; </w:t>
      </w:r>
      <w:r>
        <w:rPr>
          <w:rFonts w:ascii="Times New Roman;serif" w:hAnsi="Times New Roman;serif"/>
          <w:b w:val="false"/>
          <w:i/>
          <w:color w:val="000000"/>
          <w:sz w:val="24"/>
        </w:rPr>
        <w:t>provided that</w:t>
      </w:r>
      <w:r>
        <w:rPr>
          <w:rFonts w:ascii="Times New Roman;serif" w:hAnsi="Times New Roman;serif"/>
          <w:b w:val="false"/>
          <w:color w:val="000000"/>
          <w:sz w:val="24"/>
        </w:rPr>
        <w:t xml:space="preserve">: </w:t>
      </w:r>
    </w:p>
    <w:p>
      <w:pPr>
        <w:pStyle w:val="TextBody"/>
        <w:bidi w:val="0"/>
        <w:spacing w:lineRule="auto" w:line="240"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(i)in each case the redemption takes place not later than 180 days after the closing of the related Equity Offering, and</w:t>
      </w:r>
    </w:p>
    <w:p>
      <w:pPr>
        <w:pStyle w:val="TextBody"/>
        <w:bidi w:val="0"/>
        <w:spacing w:lineRule="auto" w:line="240"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(ii)not less than 50% of the aggregate principal amount of the then-outstanding Notes issued under the Indenture remain outstanding immediately thereafter (excluding Notes held by the Issuer or any of its Subsidiaries), unless all such Notes are redeemed or repurchased or to be redeemed or repurchased substantially concurrently.</w:t>
      </w:r>
    </w:p>
    <w:p>
      <w:pPr>
        <w:pStyle w:val="TextBody"/>
        <w:bidi w:val="0"/>
        <w:spacing w:lineRule="auto" w:line="240" w:before="0" w:after="24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rPr>
        <w:t>At any time on or after May 1, 2029, the Issuer may, on any one or more occasions, redeem all or a part of the Notes at the following redemption prices (expressed as a percentage of principal amount of the Notes to be redeemed) set forth below, plus accrued and unpaid interest, if any, to, but excluding, the redemption date, if redeemed during the 12-month period beginning on May 1 of each of the years indicated below, subject to the rights of Holders of such Notes on the relevant record date to receive interest due on the relevant interest payment date:</w:t>
      </w:r>
    </w:p>
    <w:tbl>
      <w:tblPr>
        <w:tblW w:w="3314" w:type="dxa"/>
        <w:jc w:val="left"/>
        <w:tblInd w:w="0" w:type="dxa"/>
        <w:tblLayout w:type="fixed"/>
        <w:tblCellMar>
          <w:top w:w="28" w:type="dxa"/>
          <w:left w:w="28" w:type="dxa"/>
          <w:bottom w:w="28" w:type="dxa"/>
          <w:right w:w="28" w:type="dxa"/>
        </w:tblCellMar>
      </w:tblPr>
      <w:tblGrid>
        <w:gridCol w:w="703"/>
        <w:gridCol w:w="620"/>
        <w:gridCol w:w="626"/>
        <w:gridCol w:w="399"/>
        <w:gridCol w:w="399"/>
        <w:gridCol w:w="567"/>
      </w:tblGrid>
      <w:tr>
        <w:trPr/>
        <w:tc>
          <w:tcPr>
            <w:tcW w:w="703"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u w:val="single"/>
              </w:rPr>
            </w:pPr>
            <w:r>
              <w:rPr>
                <w:rFonts w:ascii="Times New Roman;serif" w:hAnsi="Times New Roman;serif"/>
                <w:b/>
                <w:color w:val="000000"/>
                <w:sz w:val="24"/>
                <w:u w:val="single"/>
              </w:rPr>
              <w:t>Year</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u w:val="single"/>
              </w:rPr>
            </w:pPr>
            <w:r>
              <w:rPr>
                <w:rFonts w:ascii="Times New Roman;serif" w:hAnsi="Times New Roman;serif"/>
                <w:b/>
                <w:color w:val="000000"/>
                <w:sz w:val="24"/>
                <w:u w:val="single"/>
              </w:rPr>
              <w:t>Percentage</w:t>
            </w:r>
          </w:p>
        </w:tc>
      </w:tr>
      <w:tr>
        <w:trPr/>
        <w:tc>
          <w:tcPr>
            <w:tcW w:w="194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2029</w:t>
            </w:r>
          </w:p>
        </w:tc>
        <w:tc>
          <w:tcPr>
            <w:tcW w:w="1365" w:type="dxa"/>
            <w:gridSpan w:val="3"/>
            <w:tcBorders/>
            <w:tcMar>
              <w:top w:w="0" w:type="dxa"/>
              <w:left w:w="0" w:type="dxa"/>
              <w:bottom w:w="0" w:type="dxa"/>
              <w:right w:w="0" w:type="dxa"/>
            </w:tcMar>
            <w:vAlign w:val="center"/>
          </w:tcPr>
          <w:p>
            <w:pPr>
              <w:pStyle w:val="TableContents"/>
              <w:bidi w:val="0"/>
              <w:spacing w:lineRule="auto" w:line="288" w:before="0" w:after="0"/>
              <w:jc w:val="right"/>
              <w:rPr>
                <w:color w:val="000000"/>
              </w:rPr>
            </w:pPr>
            <w:r>
              <w:rPr>
                <w:color w:val="000000"/>
              </w:rPr>
              <w:t>    </w:t>
            </w:r>
            <w:r>
              <w:rPr>
                <w:rFonts w:ascii="Times New Roman;serif" w:hAnsi="Times New Roman;serif"/>
                <w:b w:val="false"/>
                <w:color w:val="000000"/>
                <w:sz w:val="24"/>
              </w:rPr>
              <w:t>103.188%</w:t>
            </w:r>
          </w:p>
        </w:tc>
      </w:tr>
      <w:tr>
        <w:trPr/>
        <w:tc>
          <w:tcPr>
            <w:tcW w:w="194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2030</w:t>
            </w:r>
          </w:p>
        </w:tc>
        <w:tc>
          <w:tcPr>
            <w:tcW w:w="1365" w:type="dxa"/>
            <w:gridSpan w:val="3"/>
            <w:tcBorders/>
            <w:tcMar>
              <w:top w:w="0" w:type="dxa"/>
              <w:left w:w="0" w:type="dxa"/>
              <w:bottom w:w="0" w:type="dxa"/>
              <w:right w:w="0" w:type="dxa"/>
            </w:tcMar>
            <w:vAlign w:val="center"/>
          </w:tcPr>
          <w:p>
            <w:pPr>
              <w:pStyle w:val="TableContents"/>
              <w:bidi w:val="0"/>
              <w:spacing w:lineRule="auto" w:line="288" w:before="0" w:after="0"/>
              <w:jc w:val="right"/>
              <w:rPr>
                <w:color w:val="000000"/>
              </w:rPr>
            </w:pPr>
            <w:r>
              <w:rPr>
                <w:color w:val="000000"/>
              </w:rPr>
              <w:t>    </w:t>
            </w:r>
            <w:r>
              <w:rPr>
                <w:rFonts w:ascii="Times New Roman;serif" w:hAnsi="Times New Roman;serif"/>
                <w:b w:val="false"/>
                <w:color w:val="000000"/>
                <w:sz w:val="24"/>
              </w:rPr>
              <w:t>101.594%</w:t>
            </w:r>
          </w:p>
        </w:tc>
      </w:tr>
      <w:tr>
        <w:trPr/>
        <w:tc>
          <w:tcPr>
            <w:tcW w:w="194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2031 and thereafter</w:t>
            </w:r>
          </w:p>
        </w:tc>
        <w:tc>
          <w:tcPr>
            <w:tcW w:w="1365" w:type="dxa"/>
            <w:gridSpan w:val="3"/>
            <w:tcBorders/>
            <w:tcMar>
              <w:top w:w="0" w:type="dxa"/>
              <w:left w:w="0" w:type="dxa"/>
              <w:bottom w:w="0" w:type="dxa"/>
              <w:right w:w="0" w:type="dxa"/>
            </w:tcMar>
            <w:vAlign w:val="center"/>
          </w:tcPr>
          <w:p>
            <w:pPr>
              <w:pStyle w:val="TableContents"/>
              <w:bidi w:val="0"/>
              <w:spacing w:lineRule="auto" w:line="288" w:before="0" w:after="0"/>
              <w:jc w:val="right"/>
              <w:rPr>
                <w:color w:val="000000"/>
              </w:rPr>
            </w:pPr>
            <w:r>
              <w:rPr>
                <w:color w:val="000000"/>
              </w:rPr>
              <w:t>    </w:t>
            </w:r>
            <w:r>
              <w:rPr>
                <w:rFonts w:ascii="Times New Roman;serif" w:hAnsi="Times New Roman;serif"/>
                <w:b w:val="false"/>
                <w:color w:val="000000"/>
                <w:sz w:val="24"/>
              </w:rPr>
              <w:t>100.000%</w:t>
            </w:r>
          </w:p>
        </w:tc>
      </w:tr>
    </w:tbl>
    <w:p>
      <w:pPr>
        <w:pStyle w:val="TextBody"/>
        <w:bidi w:val="0"/>
        <w:spacing w:before="0" w:after="0"/>
        <w:jc w:val="left"/>
        <w:rPr/>
      </w:pPr>
      <w:r>
        <w:rPr/>
      </w:r>
    </w:p>
    <w:p>
      <w:pPr>
        <w:pStyle w:val="TextBody"/>
        <w:bidi w:val="0"/>
        <w:spacing w:lineRule="auto" w:line="240" w:before="0" w:after="240"/>
        <w:ind w:left="0" w:right="0" w:firstLine="1440"/>
        <w:jc w:val="both"/>
        <w:rPr/>
      </w:pPr>
      <w:r>
        <w:rPr>
          <w:rFonts w:ascii="Times New Roman;serif" w:hAnsi="Times New Roman;serif"/>
          <w:b w:val="false"/>
          <w:color w:val="000000"/>
          <w:sz w:val="24"/>
        </w:rPr>
        <w:t>(d)</w:t>
      </w:r>
      <w:r>
        <w:rPr>
          <w:rFonts w:ascii="Times New Roman;serif" w:hAnsi="Times New Roman;serif"/>
          <w:b w:val="false"/>
          <w:color w:val="000000"/>
          <w:sz w:val="24"/>
        </w:rPr>
        <w:t xml:space="preserve">Notwithstanding the foregoing, in connection with any tender offer for or other offer to purchase the Notes, including a Change of Control Offer, if Holders of not less than 90% in aggregate principal amount of the outstanding Notes validly tender and do not validly withdraw such Notes in such offer and the Issuer, or any third party making such an offer in lieu of the Issuer, purchase all of the Notes validly tendered and not withdrawn by such Holders, all Holders will be deemed to have consented to such offer, and the Issuer or such third party will have the right upon not less than 10 nor more than 60 days’ notice, given not more than 30 days following such offer expiration date, to redeem (with respect to the Issuer) or purchase (with respect to a third party) Notes that remain outstanding, in whole but not in part, following such purchase at a price equal to the price paid to each other Holder (excluding any early tender, incentive or similar fee) in such offer, plus, to the extent not included in the offer payment, accrued and unpaid interest, if any, thereon, to, but excluding, such redemption date </w:t>
      </w:r>
    </w:p>
    <w:p>
      <w:pPr>
        <w:pStyle w:val="TextBody"/>
        <w:bidi w:val="0"/>
        <w:spacing w:before="0" w:after="0"/>
        <w:jc w:val="left"/>
        <w:rPr/>
      </w:pPr>
      <w:r>
        <w:rPr/>
      </w:r>
      <w:r>
        <mc:AlternateContent>
          <mc:Choice Requires="wps">
            <w:drawing>
              <wp:anchor behindDoc="0" distT="0" distB="0" distL="0" distR="0" simplePos="0" locked="0" layoutInCell="1" allowOverlap="1" relativeHeight="271">
                <wp:simplePos x="0" y="0"/>
                <wp:positionH relativeFrom="character">
                  <wp:align>left</wp:align>
                </wp:positionH>
                <wp:positionV relativeFrom="line">
                  <wp:posOffset>635</wp:posOffset>
                </wp:positionV>
                <wp:extent cx="6480175" cy="175260"/>
                <wp:effectExtent l="0" t="0" r="0" b="0"/>
                <wp:wrapNone/>
                <wp:docPr id="270" name="Frame27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A-4</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(subject to the rights of Holders on the relevant record date to receive interest due on the relevant interest payment date). In determining whether the Holders of at least 90% of the aggregate principal amount of the then outstanding Notes have validly tendered and not validly withdrawn such Notes in a tender offer or other offer to purchase, such calculation shall include all Notes owned by an Affiliate of the Issuer (notwithstanding any provision of the Indenture to the contrary). </w:t>
      </w:r>
    </w:p>
    <w:p>
      <w:pPr>
        <w:pStyle w:val="TextBody"/>
        <w:bidi w:val="0"/>
        <w:spacing w:lineRule="auto" w:line="240" w:before="0" w:after="240"/>
        <w:ind w:left="0" w:right="0" w:firstLine="1440"/>
        <w:jc w:val="both"/>
        <w:rPr/>
      </w:pPr>
      <w:r>
        <w:rPr>
          <w:rFonts w:ascii="Times New Roman;serif" w:hAnsi="Times New Roman;serif"/>
          <w:b w:val="false"/>
          <w:color w:val="000000"/>
          <w:sz w:val="24"/>
        </w:rPr>
        <w:t>(e)</w:t>
      </w:r>
      <w:r>
        <w:rPr>
          <w:rFonts w:ascii="Times New Roman;serif" w:hAnsi="Times New Roman;serif"/>
          <w:b w:val="false"/>
          <w:color w:val="000000"/>
          <w:sz w:val="24"/>
        </w:rPr>
        <w:t xml:space="preserve">If a redemption date is not a Business Day, payment may be made on the next succeeding day that is a Business Day, and no interest shall accrue on any amount that would have been otherwise payable on such redemption date if it were a Business Day for the intervening period. </w:t>
      </w:r>
    </w:p>
    <w:p>
      <w:pPr>
        <w:pStyle w:val="TextBody"/>
        <w:bidi w:val="0"/>
        <w:spacing w:lineRule="auto" w:line="240" w:before="0" w:after="240"/>
        <w:ind w:left="0" w:right="0" w:firstLine="720"/>
        <w:jc w:val="both"/>
        <w:rPr/>
      </w:pPr>
      <w:r>
        <w:rPr>
          <w:rFonts w:ascii="Times New Roman;serif" w:hAnsi="Times New Roman;serif"/>
          <w:b w:val="false"/>
          <w:color w:val="000000"/>
          <w:sz w:val="24"/>
        </w:rPr>
        <w:t>6.</w:t>
      </w:r>
      <w:r>
        <w:rPr>
          <w:rFonts w:ascii="Times New Roman;serif" w:hAnsi="Times New Roman;serif"/>
          <w:b w:val="false"/>
          <w:i/>
          <w:color w:val="000000"/>
          <w:sz w:val="24"/>
        </w:rPr>
        <w:t>Special Mandatory Redemption</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Except as set forth in this Section 6, the Issuer is not required to make mandatory redemption or sinking fund payments with respect to the Notes.</w:t>
      </w:r>
    </w:p>
    <w:p>
      <w:pPr>
        <w:pStyle w:val="TextBody"/>
        <w:bidi w:val="0"/>
        <w:spacing w:lineRule="auto" w:line="240"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If (i) the Cornerstone Acquisition has not been completed on or prior to 11:59 p.m. (New York City time) on January 15, 2027 (or, to the extent such date is automatically extended pursuant to the terms of the Cornerstone Merger Agreement to July 15, 2027) (such date, as extended if applicable, the “</w:t>
      </w:r>
      <w:r>
        <w:rPr>
          <w:rFonts w:ascii="Times New Roman;serif" w:hAnsi="Times New Roman;serif"/>
          <w:b w:val="false"/>
          <w:i/>
          <w:color w:val="000000"/>
          <w:sz w:val="24"/>
        </w:rPr>
        <w:t>Outside Date</w:t>
      </w:r>
      <w:r>
        <w:rPr>
          <w:color w:val="000000"/>
        </w:rPr>
        <w:t>”</w:t>
      </w:r>
      <w:r>
        <w:rPr>
          <w:rFonts w:ascii="Times New Roman;serif" w:hAnsi="Times New Roman;serif"/>
          <w:b w:val="false"/>
          <w:color w:val="000000"/>
          <w:sz w:val="24"/>
        </w:rPr>
        <w:t>), or (ii) prior to 11:59 p.m. (New York City time) on the Outside Date, (a) the Issuer determines that the Cornerstone Acquisition will not be consummated on or before the Outside Date or (b) the Cornerstone Merger Agreement has been terminated (the earlier to occur of the events described in clauses (i) and (ii) of this sentence, a “</w:t>
      </w:r>
      <w:r>
        <w:rPr>
          <w:rFonts w:ascii="Times New Roman;serif" w:hAnsi="Times New Roman;serif"/>
          <w:b w:val="false"/>
          <w:i/>
          <w:color w:val="000000"/>
          <w:sz w:val="24"/>
        </w:rPr>
        <w:t>Acquisition Triggering Event</w:t>
      </w:r>
      <w:r>
        <w:rPr>
          <w:color w:val="000000"/>
        </w:rPr>
        <w:t>”</w:t>
      </w:r>
      <w:r>
        <w:rPr>
          <w:rFonts w:ascii="Times New Roman;serif" w:hAnsi="Times New Roman;serif"/>
          <w:b w:val="false"/>
          <w:color w:val="000000"/>
          <w:sz w:val="24"/>
        </w:rPr>
        <w:t>), the Issuer will redeem (a “</w:t>
      </w:r>
      <w:r>
        <w:rPr>
          <w:rFonts w:ascii="Times New Roman;serif" w:hAnsi="Times New Roman;serif"/>
          <w:b w:val="false"/>
          <w:i/>
          <w:color w:val="000000"/>
          <w:sz w:val="24"/>
        </w:rPr>
        <w:t>Special Mandatory Redemption</w:t>
      </w:r>
      <w:r>
        <w:rPr>
          <w:color w:val="000000"/>
        </w:rPr>
        <w:t>”</w:t>
      </w:r>
      <w:r>
        <w:rPr>
          <w:rFonts w:ascii="Times New Roman;serif" w:hAnsi="Times New Roman;serif"/>
          <w:b w:val="false"/>
          <w:color w:val="000000"/>
          <w:sz w:val="24"/>
        </w:rPr>
        <w:t>); within 30 days after the Acquisition Triggering Event, $1,750,000,000 in aggregate principal amount of the Notes, at a redemption price equal to 100% of the issue price thereof, plus accrued and unpaid interest to, but not including, the redemption date (the “</w:t>
      </w:r>
      <w:r>
        <w:rPr>
          <w:rFonts w:ascii="Times New Roman;serif" w:hAnsi="Times New Roman;serif"/>
          <w:b w:val="false"/>
          <w:i/>
          <w:color w:val="000000"/>
          <w:sz w:val="24"/>
        </w:rPr>
        <w:t>Special Mandatory Redemption Price</w:t>
      </w:r>
      <w:r>
        <w:rPr>
          <w:color w:val="000000"/>
        </w:rPr>
        <w:t>”</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rPr>
        <w:t>Upon the occurrence of an Acquisition Triggering Event, the Issuer will promptly (but in no event later than five Business Days following such Acquisition Triggering Event) notify (such notice, a “</w:t>
      </w:r>
      <w:r>
        <w:rPr>
          <w:rFonts w:ascii="Times New Roman;serif" w:hAnsi="Times New Roman;serif"/>
          <w:b w:val="false"/>
          <w:i/>
          <w:color w:val="000000"/>
          <w:sz w:val="24"/>
        </w:rPr>
        <w:t>Special Mandatory Redemption Notice</w:t>
      </w:r>
      <w:r>
        <w:rPr>
          <w:color w:val="000000"/>
        </w:rPr>
        <w:t>”</w:t>
      </w:r>
      <w:r>
        <w:rPr>
          <w:rFonts w:ascii="Times New Roman;serif" w:hAnsi="Times New Roman;serif"/>
          <w:b w:val="false"/>
          <w:color w:val="000000"/>
          <w:sz w:val="24"/>
        </w:rPr>
        <w:t>) the Holders of the Notes, by mail or electronic delivery (with an Officer’s Certificate certifying the occurrence of the applicable Acquisition Triggering Event to be delivered to the Trustee prior to or substantially simultaneously with such notice) (i) that Notes will be redeemed no later than 30 days after the applicable Acquisition Triggering Event (such date, a “</w:t>
      </w:r>
      <w:r>
        <w:rPr>
          <w:rFonts w:ascii="Times New Roman;serif" w:hAnsi="Times New Roman;serif"/>
          <w:b w:val="false"/>
          <w:i/>
          <w:color w:val="000000"/>
          <w:sz w:val="24"/>
        </w:rPr>
        <w:t>Special Mandatory Redemption Date</w:t>
      </w:r>
      <w:r>
        <w:rPr>
          <w:color w:val="000000"/>
        </w:rPr>
        <w:t>”</w:t>
      </w:r>
      <w:r>
        <w:rPr>
          <w:rFonts w:ascii="Times New Roman;serif" w:hAnsi="Times New Roman;serif"/>
          <w:b w:val="false"/>
          <w:color w:val="000000"/>
          <w:sz w:val="24"/>
        </w:rPr>
        <w:t xml:space="preserve">), in each case in accordance with </w:t>
      </w:r>
      <w:r>
        <w:rPr>
          <w:rFonts w:ascii="Times New Roman;serif" w:hAnsi="Times New Roman;serif"/>
          <w:b w:val="false"/>
          <w:color w:val="000000"/>
          <w:sz w:val="24"/>
          <w:u w:val="single"/>
        </w:rPr>
        <w:t>Article 3</w:t>
      </w:r>
      <w:r>
        <w:rPr>
          <w:color w:val="000000"/>
        </w:rPr>
        <w:t xml:space="preserve"> </w:t>
      </w:r>
      <w:r>
        <w:rPr>
          <w:rFonts w:ascii="Times New Roman;serif" w:hAnsi="Times New Roman;serif"/>
          <w:b w:val="false"/>
          <w:color w:val="000000"/>
          <w:sz w:val="24"/>
        </w:rPr>
        <w:t xml:space="preserve">of the Indenture and (ii) the amount of the Notes that shall be redeemed at the applicable Special Mandatory Redemption Price on the Special Mandatory Redemption Date, automatically and without any further action by the Holders, in each case in accordance with </w:t>
      </w:r>
      <w:r>
        <w:rPr>
          <w:rFonts w:ascii="Times New Roman;serif" w:hAnsi="Times New Roman;serif"/>
          <w:b w:val="false"/>
          <w:color w:val="000000"/>
          <w:sz w:val="24"/>
          <w:u w:val="single"/>
        </w:rPr>
        <w:t>Article 3</w:t>
      </w:r>
      <w:r>
        <w:rPr>
          <w:color w:val="000000"/>
        </w:rPr>
        <w:t xml:space="preserve"> </w:t>
      </w:r>
      <w:r>
        <w:rPr>
          <w:rFonts w:ascii="Times New Roman;serif" w:hAnsi="Times New Roman;serif"/>
          <w:b w:val="false"/>
          <w:color w:val="000000"/>
          <w:sz w:val="24"/>
        </w:rPr>
        <w:t>of the Indenture. The date on which the notice described above is provided to the Holders is referred to as a “</w:t>
      </w:r>
      <w:r>
        <w:rPr>
          <w:rFonts w:ascii="Times New Roman;serif" w:hAnsi="Times New Roman;serif"/>
          <w:b w:val="false"/>
          <w:i/>
          <w:color w:val="000000"/>
          <w:sz w:val="24"/>
        </w:rPr>
        <w:t>Special Mandatory Redemption Notice Date</w:t>
      </w:r>
      <w:r>
        <w:rPr>
          <w:color w:val="000000"/>
        </w:rPr>
        <w:t>”</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rFonts w:ascii="Times New Roman;serif" w:hAnsi="Times New Roman;serif"/>
          <w:b w:val="false"/>
          <w:color w:val="000000"/>
          <w:sz w:val="24"/>
        </w:rPr>
        <w:t>(d)</w:t>
      </w:r>
      <w:r>
        <w:rPr>
          <w:rFonts w:ascii="Times New Roman;serif" w:hAnsi="Times New Roman;serif"/>
          <w:b w:val="false"/>
          <w:color w:val="000000"/>
          <w:sz w:val="24"/>
        </w:rPr>
        <w:t xml:space="preserve">At the Issuer’s written request, the Trustee shall give the notice of an Acquisition Triggering Event to the Holders in the Issuer’s name and at the Issuer’s expense, which request (together with such Officer’s Certificate) shall be delivered to the Trustee at least one Business Day before the delivery of the notice to the Holders of the Notes. </w:t>
      </w:r>
    </w:p>
    <w:p>
      <w:pPr>
        <w:pStyle w:val="TextBody"/>
        <w:bidi w:val="0"/>
        <w:spacing w:lineRule="auto" w:line="240" w:before="0" w:after="240"/>
        <w:ind w:left="0" w:right="0" w:firstLine="1440"/>
        <w:jc w:val="both"/>
        <w:rPr/>
      </w:pPr>
      <w:r>
        <w:rPr>
          <w:rFonts w:ascii="Times New Roman;serif" w:hAnsi="Times New Roman;serif"/>
          <w:b w:val="false"/>
          <w:color w:val="000000"/>
          <w:sz w:val="24"/>
        </w:rPr>
        <w:t>(e)</w:t>
      </w:r>
      <w:r>
        <w:rPr>
          <w:rFonts w:ascii="Times New Roman;serif" w:hAnsi="Times New Roman;serif"/>
          <w:b w:val="false"/>
          <w:color w:val="000000"/>
          <w:sz w:val="24"/>
        </w:rPr>
        <w:t xml:space="preserve">At or prior to 11:00 a.m., New York City time, on a Special Mandatory Redemption Date, the Issuer will deposit with the Trustee funds sufficient to pay the applicable Special Mandatory Redemption Price for the Notes to be redeemed and direct, through written instruction, the Trustee to redeem the applicable Notes on the Special Mandatory Redemption Date. If such deposit is made as provided above, the applicable redeemed Notes will cease to bear interest on and after the Special Mandatory Redemption Date and the Trustee shall cause the </w:t>
      </w:r>
    </w:p>
    <w:p>
      <w:pPr>
        <w:pStyle w:val="TextBody"/>
        <w:bidi w:val="0"/>
        <w:spacing w:before="0" w:after="0"/>
        <w:jc w:val="left"/>
        <w:rPr/>
      </w:pPr>
      <w:r>
        <w:rPr/>
      </w:r>
      <w:r>
        <mc:AlternateContent>
          <mc:Choice Requires="wps">
            <w:drawing>
              <wp:anchor behindDoc="0" distT="0" distB="0" distL="0" distR="0" simplePos="0" locked="0" layoutInCell="1" allowOverlap="1" relativeHeight="272">
                <wp:simplePos x="0" y="0"/>
                <wp:positionH relativeFrom="character">
                  <wp:align>left</wp:align>
                </wp:positionH>
                <wp:positionV relativeFrom="line">
                  <wp:posOffset>635</wp:posOffset>
                </wp:positionV>
                <wp:extent cx="6480175" cy="175260"/>
                <wp:effectExtent l="0" t="0" r="0" b="0"/>
                <wp:wrapNone/>
                <wp:docPr id="271" name="Frame27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A-5</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redemption of the applicable Notes and the payment of the applicable Special Mandatory Redemption Price, in accordance with the Special Mandatory Redemption Notice to the Holders of the applicable redeemed Notes.</w:t>
      </w:r>
    </w:p>
    <w:p>
      <w:pPr>
        <w:pStyle w:val="TextBody"/>
        <w:bidi w:val="0"/>
        <w:spacing w:lineRule="auto" w:line="240" w:before="0" w:after="240"/>
        <w:ind w:left="0" w:right="0" w:firstLine="1440"/>
        <w:jc w:val="both"/>
        <w:rPr/>
      </w:pPr>
      <w:r>
        <w:rPr>
          <w:rFonts w:ascii="Times New Roman;serif" w:hAnsi="Times New Roman;serif"/>
          <w:b w:val="false"/>
          <w:color w:val="000000"/>
          <w:sz w:val="24"/>
        </w:rPr>
        <w:t>(f)</w:t>
      </w:r>
      <w:r>
        <w:rPr>
          <w:rFonts w:ascii="Times New Roman;serif" w:hAnsi="Times New Roman;serif"/>
          <w:b w:val="false"/>
          <w:color w:val="000000"/>
          <w:sz w:val="24"/>
        </w:rPr>
        <w:t>Upon the consummation of the Cornerstone Acquisition, this Section 6 regarding Special Mandatory Redemption shall cease to apply.</w:t>
      </w:r>
    </w:p>
    <w:p>
      <w:pPr>
        <w:pStyle w:val="TextBody"/>
        <w:bidi w:val="0"/>
        <w:spacing w:lineRule="auto" w:line="240" w:before="0" w:after="240"/>
        <w:ind w:left="0" w:right="0" w:firstLine="720"/>
        <w:jc w:val="both"/>
        <w:rPr/>
      </w:pPr>
      <w:r>
        <w:rPr>
          <w:rFonts w:ascii="Times New Roman;serif" w:hAnsi="Times New Roman;serif"/>
          <w:b w:val="false"/>
          <w:color w:val="000000"/>
          <w:sz w:val="24"/>
        </w:rPr>
        <w:t>7.</w:t>
      </w:r>
      <w:r>
        <w:rPr>
          <w:rFonts w:ascii="Times New Roman;serif" w:hAnsi="Times New Roman;serif"/>
          <w:b w:val="false"/>
          <w:i/>
          <w:color w:val="000000"/>
          <w:sz w:val="24"/>
        </w:rPr>
        <w:t>Offer to Repurchase Upon a Change of Control Triggering Event</w:t>
      </w:r>
      <w:r>
        <w:rPr>
          <w:rFonts w:ascii="Times New Roman;serif" w:hAnsi="Times New Roman;serif"/>
          <w:b w:val="false"/>
          <w:color w:val="000000"/>
          <w:sz w:val="24"/>
        </w:rPr>
        <w:t>. Upon the occurrence of a Change of Control Triggering Event, each Holder shall</w:t>
      </w:r>
      <w:r>
        <w:rPr>
          <w:color w:val="000000"/>
        </w:rPr>
        <w:t xml:space="preserve"> </w:t>
      </w:r>
      <w:r>
        <w:rPr>
          <w:rFonts w:ascii="Times New Roman;serif" w:hAnsi="Times New Roman;serif"/>
          <w:b w:val="false"/>
          <w:color w:val="000000"/>
          <w:sz w:val="24"/>
        </w:rPr>
        <w:t>have the right to require the Issuer to make an offer (a “</w:t>
      </w:r>
      <w:r>
        <w:rPr>
          <w:rFonts w:ascii="Times New Roman;serif" w:hAnsi="Times New Roman;serif"/>
          <w:b w:val="false"/>
          <w:i/>
          <w:color w:val="000000"/>
          <w:sz w:val="24"/>
        </w:rPr>
        <w:t>Change of Control Offer</w:t>
      </w:r>
      <w:r>
        <w:rPr>
          <w:color w:val="000000"/>
        </w:rPr>
        <w:t>”</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repurchase</w:t>
      </w:r>
      <w:r>
        <w:rPr>
          <w:color w:val="000000"/>
        </w:rPr>
        <w:t xml:space="preserve"> </w:t>
      </w:r>
      <w:r>
        <w:rPr>
          <w:rFonts w:ascii="Times New Roman;serif" w:hAnsi="Times New Roman;serif"/>
          <w:b w:val="false"/>
          <w:color w:val="000000"/>
          <w:sz w:val="24"/>
        </w:rPr>
        <w:t>all</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part</w:t>
      </w:r>
      <w:r>
        <w:rPr>
          <w:color w:val="000000"/>
        </w:rPr>
        <w:t xml:space="preserve"> </w:t>
      </w:r>
      <w:r>
        <w:rPr>
          <w:rFonts w:ascii="Times New Roman;serif" w:hAnsi="Times New Roman;serif"/>
          <w:b w:val="false"/>
          <w:color w:val="000000"/>
          <w:sz w:val="24"/>
        </w:rPr>
        <w:t>(equal</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$2,000</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an</w:t>
      </w:r>
      <w:r>
        <w:rPr>
          <w:color w:val="000000"/>
        </w:rPr>
        <w:t xml:space="preserve"> </w:t>
      </w:r>
      <w:r>
        <w:rPr>
          <w:rFonts w:ascii="Times New Roman;serif" w:hAnsi="Times New Roman;serif"/>
          <w:b w:val="false"/>
          <w:color w:val="000000"/>
          <w:sz w:val="24"/>
        </w:rPr>
        <w:t>integral</w:t>
      </w:r>
      <w:r>
        <w:rPr>
          <w:color w:val="000000"/>
        </w:rPr>
        <w:t xml:space="preserve"> </w:t>
      </w:r>
      <w:r>
        <w:rPr>
          <w:rFonts w:ascii="Times New Roman;serif" w:hAnsi="Times New Roman;serif"/>
          <w:b w:val="false"/>
          <w:color w:val="000000"/>
          <w:sz w:val="24"/>
        </w:rPr>
        <w:t>multiple</w:t>
      </w:r>
      <w:r>
        <w:rPr>
          <w:color w:val="000000"/>
        </w:rPr>
        <w:t xml:space="preserve"> </w:t>
      </w:r>
      <w:r>
        <w:rPr>
          <w:rFonts w:ascii="Times New Roman;serif" w:hAnsi="Times New Roman;serif"/>
          <w:b w:val="false"/>
          <w:color w:val="000000"/>
          <w:sz w:val="24"/>
        </w:rPr>
        <w:t>of $1,000 in excess of $2,000) of each Holder’s Notes at a purchase price equal to 101% of the aggregate principal amount of the Notes repurchased, plus</w:t>
      </w:r>
      <w:r>
        <w:rPr>
          <w:color w:val="000000"/>
        </w:rPr>
        <w:t xml:space="preserve"> </w:t>
      </w:r>
      <w:r>
        <w:rPr>
          <w:rFonts w:ascii="Times New Roman;serif" w:hAnsi="Times New Roman;serif"/>
          <w:b w:val="false"/>
          <w:color w:val="000000"/>
          <w:sz w:val="24"/>
        </w:rPr>
        <w:t>accrued</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unpaid</w:t>
      </w:r>
      <w:r>
        <w:rPr>
          <w:color w:val="000000"/>
        </w:rPr>
        <w:t xml:space="preserve"> </w:t>
      </w:r>
      <w:r>
        <w:rPr>
          <w:rFonts w:ascii="Times New Roman;serif" w:hAnsi="Times New Roman;serif"/>
          <w:b w:val="false"/>
          <w:color w:val="000000"/>
          <w:sz w:val="24"/>
        </w:rPr>
        <w:t>interest</w:t>
      </w:r>
      <w:r>
        <w:rPr>
          <w:color w:val="000000"/>
        </w:rPr>
        <w:t xml:space="preserve"> </w:t>
      </w:r>
      <w:r>
        <w:rPr>
          <w:rFonts w:ascii="Times New Roman;serif" w:hAnsi="Times New Roman;serif"/>
          <w:b w:val="false"/>
          <w:color w:val="000000"/>
          <w:sz w:val="24"/>
        </w:rPr>
        <w:t>on</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Notes,</w:t>
      </w:r>
      <w:r>
        <w:rPr>
          <w:color w:val="000000"/>
        </w:rPr>
        <w:t xml:space="preserve"> </w:t>
      </w:r>
      <w:r>
        <w:rPr>
          <w:rFonts w:ascii="Times New Roman;serif" w:hAnsi="Times New Roman;serif"/>
          <w:b w:val="false"/>
          <w:color w:val="000000"/>
          <w:sz w:val="24"/>
        </w:rPr>
        <w:t>if</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but</w:t>
      </w:r>
      <w:r>
        <w:rPr>
          <w:color w:val="000000"/>
        </w:rPr>
        <w:t xml:space="preserve"> </w:t>
      </w:r>
      <w:r>
        <w:rPr>
          <w:rFonts w:ascii="Times New Roman;serif" w:hAnsi="Times New Roman;serif"/>
          <w:b w:val="false"/>
          <w:color w:val="000000"/>
          <w:sz w:val="24"/>
        </w:rPr>
        <w:t>excluding,</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date</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purchase,</w:t>
      </w:r>
      <w:r>
        <w:rPr>
          <w:color w:val="000000"/>
        </w:rPr>
        <w:t xml:space="preserve"> </w:t>
      </w:r>
      <w:r>
        <w:rPr>
          <w:rFonts w:ascii="Times New Roman;serif" w:hAnsi="Times New Roman;serif"/>
          <w:b w:val="false"/>
          <w:color w:val="000000"/>
          <w:sz w:val="24"/>
        </w:rPr>
        <w:t>subject</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rights</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Holders</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Notes</w:t>
      </w:r>
      <w:r>
        <w:rPr>
          <w:color w:val="000000"/>
        </w:rPr>
        <w:t xml:space="preserve"> </w:t>
      </w:r>
      <w:r>
        <w:rPr>
          <w:rFonts w:ascii="Times New Roman;serif" w:hAnsi="Times New Roman;serif"/>
          <w:b w:val="false"/>
          <w:color w:val="000000"/>
          <w:sz w:val="24"/>
        </w:rPr>
        <w:t>on</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relevant</w:t>
      </w:r>
      <w:r>
        <w:rPr>
          <w:color w:val="000000"/>
        </w:rPr>
        <w:t xml:space="preserve"> </w:t>
      </w:r>
      <w:r>
        <w:rPr>
          <w:rFonts w:ascii="Times New Roman;serif" w:hAnsi="Times New Roman;serif"/>
          <w:b w:val="false"/>
          <w:color w:val="000000"/>
          <w:sz w:val="24"/>
        </w:rPr>
        <w:t>record</w:t>
      </w:r>
      <w:r>
        <w:rPr>
          <w:color w:val="000000"/>
        </w:rPr>
        <w:t xml:space="preserve"> </w:t>
      </w:r>
      <w:r>
        <w:rPr>
          <w:rFonts w:ascii="Times New Roman;serif" w:hAnsi="Times New Roman;serif"/>
          <w:b w:val="false"/>
          <w:color w:val="000000"/>
          <w:sz w:val="24"/>
        </w:rPr>
        <w:t>date</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receive</w:t>
      </w:r>
      <w:r>
        <w:rPr>
          <w:color w:val="000000"/>
        </w:rPr>
        <w:t xml:space="preserve"> </w:t>
      </w:r>
      <w:r>
        <w:rPr>
          <w:rFonts w:ascii="Times New Roman;serif" w:hAnsi="Times New Roman;serif"/>
          <w:b w:val="false"/>
          <w:color w:val="000000"/>
          <w:sz w:val="24"/>
        </w:rPr>
        <w:t>interest</w:t>
      </w:r>
      <w:r>
        <w:rPr>
          <w:color w:val="000000"/>
        </w:rPr>
        <w:t xml:space="preserve"> </w:t>
      </w:r>
      <w:r>
        <w:rPr>
          <w:rFonts w:ascii="Times New Roman;serif" w:hAnsi="Times New Roman;serif"/>
          <w:b w:val="false"/>
          <w:color w:val="000000"/>
          <w:sz w:val="24"/>
        </w:rPr>
        <w:t>due</w:t>
      </w:r>
      <w:r>
        <w:rPr>
          <w:color w:val="000000"/>
        </w:rPr>
        <w:t xml:space="preserve"> </w:t>
      </w:r>
      <w:r>
        <w:rPr>
          <w:rFonts w:ascii="Times New Roman;serif" w:hAnsi="Times New Roman;serif"/>
          <w:b w:val="false"/>
          <w:color w:val="000000"/>
          <w:sz w:val="24"/>
        </w:rPr>
        <w:t>on</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relevant</w:t>
      </w:r>
      <w:r>
        <w:rPr>
          <w:color w:val="000000"/>
        </w:rPr>
        <w:t xml:space="preserve"> </w:t>
      </w:r>
      <w:r>
        <w:rPr>
          <w:rFonts w:ascii="Times New Roman;serif" w:hAnsi="Times New Roman;serif"/>
          <w:b w:val="false"/>
          <w:color w:val="000000"/>
          <w:sz w:val="24"/>
        </w:rPr>
        <w:t>interest</w:t>
      </w:r>
      <w:r>
        <w:rPr>
          <w:color w:val="000000"/>
        </w:rPr>
        <w:t xml:space="preserve"> </w:t>
      </w:r>
      <w:r>
        <w:rPr>
          <w:rFonts w:ascii="Times New Roman;serif" w:hAnsi="Times New Roman;serif"/>
          <w:b w:val="false"/>
          <w:color w:val="000000"/>
          <w:sz w:val="24"/>
        </w:rPr>
        <w:t>payment</w:t>
      </w:r>
      <w:r>
        <w:rPr>
          <w:color w:val="000000"/>
        </w:rPr>
        <w:t xml:space="preserve"> </w:t>
      </w:r>
      <w:r>
        <w:rPr>
          <w:rFonts w:ascii="Times New Roman;serif" w:hAnsi="Times New Roman;serif"/>
          <w:b w:val="false"/>
          <w:color w:val="000000"/>
          <w:sz w:val="24"/>
        </w:rPr>
        <w:t>date</w:t>
      </w:r>
      <w:r>
        <w:rPr>
          <w:color w:val="000000"/>
        </w:rPr>
        <w:t xml:space="preserve"> </w:t>
      </w:r>
      <w:r>
        <w:rPr>
          <w:rFonts w:ascii="Times New Roman;serif" w:hAnsi="Times New Roman;serif"/>
          <w:b w:val="false"/>
          <w:color w:val="000000"/>
          <w:sz w:val="24"/>
        </w:rPr>
        <w:t>specified</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notice</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i/>
          <w:color w:val="000000"/>
          <w:sz w:val="24"/>
        </w:rPr>
        <w:t>Change</w:t>
      </w:r>
      <w:r>
        <w:rPr>
          <w:color w:val="000000"/>
        </w:rPr>
        <w:t xml:space="preserve"> </w:t>
      </w:r>
      <w:r>
        <w:rPr>
          <w:rFonts w:ascii="Times New Roman;serif" w:hAnsi="Times New Roman;serif"/>
          <w:b w:val="false"/>
          <w:i/>
          <w:color w:val="000000"/>
          <w:sz w:val="24"/>
        </w:rPr>
        <w:t>of</w:t>
      </w:r>
      <w:r>
        <w:rPr>
          <w:color w:val="000000"/>
        </w:rPr>
        <w:t xml:space="preserve"> </w:t>
      </w:r>
      <w:r>
        <w:rPr>
          <w:rFonts w:ascii="Times New Roman;serif" w:hAnsi="Times New Roman;serif"/>
          <w:b w:val="false"/>
          <w:i/>
          <w:color w:val="000000"/>
          <w:sz w:val="24"/>
        </w:rPr>
        <w:t>Control</w:t>
      </w:r>
      <w:r>
        <w:rPr>
          <w:color w:val="000000"/>
        </w:rPr>
        <w:t xml:space="preserve"> </w:t>
      </w:r>
      <w:r>
        <w:rPr>
          <w:rFonts w:ascii="Times New Roman;serif" w:hAnsi="Times New Roman;serif"/>
          <w:b w:val="false"/>
          <w:i/>
          <w:color w:val="000000"/>
          <w:sz w:val="24"/>
        </w:rPr>
        <w:t>Payment</w:t>
      </w:r>
      <w:r>
        <w:rPr>
          <w:color w:val="000000"/>
        </w:rPr>
        <w:t>”</w:t>
      </w:r>
      <w:r>
        <w:rPr>
          <w:rFonts w:ascii="Times New Roman;serif" w:hAnsi="Times New Roman;serif"/>
          <w:b w:val="false"/>
          <w:color w:val="000000"/>
          <w:sz w:val="24"/>
        </w:rPr>
        <w:t>). Within 30 days following</w:t>
      </w:r>
      <w:r>
        <w:rPr>
          <w:color w:val="000000"/>
        </w:rPr>
        <w:t xml:space="preserve"> </w:t>
      </w:r>
      <w:r>
        <w:rPr>
          <w:rFonts w:ascii="Times New Roman;serif" w:hAnsi="Times New Roman;serif"/>
          <w:b w:val="false"/>
          <w:color w:val="000000"/>
          <w:sz w:val="24"/>
        </w:rPr>
        <w:t>any Change of Control Triggering Event, the Issuer shall mail (or deliver electronically) a notice to each Holder describing the transaction or transactions</w:t>
      </w:r>
      <w:r>
        <w:rPr>
          <w:color w:val="000000"/>
        </w:rPr>
        <w:t xml:space="preserve"> </w:t>
      </w:r>
      <w:r>
        <w:rPr>
          <w:rFonts w:ascii="Times New Roman;serif" w:hAnsi="Times New Roman;serif"/>
          <w:b w:val="false"/>
          <w:color w:val="000000"/>
          <w:sz w:val="24"/>
        </w:rPr>
        <w:t>that constitute the Change of Control as required by the Indenture.</w:t>
      </w:r>
    </w:p>
    <w:p>
      <w:pPr>
        <w:pStyle w:val="TextBody"/>
        <w:bidi w:val="0"/>
        <w:spacing w:lineRule="auto" w:line="240" w:before="0" w:after="240"/>
        <w:ind w:left="0" w:right="0" w:firstLine="720"/>
        <w:jc w:val="both"/>
        <w:rPr/>
      </w:pPr>
      <w:r>
        <w:rPr>
          <w:rFonts w:ascii="Times New Roman;serif" w:hAnsi="Times New Roman;serif"/>
          <w:b w:val="false"/>
          <w:color w:val="000000"/>
          <w:sz w:val="24"/>
        </w:rPr>
        <w:t>8.</w:t>
      </w:r>
      <w:r>
        <w:rPr>
          <w:rFonts w:ascii="Times New Roman;serif" w:hAnsi="Times New Roman;serif"/>
          <w:b w:val="false"/>
          <w:i/>
          <w:color w:val="000000"/>
          <w:sz w:val="24"/>
        </w:rPr>
        <w:t>Notice of Redemption</w:t>
      </w:r>
      <w:r>
        <w:rPr>
          <w:rFonts w:ascii="Times New Roman;serif" w:hAnsi="Times New Roman;serif"/>
          <w:b w:val="false"/>
          <w:color w:val="000000"/>
          <w:sz w:val="24"/>
        </w:rPr>
        <w:t>. Except in certain circumstances, including but not limited to, a Special Mandatory Redemption pursuant to Section 6 hereof, a notice of redemption will be furnished at least 10 days but not more than 60 days before the redemption date to each</w:t>
      </w:r>
      <w:r>
        <w:rPr>
          <w:color w:val="000000"/>
        </w:rPr>
        <w:t xml:space="preserve"> </w:t>
      </w:r>
      <w:r>
        <w:rPr>
          <w:rFonts w:ascii="Times New Roman;serif" w:hAnsi="Times New Roman;serif"/>
          <w:b w:val="false"/>
          <w:color w:val="000000"/>
          <w:sz w:val="24"/>
        </w:rPr>
        <w:t>Holder</w:t>
      </w:r>
      <w:r>
        <w:rPr>
          <w:color w:val="000000"/>
        </w:rPr>
        <w:t xml:space="preserve"> </w:t>
      </w:r>
      <w:r>
        <w:rPr>
          <w:rFonts w:ascii="Times New Roman;serif" w:hAnsi="Times New Roman;serif"/>
          <w:b w:val="false"/>
          <w:color w:val="000000"/>
          <w:sz w:val="24"/>
        </w:rPr>
        <w:t>whose</w:t>
      </w:r>
      <w:r>
        <w:rPr>
          <w:color w:val="000000"/>
        </w:rPr>
        <w:t xml:space="preserve"> </w:t>
      </w:r>
      <w:r>
        <w:rPr>
          <w:rFonts w:ascii="Times New Roman;serif" w:hAnsi="Times New Roman;serif"/>
          <w:b w:val="false"/>
          <w:color w:val="000000"/>
          <w:sz w:val="24"/>
        </w:rPr>
        <w:t>Notes</w:t>
      </w:r>
      <w:r>
        <w:rPr>
          <w:color w:val="000000"/>
        </w:rPr>
        <w:t xml:space="preserve"> </w:t>
      </w:r>
      <w:r>
        <w:rPr>
          <w:rFonts w:ascii="Times New Roman;serif" w:hAnsi="Times New Roman;serif"/>
          <w:b w:val="false"/>
          <w:color w:val="000000"/>
          <w:sz w:val="24"/>
        </w:rPr>
        <w:t>are</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be</w:t>
      </w:r>
      <w:r>
        <w:rPr>
          <w:color w:val="000000"/>
        </w:rPr>
        <w:t xml:space="preserve"> </w:t>
      </w:r>
      <w:r>
        <w:rPr>
          <w:rFonts w:ascii="Times New Roman;serif" w:hAnsi="Times New Roman;serif"/>
          <w:b w:val="false"/>
          <w:color w:val="000000"/>
          <w:sz w:val="24"/>
        </w:rPr>
        <w:t>redeemed.</w:t>
      </w:r>
      <w:r>
        <w:rPr>
          <w:color w:val="000000"/>
        </w:rPr>
        <w:t xml:space="preserve"> </w:t>
      </w:r>
      <w:r>
        <w:rPr>
          <w:rFonts w:ascii="Times New Roman;serif" w:hAnsi="Times New Roman;serif"/>
          <w:b w:val="false"/>
          <w:color w:val="000000"/>
          <w:sz w:val="24"/>
        </w:rPr>
        <w:t>Notes</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denominations</w:t>
      </w:r>
      <w:r>
        <w:rPr>
          <w:color w:val="000000"/>
        </w:rPr>
        <w:t xml:space="preserve"> </w:t>
      </w:r>
      <w:r>
        <w:rPr>
          <w:rFonts w:ascii="Times New Roman;serif" w:hAnsi="Times New Roman;serif"/>
          <w:b w:val="false"/>
          <w:color w:val="000000"/>
          <w:sz w:val="24"/>
        </w:rPr>
        <w:t>larger</w:t>
      </w:r>
      <w:r>
        <w:rPr>
          <w:color w:val="000000"/>
        </w:rPr>
        <w:t xml:space="preserve"> </w:t>
      </w:r>
      <w:r>
        <w:rPr>
          <w:rFonts w:ascii="Times New Roman;serif" w:hAnsi="Times New Roman;serif"/>
          <w:b w:val="false"/>
          <w:color w:val="000000"/>
          <w:sz w:val="24"/>
        </w:rPr>
        <w:t>than</w:t>
      </w:r>
      <w:r>
        <w:rPr>
          <w:color w:val="000000"/>
        </w:rPr>
        <w:t xml:space="preserve"> </w:t>
      </w:r>
      <w:r>
        <w:rPr>
          <w:rFonts w:ascii="Times New Roman;serif" w:hAnsi="Times New Roman;serif"/>
          <w:b w:val="false"/>
          <w:color w:val="000000"/>
          <w:sz w:val="24"/>
        </w:rPr>
        <w:t>$2,000</w:t>
      </w:r>
      <w:r>
        <w:rPr>
          <w:color w:val="000000"/>
        </w:rPr>
        <w:t xml:space="preserve"> </w:t>
      </w:r>
      <w:r>
        <w:rPr>
          <w:rFonts w:ascii="Times New Roman;serif" w:hAnsi="Times New Roman;serif"/>
          <w:b w:val="false"/>
          <w:color w:val="000000"/>
          <w:sz w:val="24"/>
        </w:rPr>
        <w:t>may</w:t>
      </w:r>
      <w:r>
        <w:rPr>
          <w:color w:val="000000"/>
        </w:rPr>
        <w:t xml:space="preserve"> </w:t>
      </w:r>
      <w:r>
        <w:rPr>
          <w:rFonts w:ascii="Times New Roman;serif" w:hAnsi="Times New Roman;serif"/>
          <w:b w:val="false"/>
          <w:color w:val="000000"/>
          <w:sz w:val="24"/>
        </w:rPr>
        <w:t>be</w:t>
      </w:r>
      <w:r>
        <w:rPr>
          <w:color w:val="000000"/>
        </w:rPr>
        <w:t xml:space="preserve"> </w:t>
      </w:r>
      <w:r>
        <w:rPr>
          <w:rFonts w:ascii="Times New Roman;serif" w:hAnsi="Times New Roman;serif"/>
          <w:b w:val="false"/>
          <w:color w:val="000000"/>
          <w:sz w:val="24"/>
        </w:rPr>
        <w:t>redeemed</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part</w:t>
      </w:r>
      <w:r>
        <w:rPr>
          <w:color w:val="000000"/>
        </w:rPr>
        <w:t xml:space="preserve"> </w:t>
      </w:r>
      <w:r>
        <w:rPr>
          <w:rFonts w:ascii="Times New Roman;serif" w:hAnsi="Times New Roman;serif"/>
          <w:b w:val="false"/>
          <w:color w:val="000000"/>
          <w:sz w:val="24"/>
        </w:rPr>
        <w:t>but</w:t>
      </w:r>
      <w:r>
        <w:rPr>
          <w:color w:val="000000"/>
        </w:rPr>
        <w:t xml:space="preserve"> </w:t>
      </w:r>
      <w:r>
        <w:rPr>
          <w:rFonts w:ascii="Times New Roman;serif" w:hAnsi="Times New Roman;serif"/>
          <w:b w:val="false"/>
          <w:color w:val="000000"/>
          <w:sz w:val="24"/>
        </w:rPr>
        <w:t>only</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whole</w:t>
      </w:r>
      <w:r>
        <w:rPr>
          <w:color w:val="000000"/>
        </w:rPr>
        <w:t xml:space="preserve"> </w:t>
      </w:r>
      <w:r>
        <w:rPr>
          <w:rFonts w:ascii="Times New Roman;serif" w:hAnsi="Times New Roman;serif"/>
          <w:b w:val="false"/>
          <w:color w:val="000000"/>
          <w:sz w:val="24"/>
        </w:rPr>
        <w:t>multiples</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$1,000,</w:t>
      </w:r>
      <w:r>
        <w:rPr>
          <w:color w:val="000000"/>
        </w:rPr>
        <w:t xml:space="preserve"> </w:t>
      </w:r>
      <w:r>
        <w:rPr>
          <w:rFonts w:ascii="Times New Roman;serif" w:hAnsi="Times New Roman;serif"/>
          <w:b w:val="false"/>
          <w:color w:val="000000"/>
          <w:sz w:val="24"/>
        </w:rPr>
        <w:t>unless</w:t>
      </w:r>
      <w:r>
        <w:rPr>
          <w:color w:val="000000"/>
        </w:rPr>
        <w:t xml:space="preserve"> </w:t>
      </w:r>
      <w:r>
        <w:rPr>
          <w:rFonts w:ascii="Times New Roman;serif" w:hAnsi="Times New Roman;serif"/>
          <w:b w:val="false"/>
          <w:color w:val="000000"/>
          <w:sz w:val="24"/>
        </w:rPr>
        <w:t>all of the Notes held by a Holder are to be redeemed. On and after the redemption date interest ceases to accrue on Notes or portions thereof called for</w:t>
      </w:r>
      <w:r>
        <w:rPr>
          <w:color w:val="000000"/>
        </w:rPr>
        <w:t xml:space="preserve"> </w:t>
      </w:r>
      <w:r>
        <w:rPr>
          <w:rFonts w:ascii="Times New Roman;serif" w:hAnsi="Times New Roman;serif"/>
          <w:b w:val="false"/>
          <w:color w:val="000000"/>
          <w:sz w:val="24"/>
        </w:rPr>
        <w:t>redemption.</w:t>
      </w:r>
    </w:p>
    <w:p>
      <w:pPr>
        <w:pStyle w:val="TextBody"/>
        <w:bidi w:val="0"/>
        <w:spacing w:lineRule="auto" w:line="240" w:before="0" w:after="240"/>
        <w:ind w:left="0" w:right="0" w:firstLine="720"/>
        <w:jc w:val="both"/>
        <w:rPr/>
      </w:pPr>
      <w:r>
        <w:rPr>
          <w:rFonts w:ascii="Times New Roman;serif" w:hAnsi="Times New Roman;serif"/>
          <w:b w:val="false"/>
          <w:color w:val="000000"/>
          <w:sz w:val="24"/>
        </w:rPr>
        <w:t>9.</w:t>
      </w:r>
      <w:r>
        <w:rPr>
          <w:rFonts w:ascii="Times New Roman;serif" w:hAnsi="Times New Roman;serif"/>
          <w:b w:val="false"/>
          <w:i/>
          <w:color w:val="000000"/>
          <w:sz w:val="24"/>
        </w:rPr>
        <w:t>Denominations, Transfer, Exchange</w:t>
      </w:r>
      <w:r>
        <w:rPr>
          <w:rFonts w:ascii="Times New Roman;serif" w:hAnsi="Times New Roman;serif"/>
          <w:b w:val="false"/>
          <w:color w:val="000000"/>
          <w:sz w:val="24"/>
        </w:rPr>
        <w:t>. The Notes are in registered form without coupons in minimum denominations of $2,000 and integral</w:t>
      </w:r>
      <w:r>
        <w:rPr>
          <w:color w:val="000000"/>
        </w:rPr>
        <w:t xml:space="preserve"> </w:t>
      </w:r>
      <w:r>
        <w:rPr>
          <w:rFonts w:ascii="Times New Roman;serif" w:hAnsi="Times New Roman;serif"/>
          <w:b w:val="false"/>
          <w:color w:val="000000"/>
          <w:sz w:val="24"/>
        </w:rPr>
        <w:t>multiples of $1,000 in excess of $2,000. A Holder may transfer or exchange Notes in accordance with the provisions of the Indenture. The</w:t>
      </w:r>
      <w:r>
        <w:rPr>
          <w:color w:val="000000"/>
        </w:rPr>
        <w:t xml:space="preserve"> </w:t>
      </w:r>
      <w:r>
        <w:rPr>
          <w:rFonts w:ascii="Times New Roman;serif" w:hAnsi="Times New Roman;serif"/>
          <w:b w:val="false"/>
          <w:color w:val="000000"/>
          <w:sz w:val="24"/>
        </w:rPr>
        <w:t>Registrar and the Trustee may require a Holder, among other things, to furnish appropriate endorsements and transfer documents in connection with a</w:t>
      </w:r>
      <w:r>
        <w:rPr>
          <w:color w:val="000000"/>
        </w:rPr>
        <w:t xml:space="preserve"> </w:t>
      </w:r>
      <w:r>
        <w:rPr>
          <w:rFonts w:ascii="Times New Roman;serif" w:hAnsi="Times New Roman;serif"/>
          <w:b w:val="false"/>
          <w:color w:val="000000"/>
          <w:sz w:val="24"/>
        </w:rPr>
        <w:t>transfer of Notes. There will be no service charge for any transfer or exchange of the Notes, but Holders will be required to pay all taxes due on transfer.</w:t>
      </w:r>
      <w:r>
        <w:rPr>
          <w:color w:val="000000"/>
        </w:rPr>
        <w:t xml:space="preserve"> </w:t>
      </w:r>
      <w:r>
        <w:rPr>
          <w:rFonts w:ascii="Times New Roman;serif" w:hAnsi="Times New Roman;serif"/>
          <w:b w:val="false"/>
          <w:color w:val="000000"/>
          <w:sz w:val="24"/>
        </w:rPr>
        <w:t>The Issuer is not required to transfer or exchange any Note selected for redemption or to transfer or exchange any Note for a period of 15 days before</w:t>
      </w:r>
      <w:r>
        <w:rPr>
          <w:color w:val="000000"/>
        </w:rPr>
        <w:t xml:space="preserve"> </w:t>
      </w:r>
      <w:r>
        <w:rPr>
          <w:rFonts w:ascii="Times New Roman;serif" w:hAnsi="Times New Roman;serif"/>
          <w:b w:val="false"/>
          <w:color w:val="000000"/>
          <w:sz w:val="24"/>
        </w:rPr>
        <w:t>a selection of Notes to be redeemed. The registered Holder will be treated as the owner of the Note for all purposes.</w:t>
      </w:r>
    </w:p>
    <w:p>
      <w:pPr>
        <w:pStyle w:val="TextBody"/>
        <w:bidi w:val="0"/>
        <w:spacing w:lineRule="auto" w:line="240" w:before="0" w:after="240"/>
        <w:ind w:left="0" w:right="0" w:firstLine="720"/>
        <w:jc w:val="both"/>
        <w:rPr/>
      </w:pPr>
      <w:r>
        <w:rPr>
          <w:rFonts w:ascii="Times New Roman;serif" w:hAnsi="Times New Roman;serif"/>
          <w:b w:val="false"/>
          <w:color w:val="000000"/>
          <w:sz w:val="24"/>
        </w:rPr>
        <w:t>10.</w:t>
      </w:r>
      <w:r>
        <w:rPr>
          <w:rFonts w:ascii="Times New Roman;serif" w:hAnsi="Times New Roman;serif"/>
          <w:b w:val="false"/>
          <w:i/>
          <w:color w:val="000000"/>
          <w:sz w:val="24"/>
        </w:rPr>
        <w:t>Persons</w:t>
      </w:r>
      <w:r>
        <w:rPr>
          <w:color w:val="000000"/>
        </w:rPr>
        <w:t xml:space="preserve"> </w:t>
      </w:r>
      <w:r>
        <w:rPr>
          <w:rFonts w:ascii="Times New Roman;serif" w:hAnsi="Times New Roman;serif"/>
          <w:b w:val="false"/>
          <w:i/>
          <w:color w:val="000000"/>
          <w:sz w:val="24"/>
        </w:rPr>
        <w:t>Deemed Owners</w:t>
      </w:r>
      <w:r>
        <w:rPr>
          <w:rFonts w:ascii="Times New Roman;serif" w:hAnsi="Times New Roman;serif"/>
          <w:b w:val="false"/>
          <w:color w:val="000000"/>
          <w:sz w:val="24"/>
        </w:rPr>
        <w:t>. The</w:t>
      </w:r>
      <w:r>
        <w:rPr>
          <w:color w:val="000000"/>
        </w:rPr>
        <w:t xml:space="preserve"> </w:t>
      </w:r>
      <w:r>
        <w:rPr>
          <w:rFonts w:ascii="Times New Roman;serif" w:hAnsi="Times New Roman;serif"/>
          <w:b w:val="false"/>
          <w:color w:val="000000"/>
          <w:sz w:val="24"/>
        </w:rPr>
        <w:t>registered Holder of</w:t>
      </w:r>
      <w:r>
        <w:rPr>
          <w:color w:val="000000"/>
        </w:rPr>
        <w:t xml:space="preserve"> </w:t>
      </w:r>
      <w:r>
        <w:rPr>
          <w:rFonts w:ascii="Times New Roman;serif" w:hAnsi="Times New Roman;serif"/>
          <w:b w:val="false"/>
          <w:color w:val="000000"/>
          <w:sz w:val="24"/>
        </w:rPr>
        <w:t>a Note may be</w:t>
      </w:r>
      <w:r>
        <w:rPr>
          <w:color w:val="000000"/>
        </w:rPr>
        <w:t xml:space="preserve"> </w:t>
      </w:r>
      <w:r>
        <w:rPr>
          <w:rFonts w:ascii="Times New Roman;serif" w:hAnsi="Times New Roman;serif"/>
          <w:b w:val="false"/>
          <w:color w:val="000000"/>
          <w:sz w:val="24"/>
        </w:rPr>
        <w:t>treated as its</w:t>
      </w:r>
      <w:r>
        <w:rPr>
          <w:color w:val="000000"/>
        </w:rPr>
        <w:t xml:space="preserve"> </w:t>
      </w:r>
      <w:r>
        <w:rPr>
          <w:rFonts w:ascii="Times New Roman;serif" w:hAnsi="Times New Roman;serif"/>
          <w:b w:val="false"/>
          <w:color w:val="000000"/>
          <w:sz w:val="24"/>
        </w:rPr>
        <w:t>owner for all</w:t>
      </w:r>
      <w:r>
        <w:rPr>
          <w:color w:val="000000"/>
        </w:rPr>
        <w:t xml:space="preserve"> </w:t>
      </w:r>
      <w:r>
        <w:rPr>
          <w:rFonts w:ascii="Times New Roman;serif" w:hAnsi="Times New Roman;serif"/>
          <w:b w:val="false"/>
          <w:color w:val="000000"/>
          <w:sz w:val="24"/>
        </w:rPr>
        <w:t>purposes.</w:t>
      </w:r>
    </w:p>
    <w:p>
      <w:pPr>
        <w:pStyle w:val="TextBody"/>
        <w:bidi w:val="0"/>
        <w:spacing w:lineRule="auto" w:line="240" w:before="0" w:after="240"/>
        <w:ind w:left="0" w:right="0" w:firstLine="720"/>
        <w:jc w:val="both"/>
        <w:rPr/>
      </w:pPr>
      <w:r>
        <w:rPr>
          <w:rFonts w:ascii="Times New Roman;serif" w:hAnsi="Times New Roman;serif"/>
          <w:b w:val="false"/>
          <w:color w:val="000000"/>
          <w:sz w:val="24"/>
        </w:rPr>
        <w:t>11.</w:t>
      </w:r>
      <w:r>
        <w:rPr>
          <w:rFonts w:ascii="Times New Roman;serif" w:hAnsi="Times New Roman;serif"/>
          <w:b w:val="false"/>
          <w:i/>
          <w:color w:val="000000"/>
          <w:sz w:val="24"/>
        </w:rPr>
        <w:t>Amendment, Supplement and Waiver</w:t>
      </w:r>
      <w:r>
        <w:rPr>
          <w:rFonts w:ascii="Times New Roman;serif" w:hAnsi="Times New Roman;serif"/>
          <w:b w:val="false"/>
          <w:color w:val="000000"/>
          <w:sz w:val="24"/>
        </w:rPr>
        <w:t xml:space="preserve">. Subject to certain exceptions set forth in the Indenture, the Issuer, the Subsidiary Guarantors and the Trustee may amend or supplement the Note Documents with the consent of the Holders of at least a majority in principal aggregate amount of the Notes then outstanding and any existing Default or Event of Default (other than a Default or Event of Default in the payment of the principal of, premium or interest on such Notes, except a payment default resulting from an acceleration that has been rescinded) or compliance with any provision of the Note Documents may be waived with the consent of the Holders of a majority in principal aggregate amount of the Notes then outstanding. Without the consent of each Holder affected, the Note Documents may not (with respect to any such Notes held by a non-consenting Holder) be amended, supplemented or waived for certain purposes set forth in the Indenture. </w:t>
      </w:r>
    </w:p>
    <w:p>
      <w:pPr>
        <w:pStyle w:val="TextBody"/>
        <w:bidi w:val="0"/>
        <w:spacing w:before="0" w:after="0"/>
        <w:jc w:val="left"/>
        <w:rPr/>
      </w:pPr>
      <w:r>
        <w:rPr/>
      </w:r>
      <w:r>
        <mc:AlternateContent>
          <mc:Choice Requires="wps">
            <w:drawing>
              <wp:anchor behindDoc="0" distT="0" distB="0" distL="0" distR="0" simplePos="0" locked="0" layoutInCell="1" allowOverlap="1" relativeHeight="273">
                <wp:simplePos x="0" y="0"/>
                <wp:positionH relativeFrom="character">
                  <wp:align>left</wp:align>
                </wp:positionH>
                <wp:positionV relativeFrom="line">
                  <wp:posOffset>635</wp:posOffset>
                </wp:positionV>
                <wp:extent cx="6480175" cy="175260"/>
                <wp:effectExtent l="0" t="0" r="0" b="0"/>
                <wp:wrapNone/>
                <wp:docPr id="272" name="Frame27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A-6</w:t>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00000"/>
          <w:sz w:val="24"/>
        </w:rPr>
        <w:t>12.</w:t>
      </w:r>
      <w:r>
        <w:rPr>
          <w:rFonts w:ascii="Times New Roman;serif" w:hAnsi="Times New Roman;serif"/>
          <w:b w:val="false"/>
          <w:i/>
          <w:color w:val="000000"/>
          <w:sz w:val="24"/>
        </w:rPr>
        <w:t>Defaults and Remedies</w:t>
      </w:r>
      <w:r>
        <w:rPr>
          <w:rFonts w:ascii="Times New Roman;serif" w:hAnsi="Times New Roman;serif"/>
          <w:b w:val="false"/>
          <w:color w:val="000000"/>
          <w:sz w:val="24"/>
        </w:rPr>
        <w:t>. Events of Default include those events as set forth in the Indenture. In the case of an Event of Default with respect to the Issuer with respect to the Notes arising from certain events of bankruptcy or insolvency, principal of and accrued and unpaid interest on all the Notes that are outstanding will become due and payable immediately without further action or notice. If any other Event of Default occurs and is continuing, the Trustee or the Holders of at least 30% in principal amount of the Notes that are outstanding may declare the principal of and accrued and unpaid interest on all the Notes to be due and payable immediately. Subject to certain limitations set forth in the Indenture, Holders of a majority in aggregate principal amount of the then-outstanding Notes may direct the time, method and place of conducting any proceeding for exercising any remedy available to the Trustee or exercising any trust or power conferred on it. Holders of a majority in aggregate principal amount of the then outstanding Notes may rescind an acceleration and its consequences, including any related payment default that resulted from such acceleration.</w:t>
      </w:r>
    </w:p>
    <w:p>
      <w:pPr>
        <w:pStyle w:val="TextBody"/>
        <w:bidi w:val="0"/>
        <w:spacing w:lineRule="auto" w:line="240" w:before="0" w:after="240"/>
        <w:ind w:left="0" w:right="0" w:firstLine="720"/>
        <w:jc w:val="both"/>
        <w:rPr/>
      </w:pPr>
      <w:r>
        <w:rPr>
          <w:rFonts w:ascii="Times New Roman;serif" w:hAnsi="Times New Roman;serif"/>
          <w:b w:val="false"/>
          <w:color w:val="000000"/>
          <w:sz w:val="24"/>
        </w:rPr>
        <w:t>13.</w:t>
      </w:r>
      <w:r>
        <w:rPr>
          <w:rFonts w:ascii="Times New Roman;serif" w:hAnsi="Times New Roman;serif"/>
          <w:b w:val="false"/>
          <w:i/>
          <w:color w:val="000000"/>
          <w:sz w:val="24"/>
        </w:rPr>
        <w:t>Trustee Dealings with Issuer</w:t>
      </w:r>
      <w:r>
        <w:rPr>
          <w:rFonts w:ascii="Times New Roman;serif" w:hAnsi="Times New Roman;serif"/>
          <w:b w:val="false"/>
          <w:color w:val="000000"/>
          <w:sz w:val="24"/>
        </w:rPr>
        <w:t>. The Trustee in its individual or any other capacity may become the owner or pledgee of Notes and may</w:t>
      </w:r>
      <w:r>
        <w:rPr>
          <w:color w:val="000000"/>
        </w:rPr>
        <w:t xml:space="preserve"> </w:t>
      </w:r>
      <w:r>
        <w:rPr>
          <w:rFonts w:ascii="Times New Roman;serif" w:hAnsi="Times New Roman;serif"/>
          <w:b w:val="false"/>
          <w:color w:val="000000"/>
          <w:sz w:val="24"/>
        </w:rPr>
        <w:t>otherwise deal with the Issuer or any Subsidiary Guarantor or any Affiliate of the Issuer or any Subsidiary Guarantor with the same rights it would</w:t>
      </w:r>
      <w:r>
        <w:rPr>
          <w:color w:val="000000"/>
        </w:rPr>
        <w:t xml:space="preserve"> </w:t>
      </w:r>
      <w:r>
        <w:rPr>
          <w:rFonts w:ascii="Times New Roman;serif" w:hAnsi="Times New Roman;serif"/>
          <w:b w:val="false"/>
          <w:color w:val="000000"/>
          <w:sz w:val="24"/>
        </w:rPr>
        <w:t>have if it were not Trustee. However, in the event that the Trustee acquires any conflicting interest it must eliminate such conflict within 90 days, apply to</w:t>
      </w:r>
      <w:r>
        <w:rPr>
          <w:color w:val="000000"/>
        </w:rPr>
        <w:t xml:space="preserve"> </w:t>
      </w:r>
      <w:r>
        <w:rPr>
          <w:rFonts w:ascii="Times New Roman;serif" w:hAnsi="Times New Roman;serif"/>
          <w:b w:val="false"/>
          <w:color w:val="000000"/>
          <w:sz w:val="24"/>
        </w:rPr>
        <w:t>the SEC for permission to continue as Trustee (if the Indenture has been qualified under the TIA) or resign. Any Agent may do the same with like rights</w:t>
      </w:r>
      <w:r>
        <w:rPr>
          <w:color w:val="000000"/>
        </w:rPr>
        <w:t xml:space="preserve"> </w:t>
      </w:r>
      <w:r>
        <w:rPr>
          <w:rFonts w:ascii="Times New Roman;serif" w:hAnsi="Times New Roman;serif"/>
          <w:b w:val="false"/>
          <w:color w:val="000000"/>
          <w:sz w:val="24"/>
        </w:rPr>
        <w:t xml:space="preserve">and duties. The Trustee is also subject to </w:t>
      </w:r>
      <w:r>
        <w:rPr>
          <w:rFonts w:ascii="Times New Roman;serif" w:hAnsi="Times New Roman;serif"/>
          <w:b w:val="false"/>
          <w:color w:val="000000"/>
          <w:sz w:val="24"/>
          <w:u w:val="single"/>
        </w:rPr>
        <w:t>Section 7.09</w:t>
      </w:r>
      <w:r>
        <w:rPr>
          <w:color w:val="000000"/>
        </w:rPr>
        <w:t xml:space="preserve"> </w:t>
      </w:r>
      <w:r>
        <w:rPr>
          <w:rFonts w:ascii="Times New Roman;serif" w:hAnsi="Times New Roman;serif"/>
          <w:b w:val="false"/>
          <w:color w:val="000000"/>
          <w:sz w:val="24"/>
        </w:rPr>
        <w:t>of the Indenture.</w:t>
      </w:r>
    </w:p>
    <w:p>
      <w:pPr>
        <w:pStyle w:val="TextBody"/>
        <w:bidi w:val="0"/>
        <w:spacing w:lineRule="auto" w:line="240" w:before="0" w:after="240"/>
        <w:ind w:left="0" w:right="0" w:firstLine="720"/>
        <w:jc w:val="both"/>
        <w:rPr/>
      </w:pPr>
      <w:r>
        <w:rPr>
          <w:rFonts w:ascii="Times New Roman;serif" w:hAnsi="Times New Roman;serif"/>
          <w:b w:val="false"/>
          <w:color w:val="000000"/>
          <w:sz w:val="24"/>
        </w:rPr>
        <w:t>14.</w:t>
      </w:r>
      <w:r>
        <w:rPr>
          <w:rFonts w:ascii="Times New Roman;serif" w:hAnsi="Times New Roman;serif"/>
          <w:b w:val="false"/>
          <w:i/>
          <w:color w:val="000000"/>
          <w:sz w:val="24"/>
        </w:rPr>
        <w:t>No Recourse Against Others</w:t>
      </w:r>
      <w:r>
        <w:rPr>
          <w:rFonts w:ascii="Times New Roman;serif" w:hAnsi="Times New Roman;serif"/>
          <w:b w:val="false"/>
          <w:color w:val="000000"/>
          <w:sz w:val="24"/>
        </w:rPr>
        <w:t>. No director, officer, employee, incorporator or stockholder of the Issuer or any Subsidiary Guarantor, as such,</w:t>
      </w:r>
      <w:r>
        <w:rPr>
          <w:color w:val="000000"/>
        </w:rPr>
        <w:t xml:space="preserve"> </w:t>
      </w:r>
      <w:r>
        <w:rPr>
          <w:rFonts w:ascii="Times New Roman;serif" w:hAnsi="Times New Roman;serif"/>
          <w:b w:val="false"/>
          <w:color w:val="000000"/>
          <w:sz w:val="24"/>
        </w:rPr>
        <w:t>will have any liability for any obligations of the Issuer or the Subsidiary Guarantors under the Notes, the Indenture, the Subsidiary Guarantees or for</w:t>
      </w:r>
      <w:r>
        <w:rPr>
          <w:color w:val="000000"/>
        </w:rPr>
        <w:t xml:space="preserve"> </w:t>
      </w:r>
      <w:r>
        <w:rPr>
          <w:rFonts w:ascii="Times New Roman;serif" w:hAnsi="Times New Roman;serif"/>
          <w:b w:val="false"/>
          <w:color w:val="000000"/>
          <w:sz w:val="24"/>
        </w:rPr>
        <w:t>any claim based on, in respect of, or by reason of, such obligations or their creation. Each Holder by accepting a Note waives and releases all such</w:t>
      </w:r>
      <w:r>
        <w:rPr>
          <w:color w:val="000000"/>
        </w:rPr>
        <w:t xml:space="preserve"> </w:t>
      </w:r>
      <w:r>
        <w:rPr>
          <w:rFonts w:ascii="Times New Roman;serif" w:hAnsi="Times New Roman;serif"/>
          <w:b w:val="false"/>
          <w:color w:val="000000"/>
          <w:sz w:val="24"/>
        </w:rPr>
        <w:t>liability. The waiver and release are part of the consideration for issuance of the Notes. The waiver may not be effective to waive liabilities under the</w:t>
      </w:r>
      <w:r>
        <w:rPr>
          <w:color w:val="000000"/>
        </w:rPr>
        <w:t xml:space="preserve"> </w:t>
      </w:r>
      <w:r>
        <w:rPr>
          <w:rFonts w:ascii="Times New Roman;serif" w:hAnsi="Times New Roman;serif"/>
          <w:b w:val="false"/>
          <w:color w:val="000000"/>
          <w:sz w:val="24"/>
        </w:rPr>
        <w:t>federal securities laws.</w:t>
      </w:r>
    </w:p>
    <w:p>
      <w:pPr>
        <w:pStyle w:val="TextBody"/>
        <w:bidi w:val="0"/>
        <w:spacing w:lineRule="auto" w:line="240" w:before="0" w:after="240"/>
        <w:ind w:left="0" w:right="0" w:firstLine="720"/>
        <w:jc w:val="both"/>
        <w:rPr/>
      </w:pPr>
      <w:r>
        <w:rPr>
          <w:rFonts w:ascii="Times New Roman;serif" w:hAnsi="Times New Roman;serif"/>
          <w:b w:val="false"/>
          <w:color w:val="000000"/>
          <w:sz w:val="24"/>
        </w:rPr>
        <w:t>15.</w:t>
      </w:r>
      <w:r>
        <w:rPr>
          <w:rFonts w:ascii="Times New Roman;serif" w:hAnsi="Times New Roman;serif"/>
          <w:b w:val="false"/>
          <w:i/>
          <w:color w:val="000000"/>
          <w:sz w:val="24"/>
        </w:rPr>
        <w:t>Authentication</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This</w:t>
      </w:r>
      <w:r>
        <w:rPr>
          <w:color w:val="000000"/>
        </w:rPr>
        <w:t xml:space="preserve"> </w:t>
      </w:r>
      <w:r>
        <w:rPr>
          <w:rFonts w:ascii="Times New Roman;serif" w:hAnsi="Times New Roman;serif"/>
          <w:b w:val="false"/>
          <w:color w:val="000000"/>
          <w:sz w:val="24"/>
        </w:rPr>
        <w:t>Note</w:t>
      </w:r>
      <w:r>
        <w:rPr>
          <w:color w:val="000000"/>
        </w:rPr>
        <w:t xml:space="preserve"> </w:t>
      </w:r>
      <w:r>
        <w:rPr>
          <w:rFonts w:ascii="Times New Roman;serif" w:hAnsi="Times New Roman;serif"/>
          <w:b w:val="false"/>
          <w:color w:val="000000"/>
          <w:sz w:val="24"/>
        </w:rPr>
        <w:t>will</w:t>
      </w:r>
      <w:r>
        <w:rPr>
          <w:color w:val="000000"/>
        </w:rPr>
        <w:t xml:space="preserve"> </w:t>
      </w:r>
      <w:r>
        <w:rPr>
          <w:rFonts w:ascii="Times New Roman;serif" w:hAnsi="Times New Roman;serif"/>
          <w:b w:val="false"/>
          <w:color w:val="000000"/>
          <w:sz w:val="24"/>
        </w:rPr>
        <w:t>not</w:t>
      </w:r>
      <w:r>
        <w:rPr>
          <w:color w:val="000000"/>
        </w:rPr>
        <w:t xml:space="preserve"> </w:t>
      </w:r>
      <w:r>
        <w:rPr>
          <w:rFonts w:ascii="Times New Roman;serif" w:hAnsi="Times New Roman;serif"/>
          <w:b w:val="false"/>
          <w:color w:val="000000"/>
          <w:sz w:val="24"/>
        </w:rPr>
        <w:t>be</w:t>
      </w:r>
      <w:r>
        <w:rPr>
          <w:color w:val="000000"/>
        </w:rPr>
        <w:t xml:space="preserve"> </w:t>
      </w:r>
      <w:r>
        <w:rPr>
          <w:rFonts w:ascii="Times New Roman;serif" w:hAnsi="Times New Roman;serif"/>
          <w:b w:val="false"/>
          <w:color w:val="000000"/>
          <w:sz w:val="24"/>
        </w:rPr>
        <w:t>valid</w:t>
      </w:r>
      <w:r>
        <w:rPr>
          <w:color w:val="000000"/>
        </w:rPr>
        <w:t xml:space="preserve"> </w:t>
      </w:r>
      <w:r>
        <w:rPr>
          <w:rFonts w:ascii="Times New Roman;serif" w:hAnsi="Times New Roman;serif"/>
          <w:b w:val="false"/>
          <w:color w:val="000000"/>
          <w:sz w:val="24"/>
        </w:rPr>
        <w:t>until</w:t>
      </w:r>
      <w:r>
        <w:rPr>
          <w:color w:val="000000"/>
        </w:rPr>
        <w:t xml:space="preserve"> </w:t>
      </w:r>
      <w:r>
        <w:rPr>
          <w:rFonts w:ascii="Times New Roman;serif" w:hAnsi="Times New Roman;serif"/>
          <w:b w:val="false"/>
          <w:color w:val="000000"/>
          <w:sz w:val="24"/>
        </w:rPr>
        <w:t>authenticated</w:t>
      </w:r>
      <w:r>
        <w:rPr>
          <w:color w:val="000000"/>
        </w:rPr>
        <w:t xml:space="preserve"> </w:t>
      </w:r>
      <w:r>
        <w:rPr>
          <w:rFonts w:ascii="Times New Roman;serif" w:hAnsi="Times New Roman;serif"/>
          <w:b w:val="false"/>
          <w:color w:val="000000"/>
          <w:sz w:val="24"/>
        </w:rPr>
        <w:t>by</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manual</w:t>
      </w:r>
      <w:r>
        <w:rPr>
          <w:color w:val="000000"/>
        </w:rPr>
        <w:t xml:space="preserve"> </w:t>
      </w:r>
      <w:r>
        <w:rPr>
          <w:rFonts w:ascii="Times New Roman;serif" w:hAnsi="Times New Roman;serif"/>
          <w:b w:val="false"/>
          <w:color w:val="000000"/>
          <w:sz w:val="24"/>
        </w:rPr>
        <w:t>signature</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Trustee</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an</w:t>
      </w:r>
      <w:r>
        <w:rPr>
          <w:color w:val="000000"/>
        </w:rPr>
        <w:t xml:space="preserve"> </w:t>
      </w:r>
      <w:r>
        <w:rPr>
          <w:rFonts w:ascii="Times New Roman;serif" w:hAnsi="Times New Roman;serif"/>
          <w:b w:val="false"/>
          <w:color w:val="000000"/>
          <w:sz w:val="24"/>
        </w:rPr>
        <w:t>authenticating</w:t>
      </w:r>
      <w:r>
        <w:rPr>
          <w:color w:val="000000"/>
        </w:rPr>
        <w:t xml:space="preserve"> </w:t>
      </w:r>
      <w:r>
        <w:rPr>
          <w:rFonts w:ascii="Times New Roman;serif" w:hAnsi="Times New Roman;serif"/>
          <w:b w:val="false"/>
          <w:color w:val="000000"/>
          <w:sz w:val="24"/>
        </w:rPr>
        <w:t>agent.</w:t>
      </w:r>
    </w:p>
    <w:p>
      <w:pPr>
        <w:pStyle w:val="TextBody"/>
        <w:bidi w:val="0"/>
        <w:spacing w:lineRule="auto" w:line="240" w:before="0" w:after="240"/>
        <w:ind w:left="0" w:right="0" w:firstLine="720"/>
        <w:jc w:val="both"/>
        <w:rPr/>
      </w:pPr>
      <w:r>
        <w:rPr>
          <w:rFonts w:ascii="Times New Roman;serif" w:hAnsi="Times New Roman;serif"/>
          <w:b w:val="false"/>
          <w:color w:val="000000"/>
          <w:sz w:val="24"/>
        </w:rPr>
        <w:t>16.</w:t>
      </w:r>
      <w:r>
        <w:rPr>
          <w:rFonts w:ascii="Times New Roman;serif" w:hAnsi="Times New Roman;serif"/>
          <w:b w:val="false"/>
          <w:i/>
          <w:color w:val="000000"/>
          <w:sz w:val="24"/>
        </w:rPr>
        <w:t>Abbreviations</w:t>
      </w:r>
      <w:r>
        <w:rPr>
          <w:rFonts w:ascii="Times New Roman;serif" w:hAnsi="Times New Roman;serif"/>
          <w:b w:val="false"/>
          <w:color w:val="000000"/>
          <w:sz w:val="24"/>
        </w:rPr>
        <w:t>. Customary abbreviations may be used in the name of a Holder or an assignee, such as: TEN COM (= tenants in common), TEN</w:t>
      </w:r>
      <w:r>
        <w:rPr>
          <w:color w:val="000000"/>
        </w:rPr>
        <w:t xml:space="preserve"> </w:t>
      </w:r>
      <w:r>
        <w:rPr>
          <w:rFonts w:ascii="Times New Roman;serif" w:hAnsi="Times New Roman;serif"/>
          <w:b w:val="false"/>
          <w:color w:val="000000"/>
          <w:sz w:val="24"/>
        </w:rPr>
        <w:t>ENT (= tenants by the entireties), JT TEN (= joint tenants with right of survivorship and not as tenants in common), CUST (= Custodian), and U/G/M/A</w:t>
      </w:r>
      <w:r>
        <w:rPr>
          <w:color w:val="000000"/>
        </w:rPr>
        <w:t xml:space="preserve"> </w:t>
      </w:r>
      <w:r>
        <w:rPr>
          <w:rFonts w:ascii="Times New Roman;serif" w:hAnsi="Times New Roman;serif"/>
          <w:b w:val="false"/>
          <w:color w:val="000000"/>
          <w:sz w:val="24"/>
        </w:rPr>
        <w:t>(= Uniform Gifts to Minors Act).</w:t>
      </w:r>
    </w:p>
    <w:p>
      <w:pPr>
        <w:pStyle w:val="TextBody"/>
        <w:bidi w:val="0"/>
        <w:spacing w:lineRule="auto" w:line="240" w:before="0" w:after="240"/>
        <w:ind w:left="0" w:right="0" w:firstLine="720"/>
        <w:jc w:val="both"/>
        <w:rPr/>
      </w:pPr>
      <w:r>
        <w:rPr>
          <w:rFonts w:ascii="Times New Roman;serif" w:hAnsi="Times New Roman;serif"/>
          <w:b w:val="false"/>
          <w:color w:val="000000"/>
          <w:sz w:val="24"/>
        </w:rPr>
        <w:t>17.</w:t>
      </w:r>
      <w:r>
        <w:rPr>
          <w:rFonts w:ascii="Times New Roman;serif" w:hAnsi="Times New Roman;serif"/>
          <w:b w:val="false"/>
          <w:i/>
          <w:color w:val="000000"/>
          <w:sz w:val="24"/>
        </w:rPr>
        <w:t>CUSIP Numbers/ISINs</w:t>
      </w:r>
      <w:r>
        <w:rPr>
          <w:rFonts w:ascii="Times New Roman;serif" w:hAnsi="Times New Roman;serif"/>
          <w:b w:val="false"/>
          <w:color w:val="000000"/>
          <w:sz w:val="24"/>
        </w:rPr>
        <w:t>. Pursuant to a recommendation promulgated by the Committee on Uniform Security Identification Procedures, the</w:t>
      </w:r>
      <w:r>
        <w:rPr>
          <w:color w:val="000000"/>
        </w:rPr>
        <w:t xml:space="preserve"> </w:t>
      </w:r>
      <w:r>
        <w:rPr>
          <w:rFonts w:ascii="Times New Roman;serif" w:hAnsi="Times New Roman;serif"/>
          <w:b w:val="false"/>
          <w:color w:val="000000"/>
          <w:sz w:val="24"/>
        </w:rPr>
        <w:t>Issuer has caused CUSIP numbers/ISINs to be printed on the Notes and the Trustee may use CUSIP numbers/ISINs in notices of redemption as a</w:t>
      </w:r>
      <w:r>
        <w:rPr>
          <w:color w:val="000000"/>
        </w:rPr>
        <w:t xml:space="preserve"> </w:t>
      </w:r>
      <w:r>
        <w:rPr>
          <w:rFonts w:ascii="Times New Roman;serif" w:hAnsi="Times New Roman;serif"/>
          <w:b w:val="false"/>
          <w:color w:val="000000"/>
          <w:sz w:val="24"/>
        </w:rPr>
        <w:t>convenience to Holders. No representation is made as to the accuracy of such numbers either as printed on the Notes or as contained in any notice of</w:t>
      </w:r>
      <w:r>
        <w:rPr>
          <w:color w:val="000000"/>
        </w:rPr>
        <w:t xml:space="preserve"> </w:t>
      </w:r>
      <w:r>
        <w:rPr>
          <w:rFonts w:ascii="Times New Roman;serif" w:hAnsi="Times New Roman;serif"/>
          <w:b w:val="false"/>
          <w:color w:val="000000"/>
          <w:sz w:val="24"/>
        </w:rPr>
        <w:t>redemption and reliance may be placed only on the other identification numbers placed thereon.</w:t>
      </w:r>
    </w:p>
    <w:p>
      <w:pPr>
        <w:pStyle w:val="TextBody"/>
        <w:bidi w:val="0"/>
        <w:spacing w:lineRule="auto" w:line="240" w:before="0" w:after="240"/>
        <w:ind w:left="0" w:right="0" w:firstLine="720"/>
        <w:jc w:val="both"/>
        <w:rPr/>
      </w:pPr>
      <w:r>
        <w:rPr>
          <w:rFonts w:ascii="Times New Roman;serif" w:hAnsi="Times New Roman;serif"/>
          <w:b w:val="false"/>
          <w:color w:val="000000"/>
          <w:sz w:val="24"/>
        </w:rPr>
        <w:t>18.</w:t>
      </w:r>
      <w:r>
        <w:rPr>
          <w:rFonts w:ascii="Times New Roman;serif" w:hAnsi="Times New Roman;serif"/>
          <w:b w:val="false"/>
          <w:color w:val="000000"/>
          <w:sz w:val="24"/>
        </w:rPr>
        <w:t>NEW YORK LAW TO GOVERN. THE INDENTURE, THIS NOTE AND THE SUBSIDIARY GUARANTEES SHALL BE GOVERNED BY AND CONSTRUED IN ACCORDANCE WITH THE LAWS OF THE STATE OF NEW YORK.</w:t>
      </w:r>
    </w:p>
    <w:p>
      <w:pPr>
        <w:pStyle w:val="TextBody"/>
        <w:bidi w:val="0"/>
        <w:spacing w:before="0" w:after="0"/>
        <w:jc w:val="left"/>
        <w:rPr/>
      </w:pPr>
      <w:r>
        <w:rPr/>
      </w:r>
      <w:r>
        <mc:AlternateContent>
          <mc:Choice Requires="wps">
            <w:drawing>
              <wp:anchor behindDoc="0" distT="0" distB="0" distL="0" distR="0" simplePos="0" locked="0" layoutInCell="1" allowOverlap="1" relativeHeight="274">
                <wp:simplePos x="0" y="0"/>
                <wp:positionH relativeFrom="character">
                  <wp:align>left</wp:align>
                </wp:positionH>
                <wp:positionV relativeFrom="line">
                  <wp:posOffset>635</wp:posOffset>
                </wp:positionV>
                <wp:extent cx="6480175" cy="175260"/>
                <wp:effectExtent l="0" t="0" r="0" b="0"/>
                <wp:wrapNone/>
                <wp:docPr id="273" name="Frame27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A-7</w:t>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Issuer shall furnish to any Holder upon written request and without charge a copy of the Indenture. Requests may be made to:</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Talen Energy Supply, LLC</w:t>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2929 Allen Parkway, Suite 2200</w:t>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Houston, Texas 77019</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Attention: Treasurer</w:t>
      </w:r>
    </w:p>
    <w:p>
      <w:pPr>
        <w:pStyle w:val="TextBody"/>
        <w:bidi w:val="0"/>
        <w:spacing w:lineRule="auto" w:line="288"/>
        <w:jc w:val="left"/>
        <w:rPr>
          <w:rFonts w:ascii="Times New Roman;serif" w:hAnsi="Times New Roman;serif"/>
          <w:b w:val="false"/>
          <w:color w:val="000000"/>
          <w:sz w:val="24"/>
        </w:rPr>
      </w:pPr>
      <w:r>
        <w:rPr>
          <w:rFonts w:ascii="Times New Roman;serif" w:hAnsi="Times New Roman;serif"/>
          <w:b w:val="false"/>
          <w:color w:val="000000"/>
          <w:sz w:val="24"/>
        </w:rPr>
        <w:t>E-mail: TalenTreasury@talenenergy.com</w:t>
      </w:r>
    </w:p>
    <w:p>
      <w:pPr>
        <w:pStyle w:val="TextBody"/>
        <w:bidi w:val="0"/>
        <w:spacing w:before="0" w:after="0"/>
        <w:jc w:val="left"/>
        <w:rPr/>
      </w:pPr>
      <w:r>
        <w:rPr/>
      </w:r>
      <w:r>
        <mc:AlternateContent>
          <mc:Choice Requires="wps">
            <w:drawing>
              <wp:anchor behindDoc="0" distT="0" distB="0" distL="0" distR="0" simplePos="0" locked="0" layoutInCell="1" allowOverlap="1" relativeHeight="275">
                <wp:simplePos x="0" y="0"/>
                <wp:positionH relativeFrom="character">
                  <wp:align>left</wp:align>
                </wp:positionH>
                <wp:positionV relativeFrom="line">
                  <wp:posOffset>635</wp:posOffset>
                </wp:positionV>
                <wp:extent cx="6480175" cy="175260"/>
                <wp:effectExtent l="0" t="0" r="0" b="0"/>
                <wp:wrapNone/>
                <wp:docPr id="274" name="Frame27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A-8</w:t>
                      </w:r>
                    </w:p>
                  </w:txbxContent>
                </v:textbox>
                <w10:wrap type="none"/>
              </v:rect>
            </w:pict>
          </mc:Fallback>
        </mc:AlternateContent>
      </w:r>
    </w:p>
    <w:p>
      <w:pPr>
        <w:pStyle w:val="TextBody"/>
        <w:bidi w:val="0"/>
        <w:spacing w:lineRule="auto" w:line="240" w:before="0" w:after="240"/>
        <w:jc w:val="center"/>
        <w:rPr/>
      </w:pPr>
      <w:r>
        <w:rPr>
          <w:rFonts w:ascii="Times New Roman;serif" w:hAnsi="Times New Roman;serif"/>
          <w:b/>
          <w:color w:val="000000"/>
          <w:sz w:val="24"/>
        </w:rPr>
        <w:t>Assignment</w:t>
      </w:r>
      <w:r>
        <w:rPr>
          <w:color w:val="000000"/>
        </w:rPr>
        <w:t xml:space="preserve"> </w:t>
      </w:r>
      <w:r>
        <w:rPr>
          <w:rFonts w:ascii="Times New Roman;serif" w:hAnsi="Times New Roman;serif"/>
          <w:b/>
          <w:color w:val="000000"/>
          <w:sz w:val="24"/>
        </w:rPr>
        <w:t>Form</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To assign this Note, fill in the form below:</w:t>
      </w:r>
    </w:p>
    <w:tbl>
      <w:tblPr>
        <w:tblW w:w="10205" w:type="dxa"/>
        <w:jc w:val="left"/>
        <w:tblInd w:w="0" w:type="dxa"/>
        <w:tblLayout w:type="fixed"/>
        <w:tblCellMar>
          <w:top w:w="28" w:type="dxa"/>
          <w:left w:w="28" w:type="dxa"/>
          <w:bottom w:w="28" w:type="dxa"/>
          <w:right w:w="28" w:type="dxa"/>
        </w:tblCellMar>
      </w:tblPr>
      <w:tblGrid>
        <w:gridCol w:w="791"/>
        <w:gridCol w:w="632"/>
        <w:gridCol w:w="632"/>
        <w:gridCol w:w="632"/>
        <w:gridCol w:w="632"/>
        <w:gridCol w:w="632"/>
        <w:gridCol w:w="632"/>
        <w:gridCol w:w="632"/>
        <w:gridCol w:w="632"/>
        <w:gridCol w:w="1125"/>
        <w:gridCol w:w="1016"/>
        <w:gridCol w:w="1016"/>
        <w:gridCol w:w="348"/>
        <w:gridCol w:w="348"/>
        <w:gridCol w:w="505"/>
      </w:tblGrid>
      <w:tr>
        <w:trPr/>
        <w:tc>
          <w:tcPr>
            <w:tcW w:w="791"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r>
      <w:tr>
        <w:trPr/>
        <w:tc>
          <w:tcPr>
            <w:tcW w:w="9004"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(I) or (we) assign and transfer this Note to:</w:t>
            </w:r>
          </w:p>
        </w:tc>
        <w:tc>
          <w:tcPr>
            <w:tcW w:w="1201"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5"/>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5"/>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5"/>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(Insert assignee’s legal name)</w:t>
            </w:r>
          </w:p>
        </w:tc>
      </w:tr>
      <w:tr>
        <w:trPr/>
        <w:tc>
          <w:tcPr>
            <w:tcW w:w="10205" w:type="dxa"/>
            <w:gridSpan w:val="15"/>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5"/>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(Insert assignee’s soc. sec. or tax I.D. no.)</w:t>
            </w:r>
          </w:p>
        </w:tc>
      </w:tr>
      <w:tr>
        <w:trPr/>
        <w:tc>
          <w:tcPr>
            <w:tcW w:w="10205" w:type="dxa"/>
            <w:gridSpan w:val="15"/>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5"/>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(Print or type assignee’s name, address and zip code)</w:t>
            </w:r>
          </w:p>
        </w:tc>
      </w:tr>
      <w:tr>
        <w:trPr/>
        <w:tc>
          <w:tcPr>
            <w:tcW w:w="10205"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 xml:space="preserve">and irrevocably appoint to transfer this Note on the books of the Issuer. The agent may substitute another to act for him. </w:t>
            </w:r>
          </w:p>
        </w:tc>
      </w:tr>
      <w:tr>
        <w:trPr/>
        <w:tc>
          <w:tcPr>
            <w:tcW w:w="10205" w:type="dxa"/>
            <w:gridSpan w:val="15"/>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Date:</w:t>
            </w:r>
          </w:p>
        </w:tc>
        <w:tc>
          <w:tcPr>
            <w:tcW w:w="18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8" w:type="dxa"/>
            <w:gridSpan w:val="6"/>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Your Signature:</w:t>
            </w:r>
          </w:p>
        </w:tc>
      </w:tr>
      <w:tr>
        <w:trPr/>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8" w:type="dxa"/>
            <w:gridSpan w:val="6"/>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(Sign exactly as your name appears on the face of this Note)</w:t>
            </w:r>
          </w:p>
        </w:tc>
      </w:tr>
      <w:tr>
        <w:trPr/>
        <w:tc>
          <w:tcPr>
            <w:tcW w:w="10205" w:type="dxa"/>
            <w:gridSpan w:val="15"/>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Signature Guarantee*:</w:t>
      </w:r>
    </w:p>
    <w:p>
      <w:pPr>
        <w:pStyle w:val="TextBody"/>
        <w:bidi w:val="0"/>
        <w:spacing w:lineRule="auto" w:line="288" w:before="0" w:after="24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    Participant in a recognized Signature Guarantee Medallion Program (or other signature guarantor acceptable to the Trustee).</w:t>
      </w:r>
    </w:p>
    <w:p>
      <w:pPr>
        <w:pStyle w:val="TextBody"/>
        <w:bidi w:val="0"/>
        <w:spacing w:before="0" w:after="0"/>
        <w:jc w:val="left"/>
        <w:rPr/>
      </w:pPr>
      <w:r>
        <w:rPr/>
      </w:r>
      <w:r>
        <mc:AlternateContent>
          <mc:Choice Requires="wps">
            <w:drawing>
              <wp:anchor behindDoc="0" distT="0" distB="0" distL="0" distR="0" simplePos="0" locked="0" layoutInCell="1" allowOverlap="1" relativeHeight="276">
                <wp:simplePos x="0" y="0"/>
                <wp:positionH relativeFrom="character">
                  <wp:align>left</wp:align>
                </wp:positionH>
                <wp:positionV relativeFrom="line">
                  <wp:posOffset>635</wp:posOffset>
                </wp:positionV>
                <wp:extent cx="6480175" cy="175260"/>
                <wp:effectExtent l="0" t="0" r="0" b="0"/>
                <wp:wrapNone/>
                <wp:docPr id="275" name="Frame27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A-9</w:t>
                      </w:r>
                    </w:p>
                  </w:txbxContent>
                </v:textbox>
                <w10:wrap type="none"/>
              </v:rect>
            </w:pict>
          </mc:Fallback>
        </mc:AlternateContent>
      </w:r>
    </w:p>
    <w:p>
      <w:pPr>
        <w:pStyle w:val="TextBody"/>
        <w:bidi w:val="0"/>
        <w:spacing w:lineRule="auto" w:line="240" w:before="0" w:after="240"/>
        <w:jc w:val="center"/>
        <w:rPr/>
      </w:pPr>
      <w:r>
        <w:rPr>
          <w:rFonts w:ascii="Times New Roman;serif" w:hAnsi="Times New Roman;serif"/>
          <w:b/>
          <w:color w:val="000000"/>
          <w:sz w:val="24"/>
        </w:rPr>
        <w:t>Option</w:t>
      </w:r>
      <w:r>
        <w:rPr>
          <w:color w:val="000000"/>
        </w:rPr>
        <w:t xml:space="preserve"> </w:t>
      </w:r>
      <w:r>
        <w:rPr>
          <w:rFonts w:ascii="Times New Roman;serif" w:hAnsi="Times New Roman;serif"/>
          <w:b/>
          <w:color w:val="000000"/>
          <w:sz w:val="24"/>
        </w:rPr>
        <w:t>of</w:t>
      </w:r>
      <w:r>
        <w:rPr>
          <w:color w:val="000000"/>
        </w:rPr>
        <w:t xml:space="preserve"> </w:t>
      </w:r>
      <w:r>
        <w:rPr>
          <w:rFonts w:ascii="Times New Roman;serif" w:hAnsi="Times New Roman;serif"/>
          <w:b/>
          <w:color w:val="000000"/>
          <w:sz w:val="24"/>
        </w:rPr>
        <w:t>Holder</w:t>
      </w:r>
      <w:r>
        <w:rPr>
          <w:color w:val="000000"/>
        </w:rPr>
        <w:t xml:space="preserve"> </w:t>
      </w:r>
      <w:r>
        <w:rPr>
          <w:rFonts w:ascii="Times New Roman;serif" w:hAnsi="Times New Roman;serif"/>
          <w:b/>
          <w:color w:val="000000"/>
          <w:sz w:val="24"/>
        </w:rPr>
        <w:t>to</w:t>
      </w:r>
      <w:r>
        <w:rPr>
          <w:color w:val="000000"/>
        </w:rPr>
        <w:t xml:space="preserve"> </w:t>
      </w:r>
      <w:r>
        <w:rPr>
          <w:rFonts w:ascii="Times New Roman;serif" w:hAnsi="Times New Roman;serif"/>
          <w:b/>
          <w:color w:val="000000"/>
          <w:sz w:val="24"/>
        </w:rPr>
        <w:t>Elect</w:t>
      </w:r>
      <w:r>
        <w:rPr>
          <w:color w:val="000000"/>
        </w:rPr>
        <w:t xml:space="preserve"> </w:t>
      </w:r>
      <w:r>
        <w:rPr>
          <w:rFonts w:ascii="Times New Roman;serif" w:hAnsi="Times New Roman;serif"/>
          <w:b/>
          <w:color w:val="000000"/>
          <w:sz w:val="24"/>
        </w:rPr>
        <w:t>Purchase</w:t>
      </w:r>
      <w:r>
        <w:rPr>
          <w:color w:val="000000"/>
        </w:rPr>
        <w:t xml:space="preserve"> </w:t>
      </w:r>
      <w:r>
        <w:rPr>
          <w:rFonts w:ascii="Times New Roman;serif" w:hAnsi="Times New Roman;serif"/>
          <w:b/>
          <w:color w:val="000000"/>
          <w:sz w:val="24"/>
        </w:rPr>
        <w:t>Pursuant</w:t>
      </w:r>
      <w:r>
        <w:rPr>
          <w:color w:val="000000"/>
        </w:rPr>
        <w:t xml:space="preserve"> </w:t>
      </w:r>
      <w:r>
        <w:rPr>
          <w:rFonts w:ascii="Times New Roman;serif" w:hAnsi="Times New Roman;serif"/>
          <w:b/>
          <w:color w:val="000000"/>
          <w:sz w:val="24"/>
        </w:rPr>
        <w:t>to</w:t>
      </w:r>
      <w:r>
        <w:rPr>
          <w:color w:val="000000"/>
        </w:rPr>
        <w:t xml:space="preserve"> </w:t>
      </w:r>
      <w:r>
        <w:rPr>
          <w:rFonts w:ascii="Times New Roman;serif" w:hAnsi="Times New Roman;serif"/>
          <w:b/>
          <w:color w:val="000000"/>
          <w:sz w:val="24"/>
          <w:u w:val="single"/>
        </w:rPr>
        <w:t>Section 4.08</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If you want to elect to have only part of the Note purchased by the Issuer pursuant to </w:t>
      </w:r>
      <w:r>
        <w:rPr>
          <w:rFonts w:ascii="Times New Roman;serif" w:hAnsi="Times New Roman;serif"/>
          <w:b w:val="false"/>
          <w:color w:val="000000"/>
          <w:sz w:val="24"/>
          <w:u w:val="single"/>
        </w:rPr>
        <w:t>Section 4.08</w:t>
      </w:r>
      <w:r>
        <w:rPr>
          <w:color w:val="000000"/>
        </w:rPr>
        <w:t xml:space="preserve"> </w:t>
      </w:r>
      <w:r>
        <w:rPr>
          <w:rFonts w:ascii="Times New Roman;serif" w:hAnsi="Times New Roman;serif"/>
          <w:b w:val="false"/>
          <w:color w:val="000000"/>
          <w:sz w:val="24"/>
        </w:rPr>
        <w:t>of the Indenture, state the</w:t>
      </w:r>
      <w:r>
        <w:rPr>
          <w:color w:val="000000"/>
        </w:rPr>
        <w:t xml:space="preserve"> </w:t>
      </w:r>
      <w:r>
        <w:rPr>
          <w:rFonts w:ascii="Times New Roman;serif" w:hAnsi="Times New Roman;serif"/>
          <w:b w:val="false"/>
          <w:color w:val="000000"/>
          <w:sz w:val="24"/>
        </w:rPr>
        <w:t>amount you elect to have purchased:</w:t>
      </w:r>
    </w:p>
    <w:tbl>
      <w:tblPr>
        <w:tblW w:w="7112" w:type="dxa"/>
        <w:jc w:val="left"/>
        <w:tblInd w:w="0" w:type="dxa"/>
        <w:tblLayout w:type="fixed"/>
        <w:tblCellMar>
          <w:top w:w="28" w:type="dxa"/>
          <w:left w:w="28" w:type="dxa"/>
          <w:bottom w:w="28" w:type="dxa"/>
          <w:right w:w="28" w:type="dxa"/>
        </w:tblCellMar>
      </w:tblPr>
      <w:tblGrid>
        <w:gridCol w:w="228"/>
        <w:gridCol w:w="200"/>
        <w:gridCol w:w="202"/>
        <w:gridCol w:w="109"/>
        <w:gridCol w:w="109"/>
        <w:gridCol w:w="109"/>
        <w:gridCol w:w="109"/>
        <w:gridCol w:w="109"/>
        <w:gridCol w:w="109"/>
        <w:gridCol w:w="615"/>
        <w:gridCol w:w="615"/>
        <w:gridCol w:w="615"/>
        <w:gridCol w:w="615"/>
        <w:gridCol w:w="615"/>
        <w:gridCol w:w="615"/>
        <w:gridCol w:w="615"/>
        <w:gridCol w:w="615"/>
        <w:gridCol w:w="908"/>
      </w:tblGrid>
      <w:tr>
        <w:trPr/>
        <w:tc>
          <w:tcPr>
            <w:tcW w:w="22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r>
      <w:tr>
        <w:trPr/>
        <w:tc>
          <w:tcPr>
            <w:tcW w:w="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w:t>
            </w:r>
          </w:p>
        </w:tc>
        <w:tc>
          <w:tcPr>
            <w:tcW w:w="3983" w:type="dxa"/>
            <w:gridSpan w:val="6"/>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8"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8" w:type="dxa"/>
            <w:gridSpan w:val="9"/>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Your Signature:</w:t>
            </w:r>
          </w:p>
        </w:tc>
      </w:tr>
      <w:tr>
        <w:trPr/>
        <w:tc>
          <w:tcPr>
            <w:tcW w:w="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8" w:type="dxa"/>
            <w:gridSpan w:val="9"/>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(Sign exactly as your name appears on the face of this Note)</w:t>
            </w:r>
          </w:p>
        </w:tc>
      </w:tr>
      <w:tr>
        <w:trPr/>
        <w:tc>
          <w:tcPr>
            <w:tcW w:w="7112" w:type="dxa"/>
            <w:gridSpan w:val="18"/>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Tax Identification No.:</w:t>
            </w:r>
          </w:p>
        </w:tc>
        <w:tc>
          <w:tcPr>
            <w:tcW w:w="2138"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7112" w:type="dxa"/>
            <w:gridSpan w:val="18"/>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pPr>
      <w:r>
        <w:rPr>
          <w:rFonts w:ascii="Times New Roman;serif" w:hAnsi="Times New Roman;serif"/>
          <w:b w:val="false"/>
          <w:color w:val="000000"/>
          <w:sz w:val="24"/>
        </w:rPr>
        <w:t>Signature</w:t>
      </w:r>
      <w:r>
        <w:rPr>
          <w:color w:val="000000"/>
        </w:rPr>
        <w:t xml:space="preserve"> </w:t>
      </w:r>
      <w:r>
        <w:rPr>
          <w:rFonts w:ascii="Times New Roman;serif" w:hAnsi="Times New Roman;serif"/>
          <w:b w:val="false"/>
          <w:color w:val="000000"/>
          <w:sz w:val="24"/>
        </w:rPr>
        <w:t>Guarantee*:</w:t>
      </w:r>
    </w:p>
    <w:p>
      <w:pPr>
        <w:pStyle w:val="TextBody"/>
        <w:bidi w:val="0"/>
        <w:spacing w:lineRule="auto" w:line="288" w:before="0" w:after="240"/>
        <w:ind w:left="0" w:right="0" w:hanging="720"/>
        <w:jc w:val="left"/>
        <w:rPr/>
      </w:pPr>
      <w:r>
        <w:rPr>
          <w:rFonts w:ascii="Times New Roman;serif" w:hAnsi="Times New Roman;serif"/>
          <w:b w:val="false"/>
          <w:color w:val="000000"/>
          <w:sz w:val="24"/>
        </w:rPr>
        <w:t>*</w:t>
      </w:r>
      <w:r>
        <w:rPr>
          <w:color w:val="000000"/>
        </w:rPr>
        <w:t>    </w:t>
      </w:r>
      <w:r>
        <w:rPr>
          <w:rFonts w:ascii="Times New Roman;serif" w:hAnsi="Times New Roman;serif"/>
          <w:b w:val="false"/>
          <w:color w:val="000000"/>
          <w:sz w:val="24"/>
        </w:rPr>
        <w:t>Participant</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recognized</w:t>
      </w:r>
      <w:r>
        <w:rPr>
          <w:color w:val="000000"/>
        </w:rPr>
        <w:t xml:space="preserve"> </w:t>
      </w:r>
      <w:r>
        <w:rPr>
          <w:rFonts w:ascii="Times New Roman;serif" w:hAnsi="Times New Roman;serif"/>
          <w:b w:val="false"/>
          <w:color w:val="000000"/>
          <w:sz w:val="24"/>
        </w:rPr>
        <w:t>Signature</w:t>
      </w:r>
      <w:r>
        <w:rPr>
          <w:color w:val="000000"/>
        </w:rPr>
        <w:t xml:space="preserve"> </w:t>
      </w:r>
      <w:r>
        <w:rPr>
          <w:rFonts w:ascii="Times New Roman;serif" w:hAnsi="Times New Roman;serif"/>
          <w:b w:val="false"/>
          <w:color w:val="000000"/>
          <w:sz w:val="24"/>
        </w:rPr>
        <w:t>Guarantee</w:t>
      </w:r>
      <w:r>
        <w:rPr>
          <w:color w:val="000000"/>
        </w:rPr>
        <w:t xml:space="preserve"> </w:t>
      </w:r>
      <w:r>
        <w:rPr>
          <w:rFonts w:ascii="Times New Roman;serif" w:hAnsi="Times New Roman;serif"/>
          <w:b w:val="false"/>
          <w:color w:val="000000"/>
          <w:sz w:val="24"/>
        </w:rPr>
        <w:t>Medallion</w:t>
      </w:r>
      <w:r>
        <w:rPr>
          <w:color w:val="000000"/>
        </w:rPr>
        <w:t xml:space="preserve"> </w:t>
      </w:r>
      <w:r>
        <w:rPr>
          <w:rFonts w:ascii="Times New Roman;serif" w:hAnsi="Times New Roman;serif"/>
          <w:b w:val="false"/>
          <w:color w:val="000000"/>
          <w:sz w:val="24"/>
        </w:rPr>
        <w:t>Program</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other</w:t>
      </w:r>
      <w:r>
        <w:rPr>
          <w:color w:val="000000"/>
        </w:rPr>
        <w:t xml:space="preserve"> </w:t>
      </w:r>
      <w:r>
        <w:rPr>
          <w:rFonts w:ascii="Times New Roman;serif" w:hAnsi="Times New Roman;serif"/>
          <w:b w:val="false"/>
          <w:color w:val="000000"/>
          <w:sz w:val="24"/>
        </w:rPr>
        <w:t>signature</w:t>
      </w:r>
      <w:r>
        <w:rPr>
          <w:color w:val="000000"/>
        </w:rPr>
        <w:t xml:space="preserve"> </w:t>
      </w:r>
      <w:r>
        <w:rPr>
          <w:rFonts w:ascii="Times New Roman;serif" w:hAnsi="Times New Roman;serif"/>
          <w:b w:val="false"/>
          <w:color w:val="000000"/>
          <w:sz w:val="24"/>
        </w:rPr>
        <w:t>guarantor</w:t>
      </w:r>
      <w:r>
        <w:rPr>
          <w:color w:val="000000"/>
        </w:rPr>
        <w:t xml:space="preserve"> </w:t>
      </w:r>
      <w:r>
        <w:rPr>
          <w:rFonts w:ascii="Times New Roman;serif" w:hAnsi="Times New Roman;serif"/>
          <w:b w:val="false"/>
          <w:color w:val="000000"/>
          <w:sz w:val="24"/>
        </w:rPr>
        <w:t>acceptable</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Trustee).</w:t>
      </w:r>
    </w:p>
    <w:p>
      <w:pPr>
        <w:pStyle w:val="TextBody"/>
        <w:bidi w:val="0"/>
        <w:spacing w:before="0" w:after="0"/>
        <w:jc w:val="left"/>
        <w:rPr/>
      </w:pPr>
      <w:r>
        <w:rPr/>
      </w:r>
      <w:r>
        <mc:AlternateContent>
          <mc:Choice Requires="wps">
            <w:drawing>
              <wp:anchor behindDoc="0" distT="0" distB="0" distL="0" distR="0" simplePos="0" locked="0" layoutInCell="1" allowOverlap="1" relativeHeight="277">
                <wp:simplePos x="0" y="0"/>
                <wp:positionH relativeFrom="character">
                  <wp:align>left</wp:align>
                </wp:positionH>
                <wp:positionV relativeFrom="line">
                  <wp:posOffset>635</wp:posOffset>
                </wp:positionV>
                <wp:extent cx="6480175" cy="175260"/>
                <wp:effectExtent l="0" t="0" r="0" b="0"/>
                <wp:wrapNone/>
                <wp:docPr id="276" name="Frame27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A-10</w:t>
                      </w:r>
                    </w:p>
                  </w:txbxContent>
                </v:textbox>
                <w10:wrap type="none"/>
              </v:rect>
            </w:pict>
          </mc:Fallback>
        </mc:AlternateContent>
      </w:r>
    </w:p>
    <w:p>
      <w:pPr>
        <w:pStyle w:val="TextBody"/>
        <w:bidi w:val="0"/>
        <w:spacing w:lineRule="auto" w:line="240" w:before="0" w:after="240"/>
        <w:jc w:val="center"/>
        <w:rPr/>
      </w:pPr>
      <w:r>
        <w:rPr>
          <w:rFonts w:ascii="Times New Roman;serif" w:hAnsi="Times New Roman;serif"/>
          <w:b/>
          <w:color w:val="000000"/>
          <w:sz w:val="24"/>
        </w:rPr>
        <w:t>Schedule</w:t>
      </w:r>
      <w:r>
        <w:rPr>
          <w:color w:val="000000"/>
        </w:rPr>
        <w:t xml:space="preserve"> </w:t>
      </w:r>
      <w:r>
        <w:rPr>
          <w:rFonts w:ascii="Times New Roman;serif" w:hAnsi="Times New Roman;serif"/>
          <w:b/>
          <w:color w:val="000000"/>
          <w:sz w:val="24"/>
        </w:rPr>
        <w:t>of</w:t>
      </w:r>
      <w:r>
        <w:rPr>
          <w:color w:val="000000"/>
        </w:rPr>
        <w:t xml:space="preserve"> </w:t>
      </w:r>
      <w:r>
        <w:rPr>
          <w:rFonts w:ascii="Times New Roman;serif" w:hAnsi="Times New Roman;serif"/>
          <w:b/>
          <w:color w:val="000000"/>
          <w:sz w:val="24"/>
        </w:rPr>
        <w:t>Exchanges</w:t>
      </w:r>
      <w:r>
        <w:rPr>
          <w:color w:val="000000"/>
        </w:rPr>
        <w:t xml:space="preserve"> </w:t>
      </w:r>
      <w:r>
        <w:rPr>
          <w:rFonts w:ascii="Times New Roman;serif" w:hAnsi="Times New Roman;serif"/>
          <w:b/>
          <w:color w:val="000000"/>
          <w:sz w:val="24"/>
        </w:rPr>
        <w:t>of</w:t>
      </w:r>
      <w:r>
        <w:rPr>
          <w:color w:val="000000"/>
        </w:rPr>
        <w:t xml:space="preserve"> </w:t>
      </w:r>
      <w:r>
        <w:rPr>
          <w:rFonts w:ascii="Times New Roman;serif" w:hAnsi="Times New Roman;serif"/>
          <w:b/>
          <w:color w:val="000000"/>
          <w:sz w:val="24"/>
        </w:rPr>
        <w:t>Interests</w:t>
      </w:r>
      <w:r>
        <w:rPr>
          <w:color w:val="000000"/>
        </w:rPr>
        <w:t xml:space="preserve"> </w:t>
      </w:r>
      <w:r>
        <w:rPr>
          <w:rFonts w:ascii="Times New Roman;serif" w:hAnsi="Times New Roman;serif"/>
          <w:b/>
          <w:color w:val="000000"/>
          <w:sz w:val="24"/>
        </w:rPr>
        <w:t>in</w:t>
      </w:r>
      <w:r>
        <w:rPr>
          <w:color w:val="000000"/>
        </w:rPr>
        <w:t xml:space="preserve"> </w:t>
      </w:r>
      <w:r>
        <w:rPr>
          <w:rFonts w:ascii="Times New Roman;serif" w:hAnsi="Times New Roman;serif"/>
          <w:b/>
          <w:color w:val="000000"/>
          <w:sz w:val="24"/>
        </w:rPr>
        <w:t>the</w:t>
      </w:r>
      <w:r>
        <w:rPr>
          <w:color w:val="000000"/>
        </w:rPr>
        <w:t xml:space="preserve"> </w:t>
      </w:r>
      <w:r>
        <w:rPr>
          <w:rFonts w:ascii="Times New Roman;serif" w:hAnsi="Times New Roman;serif"/>
          <w:b/>
          <w:color w:val="000000"/>
          <w:sz w:val="24"/>
        </w:rPr>
        <w:t>Global</w:t>
      </w:r>
      <w:r>
        <w:rPr>
          <w:color w:val="000000"/>
        </w:rPr>
        <w:t xml:space="preserve"> </w:t>
      </w:r>
      <w:r>
        <w:rPr>
          <w:rFonts w:ascii="Times New Roman;serif" w:hAnsi="Times New Roman;serif"/>
          <w:b/>
          <w:color w:val="000000"/>
          <w:sz w:val="24"/>
        </w:rPr>
        <w:t>Note</w:t>
      </w:r>
    </w:p>
    <w:p>
      <w:pPr>
        <w:pStyle w:val="TextBody"/>
        <w:bidi w:val="0"/>
        <w:spacing w:lineRule="auto" w:line="288" w:before="0" w:after="240"/>
        <w:ind w:left="0" w:right="0" w:firstLine="720"/>
        <w:jc w:val="both"/>
        <w:rPr/>
      </w:pP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following</w:t>
      </w:r>
      <w:r>
        <w:rPr>
          <w:color w:val="000000"/>
        </w:rPr>
        <w:t xml:space="preserve"> </w:t>
      </w:r>
      <w:r>
        <w:rPr>
          <w:rFonts w:ascii="Times New Roman;serif" w:hAnsi="Times New Roman;serif"/>
          <w:b w:val="false"/>
          <w:color w:val="000000"/>
          <w:sz w:val="24"/>
        </w:rPr>
        <w:t>exchanges</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part</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this</w:t>
      </w:r>
      <w:r>
        <w:rPr>
          <w:color w:val="000000"/>
        </w:rPr>
        <w:t xml:space="preserve"> </w:t>
      </w:r>
      <w:r>
        <w:rPr>
          <w:rFonts w:ascii="Times New Roman;serif" w:hAnsi="Times New Roman;serif"/>
          <w:b w:val="false"/>
          <w:color w:val="000000"/>
          <w:sz w:val="24"/>
        </w:rPr>
        <w:t>Global</w:t>
      </w:r>
      <w:r>
        <w:rPr>
          <w:color w:val="000000"/>
        </w:rPr>
        <w:t xml:space="preserve"> </w:t>
      </w:r>
      <w:r>
        <w:rPr>
          <w:rFonts w:ascii="Times New Roman;serif" w:hAnsi="Times New Roman;serif"/>
          <w:b w:val="false"/>
          <w:color w:val="000000"/>
          <w:sz w:val="24"/>
        </w:rPr>
        <w:t>Note</w:t>
      </w:r>
      <w:r>
        <w:rPr>
          <w:color w:val="000000"/>
        </w:rPr>
        <w:t xml:space="preserve"> </w:t>
      </w:r>
      <w:r>
        <w:rPr>
          <w:rFonts w:ascii="Times New Roman;serif" w:hAnsi="Times New Roman;serif"/>
          <w:b w:val="false"/>
          <w:color w:val="000000"/>
          <w:sz w:val="24"/>
        </w:rPr>
        <w:t>for</w:t>
      </w:r>
      <w:r>
        <w:rPr>
          <w:color w:val="000000"/>
        </w:rPr>
        <w:t xml:space="preserve"> </w:t>
      </w:r>
      <w:r>
        <w:rPr>
          <w:rFonts w:ascii="Times New Roman;serif" w:hAnsi="Times New Roman;serif"/>
          <w:b w:val="false"/>
          <w:color w:val="000000"/>
          <w:sz w:val="24"/>
        </w:rPr>
        <w:t>an</w:t>
      </w:r>
      <w:r>
        <w:rPr>
          <w:color w:val="000000"/>
        </w:rPr>
        <w:t xml:space="preserve"> </w:t>
      </w:r>
      <w:r>
        <w:rPr>
          <w:rFonts w:ascii="Times New Roman;serif" w:hAnsi="Times New Roman;serif"/>
          <w:b w:val="false"/>
          <w:color w:val="000000"/>
          <w:sz w:val="24"/>
        </w:rPr>
        <w:t>interest</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another</w:t>
      </w:r>
      <w:r>
        <w:rPr>
          <w:color w:val="000000"/>
        </w:rPr>
        <w:t xml:space="preserve"> </w:t>
      </w:r>
      <w:r>
        <w:rPr>
          <w:rFonts w:ascii="Times New Roman;serif" w:hAnsi="Times New Roman;serif"/>
          <w:b w:val="false"/>
          <w:color w:val="000000"/>
          <w:sz w:val="24"/>
        </w:rPr>
        <w:t>Global</w:t>
      </w:r>
      <w:r>
        <w:rPr>
          <w:color w:val="000000"/>
        </w:rPr>
        <w:t xml:space="preserve"> </w:t>
      </w:r>
      <w:r>
        <w:rPr>
          <w:rFonts w:ascii="Times New Roman;serif" w:hAnsi="Times New Roman;serif"/>
          <w:b w:val="false"/>
          <w:color w:val="000000"/>
          <w:sz w:val="24"/>
        </w:rPr>
        <w:t>Note</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for</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Definitive</w:t>
      </w:r>
      <w:r>
        <w:rPr>
          <w:color w:val="000000"/>
        </w:rPr>
        <w:t xml:space="preserve"> </w:t>
      </w:r>
      <w:r>
        <w:rPr>
          <w:rFonts w:ascii="Times New Roman;serif" w:hAnsi="Times New Roman;serif"/>
          <w:b w:val="false"/>
          <w:color w:val="000000"/>
          <w:sz w:val="24"/>
        </w:rPr>
        <w:t>Note,</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exchanges</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part</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another Global Note or Definitive Note for an interest in this Global Note, have been made:</w:t>
      </w:r>
    </w:p>
    <w:tbl>
      <w:tblPr>
        <w:tblW w:w="10205" w:type="dxa"/>
        <w:jc w:val="left"/>
        <w:tblInd w:w="0" w:type="dxa"/>
        <w:tblLayout w:type="fixed"/>
        <w:tblCellMar>
          <w:top w:w="28" w:type="dxa"/>
          <w:left w:w="28" w:type="dxa"/>
          <w:bottom w:w="28" w:type="dxa"/>
          <w:right w:w="28" w:type="dxa"/>
        </w:tblCellMar>
      </w:tblPr>
      <w:tblGrid>
        <w:gridCol w:w="469"/>
        <w:gridCol w:w="411"/>
        <w:gridCol w:w="413"/>
        <w:gridCol w:w="712"/>
        <w:gridCol w:w="712"/>
        <w:gridCol w:w="714"/>
        <w:gridCol w:w="708"/>
        <w:gridCol w:w="708"/>
        <w:gridCol w:w="711"/>
        <w:gridCol w:w="812"/>
        <w:gridCol w:w="812"/>
        <w:gridCol w:w="815"/>
        <w:gridCol w:w="645"/>
        <w:gridCol w:w="645"/>
        <w:gridCol w:w="918"/>
      </w:tblGrid>
      <w:tr>
        <w:trPr/>
        <w:tc>
          <w:tcPr>
            <w:tcW w:w="46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r>
      <w:tr>
        <w:trPr/>
        <w:tc>
          <w:tcPr>
            <w:tcW w:w="12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Date of Exchange</w:t>
            </w:r>
          </w:p>
        </w:tc>
        <w:tc>
          <w:tcPr>
            <w:tcW w:w="21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Amount of decrease in Principal Amount of this Global Note</w:t>
            </w:r>
          </w:p>
        </w:tc>
        <w:tc>
          <w:tcPr>
            <w:tcW w:w="21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Amount of increase in Principal Amount of this Global Note</w:t>
            </w:r>
          </w:p>
        </w:tc>
        <w:tc>
          <w:tcPr>
            <w:tcW w:w="2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Principal Amount of this Global Note following such decrease (or increase)</w:t>
            </w:r>
          </w:p>
        </w:tc>
        <w:tc>
          <w:tcPr>
            <w:tcW w:w="22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Signature of authorized officer of Trustee or Custodian</w:t>
            </w:r>
          </w:p>
        </w:tc>
      </w:tr>
      <w:tr>
        <w:trPr/>
        <w:tc>
          <w:tcPr>
            <w:tcW w:w="1293"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8"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8"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hanging="720"/>
        <w:jc w:val="left"/>
        <w:rPr/>
      </w:pPr>
      <w:r>
        <w:rPr>
          <w:rFonts w:ascii="Times New Roman;serif" w:hAnsi="Times New Roman;serif"/>
          <w:b w:val="false"/>
          <w:i/>
          <w:color w:val="000000"/>
          <w:sz w:val="24"/>
        </w:rPr>
        <w:t>*</w:t>
      </w:r>
      <w:r>
        <w:rPr>
          <w:color w:val="000000"/>
        </w:rPr>
        <w:t xml:space="preserve"> </w:t>
      </w:r>
      <w:r>
        <w:rPr>
          <w:rFonts w:ascii="Times New Roman;serif" w:hAnsi="Times New Roman;serif"/>
          <w:b w:val="false"/>
          <w:i/>
          <w:color w:val="000000"/>
          <w:sz w:val="24"/>
        </w:rPr>
        <w:t>This</w:t>
      </w:r>
      <w:r>
        <w:rPr>
          <w:color w:val="000000"/>
        </w:rPr>
        <w:t xml:space="preserve"> </w:t>
      </w:r>
      <w:r>
        <w:rPr>
          <w:rFonts w:ascii="Times New Roman;serif" w:hAnsi="Times New Roman;serif"/>
          <w:b w:val="false"/>
          <w:i/>
          <w:color w:val="000000"/>
          <w:sz w:val="24"/>
        </w:rPr>
        <w:t>schedule</w:t>
      </w:r>
      <w:r>
        <w:rPr>
          <w:color w:val="000000"/>
        </w:rPr>
        <w:t xml:space="preserve"> </w:t>
      </w:r>
      <w:r>
        <w:rPr>
          <w:rFonts w:ascii="Times New Roman;serif" w:hAnsi="Times New Roman;serif"/>
          <w:b w:val="false"/>
          <w:i/>
          <w:color w:val="000000"/>
          <w:sz w:val="24"/>
        </w:rPr>
        <w:t>should</w:t>
      </w:r>
      <w:r>
        <w:rPr>
          <w:color w:val="000000"/>
        </w:rPr>
        <w:t xml:space="preserve"> </w:t>
      </w:r>
      <w:r>
        <w:rPr>
          <w:rFonts w:ascii="Times New Roman;serif" w:hAnsi="Times New Roman;serif"/>
          <w:b w:val="false"/>
          <w:i/>
          <w:color w:val="000000"/>
          <w:sz w:val="24"/>
        </w:rPr>
        <w:t>be</w:t>
      </w:r>
      <w:r>
        <w:rPr>
          <w:color w:val="000000"/>
        </w:rPr>
        <w:t xml:space="preserve"> </w:t>
      </w:r>
      <w:r>
        <w:rPr>
          <w:rFonts w:ascii="Times New Roman;serif" w:hAnsi="Times New Roman;serif"/>
          <w:b w:val="false"/>
          <w:i/>
          <w:color w:val="000000"/>
          <w:sz w:val="24"/>
        </w:rPr>
        <w:t>included</w:t>
      </w:r>
      <w:r>
        <w:rPr>
          <w:color w:val="000000"/>
        </w:rPr>
        <w:t xml:space="preserve"> </w:t>
      </w:r>
      <w:r>
        <w:rPr>
          <w:rFonts w:ascii="Times New Roman;serif" w:hAnsi="Times New Roman;serif"/>
          <w:b w:val="false"/>
          <w:i/>
          <w:color w:val="000000"/>
          <w:sz w:val="24"/>
        </w:rPr>
        <w:t>only</w:t>
      </w:r>
      <w:r>
        <w:rPr>
          <w:color w:val="000000"/>
        </w:rPr>
        <w:t xml:space="preserve"> </w:t>
      </w:r>
      <w:r>
        <w:rPr>
          <w:rFonts w:ascii="Times New Roman;serif" w:hAnsi="Times New Roman;serif"/>
          <w:b w:val="false"/>
          <w:i/>
          <w:color w:val="000000"/>
          <w:sz w:val="24"/>
        </w:rPr>
        <w:t>if</w:t>
      </w:r>
      <w:r>
        <w:rPr>
          <w:color w:val="000000"/>
        </w:rPr>
        <w:t xml:space="preserve"> </w:t>
      </w:r>
      <w:r>
        <w:rPr>
          <w:rFonts w:ascii="Times New Roman;serif" w:hAnsi="Times New Roman;serif"/>
          <w:b w:val="false"/>
          <w:i/>
          <w:color w:val="000000"/>
          <w:sz w:val="24"/>
        </w:rPr>
        <w:t>the</w:t>
      </w:r>
      <w:r>
        <w:rPr>
          <w:color w:val="000000"/>
        </w:rPr>
        <w:t xml:space="preserve"> </w:t>
      </w:r>
      <w:r>
        <w:rPr>
          <w:rFonts w:ascii="Times New Roman;serif" w:hAnsi="Times New Roman;serif"/>
          <w:b w:val="false"/>
          <w:i/>
          <w:color w:val="000000"/>
          <w:sz w:val="24"/>
        </w:rPr>
        <w:t>Note</w:t>
      </w:r>
      <w:r>
        <w:rPr>
          <w:color w:val="000000"/>
        </w:rPr>
        <w:t xml:space="preserve"> </w:t>
      </w:r>
      <w:r>
        <w:rPr>
          <w:rFonts w:ascii="Times New Roman;serif" w:hAnsi="Times New Roman;serif"/>
          <w:b w:val="false"/>
          <w:i/>
          <w:color w:val="000000"/>
          <w:sz w:val="24"/>
        </w:rPr>
        <w:t>is</w:t>
      </w:r>
      <w:r>
        <w:rPr>
          <w:color w:val="000000"/>
        </w:rPr>
        <w:t xml:space="preserve"> </w:t>
      </w:r>
      <w:r>
        <w:rPr>
          <w:rFonts w:ascii="Times New Roman;serif" w:hAnsi="Times New Roman;serif"/>
          <w:b w:val="false"/>
          <w:i/>
          <w:color w:val="000000"/>
          <w:sz w:val="24"/>
        </w:rPr>
        <w:t>issued</w:t>
      </w:r>
      <w:r>
        <w:rPr>
          <w:color w:val="000000"/>
        </w:rPr>
        <w:t xml:space="preserve"> </w:t>
      </w:r>
      <w:r>
        <w:rPr>
          <w:rFonts w:ascii="Times New Roman;serif" w:hAnsi="Times New Roman;serif"/>
          <w:b w:val="false"/>
          <w:i/>
          <w:color w:val="000000"/>
          <w:sz w:val="24"/>
        </w:rPr>
        <w:t>in</w:t>
      </w:r>
      <w:r>
        <w:rPr>
          <w:color w:val="000000"/>
        </w:rPr>
        <w:t xml:space="preserve"> </w:t>
      </w:r>
      <w:r>
        <w:rPr>
          <w:rFonts w:ascii="Times New Roman;serif" w:hAnsi="Times New Roman;serif"/>
          <w:b w:val="false"/>
          <w:i/>
          <w:color w:val="000000"/>
          <w:sz w:val="24"/>
        </w:rPr>
        <w:t>global</w:t>
      </w:r>
      <w:r>
        <w:rPr>
          <w:color w:val="000000"/>
        </w:rPr>
        <w:t xml:space="preserve"> </w:t>
      </w:r>
      <w:r>
        <w:rPr>
          <w:rFonts w:ascii="Times New Roman;serif" w:hAnsi="Times New Roman;serif"/>
          <w:b w:val="false"/>
          <w:i/>
          <w:color w:val="000000"/>
          <w:sz w:val="24"/>
        </w:rPr>
        <w:t>form.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78">
                <wp:simplePos x="0" y="0"/>
                <wp:positionH relativeFrom="character">
                  <wp:align>left</wp:align>
                </wp:positionH>
                <wp:positionV relativeFrom="line">
                  <wp:posOffset>635</wp:posOffset>
                </wp:positionV>
                <wp:extent cx="6480175" cy="175260"/>
                <wp:effectExtent l="0" t="0" r="0" b="0"/>
                <wp:wrapNone/>
                <wp:docPr id="277" name="Frame27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A-11</w:t>
                      </w:r>
                    </w:p>
                  </w:txbxContent>
                </v:textbox>
                <w10:wrap type="none"/>
              </v:rect>
            </w:pict>
          </mc:Fallback>
        </mc:AlternateContent>
      </w:r>
    </w:p>
    <w:p>
      <w:pPr>
        <w:pStyle w:val="TextBody"/>
        <w:bidi w:val="0"/>
        <w:spacing w:lineRule="auto" w:line="240" w:before="0" w:after="240"/>
        <w:jc w:val="center"/>
        <w:rPr/>
      </w:pPr>
      <w:r>
        <w:rPr>
          <w:rFonts w:ascii="Times New Roman;serif" w:hAnsi="Times New Roman;serif"/>
          <w:b/>
          <w:color w:val="000000"/>
          <w:sz w:val="24"/>
        </w:rPr>
        <w:t>Exhibit B</w:t>
      </w:r>
      <w:r>
        <w:rPr>
          <w:rFonts w:ascii="Times New Roman;serif" w:hAnsi="Times New Roman;serif"/>
          <w:b/>
          <w:color w:val="000000"/>
          <w:sz w:val="24"/>
        </w:rPr>
        <w:br/>
        <w:br/>
        <w:t>FORM</w:t>
      </w:r>
      <w:r>
        <w:rPr>
          <w:color w:val="000000"/>
        </w:rPr>
        <w:t xml:space="preserve"> </w:t>
      </w:r>
      <w:r>
        <w:rPr>
          <w:rFonts w:ascii="Times New Roman;serif" w:hAnsi="Times New Roman;serif"/>
          <w:b/>
          <w:color w:val="000000"/>
          <w:sz w:val="24"/>
        </w:rPr>
        <w:t>OF CERTIFICATE</w:t>
      </w:r>
      <w:r>
        <w:rPr>
          <w:color w:val="000000"/>
        </w:rPr>
        <w:t xml:space="preserve"> </w:t>
      </w:r>
      <w:r>
        <w:rPr>
          <w:rFonts w:ascii="Times New Roman;serif" w:hAnsi="Times New Roman;serif"/>
          <w:b/>
          <w:color w:val="000000"/>
          <w:sz w:val="24"/>
        </w:rPr>
        <w:t>OF</w:t>
      </w:r>
      <w:r>
        <w:rPr>
          <w:color w:val="000000"/>
        </w:rPr>
        <w:t xml:space="preserve"> </w:t>
      </w:r>
      <w:r>
        <w:rPr>
          <w:rFonts w:ascii="Times New Roman;serif" w:hAnsi="Times New Roman;serif"/>
          <w:b/>
          <w:color w:val="000000"/>
          <w:sz w:val="24"/>
        </w:rPr>
        <w:t>TRANSFER</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Talen Energy Supply, LLC</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2929 Allen Parkway, Suite 2200</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Houston, Texas 77019</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Attention: Treasurer</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E-mail: TalenTreasury@talenenergy.com</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Wilmington Savings Fund Society, FSB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Wilmington Savings Fund</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300 Bellevue Parkway, Suite 300</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Wilmington, Delaware 19809</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Attn: Anita Woolery</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E-Mail: awoolery@wsfsbank.com</w:t>
      </w:r>
    </w:p>
    <w:p>
      <w:pPr>
        <w:pStyle w:val="TextBody"/>
        <w:bidi w:val="0"/>
        <w:spacing w:before="0" w:after="0"/>
        <w:jc w:val="left"/>
        <w:rPr/>
      </w:pPr>
      <w:r>
        <w:rPr/>
      </w:r>
    </w:p>
    <w:p>
      <w:pPr>
        <w:pStyle w:val="TextBody"/>
        <w:bidi w:val="0"/>
        <w:spacing w:lineRule="auto" w:line="288" w:before="0" w:after="240"/>
        <w:ind w:left="0" w:right="0" w:firstLine="720"/>
        <w:jc w:val="both"/>
        <w:rPr/>
      </w:pPr>
      <w:r>
        <w:rPr>
          <w:rFonts w:ascii="Times New Roman;serif" w:hAnsi="Times New Roman;serif"/>
          <w:b w:val="false"/>
          <w:color w:val="000000"/>
          <w:sz w:val="24"/>
        </w:rPr>
        <w:t>Re:</w:t>
      </w:r>
      <w:r>
        <w:rPr>
          <w:color w:val="000000"/>
        </w:rPr>
        <w:t>    </w:t>
      </w:r>
      <w:r>
        <w:rPr>
          <w:rFonts w:ascii="Times New Roman;serif" w:hAnsi="Times New Roman;serif"/>
          <w:b w:val="false"/>
          <w:color w:val="000000"/>
          <w:sz w:val="24"/>
          <w:u w:val="single"/>
        </w:rPr>
        <w:t>6.375%</w:t>
      </w:r>
      <w:r>
        <w:rPr>
          <w:color w:val="000000"/>
          <w:u w:val="single"/>
        </w:rPr>
        <w:t xml:space="preserve"> </w:t>
      </w:r>
      <w:r>
        <w:rPr>
          <w:rFonts w:ascii="Times New Roman;serif" w:hAnsi="Times New Roman;serif"/>
          <w:b w:val="false"/>
          <w:color w:val="000000"/>
          <w:sz w:val="24"/>
          <w:u w:val="single"/>
        </w:rPr>
        <w:t>Senior</w:t>
      </w:r>
      <w:r>
        <w:rPr>
          <w:color w:val="000000"/>
          <w:u w:val="single"/>
        </w:rPr>
        <w:t xml:space="preserve"> </w:t>
      </w:r>
      <w:r>
        <w:rPr>
          <w:rFonts w:ascii="Times New Roman;serif" w:hAnsi="Times New Roman;serif"/>
          <w:b w:val="false"/>
          <w:color w:val="000000"/>
          <w:sz w:val="24"/>
          <w:u w:val="single"/>
        </w:rPr>
        <w:t>Notes</w:t>
      </w:r>
      <w:r>
        <w:rPr>
          <w:color w:val="000000"/>
          <w:u w:val="single"/>
        </w:rPr>
        <w:t xml:space="preserve"> </w:t>
      </w:r>
      <w:r>
        <w:rPr>
          <w:rFonts w:ascii="Times New Roman;serif" w:hAnsi="Times New Roman;serif"/>
          <w:b w:val="false"/>
          <w:color w:val="000000"/>
          <w:sz w:val="24"/>
          <w:u w:val="single"/>
        </w:rPr>
        <w:t>due</w:t>
      </w:r>
      <w:r>
        <w:rPr>
          <w:color w:val="000000"/>
          <w:u w:val="single"/>
        </w:rPr>
        <w:t xml:space="preserve"> </w:t>
      </w:r>
      <w:r>
        <w:rPr>
          <w:rFonts w:ascii="Times New Roman;serif" w:hAnsi="Times New Roman;serif"/>
          <w:b w:val="false"/>
          <w:color w:val="000000"/>
          <w:sz w:val="24"/>
          <w:u w:val="single"/>
        </w:rPr>
        <w:t>2033</w:t>
      </w:r>
    </w:p>
    <w:p>
      <w:pPr>
        <w:pStyle w:val="TextBody"/>
        <w:bidi w:val="0"/>
        <w:spacing w:lineRule="auto" w:line="288" w:before="0" w:after="240"/>
        <w:ind w:left="0" w:right="0" w:firstLine="720"/>
        <w:jc w:val="both"/>
        <w:rPr/>
      </w:pPr>
      <w:r>
        <w:rPr>
          <w:rFonts w:ascii="Times New Roman;serif" w:hAnsi="Times New Roman;serif"/>
          <w:b w:val="false"/>
          <w:color w:val="000000"/>
          <w:sz w:val="24"/>
        </w:rPr>
        <w:t>Reference is hereby made to the Indenture, dated as of April 29, 2026 (the “</w:t>
      </w:r>
      <w:r>
        <w:rPr>
          <w:rFonts w:ascii="Times New Roman;serif" w:hAnsi="Times New Roman;serif"/>
          <w:b/>
          <w:i/>
          <w:color w:val="000000"/>
          <w:sz w:val="24"/>
        </w:rPr>
        <w:t>Indenture</w:t>
      </w:r>
      <w:r>
        <w:rPr>
          <w:color w:val="000000"/>
        </w:rPr>
        <w:t>”</w:t>
      </w:r>
      <w:r>
        <w:rPr>
          <w:rFonts w:ascii="Times New Roman;serif" w:hAnsi="Times New Roman;serif"/>
          <w:b w:val="false"/>
          <w:color w:val="000000"/>
          <w:sz w:val="24"/>
        </w:rPr>
        <w:t>), among Talen Energy Supply, LLC, as issuer (the “</w:t>
      </w:r>
      <w:r>
        <w:rPr>
          <w:rFonts w:ascii="Times New Roman;serif" w:hAnsi="Times New Roman;serif"/>
          <w:b/>
          <w:i/>
          <w:color w:val="000000"/>
          <w:sz w:val="24"/>
        </w:rPr>
        <w:t>Issuer</w:t>
      </w:r>
      <w:r>
        <w:rPr>
          <w:color w:val="000000"/>
        </w:rPr>
        <w:t>”</w:t>
      </w:r>
      <w:r>
        <w:rPr>
          <w:rFonts w:ascii="Times New Roman;serif" w:hAnsi="Times New Roman;serif"/>
          <w:b w:val="false"/>
          <w:color w:val="000000"/>
          <w:sz w:val="24"/>
        </w:rPr>
        <w:t>), the Subsidiary Guarantors party thereto and Wilmington Savings Fund Society, FSB, as trustee. Capitalized</w:t>
      </w:r>
      <w:r>
        <w:rPr>
          <w:color w:val="000000"/>
        </w:rPr>
        <w:t xml:space="preserve"> </w:t>
      </w:r>
      <w:r>
        <w:rPr>
          <w:rFonts w:ascii="Times New Roman;serif" w:hAnsi="Times New Roman;serif"/>
          <w:b w:val="false"/>
          <w:color w:val="000000"/>
          <w:sz w:val="24"/>
        </w:rPr>
        <w:t>terms used but not defined herein shall have the meanings given to them in the Indenture.</w:t>
      </w:r>
    </w:p>
    <w:p>
      <w:pPr>
        <w:pStyle w:val="TextBody"/>
        <w:bidi w:val="0"/>
        <w:spacing w:lineRule="auto" w:line="288" w:before="0" w:after="240"/>
        <w:ind w:left="0" w:right="0" w:firstLine="720"/>
        <w:jc w:val="both"/>
        <w:rPr/>
      </w:pPr>
      <w:r>
        <w:rPr>
          <w:rFonts w:ascii="Times New Roman;serif" w:hAnsi="Times New Roman;serif"/>
          <w:b w:val="false"/>
          <w:color w:val="000000"/>
          <w:sz w:val="24"/>
        </w:rPr>
        <w:t>_________________, (the “</w:t>
      </w:r>
      <w:r>
        <w:rPr>
          <w:rFonts w:ascii="Times New Roman;serif" w:hAnsi="Times New Roman;serif"/>
          <w:b/>
          <w:i/>
          <w:color w:val="000000"/>
          <w:sz w:val="24"/>
        </w:rPr>
        <w:t>Transferor</w:t>
      </w:r>
      <w:r>
        <w:rPr>
          <w:color w:val="000000"/>
        </w:rPr>
        <w:t>”</w:t>
      </w:r>
      <w:r>
        <w:rPr>
          <w:rFonts w:ascii="Times New Roman;serif" w:hAnsi="Times New Roman;serif"/>
          <w:b w:val="false"/>
          <w:color w:val="000000"/>
          <w:sz w:val="24"/>
        </w:rPr>
        <w:t>) owns and proposes to transfer the Note[s] or interest in such Note[s] specified in Annex A hereto, in the principal</w:t>
      </w:r>
      <w:r>
        <w:rPr>
          <w:color w:val="000000"/>
        </w:rPr>
        <w:t xml:space="preserve"> </w:t>
      </w:r>
      <w:r>
        <w:rPr>
          <w:rFonts w:ascii="Times New Roman;serif" w:hAnsi="Times New Roman;serif"/>
          <w:b w:val="false"/>
          <w:color w:val="000000"/>
          <w:sz w:val="24"/>
        </w:rPr>
        <w:t>amount</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in such Note[s] or interests (the “</w:t>
      </w:r>
      <w:r>
        <w:rPr>
          <w:rFonts w:ascii="Times New Roman;serif" w:hAnsi="Times New Roman;serif"/>
          <w:b/>
          <w:i/>
          <w:color w:val="000000"/>
          <w:sz w:val="24"/>
        </w:rPr>
        <w:t>Transfer</w:t>
      </w:r>
      <w:r>
        <w:rPr>
          <w:color w:val="000000"/>
        </w:rPr>
        <w:t>”</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(the “</w:t>
      </w:r>
      <w:r>
        <w:rPr>
          <w:rFonts w:ascii="Times New Roman;serif" w:hAnsi="Times New Roman;serif"/>
          <w:b/>
          <w:i/>
          <w:color w:val="000000"/>
          <w:sz w:val="24"/>
        </w:rPr>
        <w:t>Transferee</w:t>
      </w:r>
      <w:r>
        <w:rPr>
          <w:color w:val="000000"/>
        </w:rPr>
        <w:t>”</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as</w:t>
      </w:r>
      <w:r>
        <w:rPr>
          <w:color w:val="000000"/>
        </w:rPr>
        <w:t xml:space="preserve"> </w:t>
      </w:r>
      <w:r>
        <w:rPr>
          <w:rFonts w:ascii="Times New Roman;serif" w:hAnsi="Times New Roman;serif"/>
          <w:b w:val="false"/>
          <w:color w:val="000000"/>
          <w:sz w:val="24"/>
        </w:rPr>
        <w:t>further specified in</w:t>
      </w:r>
      <w:r>
        <w:rPr>
          <w:color w:val="000000"/>
        </w:rPr>
        <w:t xml:space="preserve"> </w:t>
      </w:r>
      <w:r>
        <w:rPr>
          <w:rFonts w:ascii="Times New Roman;serif" w:hAnsi="Times New Roman;serif"/>
          <w:b w:val="false"/>
          <w:color w:val="000000"/>
          <w:sz w:val="24"/>
        </w:rPr>
        <w:t>Annex A hereto. In connection</w:t>
      </w:r>
      <w:r>
        <w:rPr>
          <w:color w:val="000000"/>
        </w:rPr>
        <w:t xml:space="preserve"> </w:t>
      </w:r>
      <w:r>
        <w:rPr>
          <w:rFonts w:ascii="Times New Roman;serif" w:hAnsi="Times New Roman;serif"/>
          <w:b w:val="false"/>
          <w:color w:val="000000"/>
          <w:sz w:val="24"/>
        </w:rPr>
        <w:t>with the</w:t>
      </w:r>
      <w:r>
        <w:rPr>
          <w:color w:val="000000"/>
        </w:rPr>
        <w:t xml:space="preserve"> </w:t>
      </w:r>
      <w:r>
        <w:rPr>
          <w:rFonts w:ascii="Times New Roman;serif" w:hAnsi="Times New Roman;serif"/>
          <w:b w:val="false"/>
          <w:color w:val="000000"/>
          <w:sz w:val="24"/>
        </w:rPr>
        <w:t>Transfer,</w:t>
      </w:r>
      <w:r>
        <w:rPr>
          <w:color w:val="000000"/>
        </w:rPr>
        <w:t xml:space="preserve"> </w:t>
      </w:r>
      <w:r>
        <w:rPr>
          <w:rFonts w:ascii="Times New Roman;serif" w:hAnsi="Times New Roman;serif"/>
          <w:b w:val="false"/>
          <w:color w:val="000000"/>
          <w:sz w:val="24"/>
        </w:rPr>
        <w:t>the Transferor hereby certifies that:</w:t>
      </w:r>
    </w:p>
    <w:p>
      <w:pPr>
        <w:pStyle w:val="TextBody"/>
        <w:bidi w:val="0"/>
        <w:spacing w:lineRule="auto" w:line="288" w:before="0" w:after="240"/>
        <w:jc w:val="center"/>
        <w:rPr/>
      </w:pPr>
      <w:r>
        <w:rPr>
          <w:rFonts w:ascii="Times New Roman;serif" w:hAnsi="Times New Roman;serif"/>
          <w:b/>
          <w:color w:val="000000"/>
          <w:sz w:val="24"/>
        </w:rPr>
        <w:t>[CHECK</w:t>
      </w:r>
      <w:r>
        <w:rPr>
          <w:color w:val="000000"/>
        </w:rPr>
        <w:t xml:space="preserve"> </w:t>
      </w:r>
      <w:r>
        <w:rPr>
          <w:rFonts w:ascii="Times New Roman;serif" w:hAnsi="Times New Roman;serif"/>
          <w:b/>
          <w:color w:val="000000"/>
          <w:sz w:val="24"/>
        </w:rPr>
        <w:t>ALL</w:t>
      </w:r>
      <w:r>
        <w:rPr>
          <w:color w:val="000000"/>
        </w:rPr>
        <w:t xml:space="preserve"> </w:t>
      </w:r>
      <w:r>
        <w:rPr>
          <w:rFonts w:ascii="Times New Roman;serif" w:hAnsi="Times New Roman;serif"/>
          <w:b/>
          <w:color w:val="000000"/>
          <w:sz w:val="24"/>
        </w:rPr>
        <w:t>THAT</w:t>
      </w:r>
      <w:r>
        <w:rPr>
          <w:color w:val="000000"/>
        </w:rPr>
        <w:t xml:space="preserve"> </w:t>
      </w:r>
      <w:r>
        <w:rPr>
          <w:rFonts w:ascii="Times New Roman;serif" w:hAnsi="Times New Roman;serif"/>
          <w:b/>
          <w:color w:val="000000"/>
          <w:sz w:val="24"/>
        </w:rPr>
        <w:t>APPLY]</w:t>
      </w:r>
    </w:p>
    <w:p>
      <w:pPr>
        <w:pStyle w:val="TextBody"/>
        <w:bidi w:val="0"/>
        <w:spacing w:lineRule="auto" w:line="240" w:before="0" w:after="240"/>
        <w:ind w:left="0" w:right="0" w:firstLine="720"/>
        <w:jc w:val="both"/>
        <w:rPr/>
      </w:pPr>
      <w:r>
        <w:rPr>
          <w:rFonts w:ascii="Times New Roman;serif" w:hAnsi="Times New Roman;serif"/>
          <w:b w:val="false"/>
          <w:color w:val="000000"/>
          <w:sz w:val="24"/>
        </w:rPr>
        <w:t>1.</w:t>
      </w:r>
      <w:r>
        <w:rPr>
          <w:color w:val="000000"/>
        </w:rPr>
        <w:t>☐</w:t>
      </w:r>
      <w:r>
        <w:rPr>
          <w:color w:val="000000"/>
        </w:rPr>
        <w:t xml:space="preserve">     </w:t>
      </w:r>
      <w:r>
        <w:rPr>
          <w:rFonts w:ascii="Times New Roman;serif" w:hAnsi="Times New Roman;serif"/>
          <w:b/>
          <w:color w:val="000000"/>
          <w:sz w:val="24"/>
        </w:rPr>
        <w:t>Check</w:t>
      </w:r>
      <w:r>
        <w:rPr>
          <w:color w:val="000000"/>
        </w:rPr>
        <w:t xml:space="preserve"> </w:t>
      </w:r>
      <w:r>
        <w:rPr>
          <w:rFonts w:ascii="Times New Roman;serif" w:hAnsi="Times New Roman;serif"/>
          <w:b/>
          <w:color w:val="000000"/>
          <w:sz w:val="24"/>
        </w:rPr>
        <w:t>if</w:t>
      </w:r>
      <w:r>
        <w:rPr>
          <w:color w:val="000000"/>
        </w:rPr>
        <w:t xml:space="preserve"> </w:t>
      </w:r>
      <w:r>
        <w:rPr>
          <w:rFonts w:ascii="Times New Roman;serif" w:hAnsi="Times New Roman;serif"/>
          <w:b/>
          <w:color w:val="000000"/>
          <w:sz w:val="24"/>
        </w:rPr>
        <w:t>Transferee</w:t>
      </w:r>
      <w:r>
        <w:rPr>
          <w:color w:val="000000"/>
        </w:rPr>
        <w:t xml:space="preserve"> </w:t>
      </w:r>
      <w:r>
        <w:rPr>
          <w:rFonts w:ascii="Times New Roman;serif" w:hAnsi="Times New Roman;serif"/>
          <w:b/>
          <w:color w:val="000000"/>
          <w:sz w:val="24"/>
        </w:rPr>
        <w:t>will</w:t>
      </w:r>
      <w:r>
        <w:rPr>
          <w:color w:val="000000"/>
        </w:rPr>
        <w:t xml:space="preserve"> </w:t>
      </w:r>
      <w:r>
        <w:rPr>
          <w:rFonts w:ascii="Times New Roman;serif" w:hAnsi="Times New Roman;serif"/>
          <w:b/>
          <w:color w:val="000000"/>
          <w:sz w:val="24"/>
        </w:rPr>
        <w:t>take</w:t>
      </w:r>
      <w:r>
        <w:rPr>
          <w:color w:val="000000"/>
        </w:rPr>
        <w:t xml:space="preserve"> </w:t>
      </w:r>
      <w:r>
        <w:rPr>
          <w:rFonts w:ascii="Times New Roman;serif" w:hAnsi="Times New Roman;serif"/>
          <w:b/>
          <w:color w:val="000000"/>
          <w:sz w:val="24"/>
        </w:rPr>
        <w:t>delivery</w:t>
      </w:r>
      <w:r>
        <w:rPr>
          <w:color w:val="000000"/>
        </w:rPr>
        <w:t xml:space="preserve"> </w:t>
      </w:r>
      <w:r>
        <w:rPr>
          <w:rFonts w:ascii="Times New Roman;serif" w:hAnsi="Times New Roman;serif"/>
          <w:b/>
          <w:color w:val="000000"/>
          <w:sz w:val="24"/>
        </w:rPr>
        <w:t>of</w:t>
      </w:r>
      <w:r>
        <w:rPr>
          <w:color w:val="000000"/>
        </w:rPr>
        <w:t xml:space="preserve"> </w:t>
      </w:r>
      <w:r>
        <w:rPr>
          <w:rFonts w:ascii="Times New Roman;serif" w:hAnsi="Times New Roman;serif"/>
          <w:b/>
          <w:color w:val="000000"/>
          <w:sz w:val="24"/>
        </w:rPr>
        <w:t>a</w:t>
      </w:r>
      <w:r>
        <w:rPr>
          <w:color w:val="000000"/>
        </w:rPr>
        <w:t xml:space="preserve"> </w:t>
      </w:r>
      <w:r>
        <w:rPr>
          <w:rFonts w:ascii="Times New Roman;serif" w:hAnsi="Times New Roman;serif"/>
          <w:b/>
          <w:color w:val="000000"/>
          <w:sz w:val="24"/>
        </w:rPr>
        <w:t>beneficial</w:t>
      </w:r>
      <w:r>
        <w:rPr>
          <w:color w:val="000000"/>
        </w:rPr>
        <w:t xml:space="preserve"> </w:t>
      </w:r>
      <w:r>
        <w:rPr>
          <w:rFonts w:ascii="Times New Roman;serif" w:hAnsi="Times New Roman;serif"/>
          <w:b/>
          <w:color w:val="000000"/>
          <w:sz w:val="24"/>
        </w:rPr>
        <w:t>interest</w:t>
      </w:r>
      <w:r>
        <w:rPr>
          <w:color w:val="000000"/>
        </w:rPr>
        <w:t xml:space="preserve"> </w:t>
      </w:r>
      <w:r>
        <w:rPr>
          <w:rFonts w:ascii="Times New Roman;serif" w:hAnsi="Times New Roman;serif"/>
          <w:b/>
          <w:color w:val="000000"/>
          <w:sz w:val="24"/>
        </w:rPr>
        <w:t>in</w:t>
      </w:r>
      <w:r>
        <w:rPr>
          <w:color w:val="000000"/>
        </w:rPr>
        <w:t xml:space="preserve"> </w:t>
      </w:r>
      <w:r>
        <w:rPr>
          <w:rFonts w:ascii="Times New Roman;serif" w:hAnsi="Times New Roman;serif"/>
          <w:b/>
          <w:color w:val="000000"/>
          <w:sz w:val="24"/>
        </w:rPr>
        <w:t>the</w:t>
      </w:r>
      <w:r>
        <w:rPr>
          <w:color w:val="000000"/>
        </w:rPr>
        <w:t xml:space="preserve"> </w:t>
      </w:r>
      <w:r>
        <w:rPr>
          <w:rFonts w:ascii="Times New Roman;serif" w:hAnsi="Times New Roman;serif"/>
          <w:b/>
          <w:color w:val="000000"/>
          <w:sz w:val="24"/>
        </w:rPr>
        <w:t>144A</w:t>
      </w:r>
      <w:r>
        <w:rPr>
          <w:color w:val="000000"/>
        </w:rPr>
        <w:t xml:space="preserve"> </w:t>
      </w:r>
      <w:r>
        <w:rPr>
          <w:rFonts w:ascii="Times New Roman;serif" w:hAnsi="Times New Roman;serif"/>
          <w:b/>
          <w:color w:val="000000"/>
          <w:sz w:val="24"/>
        </w:rPr>
        <w:t>Global</w:t>
      </w:r>
      <w:r>
        <w:rPr>
          <w:color w:val="000000"/>
        </w:rPr>
        <w:t xml:space="preserve"> </w:t>
      </w:r>
      <w:r>
        <w:rPr>
          <w:rFonts w:ascii="Times New Roman;serif" w:hAnsi="Times New Roman;serif"/>
          <w:b/>
          <w:color w:val="000000"/>
          <w:sz w:val="24"/>
        </w:rPr>
        <w:t>Note</w:t>
      </w:r>
      <w:r>
        <w:rPr>
          <w:color w:val="000000"/>
        </w:rPr>
        <w:t xml:space="preserve"> </w:t>
      </w:r>
      <w:r>
        <w:rPr>
          <w:rFonts w:ascii="Times New Roman;serif" w:hAnsi="Times New Roman;serif"/>
          <w:b/>
          <w:color w:val="000000"/>
          <w:sz w:val="24"/>
        </w:rPr>
        <w:t>or</w:t>
      </w:r>
      <w:r>
        <w:rPr>
          <w:color w:val="000000"/>
        </w:rPr>
        <w:t xml:space="preserve"> </w:t>
      </w:r>
      <w:r>
        <w:rPr>
          <w:rFonts w:ascii="Times New Roman;serif" w:hAnsi="Times New Roman;serif"/>
          <w:b/>
          <w:color w:val="000000"/>
          <w:sz w:val="24"/>
        </w:rPr>
        <w:t>a</w:t>
      </w:r>
      <w:r>
        <w:rPr>
          <w:color w:val="000000"/>
        </w:rPr>
        <w:t xml:space="preserve"> </w:t>
      </w:r>
      <w:r>
        <w:rPr>
          <w:rFonts w:ascii="Times New Roman;serif" w:hAnsi="Times New Roman;serif"/>
          <w:b/>
          <w:color w:val="000000"/>
          <w:sz w:val="24"/>
        </w:rPr>
        <w:t>Restricted</w:t>
      </w:r>
      <w:r>
        <w:rPr>
          <w:color w:val="000000"/>
        </w:rPr>
        <w:t xml:space="preserve"> </w:t>
      </w:r>
      <w:r>
        <w:rPr>
          <w:rFonts w:ascii="Times New Roman;serif" w:hAnsi="Times New Roman;serif"/>
          <w:b/>
          <w:color w:val="000000"/>
          <w:sz w:val="24"/>
        </w:rPr>
        <w:t>Definitive</w:t>
      </w:r>
      <w:r>
        <w:rPr>
          <w:color w:val="000000"/>
        </w:rPr>
        <w:t xml:space="preserve"> </w:t>
      </w:r>
      <w:r>
        <w:rPr>
          <w:rFonts w:ascii="Times New Roman;serif" w:hAnsi="Times New Roman;serif"/>
          <w:b/>
          <w:color w:val="000000"/>
          <w:sz w:val="24"/>
        </w:rPr>
        <w:t>Note</w:t>
      </w:r>
      <w:r>
        <w:rPr>
          <w:color w:val="000000"/>
        </w:rPr>
        <w:t xml:space="preserve"> </w:t>
      </w:r>
      <w:r>
        <w:rPr>
          <w:rFonts w:ascii="Times New Roman;serif" w:hAnsi="Times New Roman;serif"/>
          <w:b/>
          <w:color w:val="000000"/>
          <w:sz w:val="24"/>
        </w:rPr>
        <w:t>pursuant</w:t>
      </w:r>
      <w:r>
        <w:rPr>
          <w:color w:val="000000"/>
        </w:rPr>
        <w:t xml:space="preserve"> </w:t>
      </w:r>
      <w:r>
        <w:rPr>
          <w:rFonts w:ascii="Times New Roman;serif" w:hAnsi="Times New Roman;serif"/>
          <w:b/>
          <w:color w:val="000000"/>
          <w:sz w:val="24"/>
        </w:rPr>
        <w:t>to</w:t>
      </w:r>
      <w:r>
        <w:rPr>
          <w:color w:val="000000"/>
        </w:rPr>
        <w:t xml:space="preserve"> </w:t>
      </w:r>
      <w:r>
        <w:rPr>
          <w:rFonts w:ascii="Times New Roman;serif" w:hAnsi="Times New Roman;serif"/>
          <w:b/>
          <w:color w:val="000000"/>
          <w:sz w:val="24"/>
        </w:rPr>
        <w:t>Rule 144A</w:t>
      </w:r>
      <w:r>
        <w:rPr>
          <w:rFonts w:ascii="Times New Roman;serif" w:hAnsi="Times New Roman;serif"/>
          <w:b w:val="false"/>
          <w:color w:val="000000"/>
          <w:sz w:val="24"/>
        </w:rPr>
        <w:t>. The Transfer is being effected pursuant to and in accordance with Rule 144A under the United States Securities Act of 1933, as amended (the</w:t>
      </w:r>
      <w:r>
        <w:rPr>
          <w:color w:val="000000"/>
        </w:rPr>
        <w:t xml:space="preserve"> “</w:t>
      </w:r>
      <w:r>
        <w:rPr>
          <w:rFonts w:ascii="Times New Roman;serif" w:hAnsi="Times New Roman;serif"/>
          <w:b w:val="false"/>
          <w:i/>
          <w:color w:val="000000"/>
          <w:sz w:val="24"/>
        </w:rPr>
        <w:t>Securities</w:t>
      </w:r>
      <w:r>
        <w:rPr>
          <w:color w:val="000000"/>
        </w:rPr>
        <w:t xml:space="preserve"> </w:t>
      </w:r>
      <w:r>
        <w:rPr>
          <w:rFonts w:ascii="Times New Roman;serif" w:hAnsi="Times New Roman;serif"/>
          <w:b w:val="false"/>
          <w:i/>
          <w:color w:val="000000"/>
          <w:sz w:val="24"/>
        </w:rPr>
        <w:t>Act</w:t>
      </w:r>
      <w:r>
        <w:rPr>
          <w:color w:val="000000"/>
        </w:rPr>
        <w:t>”</w:t>
      </w:r>
      <w:r>
        <w:rPr>
          <w:rFonts w:ascii="Times New Roman;serif" w:hAnsi="Times New Roman;serif"/>
          <w:b w:val="false"/>
          <w:color w:val="000000"/>
          <w:sz w:val="24"/>
        </w:rPr>
        <w:t>), and, accordingly, the Transferor hereby further certifies that the beneficial interest or Definitive Note is being transferred to a Person</w:t>
      </w:r>
      <w:r>
        <w:rPr>
          <w:color w:val="000000"/>
        </w:rPr>
        <w:t xml:space="preserve"> </w:t>
      </w:r>
      <w:r>
        <w:rPr>
          <w:rFonts w:ascii="Times New Roman;serif" w:hAnsi="Times New Roman;serif"/>
          <w:b w:val="false"/>
          <w:color w:val="000000"/>
          <w:sz w:val="24"/>
        </w:rPr>
        <w:t>that the Transferor reasonably believed and believes is purchasing the beneficial interest or Definitive Note for its own account, or for one or more</w:t>
      </w:r>
      <w:r>
        <w:rPr>
          <w:color w:val="000000"/>
        </w:rPr>
        <w:t xml:space="preserve"> </w:t>
      </w:r>
      <w:r>
        <w:rPr>
          <w:rFonts w:ascii="Times New Roman;serif" w:hAnsi="Times New Roman;serif"/>
          <w:b w:val="false"/>
          <w:color w:val="000000"/>
          <w:sz w:val="24"/>
        </w:rPr>
        <w:t>accounts with respect to which such Person exercises sole investment discretion, and such Person and each such account is a “qualified institutional</w:t>
      </w:r>
      <w:r>
        <w:rPr>
          <w:color w:val="000000"/>
        </w:rPr>
        <w:t xml:space="preserve"> </w:t>
      </w:r>
      <w:r>
        <w:rPr>
          <w:rFonts w:ascii="Times New Roman;serif" w:hAnsi="Times New Roman;serif"/>
          <w:b w:val="false"/>
          <w:color w:val="000000"/>
          <w:sz w:val="24"/>
        </w:rPr>
        <w:t>buyer” within the meaning of Rule 144A in a transaction meeting the requirements of Rule 144A and such Transfer is in compliance with any applicable</w:t>
      </w:r>
      <w:r>
        <w:rPr>
          <w:color w:val="000000"/>
        </w:rPr>
        <w:t xml:space="preserve"> </w:t>
      </w:r>
      <w:r>
        <w:rPr>
          <w:rFonts w:ascii="Times New Roman;serif" w:hAnsi="Times New Roman;serif"/>
          <w:b w:val="false"/>
          <w:color w:val="000000"/>
          <w:sz w:val="24"/>
        </w:rPr>
        <w:t>blue</w:t>
      </w:r>
      <w:r>
        <w:rPr>
          <w:color w:val="000000"/>
        </w:rPr>
        <w:t xml:space="preserve"> </w:t>
      </w:r>
      <w:r>
        <w:rPr>
          <w:rFonts w:ascii="Times New Roman;serif" w:hAnsi="Times New Roman;serif"/>
          <w:b w:val="false"/>
          <w:color w:val="000000"/>
          <w:sz w:val="24"/>
        </w:rPr>
        <w:t>sky</w:t>
      </w:r>
      <w:r>
        <w:rPr>
          <w:color w:val="000000"/>
        </w:rPr>
        <w:t xml:space="preserve"> </w:t>
      </w:r>
      <w:r>
        <w:rPr>
          <w:rFonts w:ascii="Times New Roman;serif" w:hAnsi="Times New Roman;serif"/>
          <w:b w:val="false"/>
          <w:color w:val="000000"/>
          <w:sz w:val="24"/>
        </w:rPr>
        <w:t>securities</w:t>
      </w:r>
      <w:r>
        <w:rPr>
          <w:color w:val="000000"/>
        </w:rPr>
        <w:t xml:space="preserve"> </w:t>
      </w:r>
      <w:r>
        <w:rPr>
          <w:rFonts w:ascii="Times New Roman;serif" w:hAnsi="Times New Roman;serif"/>
          <w:b w:val="false"/>
          <w:color w:val="000000"/>
          <w:sz w:val="24"/>
        </w:rPr>
        <w:t>laws</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state</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United</w:t>
      </w:r>
      <w:r>
        <w:rPr>
          <w:color w:val="000000"/>
        </w:rPr>
        <w:t xml:space="preserve"> </w:t>
      </w:r>
      <w:r>
        <w:rPr>
          <w:rFonts w:ascii="Times New Roman;serif" w:hAnsi="Times New Roman;serif"/>
          <w:b w:val="false"/>
          <w:color w:val="000000"/>
          <w:sz w:val="24"/>
        </w:rPr>
        <w:t>States.</w:t>
      </w:r>
      <w:r>
        <w:rPr>
          <w:color w:val="000000"/>
        </w:rPr>
        <w:t xml:space="preserve"> </w:t>
      </w:r>
      <w:r>
        <w:rPr>
          <w:rFonts w:ascii="Times New Roman;serif" w:hAnsi="Times New Roman;serif"/>
          <w:b w:val="false"/>
          <w:color w:val="000000"/>
          <w:sz w:val="24"/>
        </w:rPr>
        <w:t>Upon</w:t>
      </w:r>
      <w:r>
        <w:rPr>
          <w:color w:val="000000"/>
        </w:rPr>
        <w:t xml:space="preserve"> </w:t>
      </w:r>
      <w:r>
        <w:rPr>
          <w:rFonts w:ascii="Times New Roman;serif" w:hAnsi="Times New Roman;serif"/>
          <w:b w:val="false"/>
          <w:color w:val="000000"/>
          <w:sz w:val="24"/>
        </w:rPr>
        <w:t>consummation</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proposed</w:t>
      </w:r>
      <w:r>
        <w:rPr>
          <w:color w:val="000000"/>
        </w:rPr>
        <w:t xml:space="preserve"> </w:t>
      </w:r>
      <w:r>
        <w:rPr>
          <w:rFonts w:ascii="Times New Roman;serif" w:hAnsi="Times New Roman;serif"/>
          <w:b w:val="false"/>
          <w:color w:val="000000"/>
          <w:sz w:val="24"/>
        </w:rPr>
        <w:t>Transfer</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accordance</w:t>
      </w:r>
      <w:r>
        <w:rPr>
          <w:color w:val="000000"/>
        </w:rPr>
        <w:t xml:space="preserve"> </w:t>
      </w:r>
      <w:r>
        <w:rPr>
          <w:rFonts w:ascii="Times New Roman;serif" w:hAnsi="Times New Roman;serif"/>
          <w:b w:val="false"/>
          <w:color w:val="000000"/>
          <w:sz w:val="24"/>
        </w:rPr>
        <w:t>with</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terms</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Indenture,</w:t>
      </w:r>
      <w:r>
        <w:rPr>
          <w:color w:val="000000"/>
        </w:rPr>
        <w:t xml:space="preserve"> </w:t>
      </w:r>
      <w:r>
        <w:rPr>
          <w:rFonts w:ascii="Times New Roman;serif" w:hAnsi="Times New Roman;serif"/>
          <w:b w:val="false"/>
          <w:color w:val="000000"/>
          <w:sz w:val="24"/>
        </w:rPr>
        <w:t>the transferred beneficial interest or Definitive Note will be subject to the restrictions on transfer enumerated in the Private Placement Legend printed on</w:t>
      </w:r>
      <w:r>
        <w:rPr>
          <w:color w:val="000000"/>
        </w:rPr>
        <w:t xml:space="preserve"> </w:t>
      </w:r>
      <w:r>
        <w:rPr>
          <w:rFonts w:ascii="Times New Roman;serif" w:hAnsi="Times New Roman;serif"/>
          <w:b w:val="false"/>
          <w:color w:val="000000"/>
          <w:sz w:val="24"/>
        </w:rPr>
        <w:t>the 144A Global Note and/or the Definitive Note and in the Indenture and the Securities Act.</w:t>
      </w:r>
    </w:p>
    <w:p>
      <w:pPr>
        <w:pStyle w:val="TextBody"/>
        <w:bidi w:val="0"/>
        <w:spacing w:lineRule="auto" w:line="240" w:before="0" w:after="240"/>
        <w:ind w:left="0" w:right="0" w:firstLine="720"/>
        <w:jc w:val="both"/>
        <w:rPr/>
      </w:pPr>
      <w:r>
        <w:rPr>
          <w:rFonts w:ascii="Times New Roman;serif" w:hAnsi="Times New Roman;serif"/>
          <w:b w:val="false"/>
          <w:color w:val="000000"/>
          <w:sz w:val="24"/>
        </w:rPr>
        <w:t>2.</w:t>
      </w:r>
      <w:r>
        <w:rPr>
          <w:color w:val="000000"/>
        </w:rPr>
        <w:t>☐</w:t>
      </w:r>
      <w:r>
        <w:rPr>
          <w:color w:val="000000"/>
        </w:rPr>
        <w:t xml:space="preserve">     </w:t>
      </w:r>
      <w:r>
        <w:rPr>
          <w:rFonts w:ascii="Times New Roman;serif" w:hAnsi="Times New Roman;serif"/>
          <w:b/>
          <w:color w:val="000000"/>
          <w:sz w:val="24"/>
        </w:rPr>
        <w:t>Check</w:t>
      </w:r>
      <w:r>
        <w:rPr>
          <w:color w:val="000000"/>
        </w:rPr>
        <w:t xml:space="preserve"> </w:t>
      </w:r>
      <w:r>
        <w:rPr>
          <w:rFonts w:ascii="Times New Roman;serif" w:hAnsi="Times New Roman;serif"/>
          <w:b/>
          <w:color w:val="000000"/>
          <w:sz w:val="24"/>
        </w:rPr>
        <w:t>if</w:t>
      </w:r>
      <w:r>
        <w:rPr>
          <w:color w:val="000000"/>
        </w:rPr>
        <w:t xml:space="preserve"> </w:t>
      </w:r>
      <w:r>
        <w:rPr>
          <w:rFonts w:ascii="Times New Roman;serif" w:hAnsi="Times New Roman;serif"/>
          <w:b/>
          <w:color w:val="000000"/>
          <w:sz w:val="24"/>
        </w:rPr>
        <w:t>Transferee</w:t>
      </w:r>
      <w:r>
        <w:rPr>
          <w:color w:val="000000"/>
        </w:rPr>
        <w:t xml:space="preserve"> </w:t>
      </w:r>
      <w:r>
        <w:rPr>
          <w:rFonts w:ascii="Times New Roman;serif" w:hAnsi="Times New Roman;serif"/>
          <w:b/>
          <w:color w:val="000000"/>
          <w:sz w:val="24"/>
        </w:rPr>
        <w:t>will</w:t>
      </w:r>
      <w:r>
        <w:rPr>
          <w:color w:val="000000"/>
        </w:rPr>
        <w:t xml:space="preserve"> </w:t>
      </w:r>
      <w:r>
        <w:rPr>
          <w:rFonts w:ascii="Times New Roman;serif" w:hAnsi="Times New Roman;serif"/>
          <w:b/>
          <w:color w:val="000000"/>
          <w:sz w:val="24"/>
        </w:rPr>
        <w:t>take</w:t>
      </w:r>
      <w:r>
        <w:rPr>
          <w:color w:val="000000"/>
        </w:rPr>
        <w:t xml:space="preserve"> </w:t>
      </w:r>
      <w:r>
        <w:rPr>
          <w:rFonts w:ascii="Times New Roman;serif" w:hAnsi="Times New Roman;serif"/>
          <w:b/>
          <w:color w:val="000000"/>
          <w:sz w:val="24"/>
        </w:rPr>
        <w:t>delivery</w:t>
      </w:r>
      <w:r>
        <w:rPr>
          <w:color w:val="000000"/>
        </w:rPr>
        <w:t xml:space="preserve"> </w:t>
      </w:r>
      <w:r>
        <w:rPr>
          <w:rFonts w:ascii="Times New Roman;serif" w:hAnsi="Times New Roman;serif"/>
          <w:b/>
          <w:color w:val="000000"/>
          <w:sz w:val="24"/>
        </w:rPr>
        <w:t>of</w:t>
      </w:r>
      <w:r>
        <w:rPr>
          <w:color w:val="000000"/>
        </w:rPr>
        <w:t xml:space="preserve"> </w:t>
      </w:r>
      <w:r>
        <w:rPr>
          <w:rFonts w:ascii="Times New Roman;serif" w:hAnsi="Times New Roman;serif"/>
          <w:b/>
          <w:color w:val="000000"/>
          <w:sz w:val="24"/>
        </w:rPr>
        <w:t>a</w:t>
      </w:r>
      <w:r>
        <w:rPr>
          <w:color w:val="000000"/>
        </w:rPr>
        <w:t xml:space="preserve"> </w:t>
      </w:r>
      <w:r>
        <w:rPr>
          <w:rFonts w:ascii="Times New Roman;serif" w:hAnsi="Times New Roman;serif"/>
          <w:b/>
          <w:color w:val="000000"/>
          <w:sz w:val="24"/>
        </w:rPr>
        <w:t>beneficial</w:t>
      </w:r>
      <w:r>
        <w:rPr>
          <w:color w:val="000000"/>
        </w:rPr>
        <w:t xml:space="preserve"> </w:t>
      </w:r>
      <w:r>
        <w:rPr>
          <w:rFonts w:ascii="Times New Roman;serif" w:hAnsi="Times New Roman;serif"/>
          <w:b/>
          <w:color w:val="000000"/>
          <w:sz w:val="24"/>
        </w:rPr>
        <w:t>interest</w:t>
      </w:r>
      <w:r>
        <w:rPr>
          <w:color w:val="000000"/>
        </w:rPr>
        <w:t xml:space="preserve"> </w:t>
      </w:r>
      <w:r>
        <w:rPr>
          <w:rFonts w:ascii="Times New Roman;serif" w:hAnsi="Times New Roman;serif"/>
          <w:b/>
          <w:color w:val="000000"/>
          <w:sz w:val="24"/>
        </w:rPr>
        <w:t>in</w:t>
      </w:r>
      <w:r>
        <w:rPr>
          <w:color w:val="000000"/>
        </w:rPr>
        <w:t xml:space="preserve"> </w:t>
      </w:r>
      <w:r>
        <w:rPr>
          <w:rFonts w:ascii="Times New Roman;serif" w:hAnsi="Times New Roman;serif"/>
          <w:b/>
          <w:color w:val="000000"/>
          <w:sz w:val="24"/>
        </w:rPr>
        <w:t>the</w:t>
      </w:r>
      <w:r>
        <w:rPr>
          <w:color w:val="000000"/>
        </w:rPr>
        <w:t xml:space="preserve"> </w:t>
      </w:r>
      <w:r>
        <w:rPr>
          <w:rFonts w:ascii="Times New Roman;serif" w:hAnsi="Times New Roman;serif"/>
          <w:b/>
          <w:color w:val="000000"/>
          <w:sz w:val="24"/>
        </w:rPr>
        <w:t>Regulation</w:t>
      </w:r>
      <w:r>
        <w:rPr>
          <w:color w:val="000000"/>
        </w:rPr>
        <w:t xml:space="preserve"> </w:t>
      </w:r>
      <w:r>
        <w:rPr>
          <w:rFonts w:ascii="Times New Roman;serif" w:hAnsi="Times New Roman;serif"/>
          <w:b/>
          <w:color w:val="000000"/>
          <w:sz w:val="24"/>
        </w:rPr>
        <w:t>S</w:t>
      </w:r>
      <w:r>
        <w:rPr>
          <w:color w:val="000000"/>
        </w:rPr>
        <w:t xml:space="preserve"> </w:t>
      </w:r>
      <w:r>
        <w:rPr>
          <w:rFonts w:ascii="Times New Roman;serif" w:hAnsi="Times New Roman;serif"/>
          <w:b/>
          <w:color w:val="000000"/>
          <w:sz w:val="24"/>
        </w:rPr>
        <w:t>Global</w:t>
      </w:r>
      <w:r>
        <w:rPr>
          <w:color w:val="000000"/>
        </w:rPr>
        <w:t xml:space="preserve"> </w:t>
      </w:r>
      <w:r>
        <w:rPr>
          <w:rFonts w:ascii="Times New Roman;serif" w:hAnsi="Times New Roman;serif"/>
          <w:b/>
          <w:color w:val="000000"/>
          <w:sz w:val="24"/>
        </w:rPr>
        <w:t>Note</w:t>
      </w:r>
      <w:r>
        <w:rPr>
          <w:color w:val="000000"/>
        </w:rPr>
        <w:t xml:space="preserve"> </w:t>
      </w:r>
      <w:r>
        <w:rPr>
          <w:rFonts w:ascii="Times New Roman;serif" w:hAnsi="Times New Roman;serif"/>
          <w:b/>
          <w:color w:val="000000"/>
          <w:sz w:val="24"/>
        </w:rPr>
        <w:t>or</w:t>
      </w:r>
      <w:r>
        <w:rPr>
          <w:color w:val="000000"/>
        </w:rPr>
        <w:t xml:space="preserve"> </w:t>
      </w:r>
      <w:r>
        <w:rPr>
          <w:rFonts w:ascii="Times New Roman;serif" w:hAnsi="Times New Roman;serif"/>
          <w:b/>
          <w:color w:val="000000"/>
          <w:sz w:val="24"/>
        </w:rPr>
        <w:t>a</w:t>
      </w:r>
      <w:r>
        <w:rPr>
          <w:color w:val="000000"/>
        </w:rPr>
        <w:t xml:space="preserve"> </w:t>
      </w:r>
      <w:r>
        <w:rPr>
          <w:rFonts w:ascii="Times New Roman;serif" w:hAnsi="Times New Roman;serif"/>
          <w:b/>
          <w:color w:val="000000"/>
          <w:sz w:val="24"/>
        </w:rPr>
        <w:t>Restricted</w:t>
      </w:r>
      <w:r>
        <w:rPr>
          <w:color w:val="000000"/>
        </w:rPr>
        <w:t xml:space="preserve"> </w:t>
      </w:r>
      <w:r>
        <w:rPr>
          <w:rFonts w:ascii="Times New Roman;serif" w:hAnsi="Times New Roman;serif"/>
          <w:b/>
          <w:color w:val="000000"/>
          <w:sz w:val="24"/>
        </w:rPr>
        <w:t>Definitive</w:t>
      </w:r>
      <w:r>
        <w:rPr>
          <w:color w:val="000000"/>
        </w:rPr>
        <w:t xml:space="preserve"> </w:t>
      </w:r>
      <w:r>
        <w:rPr>
          <w:rFonts w:ascii="Times New Roman;serif" w:hAnsi="Times New Roman;serif"/>
          <w:b/>
          <w:color w:val="000000"/>
          <w:sz w:val="24"/>
        </w:rPr>
        <w:t>Note</w:t>
      </w:r>
      <w:r>
        <w:rPr>
          <w:color w:val="000000"/>
        </w:rPr>
        <w:t xml:space="preserve"> </w:t>
      </w:r>
      <w:r>
        <w:rPr>
          <w:rFonts w:ascii="Times New Roman;serif" w:hAnsi="Times New Roman;serif"/>
          <w:b/>
          <w:color w:val="000000"/>
          <w:sz w:val="24"/>
        </w:rPr>
        <w:t>pursuant</w:t>
      </w:r>
      <w:r>
        <w:rPr>
          <w:color w:val="000000"/>
        </w:rPr>
        <w:t xml:space="preserve"> </w:t>
      </w:r>
      <w:r>
        <w:rPr>
          <w:rFonts w:ascii="Times New Roman;serif" w:hAnsi="Times New Roman;serif"/>
          <w:b/>
          <w:color w:val="000000"/>
          <w:sz w:val="24"/>
        </w:rPr>
        <w:t>to</w:t>
      </w:r>
      <w:r>
        <w:rPr>
          <w:color w:val="000000"/>
        </w:rPr>
        <w:t xml:space="preserve"> </w:t>
      </w:r>
      <w:r>
        <w:rPr>
          <w:rFonts w:ascii="Times New Roman;serif" w:hAnsi="Times New Roman;serif"/>
          <w:b/>
          <w:color w:val="000000"/>
          <w:sz w:val="24"/>
        </w:rPr>
        <w:t>Regulation</w:t>
      </w:r>
      <w:r>
        <w:rPr>
          <w:color w:val="000000"/>
        </w:rPr>
        <w:t xml:space="preserve"> </w:t>
      </w:r>
      <w:r>
        <w:rPr>
          <w:rFonts w:ascii="Times New Roman;serif" w:hAnsi="Times New Roman;serif"/>
          <w:b/>
          <w:color w:val="000000"/>
          <w:sz w:val="24"/>
        </w:rPr>
        <w:t>S</w:t>
      </w:r>
      <w:r>
        <w:rPr>
          <w:rFonts w:ascii="Times New Roman;serif" w:hAnsi="Times New Roman;serif"/>
          <w:b w:val="false"/>
          <w:color w:val="000000"/>
          <w:sz w:val="24"/>
        </w:rPr>
        <w:t xml:space="preserve">. The Transfer is being effected pursuant to and in accordance with Rule 903 or Rule 904 of </w:t>
      </w:r>
    </w:p>
    <w:p>
      <w:pPr>
        <w:pStyle w:val="TextBody"/>
        <w:bidi w:val="0"/>
        <w:spacing w:before="0" w:after="0"/>
        <w:jc w:val="left"/>
        <w:rPr/>
      </w:pPr>
      <w:r>
        <w:rPr/>
      </w:r>
      <w:r>
        <mc:AlternateContent>
          <mc:Choice Requires="wps">
            <w:drawing>
              <wp:anchor behindDoc="0" distT="0" distB="0" distL="0" distR="0" simplePos="0" locked="0" layoutInCell="1" allowOverlap="1" relativeHeight="279">
                <wp:simplePos x="0" y="0"/>
                <wp:positionH relativeFrom="character">
                  <wp:align>left</wp:align>
                </wp:positionH>
                <wp:positionV relativeFrom="line">
                  <wp:posOffset>635</wp:posOffset>
                </wp:positionV>
                <wp:extent cx="6480175" cy="175260"/>
                <wp:effectExtent l="0" t="0" r="0" b="0"/>
                <wp:wrapNone/>
                <wp:docPr id="278" name="Frame27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B-1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B-1</w:t>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rPr>
        <w:t>Regulation S under the Securities</w:t>
      </w:r>
      <w:r>
        <w:rPr>
          <w:color w:val="000000"/>
        </w:rPr>
        <w:t xml:space="preserve"> </w:t>
      </w:r>
      <w:r>
        <w:rPr>
          <w:rFonts w:ascii="Times New Roman;serif" w:hAnsi="Times New Roman;serif"/>
          <w:b w:val="false"/>
          <w:color w:val="000000"/>
          <w:sz w:val="24"/>
        </w:rPr>
        <w:t>Act and, accordingly, the Transferor hereby further certifies that (i) the Transfer is not being made to a Person in the United States and (x) at the time the</w:t>
      </w:r>
      <w:r>
        <w:rPr>
          <w:color w:val="000000"/>
        </w:rPr>
        <w:t xml:space="preserve"> </w:t>
      </w:r>
      <w:r>
        <w:rPr>
          <w:rFonts w:ascii="Times New Roman;serif" w:hAnsi="Times New Roman;serif"/>
          <w:b w:val="false"/>
          <w:color w:val="000000"/>
          <w:sz w:val="24"/>
        </w:rPr>
        <w:t>buy order was originated, the Transferee was outside the United States or such Transferor and any Person acting on its behalf reasonably believed and</w:t>
      </w:r>
      <w:r>
        <w:rPr>
          <w:color w:val="000000"/>
        </w:rPr>
        <w:t xml:space="preserve"> </w:t>
      </w:r>
      <w:r>
        <w:rPr>
          <w:rFonts w:ascii="Times New Roman;serif" w:hAnsi="Times New Roman;serif"/>
          <w:b w:val="false"/>
          <w:color w:val="000000"/>
          <w:sz w:val="24"/>
        </w:rPr>
        <w:t>believes that the Transferee was outside the United States or (y) the transaction was executed in, on or through the facilities of a designated offshore</w:t>
      </w:r>
      <w:r>
        <w:rPr>
          <w:color w:val="000000"/>
        </w:rPr>
        <w:t xml:space="preserve"> </w:t>
      </w:r>
      <w:r>
        <w:rPr>
          <w:rFonts w:ascii="Times New Roman;serif" w:hAnsi="Times New Roman;serif"/>
          <w:b w:val="false"/>
          <w:color w:val="000000"/>
          <w:sz w:val="24"/>
        </w:rPr>
        <w:t>securities market and neither such Transferor nor any Person acting on its behalf knows that the transaction was prearranged with a buyer in the United</w:t>
      </w:r>
      <w:r>
        <w:rPr>
          <w:color w:val="000000"/>
        </w:rPr>
        <w:t xml:space="preserve"> </w:t>
      </w:r>
      <w:r>
        <w:rPr>
          <w:rFonts w:ascii="Times New Roman;serif" w:hAnsi="Times New Roman;serif"/>
          <w:b w:val="false"/>
          <w:color w:val="000000"/>
          <w:sz w:val="24"/>
        </w:rPr>
        <w:t>States, (ii) no directed selling efforts have been made in contravention of the requirements of Rule 903(b) or Rule 904(a) of Regulation S under the</w:t>
      </w:r>
      <w:r>
        <w:rPr>
          <w:color w:val="000000"/>
        </w:rPr>
        <w:t xml:space="preserve"> </w:t>
      </w:r>
      <w:r>
        <w:rPr>
          <w:rFonts w:ascii="Times New Roman;serif" w:hAnsi="Times New Roman;serif"/>
          <w:b w:val="false"/>
          <w:color w:val="000000"/>
          <w:sz w:val="24"/>
        </w:rPr>
        <w:t>Securities Act, (iii) the transaction is not part of a plan or scheme to evade the registration requirements of the Securities Act and (iv) if the proposed</w:t>
      </w:r>
      <w:r>
        <w:rPr>
          <w:color w:val="000000"/>
        </w:rPr>
        <w:t xml:space="preserve"> </w:t>
      </w:r>
      <w:r>
        <w:rPr>
          <w:rFonts w:ascii="Times New Roman;serif" w:hAnsi="Times New Roman;serif"/>
          <w:b w:val="false"/>
          <w:color w:val="000000"/>
          <w:sz w:val="24"/>
        </w:rPr>
        <w:t>transfer is being made prior to the expiration of the Distribution Compliance Period, the transfer is not being made to a U.S. Person or for the account or</w:t>
      </w:r>
      <w:r>
        <w:rPr>
          <w:color w:val="000000"/>
        </w:rPr>
        <w:t xml:space="preserve"> </w:t>
      </w:r>
      <w:r>
        <w:rPr>
          <w:rFonts w:ascii="Times New Roman;serif" w:hAnsi="Times New Roman;serif"/>
          <w:b w:val="false"/>
          <w:color w:val="000000"/>
          <w:sz w:val="24"/>
        </w:rPr>
        <w:t>benefit of a U.S. Person (other than an initial purchaser). Upon consummation of the proposed transfer in accordance with the terms of the Indenture, the</w:t>
      </w:r>
      <w:r>
        <w:rPr>
          <w:color w:val="000000"/>
        </w:rPr>
        <w:t xml:space="preserve"> </w:t>
      </w:r>
      <w:r>
        <w:rPr>
          <w:rFonts w:ascii="Times New Roman;serif" w:hAnsi="Times New Roman;serif"/>
          <w:b w:val="false"/>
          <w:color w:val="000000"/>
          <w:sz w:val="24"/>
        </w:rPr>
        <w:t>transferred beneficial interest or Definitive Note will be subject to the restrictions on Transfer enumerated in the Private Placement Legend printed on the</w:t>
      </w:r>
      <w:r>
        <w:rPr>
          <w:color w:val="000000"/>
        </w:rPr>
        <w:t xml:space="preserve"> </w:t>
      </w:r>
      <w:r>
        <w:rPr>
          <w:rFonts w:ascii="Times New Roman;serif" w:hAnsi="Times New Roman;serif"/>
          <w:b w:val="false"/>
          <w:color w:val="000000"/>
          <w:sz w:val="24"/>
        </w:rPr>
        <w:t>Regulation S Global Note and/or the Definitive Note and in the Indenture and the Securities Act.</w:t>
      </w:r>
    </w:p>
    <w:p>
      <w:pPr>
        <w:pStyle w:val="TextBody"/>
        <w:bidi w:val="0"/>
        <w:spacing w:lineRule="auto" w:line="240" w:before="0" w:after="240"/>
        <w:ind w:left="0" w:right="0" w:firstLine="720"/>
        <w:jc w:val="both"/>
        <w:rPr/>
      </w:pPr>
      <w:r>
        <w:rPr>
          <w:rFonts w:ascii="Times New Roman;serif" w:hAnsi="Times New Roman;serif"/>
          <w:b w:val="false"/>
          <w:color w:val="000000"/>
          <w:sz w:val="24"/>
        </w:rPr>
        <w:t>3.</w:t>
      </w:r>
      <w:r>
        <w:rPr>
          <w:color w:val="000000"/>
        </w:rPr>
        <w:t>☐</w:t>
      </w:r>
      <w:r>
        <w:rPr>
          <w:color w:val="000000"/>
        </w:rPr>
        <w:t xml:space="preserve">     </w:t>
      </w:r>
      <w:r>
        <w:rPr>
          <w:rFonts w:ascii="Times New Roman;serif" w:hAnsi="Times New Roman;serif"/>
          <w:b/>
          <w:color w:val="000000"/>
          <w:sz w:val="24"/>
        </w:rPr>
        <w:t>Check</w:t>
      </w:r>
      <w:r>
        <w:rPr>
          <w:color w:val="000000"/>
        </w:rPr>
        <w:t xml:space="preserve"> </w:t>
      </w:r>
      <w:r>
        <w:rPr>
          <w:rFonts w:ascii="Times New Roman;serif" w:hAnsi="Times New Roman;serif"/>
          <w:b/>
          <w:color w:val="000000"/>
          <w:sz w:val="24"/>
        </w:rPr>
        <w:t>and</w:t>
      </w:r>
      <w:r>
        <w:rPr>
          <w:color w:val="000000"/>
        </w:rPr>
        <w:t xml:space="preserve"> </w:t>
      </w:r>
      <w:r>
        <w:rPr>
          <w:rFonts w:ascii="Times New Roman;serif" w:hAnsi="Times New Roman;serif"/>
          <w:b/>
          <w:color w:val="000000"/>
          <w:sz w:val="24"/>
        </w:rPr>
        <w:t>complete</w:t>
      </w:r>
      <w:r>
        <w:rPr>
          <w:color w:val="000000"/>
        </w:rPr>
        <w:t xml:space="preserve"> </w:t>
      </w:r>
      <w:r>
        <w:rPr>
          <w:rFonts w:ascii="Times New Roman;serif" w:hAnsi="Times New Roman;serif"/>
          <w:b/>
          <w:color w:val="000000"/>
          <w:sz w:val="24"/>
        </w:rPr>
        <w:t>if</w:t>
      </w:r>
      <w:r>
        <w:rPr>
          <w:color w:val="000000"/>
        </w:rPr>
        <w:t xml:space="preserve"> </w:t>
      </w:r>
      <w:r>
        <w:rPr>
          <w:rFonts w:ascii="Times New Roman;serif" w:hAnsi="Times New Roman;serif"/>
          <w:b/>
          <w:color w:val="000000"/>
          <w:sz w:val="24"/>
        </w:rPr>
        <w:t>Transferee</w:t>
      </w:r>
      <w:r>
        <w:rPr>
          <w:color w:val="000000"/>
        </w:rPr>
        <w:t xml:space="preserve"> </w:t>
      </w:r>
      <w:r>
        <w:rPr>
          <w:rFonts w:ascii="Times New Roman;serif" w:hAnsi="Times New Roman;serif"/>
          <w:b/>
          <w:color w:val="000000"/>
          <w:sz w:val="24"/>
        </w:rPr>
        <w:t>will</w:t>
      </w:r>
      <w:r>
        <w:rPr>
          <w:color w:val="000000"/>
        </w:rPr>
        <w:t xml:space="preserve"> </w:t>
      </w:r>
      <w:r>
        <w:rPr>
          <w:rFonts w:ascii="Times New Roman;serif" w:hAnsi="Times New Roman;serif"/>
          <w:b/>
          <w:color w:val="000000"/>
          <w:sz w:val="24"/>
        </w:rPr>
        <w:t>take</w:t>
      </w:r>
      <w:r>
        <w:rPr>
          <w:color w:val="000000"/>
        </w:rPr>
        <w:t xml:space="preserve"> </w:t>
      </w:r>
      <w:r>
        <w:rPr>
          <w:rFonts w:ascii="Times New Roman;serif" w:hAnsi="Times New Roman;serif"/>
          <w:b/>
          <w:color w:val="000000"/>
          <w:sz w:val="24"/>
        </w:rPr>
        <w:t>delivery</w:t>
      </w:r>
      <w:r>
        <w:rPr>
          <w:color w:val="000000"/>
        </w:rPr>
        <w:t xml:space="preserve"> </w:t>
      </w:r>
      <w:r>
        <w:rPr>
          <w:rFonts w:ascii="Times New Roman;serif" w:hAnsi="Times New Roman;serif"/>
          <w:b/>
          <w:color w:val="000000"/>
          <w:sz w:val="24"/>
        </w:rPr>
        <w:t>of</w:t>
      </w:r>
      <w:r>
        <w:rPr>
          <w:color w:val="000000"/>
        </w:rPr>
        <w:t xml:space="preserve"> </w:t>
      </w:r>
      <w:r>
        <w:rPr>
          <w:rFonts w:ascii="Times New Roman;serif" w:hAnsi="Times New Roman;serif"/>
          <w:b/>
          <w:color w:val="000000"/>
          <w:sz w:val="24"/>
        </w:rPr>
        <w:t>a</w:t>
      </w:r>
      <w:r>
        <w:rPr>
          <w:color w:val="000000"/>
        </w:rPr>
        <w:t xml:space="preserve"> </w:t>
      </w:r>
      <w:r>
        <w:rPr>
          <w:rFonts w:ascii="Times New Roman;serif" w:hAnsi="Times New Roman;serif"/>
          <w:b/>
          <w:color w:val="000000"/>
          <w:sz w:val="24"/>
        </w:rPr>
        <w:t>beneficial</w:t>
      </w:r>
      <w:r>
        <w:rPr>
          <w:color w:val="000000"/>
        </w:rPr>
        <w:t xml:space="preserve"> </w:t>
      </w:r>
      <w:r>
        <w:rPr>
          <w:rFonts w:ascii="Times New Roman;serif" w:hAnsi="Times New Roman;serif"/>
          <w:b/>
          <w:color w:val="000000"/>
          <w:sz w:val="24"/>
        </w:rPr>
        <w:t>interest</w:t>
      </w:r>
      <w:r>
        <w:rPr>
          <w:color w:val="000000"/>
        </w:rPr>
        <w:t xml:space="preserve"> </w:t>
      </w:r>
      <w:r>
        <w:rPr>
          <w:rFonts w:ascii="Times New Roman;serif" w:hAnsi="Times New Roman;serif"/>
          <w:b/>
          <w:color w:val="000000"/>
          <w:sz w:val="24"/>
        </w:rPr>
        <w:t>in</w:t>
      </w:r>
      <w:r>
        <w:rPr>
          <w:color w:val="000000"/>
        </w:rPr>
        <w:t xml:space="preserve"> </w:t>
      </w:r>
      <w:r>
        <w:rPr>
          <w:rFonts w:ascii="Times New Roman;serif" w:hAnsi="Times New Roman;serif"/>
          <w:b/>
          <w:color w:val="000000"/>
          <w:sz w:val="24"/>
        </w:rPr>
        <w:t>the IAI Global Note or</w:t>
      </w:r>
      <w:r>
        <w:rPr>
          <w:color w:val="000000"/>
        </w:rPr>
        <w:t xml:space="preserve"> </w:t>
      </w:r>
      <w:r>
        <w:rPr>
          <w:rFonts w:ascii="Times New Roman;serif" w:hAnsi="Times New Roman;serif"/>
          <w:b/>
          <w:color w:val="000000"/>
          <w:sz w:val="24"/>
        </w:rPr>
        <w:t>Restricted</w:t>
      </w:r>
      <w:r>
        <w:rPr>
          <w:color w:val="000000"/>
        </w:rPr>
        <w:t xml:space="preserve"> </w:t>
      </w:r>
      <w:r>
        <w:rPr>
          <w:rFonts w:ascii="Times New Roman;serif" w:hAnsi="Times New Roman;serif"/>
          <w:b/>
          <w:color w:val="000000"/>
          <w:sz w:val="24"/>
        </w:rPr>
        <w:t>Definitive</w:t>
      </w:r>
      <w:r>
        <w:rPr>
          <w:color w:val="000000"/>
        </w:rPr>
        <w:t xml:space="preserve"> </w:t>
      </w:r>
      <w:r>
        <w:rPr>
          <w:rFonts w:ascii="Times New Roman;serif" w:hAnsi="Times New Roman;serif"/>
          <w:b/>
          <w:color w:val="000000"/>
          <w:sz w:val="24"/>
        </w:rPr>
        <w:t>Note</w:t>
      </w:r>
      <w:r>
        <w:rPr>
          <w:color w:val="000000"/>
        </w:rPr>
        <w:t xml:space="preserve"> </w:t>
      </w:r>
      <w:r>
        <w:rPr>
          <w:rFonts w:ascii="Times New Roman;serif" w:hAnsi="Times New Roman;serif"/>
          <w:b/>
          <w:color w:val="000000"/>
          <w:sz w:val="24"/>
        </w:rPr>
        <w:t>pursuant</w:t>
      </w:r>
      <w:r>
        <w:rPr>
          <w:color w:val="000000"/>
        </w:rPr>
        <w:t xml:space="preserve"> </w:t>
      </w:r>
      <w:r>
        <w:rPr>
          <w:rFonts w:ascii="Times New Roman;serif" w:hAnsi="Times New Roman;serif"/>
          <w:b/>
          <w:color w:val="000000"/>
          <w:sz w:val="24"/>
        </w:rPr>
        <w:t>to</w:t>
      </w:r>
      <w:r>
        <w:rPr>
          <w:color w:val="000000"/>
        </w:rPr>
        <w:t xml:space="preserve"> </w:t>
      </w:r>
      <w:r>
        <w:rPr>
          <w:rFonts w:ascii="Times New Roman;serif" w:hAnsi="Times New Roman;serif"/>
          <w:b/>
          <w:color w:val="000000"/>
          <w:sz w:val="24"/>
        </w:rPr>
        <w:t>any</w:t>
      </w:r>
      <w:r>
        <w:rPr>
          <w:color w:val="000000"/>
        </w:rPr>
        <w:t xml:space="preserve"> </w:t>
      </w:r>
      <w:r>
        <w:rPr>
          <w:rFonts w:ascii="Times New Roman;serif" w:hAnsi="Times New Roman;serif"/>
          <w:b/>
          <w:color w:val="000000"/>
          <w:sz w:val="24"/>
        </w:rPr>
        <w:t>provision</w:t>
      </w:r>
      <w:r>
        <w:rPr>
          <w:color w:val="000000"/>
        </w:rPr>
        <w:t xml:space="preserve"> </w:t>
      </w:r>
      <w:r>
        <w:rPr>
          <w:rFonts w:ascii="Times New Roman;serif" w:hAnsi="Times New Roman;serif"/>
          <w:b/>
          <w:color w:val="000000"/>
          <w:sz w:val="24"/>
        </w:rPr>
        <w:t>of</w:t>
      </w:r>
      <w:r>
        <w:rPr>
          <w:color w:val="000000"/>
        </w:rPr>
        <w:t xml:space="preserve"> </w:t>
      </w:r>
      <w:r>
        <w:rPr>
          <w:rFonts w:ascii="Times New Roman;serif" w:hAnsi="Times New Roman;serif"/>
          <w:b/>
          <w:color w:val="000000"/>
          <w:sz w:val="24"/>
        </w:rPr>
        <w:t>the</w:t>
      </w:r>
      <w:r>
        <w:rPr>
          <w:color w:val="000000"/>
        </w:rPr>
        <w:t xml:space="preserve"> </w:t>
      </w:r>
      <w:r>
        <w:rPr>
          <w:rFonts w:ascii="Times New Roman;serif" w:hAnsi="Times New Roman;serif"/>
          <w:b/>
          <w:color w:val="000000"/>
          <w:sz w:val="24"/>
        </w:rPr>
        <w:t>Securities</w:t>
      </w:r>
      <w:r>
        <w:rPr>
          <w:color w:val="000000"/>
        </w:rPr>
        <w:t xml:space="preserve"> </w:t>
      </w:r>
      <w:r>
        <w:rPr>
          <w:rFonts w:ascii="Times New Roman;serif" w:hAnsi="Times New Roman;serif"/>
          <w:b/>
          <w:color w:val="000000"/>
          <w:sz w:val="24"/>
        </w:rPr>
        <w:t>Act</w:t>
      </w:r>
      <w:r>
        <w:rPr>
          <w:color w:val="000000"/>
        </w:rPr>
        <w:t xml:space="preserve"> </w:t>
      </w:r>
      <w:r>
        <w:rPr>
          <w:rFonts w:ascii="Times New Roman;serif" w:hAnsi="Times New Roman;serif"/>
          <w:b/>
          <w:color w:val="000000"/>
          <w:sz w:val="24"/>
        </w:rPr>
        <w:t>other</w:t>
      </w:r>
      <w:r>
        <w:rPr>
          <w:color w:val="000000"/>
        </w:rPr>
        <w:t xml:space="preserve"> </w:t>
      </w:r>
      <w:r>
        <w:rPr>
          <w:rFonts w:ascii="Times New Roman;serif" w:hAnsi="Times New Roman;serif"/>
          <w:b/>
          <w:color w:val="000000"/>
          <w:sz w:val="24"/>
        </w:rPr>
        <w:t>than</w:t>
      </w:r>
      <w:r>
        <w:rPr>
          <w:color w:val="000000"/>
        </w:rPr>
        <w:t xml:space="preserve"> </w:t>
      </w:r>
      <w:r>
        <w:rPr>
          <w:rFonts w:ascii="Times New Roman;serif" w:hAnsi="Times New Roman;serif"/>
          <w:b/>
          <w:color w:val="000000"/>
          <w:sz w:val="24"/>
        </w:rPr>
        <w:t>Rule</w:t>
      </w:r>
      <w:r>
        <w:rPr>
          <w:color w:val="000000"/>
        </w:rPr>
        <w:t xml:space="preserve"> </w:t>
      </w:r>
      <w:r>
        <w:rPr>
          <w:rFonts w:ascii="Times New Roman;serif" w:hAnsi="Times New Roman;serif"/>
          <w:b/>
          <w:color w:val="000000"/>
          <w:sz w:val="24"/>
        </w:rPr>
        <w:t>144A</w:t>
      </w:r>
      <w:r>
        <w:rPr>
          <w:color w:val="000000"/>
        </w:rPr>
        <w:t xml:space="preserve"> </w:t>
      </w:r>
      <w:r>
        <w:rPr>
          <w:rFonts w:ascii="Times New Roman;serif" w:hAnsi="Times New Roman;serif"/>
          <w:b/>
          <w:color w:val="000000"/>
          <w:sz w:val="24"/>
        </w:rPr>
        <w:t>or</w:t>
      </w:r>
      <w:r>
        <w:rPr>
          <w:color w:val="000000"/>
        </w:rPr>
        <w:t xml:space="preserve"> </w:t>
      </w:r>
      <w:r>
        <w:rPr>
          <w:rFonts w:ascii="Times New Roman;serif" w:hAnsi="Times New Roman;serif"/>
          <w:b/>
          <w:color w:val="000000"/>
          <w:sz w:val="24"/>
        </w:rPr>
        <w:t>Regulation</w:t>
      </w:r>
      <w:r>
        <w:rPr>
          <w:color w:val="000000"/>
        </w:rPr>
        <w:t xml:space="preserve"> </w:t>
      </w:r>
      <w:r>
        <w:rPr>
          <w:rFonts w:ascii="Times New Roman;serif" w:hAnsi="Times New Roman;serif"/>
          <w:b/>
          <w:color w:val="000000"/>
          <w:sz w:val="24"/>
        </w:rPr>
        <w:t>S</w:t>
      </w:r>
      <w:r>
        <w:rPr>
          <w:rFonts w:ascii="Times New Roman;serif" w:hAnsi="Times New Roman;serif"/>
          <w:b w:val="false"/>
          <w:color w:val="000000"/>
          <w:sz w:val="24"/>
        </w:rPr>
        <w:t>. The</w:t>
      </w:r>
      <w:r>
        <w:rPr>
          <w:color w:val="000000"/>
        </w:rPr>
        <w:t xml:space="preserve"> </w:t>
      </w:r>
      <w:r>
        <w:rPr>
          <w:rFonts w:ascii="Times New Roman;serif" w:hAnsi="Times New Roman;serif"/>
          <w:b w:val="false"/>
          <w:color w:val="000000"/>
          <w:sz w:val="24"/>
        </w:rPr>
        <w:t>Transfer</w:t>
      </w:r>
      <w:r>
        <w:rPr>
          <w:color w:val="000000"/>
        </w:rPr>
        <w:t xml:space="preserve"> </w:t>
      </w:r>
      <w:r>
        <w:rPr>
          <w:rFonts w:ascii="Times New Roman;serif" w:hAnsi="Times New Roman;serif"/>
          <w:b w:val="false"/>
          <w:color w:val="000000"/>
          <w:sz w:val="24"/>
        </w:rPr>
        <w:t>is</w:t>
      </w:r>
      <w:r>
        <w:rPr>
          <w:color w:val="000000"/>
        </w:rPr>
        <w:t xml:space="preserve"> </w:t>
      </w:r>
      <w:r>
        <w:rPr>
          <w:rFonts w:ascii="Times New Roman;serif" w:hAnsi="Times New Roman;serif"/>
          <w:b w:val="false"/>
          <w:color w:val="000000"/>
          <w:sz w:val="24"/>
        </w:rPr>
        <w:t>being effected</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compliance</w:t>
      </w:r>
      <w:r>
        <w:rPr>
          <w:color w:val="000000"/>
        </w:rPr>
        <w:t xml:space="preserve"> </w:t>
      </w:r>
      <w:r>
        <w:rPr>
          <w:rFonts w:ascii="Times New Roman;serif" w:hAnsi="Times New Roman;serif"/>
          <w:b w:val="false"/>
          <w:color w:val="000000"/>
          <w:sz w:val="24"/>
        </w:rPr>
        <w:t>with the</w:t>
      </w:r>
      <w:r>
        <w:rPr>
          <w:color w:val="000000"/>
        </w:rPr>
        <w:t xml:space="preserve"> </w:t>
      </w:r>
      <w:r>
        <w:rPr>
          <w:rFonts w:ascii="Times New Roman;serif" w:hAnsi="Times New Roman;serif"/>
          <w:b w:val="false"/>
          <w:color w:val="000000"/>
          <w:sz w:val="24"/>
        </w:rPr>
        <w:t>transfer</w:t>
      </w:r>
      <w:r>
        <w:rPr>
          <w:color w:val="000000"/>
        </w:rPr>
        <w:t xml:space="preserve"> </w:t>
      </w:r>
      <w:r>
        <w:rPr>
          <w:rFonts w:ascii="Times New Roman;serif" w:hAnsi="Times New Roman;serif"/>
          <w:b w:val="false"/>
          <w:color w:val="000000"/>
          <w:sz w:val="24"/>
        </w:rPr>
        <w:t>restrictions applicable to beneficial interests in Restricted Global Notes and Restricted Definitive Notes and pursuant to and in accordance with the</w:t>
      </w:r>
      <w:r>
        <w:rPr>
          <w:color w:val="000000"/>
        </w:rPr>
        <w:t xml:space="preserve"> </w:t>
      </w:r>
      <w:r>
        <w:rPr>
          <w:rFonts w:ascii="Times New Roman;serif" w:hAnsi="Times New Roman;serif"/>
          <w:b w:val="false"/>
          <w:color w:val="000000"/>
          <w:sz w:val="24"/>
        </w:rPr>
        <w:t>Securities Act and any applicable blue sky securities laws of any state of the United States, and accordingly the Transferor hereby further certifies that</w:t>
      </w:r>
      <w:r>
        <w:rPr>
          <w:color w:val="000000"/>
        </w:rPr>
        <w:t xml:space="preserve"> </w:t>
      </w:r>
      <w:r>
        <w:rPr>
          <w:rFonts w:ascii="Times New Roman;serif" w:hAnsi="Times New Roman;serif"/>
          <w:b w:val="false"/>
          <w:color w:val="000000"/>
          <w:sz w:val="24"/>
        </w:rPr>
        <w:t>(check</w:t>
      </w:r>
      <w:r>
        <w:rPr>
          <w:color w:val="000000"/>
        </w:rPr>
        <w:t xml:space="preserve"> </w:t>
      </w:r>
      <w:r>
        <w:rPr>
          <w:rFonts w:ascii="Times New Roman;serif" w:hAnsi="Times New Roman;serif"/>
          <w:b w:val="false"/>
          <w:color w:val="000000"/>
          <w:sz w:val="24"/>
        </w:rPr>
        <w:t>one):</w:t>
      </w:r>
    </w:p>
    <w:p>
      <w:pPr>
        <w:pStyle w:val="TextBody"/>
        <w:bidi w:val="0"/>
        <w:spacing w:lineRule="auto" w:line="240" w:before="0" w:after="240"/>
        <w:ind w:left="0" w:right="0" w:firstLine="1440"/>
        <w:jc w:val="both"/>
        <w:rPr/>
      </w:pPr>
      <w:r>
        <w:rPr>
          <w:rFonts w:ascii="Times New Roman;serif" w:hAnsi="Times New Roman;serif"/>
          <w:b w:val="false"/>
          <w:color w:val="000000"/>
          <w:sz w:val="24"/>
        </w:rPr>
        <w:t>(a)</w:t>
      </w:r>
      <w:r>
        <w:rPr>
          <w:color w:val="000000"/>
        </w:rPr>
        <w:t>☐</w:t>
      </w:r>
      <w:r>
        <w:rPr>
          <w:color w:val="000000"/>
        </w:rPr>
        <w:t xml:space="preserve">     </w:t>
      </w:r>
      <w:r>
        <w:rPr>
          <w:rFonts w:ascii="Times New Roman;serif" w:hAnsi="Times New Roman;serif"/>
          <w:b w:val="false"/>
          <w:color w:val="000000"/>
          <w:sz w:val="24"/>
        </w:rPr>
        <w:t>such</w:t>
      </w:r>
      <w:r>
        <w:rPr>
          <w:color w:val="000000"/>
        </w:rPr>
        <w:t xml:space="preserve"> </w:t>
      </w:r>
      <w:r>
        <w:rPr>
          <w:rFonts w:ascii="Times New Roman;serif" w:hAnsi="Times New Roman;serif"/>
          <w:b w:val="false"/>
          <w:color w:val="000000"/>
          <w:sz w:val="24"/>
        </w:rPr>
        <w:t>Transfer</w:t>
      </w:r>
      <w:r>
        <w:rPr>
          <w:color w:val="000000"/>
        </w:rPr>
        <w:t xml:space="preserve"> </w:t>
      </w:r>
      <w:r>
        <w:rPr>
          <w:rFonts w:ascii="Times New Roman;serif" w:hAnsi="Times New Roman;serif"/>
          <w:b w:val="false"/>
          <w:color w:val="000000"/>
          <w:sz w:val="24"/>
        </w:rPr>
        <w:t>is</w:t>
      </w:r>
      <w:r>
        <w:rPr>
          <w:color w:val="000000"/>
        </w:rPr>
        <w:t xml:space="preserve"> </w:t>
      </w:r>
      <w:r>
        <w:rPr>
          <w:rFonts w:ascii="Times New Roman;serif" w:hAnsi="Times New Roman;serif"/>
          <w:b w:val="false"/>
          <w:color w:val="000000"/>
          <w:sz w:val="24"/>
        </w:rPr>
        <w:t>being</w:t>
      </w:r>
      <w:r>
        <w:rPr>
          <w:color w:val="000000"/>
        </w:rPr>
        <w:t xml:space="preserve"> </w:t>
      </w:r>
      <w:r>
        <w:rPr>
          <w:rFonts w:ascii="Times New Roman;serif" w:hAnsi="Times New Roman;serif"/>
          <w:b w:val="false"/>
          <w:color w:val="000000"/>
          <w:sz w:val="24"/>
        </w:rPr>
        <w:t>effected</w:t>
      </w:r>
      <w:r>
        <w:rPr>
          <w:color w:val="000000"/>
        </w:rPr>
        <w:t xml:space="preserve"> </w:t>
      </w:r>
      <w:r>
        <w:rPr>
          <w:rFonts w:ascii="Times New Roman;serif" w:hAnsi="Times New Roman;serif"/>
          <w:b w:val="false"/>
          <w:color w:val="000000"/>
          <w:sz w:val="24"/>
        </w:rPr>
        <w:t>pursuant</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accordance</w:t>
      </w:r>
      <w:r>
        <w:rPr>
          <w:color w:val="000000"/>
        </w:rPr>
        <w:t xml:space="preserve"> </w:t>
      </w:r>
      <w:r>
        <w:rPr>
          <w:rFonts w:ascii="Times New Roman;serif" w:hAnsi="Times New Roman;serif"/>
          <w:b w:val="false"/>
          <w:color w:val="000000"/>
          <w:sz w:val="24"/>
        </w:rPr>
        <w:t>with</w:t>
      </w:r>
      <w:r>
        <w:rPr>
          <w:color w:val="000000"/>
        </w:rPr>
        <w:t xml:space="preserve"> </w:t>
      </w:r>
      <w:r>
        <w:rPr>
          <w:rFonts w:ascii="Times New Roman;serif" w:hAnsi="Times New Roman;serif"/>
          <w:b w:val="false"/>
          <w:color w:val="000000"/>
          <w:sz w:val="24"/>
        </w:rPr>
        <w:t>Rule</w:t>
      </w:r>
      <w:r>
        <w:rPr>
          <w:color w:val="000000"/>
        </w:rPr>
        <w:t xml:space="preserve"> </w:t>
      </w:r>
      <w:r>
        <w:rPr>
          <w:rFonts w:ascii="Times New Roman;serif" w:hAnsi="Times New Roman;serif"/>
          <w:b w:val="false"/>
          <w:color w:val="000000"/>
          <w:sz w:val="24"/>
        </w:rPr>
        <w:t>144</w:t>
      </w:r>
      <w:r>
        <w:rPr>
          <w:color w:val="000000"/>
        </w:rPr>
        <w:t xml:space="preserve"> </w:t>
      </w:r>
      <w:r>
        <w:rPr>
          <w:rFonts w:ascii="Times New Roman;serif" w:hAnsi="Times New Roman;serif"/>
          <w:b w:val="false"/>
          <w:color w:val="000000"/>
          <w:sz w:val="24"/>
        </w:rPr>
        <w:t>under</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Securities</w:t>
      </w:r>
      <w:r>
        <w:rPr>
          <w:color w:val="000000"/>
        </w:rPr>
        <w:t xml:space="preserve"> </w:t>
      </w:r>
      <w:r>
        <w:rPr>
          <w:rFonts w:ascii="Times New Roman;serif" w:hAnsi="Times New Roman;serif"/>
          <w:b w:val="false"/>
          <w:color w:val="000000"/>
          <w:sz w:val="24"/>
        </w:rPr>
        <w:t>Act;</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or</w:t>
      </w:r>
    </w:p>
    <w:p>
      <w:pPr>
        <w:pStyle w:val="TextBody"/>
        <w:bidi w:val="0"/>
        <w:spacing w:lineRule="auto" w:line="240" w:before="0" w:after="240"/>
        <w:ind w:left="0" w:right="0" w:firstLine="1440"/>
        <w:jc w:val="both"/>
        <w:rPr/>
      </w:pPr>
      <w:r>
        <w:rPr>
          <w:rFonts w:ascii="Times New Roman;serif" w:hAnsi="Times New Roman;serif"/>
          <w:b w:val="false"/>
          <w:color w:val="000000"/>
          <w:sz w:val="24"/>
        </w:rPr>
        <w:t>(b)</w:t>
      </w:r>
      <w:r>
        <w:rPr>
          <w:color w:val="000000"/>
        </w:rPr>
        <w:t>☐</w:t>
      </w:r>
      <w:r>
        <w:rPr>
          <w:color w:val="000000"/>
        </w:rPr>
        <w:t xml:space="preserve">     </w:t>
      </w:r>
      <w:r>
        <w:rPr>
          <w:rFonts w:ascii="Times New Roman;serif" w:hAnsi="Times New Roman;serif"/>
          <w:b w:val="false"/>
          <w:color w:val="000000"/>
          <w:sz w:val="24"/>
        </w:rPr>
        <w:t>such</w:t>
      </w:r>
      <w:r>
        <w:rPr>
          <w:color w:val="000000"/>
        </w:rPr>
        <w:t xml:space="preserve"> </w:t>
      </w:r>
      <w:r>
        <w:rPr>
          <w:rFonts w:ascii="Times New Roman;serif" w:hAnsi="Times New Roman;serif"/>
          <w:b w:val="false"/>
          <w:color w:val="000000"/>
          <w:sz w:val="24"/>
        </w:rPr>
        <w:t>Transfer</w:t>
      </w:r>
      <w:r>
        <w:rPr>
          <w:color w:val="000000"/>
        </w:rPr>
        <w:t xml:space="preserve"> </w:t>
      </w:r>
      <w:r>
        <w:rPr>
          <w:rFonts w:ascii="Times New Roman;serif" w:hAnsi="Times New Roman;serif"/>
          <w:b w:val="false"/>
          <w:color w:val="000000"/>
          <w:sz w:val="24"/>
        </w:rPr>
        <w:t>is</w:t>
      </w:r>
      <w:r>
        <w:rPr>
          <w:color w:val="000000"/>
        </w:rPr>
        <w:t xml:space="preserve"> </w:t>
      </w:r>
      <w:r>
        <w:rPr>
          <w:rFonts w:ascii="Times New Roman;serif" w:hAnsi="Times New Roman;serif"/>
          <w:b w:val="false"/>
          <w:color w:val="000000"/>
          <w:sz w:val="24"/>
        </w:rPr>
        <w:t>being</w:t>
      </w:r>
      <w:r>
        <w:rPr>
          <w:color w:val="000000"/>
        </w:rPr>
        <w:t xml:space="preserve"> </w:t>
      </w:r>
      <w:r>
        <w:rPr>
          <w:rFonts w:ascii="Times New Roman;serif" w:hAnsi="Times New Roman;serif"/>
          <w:b w:val="false"/>
          <w:color w:val="000000"/>
          <w:sz w:val="24"/>
        </w:rPr>
        <w:t>effected</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Issuer</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subsidiary</w:t>
      </w:r>
      <w:r>
        <w:rPr>
          <w:color w:val="000000"/>
        </w:rPr>
        <w:t xml:space="preserve"> </w:t>
      </w:r>
      <w:r>
        <w:rPr>
          <w:rFonts w:ascii="Times New Roman;serif" w:hAnsi="Times New Roman;serif"/>
          <w:b w:val="false"/>
          <w:color w:val="000000"/>
          <w:sz w:val="24"/>
        </w:rPr>
        <w:t>thereof;</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or</w:t>
      </w:r>
    </w:p>
    <w:p>
      <w:pPr>
        <w:pStyle w:val="TextBody"/>
        <w:bidi w:val="0"/>
        <w:spacing w:lineRule="auto" w:line="240" w:before="0" w:after="240"/>
        <w:ind w:left="0" w:right="0" w:firstLine="1440"/>
        <w:jc w:val="both"/>
        <w:rPr/>
      </w:pPr>
      <w:r>
        <w:rPr>
          <w:rFonts w:ascii="Times New Roman;serif" w:hAnsi="Times New Roman;serif"/>
          <w:b w:val="false"/>
          <w:color w:val="000000"/>
          <w:sz w:val="24"/>
        </w:rPr>
        <w:t>(c)</w:t>
      </w:r>
      <w:r>
        <w:rPr>
          <w:color w:val="000000"/>
        </w:rPr>
        <w:t>☐</w:t>
      </w:r>
      <w:r>
        <w:rPr>
          <w:color w:val="000000"/>
        </w:rPr>
        <w:t xml:space="preserve">     </w:t>
      </w:r>
      <w:r>
        <w:rPr>
          <w:rFonts w:ascii="Times New Roman;serif" w:hAnsi="Times New Roman;serif"/>
          <w:b w:val="false"/>
          <w:color w:val="000000"/>
          <w:sz w:val="24"/>
        </w:rPr>
        <w:t>such Transfer is being effected pursuant to an effective registration statement under the Securities Act in compliance with the</w:t>
      </w:r>
      <w:r>
        <w:rPr>
          <w:color w:val="000000"/>
        </w:rPr>
        <w:t xml:space="preserve"> </w:t>
      </w:r>
      <w:r>
        <w:rPr>
          <w:rFonts w:ascii="Times New Roman;serif" w:hAnsi="Times New Roman;serif"/>
          <w:b w:val="false"/>
          <w:color w:val="000000"/>
          <w:sz w:val="24"/>
        </w:rPr>
        <w:t>prospectus delivery requirements of the Securities Act;</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or</w:t>
      </w:r>
    </w:p>
    <w:p>
      <w:pPr>
        <w:pStyle w:val="TextBody"/>
        <w:bidi w:val="0"/>
        <w:spacing w:lineRule="auto" w:line="240" w:before="0" w:after="240"/>
        <w:ind w:left="0" w:right="0" w:firstLine="1440"/>
        <w:jc w:val="both"/>
        <w:rPr/>
      </w:pPr>
      <w:r>
        <w:rPr>
          <w:rFonts w:ascii="Times New Roman;serif" w:hAnsi="Times New Roman;serif"/>
          <w:b w:val="false"/>
          <w:color w:val="000000"/>
          <w:sz w:val="24"/>
        </w:rPr>
        <w:t>(d)</w:t>
      </w:r>
      <w:r>
        <w:rPr>
          <w:color w:val="000000"/>
        </w:rPr>
        <w:t>☐</w:t>
      </w:r>
      <w:r>
        <w:rPr>
          <w:color w:val="000000"/>
        </w:rPr>
        <w:t xml:space="preserve">     </w:t>
      </w:r>
      <w:r>
        <w:rPr>
          <w:rFonts w:ascii="Times New Roman;serif" w:hAnsi="Times New Roman;serif"/>
          <w:b w:val="false"/>
          <w:color w:val="000000"/>
          <w:sz w:val="24"/>
        </w:rPr>
        <w:t>such Transfer is being effected to an Institutional Accredited Investor pursuant to an exemption from the registration requirements of the Securities Act other than</w:t>
      </w:r>
      <w:r>
        <w:rPr>
          <w:color w:val="000000"/>
        </w:rPr>
        <w:t xml:space="preserve"> </w:t>
      </w:r>
      <w:r>
        <w:rPr>
          <w:rFonts w:ascii="Times New Roman;serif" w:hAnsi="Times New Roman;serif"/>
          <w:b w:val="false"/>
          <w:color w:val="000000"/>
          <w:sz w:val="24"/>
        </w:rPr>
        <w:t>Rule 144A, Rule 144, or Rule 903 or Rule 904 of Regulation S, and the Transferor hereby further certifies that it has not engaged in any general</w:t>
      </w:r>
      <w:r>
        <w:rPr>
          <w:color w:val="000000"/>
        </w:rPr>
        <w:t xml:space="preserve"> </w:t>
      </w:r>
      <w:r>
        <w:rPr>
          <w:rFonts w:ascii="Times New Roman;serif" w:hAnsi="Times New Roman;serif"/>
          <w:b w:val="false"/>
          <w:color w:val="000000"/>
          <w:sz w:val="24"/>
        </w:rPr>
        <w:t>solicitation within the meaning of Regulation D under the Securities Act and the Transfer complies with the transfer restrictions applicable to beneficial interests in a Restricted Global Note or Restricted</w:t>
      </w:r>
      <w:r>
        <w:rPr>
          <w:color w:val="000000"/>
        </w:rPr>
        <w:t xml:space="preserve"> </w:t>
      </w:r>
      <w:r>
        <w:rPr>
          <w:rFonts w:ascii="Times New Roman;serif" w:hAnsi="Times New Roman;serif"/>
          <w:b w:val="false"/>
          <w:color w:val="000000"/>
          <w:sz w:val="24"/>
        </w:rPr>
        <w:t xml:space="preserve">Definitive Notes and the requirements of the exemption claimed, which certification is supported by, (1) a certificate executed by the Transferee in the form of </w:t>
      </w:r>
      <w:r>
        <w:rPr>
          <w:rFonts w:ascii="Times New Roman;serif" w:hAnsi="Times New Roman;serif"/>
          <w:b w:val="false"/>
          <w:color w:val="000000"/>
          <w:sz w:val="24"/>
          <w:u w:val="single"/>
        </w:rPr>
        <w:t>Exhibit D</w:t>
      </w:r>
      <w:r>
        <w:rPr>
          <w:color w:val="000000"/>
        </w:rPr>
        <w:t xml:space="preserve"> </w:t>
      </w:r>
      <w:r>
        <w:rPr>
          <w:rFonts w:ascii="Times New Roman;serif" w:hAnsi="Times New Roman;serif"/>
          <w:b w:val="false"/>
          <w:color w:val="000000"/>
          <w:sz w:val="24"/>
        </w:rPr>
        <w:t>to the Indenture and (2) an Opinion of Counsel provided by the Transferor or the Transferee (a copy of which</w:t>
      </w:r>
      <w:r>
        <w:rPr>
          <w:color w:val="000000"/>
        </w:rPr>
        <w:t xml:space="preserve"> </w:t>
      </w:r>
      <w:r>
        <w:rPr>
          <w:rFonts w:ascii="Times New Roman;serif" w:hAnsi="Times New Roman;serif"/>
          <w:b w:val="false"/>
          <w:color w:val="000000"/>
          <w:sz w:val="24"/>
        </w:rPr>
        <w:t>the Transferor has attached to this certification), to the effect that such Transfer is in compliance with the Securities Act. Upon consummation of</w:t>
      </w:r>
      <w:r>
        <w:rPr>
          <w:color w:val="000000"/>
        </w:rPr>
        <w:t xml:space="preserve"> </w:t>
      </w:r>
      <w:r>
        <w:rPr>
          <w:rFonts w:ascii="Times New Roman;serif" w:hAnsi="Times New Roman;serif"/>
          <w:b w:val="false"/>
          <w:color w:val="000000"/>
          <w:sz w:val="24"/>
        </w:rPr>
        <w:t>the proposed transfer in accordance with the terms of the Indenture, the transferred beneficial interest or Definitive Note will be subject to the</w:t>
      </w:r>
      <w:r>
        <w:rPr>
          <w:color w:val="000000"/>
        </w:rPr>
        <w:t xml:space="preserve"> </w:t>
      </w:r>
      <w:r>
        <w:rPr>
          <w:rFonts w:ascii="Times New Roman;serif" w:hAnsi="Times New Roman;serif"/>
          <w:b w:val="false"/>
          <w:color w:val="000000"/>
          <w:sz w:val="24"/>
        </w:rPr>
        <w:t xml:space="preserve">restrictions on transfer </w:t>
      </w:r>
    </w:p>
    <w:p>
      <w:pPr>
        <w:pStyle w:val="TextBody"/>
        <w:bidi w:val="0"/>
        <w:spacing w:before="0" w:after="0"/>
        <w:jc w:val="left"/>
        <w:rPr/>
      </w:pPr>
      <w:r>
        <w:rPr/>
      </w:r>
      <w:r>
        <mc:AlternateContent>
          <mc:Choice Requires="wps">
            <w:drawing>
              <wp:anchor behindDoc="0" distT="0" distB="0" distL="0" distR="0" simplePos="0" locked="0" layoutInCell="1" allowOverlap="1" relativeHeight="280">
                <wp:simplePos x="0" y="0"/>
                <wp:positionH relativeFrom="character">
                  <wp:align>left</wp:align>
                </wp:positionH>
                <wp:positionV relativeFrom="line">
                  <wp:posOffset>635</wp:posOffset>
                </wp:positionV>
                <wp:extent cx="6480175" cy="175260"/>
                <wp:effectExtent l="0" t="0" r="0" b="0"/>
                <wp:wrapNone/>
                <wp:docPr id="279" name="Frame27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B-2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B-2</w:t>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rPr>
        <w:t>enumerated in the Private Placement Legend printed on the IAI Global Note and/or the Restricted Definitive Notes and in the Indenture</w:t>
      </w:r>
      <w:r>
        <w:rPr>
          <w:color w:val="000000"/>
        </w:rPr>
        <w:t xml:space="preserve"> </w:t>
      </w:r>
      <w:r>
        <w:rPr>
          <w:rFonts w:ascii="Times New Roman;serif" w:hAnsi="Times New Roman;serif"/>
          <w:b w:val="false"/>
          <w:color w:val="000000"/>
          <w:sz w:val="24"/>
        </w:rPr>
        <w:t>and the Securities Act.</w:t>
      </w:r>
    </w:p>
    <w:p>
      <w:pPr>
        <w:pStyle w:val="TextBody"/>
        <w:bidi w:val="0"/>
        <w:spacing w:lineRule="auto" w:line="240" w:before="0" w:after="240"/>
        <w:ind w:left="0" w:right="0" w:firstLine="720"/>
        <w:jc w:val="both"/>
        <w:rPr/>
      </w:pPr>
      <w:r>
        <w:rPr>
          <w:rFonts w:ascii="Times New Roman;serif" w:hAnsi="Times New Roman;serif"/>
          <w:b w:val="false"/>
          <w:color w:val="000000"/>
          <w:sz w:val="24"/>
        </w:rPr>
        <w:t>4.</w:t>
      </w:r>
      <w:r>
        <w:rPr>
          <w:color w:val="000000"/>
        </w:rPr>
        <w:t>☐</w:t>
      </w:r>
      <w:r>
        <w:rPr>
          <w:color w:val="000000"/>
        </w:rPr>
        <w:t xml:space="preserve">     </w:t>
      </w:r>
      <w:r>
        <w:rPr>
          <w:rFonts w:ascii="Times New Roman;serif" w:hAnsi="Times New Roman;serif"/>
          <w:b/>
          <w:color w:val="000000"/>
          <w:sz w:val="24"/>
        </w:rPr>
        <w:t>Check</w:t>
      </w:r>
      <w:r>
        <w:rPr>
          <w:color w:val="000000"/>
        </w:rPr>
        <w:t xml:space="preserve"> </w:t>
      </w:r>
      <w:r>
        <w:rPr>
          <w:rFonts w:ascii="Times New Roman;serif" w:hAnsi="Times New Roman;serif"/>
          <w:b/>
          <w:color w:val="000000"/>
          <w:sz w:val="24"/>
        </w:rPr>
        <w:t>if</w:t>
      </w:r>
      <w:r>
        <w:rPr>
          <w:color w:val="000000"/>
        </w:rPr>
        <w:t xml:space="preserve"> </w:t>
      </w:r>
      <w:r>
        <w:rPr>
          <w:rFonts w:ascii="Times New Roman;serif" w:hAnsi="Times New Roman;serif"/>
          <w:b/>
          <w:color w:val="000000"/>
          <w:sz w:val="24"/>
        </w:rPr>
        <w:t>Transferee</w:t>
      </w:r>
      <w:r>
        <w:rPr>
          <w:color w:val="000000"/>
        </w:rPr>
        <w:t xml:space="preserve"> </w:t>
      </w:r>
      <w:r>
        <w:rPr>
          <w:rFonts w:ascii="Times New Roman;serif" w:hAnsi="Times New Roman;serif"/>
          <w:b/>
          <w:color w:val="000000"/>
          <w:sz w:val="24"/>
        </w:rPr>
        <w:t>will</w:t>
      </w:r>
      <w:r>
        <w:rPr>
          <w:color w:val="000000"/>
        </w:rPr>
        <w:t xml:space="preserve"> </w:t>
      </w:r>
      <w:r>
        <w:rPr>
          <w:rFonts w:ascii="Times New Roman;serif" w:hAnsi="Times New Roman;serif"/>
          <w:b/>
          <w:color w:val="000000"/>
          <w:sz w:val="24"/>
        </w:rPr>
        <w:t>take</w:t>
      </w:r>
      <w:r>
        <w:rPr>
          <w:color w:val="000000"/>
        </w:rPr>
        <w:t xml:space="preserve"> </w:t>
      </w:r>
      <w:r>
        <w:rPr>
          <w:rFonts w:ascii="Times New Roman;serif" w:hAnsi="Times New Roman;serif"/>
          <w:b/>
          <w:color w:val="000000"/>
          <w:sz w:val="24"/>
        </w:rPr>
        <w:t>delivery</w:t>
      </w:r>
      <w:r>
        <w:rPr>
          <w:color w:val="000000"/>
        </w:rPr>
        <w:t xml:space="preserve"> </w:t>
      </w:r>
      <w:r>
        <w:rPr>
          <w:rFonts w:ascii="Times New Roman;serif" w:hAnsi="Times New Roman;serif"/>
          <w:b/>
          <w:color w:val="000000"/>
          <w:sz w:val="24"/>
        </w:rPr>
        <w:t>of</w:t>
      </w:r>
      <w:r>
        <w:rPr>
          <w:color w:val="000000"/>
        </w:rPr>
        <w:t xml:space="preserve"> </w:t>
      </w:r>
      <w:r>
        <w:rPr>
          <w:rFonts w:ascii="Times New Roman;serif" w:hAnsi="Times New Roman;serif"/>
          <w:b/>
          <w:color w:val="000000"/>
          <w:sz w:val="24"/>
        </w:rPr>
        <w:t>a</w:t>
      </w:r>
      <w:r>
        <w:rPr>
          <w:color w:val="000000"/>
        </w:rPr>
        <w:t xml:space="preserve"> </w:t>
      </w:r>
      <w:r>
        <w:rPr>
          <w:rFonts w:ascii="Times New Roman;serif" w:hAnsi="Times New Roman;serif"/>
          <w:b/>
          <w:color w:val="000000"/>
          <w:sz w:val="24"/>
        </w:rPr>
        <w:t>beneficial</w:t>
      </w:r>
      <w:r>
        <w:rPr>
          <w:color w:val="000000"/>
        </w:rPr>
        <w:t xml:space="preserve"> </w:t>
      </w:r>
      <w:r>
        <w:rPr>
          <w:rFonts w:ascii="Times New Roman;serif" w:hAnsi="Times New Roman;serif"/>
          <w:b/>
          <w:color w:val="000000"/>
          <w:sz w:val="24"/>
        </w:rPr>
        <w:t>interest</w:t>
      </w:r>
      <w:r>
        <w:rPr>
          <w:color w:val="000000"/>
        </w:rPr>
        <w:t xml:space="preserve"> </w:t>
      </w:r>
      <w:r>
        <w:rPr>
          <w:rFonts w:ascii="Times New Roman;serif" w:hAnsi="Times New Roman;serif"/>
          <w:b/>
          <w:color w:val="000000"/>
          <w:sz w:val="24"/>
        </w:rPr>
        <w:t>in</w:t>
      </w:r>
      <w:r>
        <w:rPr>
          <w:color w:val="000000"/>
        </w:rPr>
        <w:t xml:space="preserve"> </w:t>
      </w:r>
      <w:r>
        <w:rPr>
          <w:rFonts w:ascii="Times New Roman;serif" w:hAnsi="Times New Roman;serif"/>
          <w:b/>
          <w:color w:val="000000"/>
          <w:sz w:val="24"/>
        </w:rPr>
        <w:t>an</w:t>
      </w:r>
      <w:r>
        <w:rPr>
          <w:color w:val="000000"/>
        </w:rPr>
        <w:t xml:space="preserve"> </w:t>
      </w:r>
      <w:r>
        <w:rPr>
          <w:rFonts w:ascii="Times New Roman;serif" w:hAnsi="Times New Roman;serif"/>
          <w:b/>
          <w:color w:val="000000"/>
          <w:sz w:val="24"/>
        </w:rPr>
        <w:t>Unrestricted</w:t>
      </w:r>
      <w:r>
        <w:rPr>
          <w:color w:val="000000"/>
        </w:rPr>
        <w:t xml:space="preserve"> </w:t>
      </w:r>
      <w:r>
        <w:rPr>
          <w:rFonts w:ascii="Times New Roman;serif" w:hAnsi="Times New Roman;serif"/>
          <w:b/>
          <w:color w:val="000000"/>
          <w:sz w:val="24"/>
        </w:rPr>
        <w:t>Global</w:t>
      </w:r>
      <w:r>
        <w:rPr>
          <w:color w:val="000000"/>
        </w:rPr>
        <w:t xml:space="preserve"> </w:t>
      </w:r>
      <w:r>
        <w:rPr>
          <w:rFonts w:ascii="Times New Roman;serif" w:hAnsi="Times New Roman;serif"/>
          <w:b/>
          <w:color w:val="000000"/>
          <w:sz w:val="24"/>
        </w:rPr>
        <w:t>Note</w:t>
      </w:r>
      <w:r>
        <w:rPr>
          <w:color w:val="000000"/>
        </w:rPr>
        <w:t xml:space="preserve"> </w:t>
      </w:r>
      <w:r>
        <w:rPr>
          <w:rFonts w:ascii="Times New Roman;serif" w:hAnsi="Times New Roman;serif"/>
          <w:b/>
          <w:color w:val="000000"/>
          <w:sz w:val="24"/>
        </w:rPr>
        <w:t>or</w:t>
      </w:r>
      <w:r>
        <w:rPr>
          <w:color w:val="000000"/>
        </w:rPr>
        <w:t xml:space="preserve"> </w:t>
      </w:r>
      <w:r>
        <w:rPr>
          <w:rFonts w:ascii="Times New Roman;serif" w:hAnsi="Times New Roman;serif"/>
          <w:b/>
          <w:color w:val="000000"/>
          <w:sz w:val="24"/>
        </w:rPr>
        <w:t>of</w:t>
      </w:r>
      <w:r>
        <w:rPr>
          <w:color w:val="000000"/>
        </w:rPr>
        <w:t xml:space="preserve"> </w:t>
      </w:r>
      <w:r>
        <w:rPr>
          <w:rFonts w:ascii="Times New Roman;serif" w:hAnsi="Times New Roman;serif"/>
          <w:b/>
          <w:color w:val="000000"/>
          <w:sz w:val="24"/>
        </w:rPr>
        <w:t>an</w:t>
      </w:r>
      <w:r>
        <w:rPr>
          <w:color w:val="000000"/>
        </w:rPr>
        <w:t xml:space="preserve"> </w:t>
      </w:r>
      <w:r>
        <w:rPr>
          <w:rFonts w:ascii="Times New Roman;serif" w:hAnsi="Times New Roman;serif"/>
          <w:b/>
          <w:color w:val="000000"/>
          <w:sz w:val="24"/>
        </w:rPr>
        <w:t>Unrestricted</w:t>
      </w:r>
      <w:r>
        <w:rPr>
          <w:color w:val="000000"/>
        </w:rPr>
        <w:t xml:space="preserve"> </w:t>
      </w:r>
      <w:r>
        <w:rPr>
          <w:rFonts w:ascii="Times New Roman;serif" w:hAnsi="Times New Roman;serif"/>
          <w:b/>
          <w:color w:val="000000"/>
          <w:sz w:val="24"/>
        </w:rPr>
        <w:t>Definitive</w:t>
      </w:r>
      <w:r>
        <w:rPr>
          <w:color w:val="000000"/>
        </w:rPr>
        <w:t xml:space="preserve"> </w:t>
      </w:r>
      <w:r>
        <w:rPr>
          <w:rFonts w:ascii="Times New Roman;serif" w:hAnsi="Times New Roman;serif"/>
          <w:b/>
          <w:color w:val="000000"/>
          <w:sz w:val="24"/>
        </w:rPr>
        <w:t>Note.</w:t>
      </w:r>
    </w:p>
    <w:p>
      <w:pPr>
        <w:pStyle w:val="TextBody"/>
        <w:bidi w:val="0"/>
        <w:spacing w:lineRule="auto" w:line="240" w:before="0" w:after="240"/>
        <w:ind w:left="0" w:right="0" w:firstLine="1440"/>
        <w:jc w:val="both"/>
        <w:rPr/>
      </w:pPr>
      <w:r>
        <w:rPr>
          <w:rFonts w:ascii="Times New Roman;serif" w:hAnsi="Times New Roman;serif"/>
          <w:b w:val="false"/>
          <w:color w:val="000000"/>
          <w:sz w:val="24"/>
        </w:rPr>
        <w:t>(a)</w:t>
      </w:r>
      <w:r>
        <w:rPr>
          <w:color w:val="000000"/>
        </w:rPr>
        <w:t>☐</w:t>
      </w:r>
      <w:r>
        <w:rPr>
          <w:color w:val="000000"/>
        </w:rPr>
        <w:t xml:space="preserve">     </w:t>
      </w:r>
      <w:r>
        <w:rPr>
          <w:rFonts w:ascii="Times New Roman;serif" w:hAnsi="Times New Roman;serif"/>
          <w:b/>
          <w:color w:val="000000"/>
          <w:sz w:val="24"/>
        </w:rPr>
        <w:t>Check</w:t>
      </w:r>
      <w:r>
        <w:rPr>
          <w:color w:val="000000"/>
        </w:rPr>
        <w:t xml:space="preserve"> </w:t>
      </w:r>
      <w:r>
        <w:rPr>
          <w:rFonts w:ascii="Times New Roman;serif" w:hAnsi="Times New Roman;serif"/>
          <w:b/>
          <w:color w:val="000000"/>
          <w:sz w:val="24"/>
        </w:rPr>
        <w:t>if</w:t>
      </w:r>
      <w:r>
        <w:rPr>
          <w:color w:val="000000"/>
        </w:rPr>
        <w:t xml:space="preserve"> </w:t>
      </w:r>
      <w:r>
        <w:rPr>
          <w:rFonts w:ascii="Times New Roman;serif" w:hAnsi="Times New Roman;serif"/>
          <w:b/>
          <w:color w:val="000000"/>
          <w:sz w:val="24"/>
        </w:rPr>
        <w:t>Transfer</w:t>
      </w:r>
      <w:r>
        <w:rPr>
          <w:color w:val="000000"/>
        </w:rPr>
        <w:t xml:space="preserve"> </w:t>
      </w:r>
      <w:r>
        <w:rPr>
          <w:rFonts w:ascii="Times New Roman;serif" w:hAnsi="Times New Roman;serif"/>
          <w:b/>
          <w:color w:val="000000"/>
          <w:sz w:val="24"/>
        </w:rPr>
        <w:t>is</w:t>
      </w:r>
      <w:r>
        <w:rPr>
          <w:color w:val="000000"/>
        </w:rPr>
        <w:t xml:space="preserve"> </w:t>
      </w:r>
      <w:r>
        <w:rPr>
          <w:rFonts w:ascii="Times New Roman;serif" w:hAnsi="Times New Roman;serif"/>
          <w:b/>
          <w:color w:val="000000"/>
          <w:sz w:val="24"/>
        </w:rPr>
        <w:t>pursuant</w:t>
      </w:r>
      <w:r>
        <w:rPr>
          <w:color w:val="000000"/>
        </w:rPr>
        <w:t xml:space="preserve"> </w:t>
      </w:r>
      <w:r>
        <w:rPr>
          <w:rFonts w:ascii="Times New Roman;serif" w:hAnsi="Times New Roman;serif"/>
          <w:b/>
          <w:color w:val="000000"/>
          <w:sz w:val="24"/>
        </w:rPr>
        <w:t>to</w:t>
      </w:r>
      <w:r>
        <w:rPr>
          <w:color w:val="000000"/>
        </w:rPr>
        <w:t xml:space="preserve"> </w:t>
      </w:r>
      <w:r>
        <w:rPr>
          <w:rFonts w:ascii="Times New Roman;serif" w:hAnsi="Times New Roman;serif"/>
          <w:b/>
          <w:color w:val="000000"/>
          <w:sz w:val="24"/>
        </w:rPr>
        <w:t>Rule</w:t>
      </w:r>
      <w:r>
        <w:rPr>
          <w:color w:val="000000"/>
        </w:rPr>
        <w:t xml:space="preserve"> </w:t>
      </w:r>
      <w:r>
        <w:rPr>
          <w:rFonts w:ascii="Times New Roman;serif" w:hAnsi="Times New Roman;serif"/>
          <w:b/>
          <w:color w:val="000000"/>
          <w:sz w:val="24"/>
        </w:rPr>
        <w:t>144</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(i)</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Transfer</w:t>
      </w:r>
      <w:r>
        <w:rPr>
          <w:color w:val="000000"/>
        </w:rPr>
        <w:t xml:space="preserve"> </w:t>
      </w:r>
      <w:r>
        <w:rPr>
          <w:rFonts w:ascii="Times New Roman;serif" w:hAnsi="Times New Roman;serif"/>
          <w:b w:val="false"/>
          <w:color w:val="000000"/>
          <w:sz w:val="24"/>
        </w:rPr>
        <w:t>is</w:t>
      </w:r>
      <w:r>
        <w:rPr>
          <w:color w:val="000000"/>
        </w:rPr>
        <w:t xml:space="preserve"> </w:t>
      </w:r>
      <w:r>
        <w:rPr>
          <w:rFonts w:ascii="Times New Roman;serif" w:hAnsi="Times New Roman;serif"/>
          <w:b w:val="false"/>
          <w:color w:val="000000"/>
          <w:sz w:val="24"/>
        </w:rPr>
        <w:t>being</w:t>
      </w:r>
      <w:r>
        <w:rPr>
          <w:color w:val="000000"/>
        </w:rPr>
        <w:t xml:space="preserve"> </w:t>
      </w:r>
      <w:r>
        <w:rPr>
          <w:rFonts w:ascii="Times New Roman;serif" w:hAnsi="Times New Roman;serif"/>
          <w:b w:val="false"/>
          <w:color w:val="000000"/>
          <w:sz w:val="24"/>
        </w:rPr>
        <w:t>effected</w:t>
      </w:r>
      <w:r>
        <w:rPr>
          <w:color w:val="000000"/>
        </w:rPr>
        <w:t xml:space="preserve"> </w:t>
      </w:r>
      <w:r>
        <w:rPr>
          <w:rFonts w:ascii="Times New Roman;serif" w:hAnsi="Times New Roman;serif"/>
          <w:b w:val="false"/>
          <w:color w:val="000000"/>
          <w:sz w:val="24"/>
        </w:rPr>
        <w:t>pursuant</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accordance</w:t>
      </w:r>
      <w:r>
        <w:rPr>
          <w:color w:val="000000"/>
        </w:rPr>
        <w:t xml:space="preserve"> </w:t>
      </w:r>
      <w:r>
        <w:rPr>
          <w:rFonts w:ascii="Times New Roman;serif" w:hAnsi="Times New Roman;serif"/>
          <w:b w:val="false"/>
          <w:color w:val="000000"/>
          <w:sz w:val="24"/>
        </w:rPr>
        <w:t>with</w:t>
      </w:r>
      <w:r>
        <w:rPr>
          <w:color w:val="000000"/>
        </w:rPr>
        <w:t xml:space="preserve"> </w:t>
      </w:r>
      <w:r>
        <w:rPr>
          <w:rFonts w:ascii="Times New Roman;serif" w:hAnsi="Times New Roman;serif"/>
          <w:b w:val="false"/>
          <w:color w:val="000000"/>
          <w:sz w:val="24"/>
        </w:rPr>
        <w:t>Rule</w:t>
      </w:r>
      <w:r>
        <w:rPr>
          <w:color w:val="000000"/>
        </w:rPr>
        <w:t xml:space="preserve"> </w:t>
      </w:r>
      <w:r>
        <w:rPr>
          <w:rFonts w:ascii="Times New Roman;serif" w:hAnsi="Times New Roman;serif"/>
          <w:b w:val="false"/>
          <w:color w:val="000000"/>
          <w:sz w:val="24"/>
        </w:rPr>
        <w:t>144</w:t>
      </w:r>
      <w:r>
        <w:rPr>
          <w:color w:val="000000"/>
        </w:rPr>
        <w:t xml:space="preserve"> </w:t>
      </w:r>
      <w:r>
        <w:rPr>
          <w:rFonts w:ascii="Times New Roman;serif" w:hAnsi="Times New Roman;serif"/>
          <w:b w:val="false"/>
          <w:color w:val="000000"/>
          <w:sz w:val="24"/>
        </w:rPr>
        <w:t>under</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Securities Act and in compliance with the transfer restrictions contained in the Indenture and any applicable blue sky securities laws of any state of the</w:t>
      </w:r>
      <w:r>
        <w:rPr>
          <w:color w:val="000000"/>
        </w:rPr>
        <w:t xml:space="preserve"> </w:t>
      </w:r>
      <w:r>
        <w:rPr>
          <w:rFonts w:ascii="Times New Roman;serif" w:hAnsi="Times New Roman;serif"/>
          <w:b w:val="false"/>
          <w:color w:val="000000"/>
          <w:sz w:val="24"/>
        </w:rPr>
        <w:t>United States and (ii) the restrictions on transfer contained in the Indenture and the Private Placement Legend are not required in order to maintain</w:t>
      </w:r>
      <w:r>
        <w:rPr>
          <w:color w:val="000000"/>
        </w:rPr>
        <w:t xml:space="preserve"> </w:t>
      </w:r>
      <w:r>
        <w:rPr>
          <w:rFonts w:ascii="Times New Roman;serif" w:hAnsi="Times New Roman;serif"/>
          <w:b w:val="false"/>
          <w:color w:val="000000"/>
          <w:sz w:val="24"/>
        </w:rPr>
        <w:t>compliance with the Securities Act. Upon consummation of the proposed Transfer in accordance with the terms of the Indenture, the transferred</w:t>
      </w:r>
      <w:r>
        <w:rPr>
          <w:color w:val="000000"/>
        </w:rPr>
        <w:t xml:space="preserve"> </w:t>
      </w:r>
      <w:r>
        <w:rPr>
          <w:rFonts w:ascii="Times New Roman;serif" w:hAnsi="Times New Roman;serif"/>
          <w:b w:val="false"/>
          <w:color w:val="000000"/>
          <w:sz w:val="24"/>
        </w:rPr>
        <w:t>beneficial interest or Definitive Note will no longer be subject to the restrictions on transfer enumerated in the Private Placement Legend printed on the</w:t>
      </w:r>
      <w:r>
        <w:rPr>
          <w:color w:val="000000"/>
        </w:rPr>
        <w:t xml:space="preserve"> </w:t>
      </w:r>
      <w:r>
        <w:rPr>
          <w:rFonts w:ascii="Times New Roman;serif" w:hAnsi="Times New Roman;serif"/>
          <w:b w:val="false"/>
          <w:color w:val="000000"/>
          <w:sz w:val="24"/>
        </w:rPr>
        <w:t>Restricted Global Notes, on Restricted Definitive Notes and in the Indenture.</w:t>
      </w:r>
    </w:p>
    <w:p>
      <w:pPr>
        <w:pStyle w:val="TextBody"/>
        <w:bidi w:val="0"/>
        <w:spacing w:lineRule="auto" w:line="240" w:before="0" w:after="240"/>
        <w:ind w:left="0" w:right="0" w:firstLine="1440"/>
        <w:jc w:val="both"/>
        <w:rPr/>
      </w:pPr>
      <w:r>
        <w:rPr>
          <w:rFonts w:ascii="Times New Roman;serif" w:hAnsi="Times New Roman;serif"/>
          <w:b w:val="false"/>
          <w:color w:val="000000"/>
          <w:sz w:val="24"/>
        </w:rPr>
        <w:t>(b)</w:t>
      </w:r>
      <w:r>
        <w:rPr>
          <w:color w:val="000000"/>
        </w:rPr>
        <w:t>☐</w:t>
      </w:r>
      <w:r>
        <w:rPr>
          <w:color w:val="000000"/>
        </w:rPr>
        <w:t xml:space="preserve">     </w:t>
      </w:r>
      <w:r>
        <w:rPr>
          <w:rFonts w:ascii="Times New Roman;serif" w:hAnsi="Times New Roman;serif"/>
          <w:b/>
          <w:color w:val="000000"/>
          <w:sz w:val="24"/>
        </w:rPr>
        <w:t>Check if Transfer is Pursuant to Regulation S</w:t>
      </w:r>
      <w:r>
        <w:rPr>
          <w:rFonts w:ascii="Times New Roman;serif" w:hAnsi="Times New Roman;serif"/>
          <w:b w:val="false"/>
          <w:color w:val="000000"/>
          <w:sz w:val="24"/>
        </w:rPr>
        <w:t>. (i) The Transfer is being effected pursuant to and in accordance with Rule 903 or</w:t>
      </w:r>
      <w:r>
        <w:rPr>
          <w:color w:val="000000"/>
        </w:rPr>
        <w:t xml:space="preserve"> </w:t>
      </w:r>
      <w:r>
        <w:rPr>
          <w:rFonts w:ascii="Times New Roman;serif" w:hAnsi="Times New Roman;serif"/>
          <w:b w:val="false"/>
          <w:color w:val="000000"/>
          <w:sz w:val="24"/>
        </w:rPr>
        <w:t>Rule 904 of Regulation S under the Securities Act and in compliance with the transfer restrictions contained in the Indenture and any applicable blue sky</w:t>
      </w:r>
      <w:r>
        <w:rPr>
          <w:color w:val="000000"/>
        </w:rPr>
        <w:t xml:space="preserve"> </w:t>
      </w:r>
      <w:r>
        <w:rPr>
          <w:rFonts w:ascii="Times New Roman;serif" w:hAnsi="Times New Roman;serif"/>
          <w:b w:val="false"/>
          <w:color w:val="000000"/>
          <w:sz w:val="24"/>
        </w:rPr>
        <w:t>securities laws of any state of the United States and (ii) the restrictions on transfer contained in the Indenture and the Private Placement Legend are not</w:t>
      </w:r>
      <w:r>
        <w:rPr>
          <w:color w:val="000000"/>
        </w:rPr>
        <w:t xml:space="preserve"> </w:t>
      </w:r>
      <w:r>
        <w:rPr>
          <w:rFonts w:ascii="Times New Roman;serif" w:hAnsi="Times New Roman;serif"/>
          <w:b w:val="false"/>
          <w:color w:val="000000"/>
          <w:sz w:val="24"/>
        </w:rPr>
        <w:t>required in order to maintain compliance with the Securities Act. Upon consummation of the proposed Transfer in accordance with the terms of the</w:t>
      </w:r>
      <w:r>
        <w:rPr>
          <w:color w:val="000000"/>
        </w:rPr>
        <w:t xml:space="preserve"> </w:t>
      </w:r>
      <w:r>
        <w:rPr>
          <w:rFonts w:ascii="Times New Roman;serif" w:hAnsi="Times New Roman;serif"/>
          <w:b w:val="false"/>
          <w:color w:val="000000"/>
          <w:sz w:val="24"/>
        </w:rPr>
        <w:t>Indenture, the transferred beneficial interest or Definitive Note will no longer be subject to the restrictions on transfer enumerated in the Private</w:t>
      </w:r>
      <w:r>
        <w:rPr>
          <w:color w:val="000000"/>
        </w:rPr>
        <w:t xml:space="preserve"> </w:t>
      </w:r>
      <w:r>
        <w:rPr>
          <w:rFonts w:ascii="Times New Roman;serif" w:hAnsi="Times New Roman;serif"/>
          <w:b w:val="false"/>
          <w:color w:val="000000"/>
          <w:sz w:val="24"/>
        </w:rPr>
        <w:t>Placement Legend printed on the Restricted Global Notes, on Restricted Definitive Notes and in the Indenture.</w:t>
      </w:r>
    </w:p>
    <w:p>
      <w:pPr>
        <w:pStyle w:val="TextBody"/>
        <w:bidi w:val="0"/>
        <w:spacing w:lineRule="auto" w:line="240" w:before="0" w:after="240"/>
        <w:ind w:left="0" w:right="0" w:firstLine="1440"/>
        <w:jc w:val="both"/>
        <w:rPr/>
      </w:pPr>
      <w:r>
        <w:rPr>
          <w:rFonts w:ascii="Times New Roman;serif" w:hAnsi="Times New Roman;serif"/>
          <w:b w:val="false"/>
          <w:color w:val="000000"/>
          <w:sz w:val="24"/>
        </w:rPr>
        <w:t>(c)</w:t>
      </w:r>
      <w:r>
        <w:rPr>
          <w:color w:val="000000"/>
        </w:rPr>
        <w:t>☐</w:t>
      </w:r>
      <w:r>
        <w:rPr>
          <w:color w:val="000000"/>
        </w:rPr>
        <w:t xml:space="preserve">     </w:t>
      </w:r>
      <w:r>
        <w:rPr>
          <w:rFonts w:ascii="Times New Roman;serif" w:hAnsi="Times New Roman;serif"/>
          <w:b/>
          <w:color w:val="000000"/>
          <w:sz w:val="24"/>
        </w:rPr>
        <w:t>Check</w:t>
      </w:r>
      <w:r>
        <w:rPr>
          <w:color w:val="000000"/>
        </w:rPr>
        <w:t xml:space="preserve"> </w:t>
      </w:r>
      <w:r>
        <w:rPr>
          <w:rFonts w:ascii="Times New Roman;serif" w:hAnsi="Times New Roman;serif"/>
          <w:b/>
          <w:color w:val="000000"/>
          <w:sz w:val="24"/>
        </w:rPr>
        <w:t>if</w:t>
      </w:r>
      <w:r>
        <w:rPr>
          <w:color w:val="000000"/>
        </w:rPr>
        <w:t xml:space="preserve"> </w:t>
      </w:r>
      <w:r>
        <w:rPr>
          <w:rFonts w:ascii="Times New Roman;serif" w:hAnsi="Times New Roman;serif"/>
          <w:b/>
          <w:color w:val="000000"/>
          <w:sz w:val="24"/>
        </w:rPr>
        <w:t>Transfer</w:t>
      </w:r>
      <w:r>
        <w:rPr>
          <w:color w:val="000000"/>
        </w:rPr>
        <w:t xml:space="preserve"> </w:t>
      </w:r>
      <w:r>
        <w:rPr>
          <w:rFonts w:ascii="Times New Roman;serif" w:hAnsi="Times New Roman;serif"/>
          <w:b/>
          <w:color w:val="000000"/>
          <w:sz w:val="24"/>
        </w:rPr>
        <w:t>is</w:t>
      </w:r>
      <w:r>
        <w:rPr>
          <w:color w:val="000000"/>
        </w:rPr>
        <w:t xml:space="preserve"> </w:t>
      </w:r>
      <w:r>
        <w:rPr>
          <w:rFonts w:ascii="Times New Roman;serif" w:hAnsi="Times New Roman;serif"/>
          <w:b/>
          <w:color w:val="000000"/>
          <w:sz w:val="24"/>
        </w:rPr>
        <w:t>Pursuant</w:t>
      </w:r>
      <w:r>
        <w:rPr>
          <w:color w:val="000000"/>
        </w:rPr>
        <w:t xml:space="preserve"> </w:t>
      </w:r>
      <w:r>
        <w:rPr>
          <w:rFonts w:ascii="Times New Roman;serif" w:hAnsi="Times New Roman;serif"/>
          <w:b/>
          <w:color w:val="000000"/>
          <w:sz w:val="24"/>
        </w:rPr>
        <w:t>to</w:t>
      </w:r>
      <w:r>
        <w:rPr>
          <w:color w:val="000000"/>
        </w:rPr>
        <w:t xml:space="preserve"> </w:t>
      </w:r>
      <w:r>
        <w:rPr>
          <w:rFonts w:ascii="Times New Roman;serif" w:hAnsi="Times New Roman;serif"/>
          <w:b/>
          <w:color w:val="000000"/>
          <w:sz w:val="24"/>
        </w:rPr>
        <w:t>Other</w:t>
      </w:r>
      <w:r>
        <w:rPr>
          <w:color w:val="000000"/>
        </w:rPr>
        <w:t xml:space="preserve"> </w:t>
      </w:r>
      <w:r>
        <w:rPr>
          <w:rFonts w:ascii="Times New Roman;serif" w:hAnsi="Times New Roman;serif"/>
          <w:b/>
          <w:color w:val="000000"/>
          <w:sz w:val="24"/>
        </w:rPr>
        <w:t>Exemption</w:t>
      </w:r>
      <w:r>
        <w:rPr>
          <w:rFonts w:ascii="Times New Roman;serif" w:hAnsi="Times New Roman;serif"/>
          <w:b w:val="false"/>
          <w:color w:val="000000"/>
          <w:sz w:val="24"/>
        </w:rPr>
        <w:t>. (i) The Transfer is being effected pursuant to and in compliance with an</w:t>
      </w:r>
      <w:r>
        <w:rPr>
          <w:color w:val="000000"/>
        </w:rPr>
        <w:t xml:space="preserve"> </w:t>
      </w:r>
      <w:r>
        <w:rPr>
          <w:rFonts w:ascii="Times New Roman;serif" w:hAnsi="Times New Roman;serif"/>
          <w:b w:val="false"/>
          <w:color w:val="000000"/>
          <w:sz w:val="24"/>
        </w:rPr>
        <w:t>exemption</w:t>
      </w:r>
      <w:r>
        <w:rPr>
          <w:color w:val="000000"/>
        </w:rPr>
        <w:t xml:space="preserve"> </w:t>
      </w:r>
      <w:r>
        <w:rPr>
          <w:rFonts w:ascii="Times New Roman;serif" w:hAnsi="Times New Roman;serif"/>
          <w:b w:val="false"/>
          <w:color w:val="000000"/>
          <w:sz w:val="24"/>
        </w:rPr>
        <w:t>from</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registration</w:t>
      </w:r>
      <w:r>
        <w:rPr>
          <w:color w:val="000000"/>
        </w:rPr>
        <w:t xml:space="preserve"> </w:t>
      </w:r>
      <w:r>
        <w:rPr>
          <w:rFonts w:ascii="Times New Roman;serif" w:hAnsi="Times New Roman;serif"/>
          <w:b w:val="false"/>
          <w:color w:val="000000"/>
          <w:sz w:val="24"/>
        </w:rPr>
        <w:t>requirements</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Securities</w:t>
      </w:r>
      <w:r>
        <w:rPr>
          <w:color w:val="000000"/>
        </w:rPr>
        <w:t xml:space="preserve"> </w:t>
      </w:r>
      <w:r>
        <w:rPr>
          <w:rFonts w:ascii="Times New Roman;serif" w:hAnsi="Times New Roman;serif"/>
          <w:b w:val="false"/>
          <w:color w:val="000000"/>
          <w:sz w:val="24"/>
        </w:rPr>
        <w:t>Act</w:t>
      </w:r>
      <w:r>
        <w:rPr>
          <w:color w:val="000000"/>
        </w:rPr>
        <w:t xml:space="preserve"> </w:t>
      </w:r>
      <w:r>
        <w:rPr>
          <w:rFonts w:ascii="Times New Roman;serif" w:hAnsi="Times New Roman;serif"/>
          <w:b w:val="false"/>
          <w:color w:val="000000"/>
          <w:sz w:val="24"/>
        </w:rPr>
        <w:t>other</w:t>
      </w:r>
      <w:r>
        <w:rPr>
          <w:color w:val="000000"/>
        </w:rPr>
        <w:t xml:space="preserve"> </w:t>
      </w:r>
      <w:r>
        <w:rPr>
          <w:rFonts w:ascii="Times New Roman;serif" w:hAnsi="Times New Roman;serif"/>
          <w:b w:val="false"/>
          <w:color w:val="000000"/>
          <w:sz w:val="24"/>
        </w:rPr>
        <w:t>than</w:t>
      </w:r>
      <w:r>
        <w:rPr>
          <w:color w:val="000000"/>
        </w:rPr>
        <w:t xml:space="preserve"> </w:t>
      </w:r>
      <w:r>
        <w:rPr>
          <w:rFonts w:ascii="Times New Roman;serif" w:hAnsi="Times New Roman;serif"/>
          <w:b w:val="false"/>
          <w:color w:val="000000"/>
          <w:sz w:val="24"/>
        </w:rPr>
        <w:t>Rule</w:t>
      </w:r>
      <w:r>
        <w:rPr>
          <w:color w:val="000000"/>
        </w:rPr>
        <w:t xml:space="preserve"> </w:t>
      </w:r>
      <w:r>
        <w:rPr>
          <w:rFonts w:ascii="Times New Roman;serif" w:hAnsi="Times New Roman;serif"/>
          <w:b w:val="false"/>
          <w:color w:val="000000"/>
          <w:sz w:val="24"/>
        </w:rPr>
        <w:t>144,</w:t>
      </w:r>
      <w:r>
        <w:rPr>
          <w:color w:val="000000"/>
        </w:rPr>
        <w:t xml:space="preserve"> </w:t>
      </w:r>
      <w:r>
        <w:rPr>
          <w:rFonts w:ascii="Times New Roman;serif" w:hAnsi="Times New Roman;serif"/>
          <w:b w:val="false"/>
          <w:color w:val="000000"/>
          <w:sz w:val="24"/>
        </w:rPr>
        <w:t>Rule</w:t>
      </w:r>
      <w:r>
        <w:rPr>
          <w:color w:val="000000"/>
        </w:rPr>
        <w:t xml:space="preserve"> </w:t>
      </w:r>
      <w:r>
        <w:rPr>
          <w:rFonts w:ascii="Times New Roman;serif" w:hAnsi="Times New Roman;serif"/>
          <w:b w:val="false"/>
          <w:color w:val="000000"/>
          <w:sz w:val="24"/>
        </w:rPr>
        <w:t>903</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Rule</w:t>
      </w:r>
      <w:r>
        <w:rPr>
          <w:color w:val="000000"/>
        </w:rPr>
        <w:t xml:space="preserve"> </w:t>
      </w:r>
      <w:r>
        <w:rPr>
          <w:rFonts w:ascii="Times New Roman;serif" w:hAnsi="Times New Roman;serif"/>
          <w:b w:val="false"/>
          <w:color w:val="000000"/>
          <w:sz w:val="24"/>
        </w:rPr>
        <w:t>904</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Regulation</w:t>
      </w:r>
      <w:r>
        <w:rPr>
          <w:color w:val="000000"/>
        </w:rPr>
        <w:t xml:space="preserve"> </w:t>
      </w:r>
      <w:r>
        <w:rPr>
          <w:rFonts w:ascii="Times New Roman;serif" w:hAnsi="Times New Roman;serif"/>
          <w:b w:val="false"/>
          <w:color w:val="000000"/>
          <w:sz w:val="24"/>
        </w:rPr>
        <w:t>S</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compliance</w:t>
      </w:r>
      <w:r>
        <w:rPr>
          <w:color w:val="000000"/>
        </w:rPr>
        <w:t xml:space="preserve"> </w:t>
      </w:r>
      <w:r>
        <w:rPr>
          <w:rFonts w:ascii="Times New Roman;serif" w:hAnsi="Times New Roman;serif"/>
          <w:b w:val="false"/>
          <w:color w:val="000000"/>
          <w:sz w:val="24"/>
        </w:rPr>
        <w:t>with</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transfer restrictions contained in the Indenture and any applicable blue sky securities laws of any State of the United States and (ii) the restrictions on</w:t>
      </w:r>
      <w:r>
        <w:rPr>
          <w:color w:val="000000"/>
        </w:rPr>
        <w:t xml:space="preserve"> </w:t>
      </w:r>
      <w:r>
        <w:rPr>
          <w:rFonts w:ascii="Times New Roman;serif" w:hAnsi="Times New Roman;serif"/>
          <w:b w:val="false"/>
          <w:color w:val="000000"/>
          <w:sz w:val="24"/>
        </w:rPr>
        <w:t>transfer contained in the Indenture and the Private Placement Legend are not required in order to maintain compliance with the Securities Act. Upon</w:t>
      </w:r>
      <w:r>
        <w:rPr>
          <w:color w:val="000000"/>
        </w:rPr>
        <w:t xml:space="preserve"> </w:t>
      </w:r>
      <w:r>
        <w:rPr>
          <w:rFonts w:ascii="Times New Roman;serif" w:hAnsi="Times New Roman;serif"/>
          <w:b w:val="false"/>
          <w:color w:val="000000"/>
          <w:sz w:val="24"/>
        </w:rPr>
        <w:t>consummation of the proposed Transfer in accordance with the terms of the Indenture, the transferred beneficial interest or Definitive Note will not be</w:t>
      </w:r>
      <w:r>
        <w:rPr>
          <w:color w:val="000000"/>
        </w:rPr>
        <w:t xml:space="preserve"> </w:t>
      </w:r>
      <w:r>
        <w:rPr>
          <w:rFonts w:ascii="Times New Roman;serif" w:hAnsi="Times New Roman;serif"/>
          <w:b w:val="false"/>
          <w:color w:val="000000"/>
          <w:sz w:val="24"/>
        </w:rPr>
        <w:t>subject to the restrictions on transfer enumerated in the Private Placement Legend printed on the Restricted Global Notes or Restricted Definitive Notes</w:t>
      </w:r>
      <w:r>
        <w:rPr>
          <w:color w:val="000000"/>
        </w:rPr>
        <w:t xml:space="preserve"> </w:t>
      </w:r>
      <w:r>
        <w:rPr>
          <w:rFonts w:ascii="Times New Roman;serif" w:hAnsi="Times New Roman;serif"/>
          <w:b w:val="false"/>
          <w:color w:val="000000"/>
          <w:sz w:val="24"/>
        </w:rPr>
        <w:t>and in the Indenture.</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81">
                <wp:simplePos x="0" y="0"/>
                <wp:positionH relativeFrom="character">
                  <wp:align>left</wp:align>
                </wp:positionH>
                <wp:positionV relativeFrom="line">
                  <wp:posOffset>635</wp:posOffset>
                </wp:positionV>
                <wp:extent cx="6480175" cy="175260"/>
                <wp:effectExtent l="0" t="0" r="0" b="0"/>
                <wp:wrapNone/>
                <wp:docPr id="280" name="Frame28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B-3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B-3</w:t>
                      </w:r>
                    </w:p>
                  </w:txbxContent>
                </v:textbox>
                <w10:wrap type="none"/>
              </v:rect>
            </w:pict>
          </mc:Fallback>
        </mc:AlternateContent>
      </w:r>
    </w:p>
    <w:p>
      <w:pPr>
        <w:pStyle w:val="TextBody"/>
        <w:bidi w:val="0"/>
        <w:spacing w:lineRule="auto" w:line="288" w:before="0" w:after="0"/>
        <w:jc w:val="left"/>
        <w:rPr/>
      </w:pPr>
      <w:r>
        <w:rPr>
          <w:rFonts w:ascii="Times New Roman;serif" w:hAnsi="Times New Roman;serif"/>
          <w:b w:val="false"/>
          <w:color w:val="000000"/>
          <w:sz w:val="24"/>
        </w:rPr>
        <w:t>This</w:t>
      </w:r>
      <w:r>
        <w:rPr>
          <w:color w:val="000000"/>
        </w:rPr>
        <w:t xml:space="preserve"> </w:t>
      </w:r>
      <w:r>
        <w:rPr>
          <w:rFonts w:ascii="Times New Roman;serif" w:hAnsi="Times New Roman;serif"/>
          <w:b w:val="false"/>
          <w:color w:val="000000"/>
          <w:sz w:val="24"/>
        </w:rPr>
        <w:t>certificate</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statements</w:t>
      </w:r>
      <w:r>
        <w:rPr>
          <w:color w:val="000000"/>
        </w:rPr>
        <w:t xml:space="preserve"> </w:t>
      </w:r>
      <w:r>
        <w:rPr>
          <w:rFonts w:ascii="Times New Roman;serif" w:hAnsi="Times New Roman;serif"/>
          <w:b w:val="false"/>
          <w:color w:val="000000"/>
          <w:sz w:val="24"/>
        </w:rPr>
        <w:t>contained</w:t>
      </w:r>
      <w:r>
        <w:rPr>
          <w:color w:val="000000"/>
        </w:rPr>
        <w:t xml:space="preserve"> </w:t>
      </w:r>
      <w:r>
        <w:rPr>
          <w:rFonts w:ascii="Times New Roman;serif" w:hAnsi="Times New Roman;serif"/>
          <w:b w:val="false"/>
          <w:color w:val="000000"/>
          <w:sz w:val="24"/>
        </w:rPr>
        <w:t>herein</w:t>
      </w:r>
      <w:r>
        <w:rPr>
          <w:color w:val="000000"/>
        </w:rPr>
        <w:t xml:space="preserve"> </w:t>
      </w:r>
      <w:r>
        <w:rPr>
          <w:rFonts w:ascii="Times New Roman;serif" w:hAnsi="Times New Roman;serif"/>
          <w:b w:val="false"/>
          <w:color w:val="000000"/>
          <w:sz w:val="24"/>
        </w:rPr>
        <w:t>are</w:t>
      </w:r>
      <w:r>
        <w:rPr>
          <w:color w:val="000000"/>
        </w:rPr>
        <w:t xml:space="preserve"> </w:t>
      </w:r>
      <w:r>
        <w:rPr>
          <w:rFonts w:ascii="Times New Roman;serif" w:hAnsi="Times New Roman;serif"/>
          <w:b w:val="false"/>
          <w:color w:val="000000"/>
          <w:sz w:val="24"/>
        </w:rPr>
        <w:t>made</w:t>
      </w:r>
      <w:r>
        <w:rPr>
          <w:color w:val="000000"/>
        </w:rPr>
        <w:t xml:space="preserve"> </w:t>
      </w:r>
      <w:r>
        <w:rPr>
          <w:rFonts w:ascii="Times New Roman;serif" w:hAnsi="Times New Roman;serif"/>
          <w:b w:val="false"/>
          <w:color w:val="000000"/>
          <w:sz w:val="24"/>
        </w:rPr>
        <w:t>for</w:t>
      </w:r>
      <w:r>
        <w:rPr>
          <w:color w:val="000000"/>
        </w:rPr>
        <w:t xml:space="preserve"> </w:t>
      </w:r>
      <w:r>
        <w:rPr>
          <w:rFonts w:ascii="Times New Roman;serif" w:hAnsi="Times New Roman;serif"/>
          <w:b w:val="false"/>
          <w:color w:val="000000"/>
          <w:sz w:val="24"/>
        </w:rPr>
        <w:t>your</w:t>
      </w:r>
      <w:r>
        <w:rPr>
          <w:color w:val="000000"/>
        </w:rPr>
        <w:t xml:space="preserve"> </w:t>
      </w:r>
      <w:r>
        <w:rPr>
          <w:rFonts w:ascii="Times New Roman;serif" w:hAnsi="Times New Roman;serif"/>
          <w:b w:val="false"/>
          <w:color w:val="000000"/>
          <w:sz w:val="24"/>
        </w:rPr>
        <w:t>benefit</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benefit</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Issuer.</w:t>
      </w:r>
    </w:p>
    <w:p>
      <w:pPr>
        <w:pStyle w:val="TextBody"/>
        <w:bidi w:val="0"/>
        <w:spacing w:lineRule="auto" w:line="288" w:before="0" w:after="0"/>
        <w:jc w:val="left"/>
        <w:rPr>
          <w:color w:val="000000"/>
          <w:u w:val="single"/>
        </w:rPr>
      </w:pPr>
      <w:r>
        <w:rPr>
          <w:color w:val="000000"/>
          <w:u w:val="single"/>
        </w:rPr>
        <w:t>             </w:t>
      </w:r>
    </w:p>
    <w:p>
      <w:pPr>
        <w:pStyle w:val="TextBody"/>
        <w:bidi w:val="0"/>
        <w:spacing w:lineRule="auto" w:line="288" w:before="0" w:after="0"/>
        <w:jc w:val="left"/>
        <w:rPr/>
      </w:pPr>
      <w:r>
        <w:rPr>
          <w:rFonts w:ascii="Times New Roman;serif" w:hAnsi="Times New Roman;serif"/>
          <w:b w:val="false"/>
          <w:color w:val="000000"/>
          <w:sz w:val="24"/>
          <w:u w:val="single"/>
        </w:rPr>
        <w:t>[Insert</w:t>
      </w:r>
      <w:r>
        <w:rPr>
          <w:color w:val="000000"/>
          <w:u w:val="single"/>
        </w:rPr>
        <w:t xml:space="preserve"> </w:t>
      </w:r>
      <w:r>
        <w:rPr>
          <w:rFonts w:ascii="Times New Roman;serif" w:hAnsi="Times New Roman;serif"/>
          <w:b w:val="false"/>
          <w:color w:val="000000"/>
          <w:sz w:val="24"/>
          <w:u w:val="single"/>
        </w:rPr>
        <w:t>Name</w:t>
      </w:r>
      <w:r>
        <w:rPr>
          <w:color w:val="000000"/>
          <w:u w:val="single"/>
        </w:rPr>
        <w:t xml:space="preserve"> </w:t>
      </w:r>
      <w:r>
        <w:rPr>
          <w:rFonts w:ascii="Times New Roman;serif" w:hAnsi="Times New Roman;serif"/>
          <w:b w:val="false"/>
          <w:color w:val="000000"/>
          <w:sz w:val="24"/>
          <w:u w:val="single"/>
        </w:rPr>
        <w:t>of</w:t>
      </w:r>
      <w:r>
        <w:rPr>
          <w:color w:val="000000"/>
          <w:u w:val="single"/>
        </w:rPr>
        <w:t xml:space="preserve"> </w:t>
      </w:r>
      <w:r>
        <w:rPr>
          <w:rFonts w:ascii="Times New Roman;serif" w:hAnsi="Times New Roman;serif"/>
          <w:b w:val="false"/>
          <w:color w:val="000000"/>
          <w:sz w:val="24"/>
          <w:u w:val="single"/>
        </w:rPr>
        <w:t>Transferor]</w:t>
      </w:r>
    </w:p>
    <w:p>
      <w:pPr>
        <w:pStyle w:val="TextBody"/>
        <w:bidi w:val="0"/>
        <w:spacing w:before="0" w:after="0"/>
        <w:jc w:val="left"/>
        <w:rPr/>
      </w:pPr>
      <w:r>
        <w:rPr/>
      </w:r>
    </w:p>
    <w:p>
      <w:pPr>
        <w:pStyle w:val="TextBody"/>
        <w:bidi w:val="0"/>
        <w:spacing w:lineRule="auto" w:line="288" w:before="0" w:after="240"/>
        <w:jc w:val="left"/>
        <w:rPr/>
      </w:pPr>
      <w:r>
        <w:rPr>
          <w:rFonts w:ascii="Times New Roman;serif" w:hAnsi="Times New Roman;serif"/>
          <w:b w:val="false"/>
          <w:color w:val="000000"/>
          <w:sz w:val="24"/>
        </w:rPr>
        <w:t>By:    </w:t>
      </w:r>
      <w:r>
        <w:rPr>
          <w:color w:val="000000"/>
          <w:u w:val="single"/>
        </w:rPr>
        <w:t>        </w:t>
      </w:r>
      <w:r>
        <w:rPr>
          <w:rFonts w:ascii="Times New Roman;serif" w:hAnsi="Times New Roman;serif"/>
          <w:b w:val="false"/>
          <w:color w:val="000000"/>
          <w:sz w:val="24"/>
          <w:u w:val="single"/>
        </w:rPr>
        <w:br/>
      </w:r>
      <w:r>
        <w:rPr>
          <w:color w:val="000000"/>
        </w:rPr>
        <w:t>    </w:t>
      </w:r>
      <w:r>
        <w:rPr>
          <w:rFonts w:ascii="Times New Roman;serif" w:hAnsi="Times New Roman;serif"/>
          <w:b w:val="false"/>
          <w:color w:val="000000"/>
          <w:sz w:val="24"/>
        </w:rPr>
        <w:t>Name:    </w:t>
        <w:br/>
        <w:t>    Title:    </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Dated:    </w:t>
      </w:r>
    </w:p>
    <w:p>
      <w:pPr>
        <w:pStyle w:val="TextBody"/>
        <w:bidi w:val="0"/>
        <w:spacing w:before="0" w:after="0"/>
        <w:jc w:val="left"/>
        <w:rPr/>
      </w:pPr>
      <w:r>
        <w:rPr/>
      </w:r>
      <w:r>
        <mc:AlternateContent>
          <mc:Choice Requires="wps">
            <w:drawing>
              <wp:anchor behindDoc="0" distT="0" distB="0" distL="0" distR="0" simplePos="0" locked="0" layoutInCell="1" allowOverlap="1" relativeHeight="282">
                <wp:simplePos x="0" y="0"/>
                <wp:positionH relativeFrom="character">
                  <wp:align>left</wp:align>
                </wp:positionH>
                <wp:positionV relativeFrom="line">
                  <wp:posOffset>635</wp:posOffset>
                </wp:positionV>
                <wp:extent cx="6480175" cy="175260"/>
                <wp:effectExtent l="0" t="0" r="0" b="0"/>
                <wp:wrapNone/>
                <wp:docPr id="281" name="Frame28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B-4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B-4</w:t>
                      </w:r>
                    </w:p>
                  </w:txbxContent>
                </v:textbox>
                <w10:wrap type="none"/>
              </v:rect>
            </w:pict>
          </mc:Fallback>
        </mc:AlternateContent>
      </w:r>
    </w:p>
    <w:p>
      <w:pPr>
        <w:pStyle w:val="TextBody"/>
        <w:bidi w:val="0"/>
        <w:spacing w:lineRule="auto" w:line="240" w:before="0" w:after="240"/>
        <w:jc w:val="center"/>
        <w:rPr/>
      </w:pPr>
      <w:r>
        <w:rPr>
          <w:rFonts w:ascii="Times New Roman;serif" w:hAnsi="Times New Roman;serif"/>
          <w:b/>
          <w:color w:val="000000"/>
          <w:sz w:val="24"/>
        </w:rPr>
        <w:t>Annex A to</w:t>
      </w:r>
      <w:r>
        <w:rPr>
          <w:color w:val="000000"/>
        </w:rPr>
        <w:t xml:space="preserve"> </w:t>
      </w:r>
      <w:r>
        <w:rPr>
          <w:rFonts w:ascii="Times New Roman;serif" w:hAnsi="Times New Roman;serif"/>
          <w:b/>
          <w:color w:val="000000"/>
          <w:sz w:val="24"/>
        </w:rPr>
        <w:t>Certificate</w:t>
      </w:r>
      <w:r>
        <w:rPr>
          <w:color w:val="000000"/>
        </w:rPr>
        <w:t xml:space="preserve"> </w:t>
      </w:r>
      <w:r>
        <w:rPr>
          <w:rFonts w:ascii="Times New Roman;serif" w:hAnsi="Times New Roman;serif"/>
          <w:b/>
          <w:color w:val="000000"/>
          <w:sz w:val="24"/>
        </w:rPr>
        <w:t>of</w:t>
      </w:r>
      <w:r>
        <w:rPr>
          <w:color w:val="000000"/>
        </w:rPr>
        <w:t xml:space="preserve"> </w:t>
      </w:r>
      <w:r>
        <w:rPr>
          <w:rFonts w:ascii="Times New Roman;serif" w:hAnsi="Times New Roman;serif"/>
          <w:b/>
          <w:color w:val="000000"/>
          <w:sz w:val="24"/>
        </w:rPr>
        <w:t>Transfer</w:t>
      </w:r>
    </w:p>
    <w:p>
      <w:pPr>
        <w:pStyle w:val="TextBody"/>
        <w:bidi w:val="0"/>
        <w:spacing w:lineRule="auto" w:line="240" w:before="0" w:after="240"/>
        <w:ind w:left="0" w:right="0" w:firstLine="720"/>
        <w:jc w:val="both"/>
        <w:rPr/>
      </w:pPr>
      <w:r>
        <w:rPr>
          <w:rFonts w:ascii="Times New Roman;serif" w:hAnsi="Times New Roman;serif"/>
          <w:b w:val="false"/>
          <w:color w:val="000000"/>
          <w:sz w:val="24"/>
        </w:rPr>
        <w:t>1.</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Transferor</w:t>
      </w:r>
      <w:r>
        <w:rPr>
          <w:color w:val="000000"/>
        </w:rPr>
        <w:t xml:space="preserve"> </w:t>
      </w:r>
      <w:r>
        <w:rPr>
          <w:rFonts w:ascii="Times New Roman;serif" w:hAnsi="Times New Roman;serif"/>
          <w:b w:val="false"/>
          <w:color w:val="000000"/>
          <w:sz w:val="24"/>
        </w:rPr>
        <w:t>owns</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proposes</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transfer</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following:</w:t>
      </w:r>
    </w:p>
    <w:p>
      <w:pPr>
        <w:pStyle w:val="TextBody"/>
        <w:bidi w:val="0"/>
        <w:spacing w:lineRule="auto" w:line="556" w:before="0" w:after="0"/>
        <w:jc w:val="left"/>
        <w:rPr/>
      </w:pPr>
      <w:r>
        <w:rPr>
          <w:rFonts w:ascii="Times New Roman;serif" w:hAnsi="Times New Roman;serif"/>
          <w:b/>
          <w:color w:val="000000"/>
          <w:sz w:val="24"/>
        </w:rPr>
        <w:t>[CHECK</w:t>
      </w:r>
      <w:r>
        <w:rPr>
          <w:color w:val="000000"/>
        </w:rPr>
        <w:t xml:space="preserve"> </w:t>
      </w:r>
      <w:r>
        <w:rPr>
          <w:rFonts w:ascii="Times New Roman;serif" w:hAnsi="Times New Roman;serif"/>
          <w:b/>
          <w:color w:val="000000"/>
          <w:sz w:val="24"/>
        </w:rPr>
        <w:t>ONE</w:t>
      </w:r>
      <w:r>
        <w:rPr>
          <w:color w:val="000000"/>
        </w:rPr>
        <w:t xml:space="preserve"> </w:t>
      </w:r>
      <w:r>
        <w:rPr>
          <w:rFonts w:ascii="Times New Roman;serif" w:hAnsi="Times New Roman;serif"/>
          <w:b/>
          <w:color w:val="000000"/>
          <w:sz w:val="24"/>
        </w:rPr>
        <w:t>OF</w:t>
      </w:r>
      <w:r>
        <w:rPr>
          <w:color w:val="000000"/>
        </w:rPr>
        <w:t xml:space="preserve"> </w:t>
      </w:r>
      <w:r>
        <w:rPr>
          <w:rFonts w:ascii="Times New Roman;serif" w:hAnsi="Times New Roman;serif"/>
          <w:b/>
          <w:color w:val="000000"/>
          <w:sz w:val="24"/>
        </w:rPr>
        <w:t>(a)</w:t>
      </w:r>
      <w:r>
        <w:rPr>
          <w:color w:val="000000"/>
        </w:rPr>
        <w:t xml:space="preserve"> </w:t>
      </w:r>
      <w:r>
        <w:rPr>
          <w:rFonts w:ascii="Times New Roman;serif" w:hAnsi="Times New Roman;serif"/>
          <w:b/>
          <w:color w:val="000000"/>
          <w:sz w:val="24"/>
        </w:rPr>
        <w:t>OR</w:t>
      </w:r>
      <w:r>
        <w:rPr>
          <w:color w:val="000000"/>
        </w:rPr>
        <w:t xml:space="preserve"> </w:t>
      </w:r>
      <w:r>
        <w:rPr>
          <w:rFonts w:ascii="Times New Roman;serif" w:hAnsi="Times New Roman;serif"/>
          <w:b/>
          <w:color w:val="000000"/>
          <w:sz w:val="24"/>
        </w:rPr>
        <w:t>(b)]</w:t>
      </w:r>
    </w:p>
    <w:p>
      <w:pPr>
        <w:pStyle w:val="TextBody"/>
        <w:bidi w:val="0"/>
        <w:spacing w:lineRule="auto" w:line="240" w:before="0" w:after="240"/>
        <w:ind w:left="0" w:right="0" w:firstLine="1440"/>
        <w:jc w:val="both"/>
        <w:rPr/>
      </w:pPr>
      <w:r>
        <w:rPr>
          <w:rFonts w:ascii="Times New Roman;serif" w:hAnsi="Times New Roman;serif"/>
          <w:b w:val="false"/>
          <w:color w:val="000000"/>
          <w:sz w:val="24"/>
        </w:rPr>
        <w:t>(a)</w:t>
      </w:r>
      <w:r>
        <w:rPr>
          <w:color w:val="000000"/>
        </w:rPr>
        <w:t>☐</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beneficial</w:t>
      </w:r>
      <w:r>
        <w:rPr>
          <w:color w:val="000000"/>
        </w:rPr>
        <w:t xml:space="preserve"> </w:t>
      </w:r>
      <w:r>
        <w:rPr>
          <w:rFonts w:ascii="Times New Roman;serif" w:hAnsi="Times New Roman;serif"/>
          <w:b w:val="false"/>
          <w:color w:val="000000"/>
          <w:sz w:val="24"/>
        </w:rPr>
        <w:t>interest</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the:</w:t>
      </w:r>
    </w:p>
    <w:p>
      <w:pPr>
        <w:pStyle w:val="TextBody"/>
        <w:bidi w:val="0"/>
        <w:spacing w:lineRule="auto" w:line="240" w:before="0" w:after="240"/>
        <w:ind w:left="0" w:right="0" w:firstLine="1440"/>
        <w:jc w:val="both"/>
        <w:rPr/>
      </w:pPr>
      <w:r>
        <w:rPr>
          <w:rFonts w:ascii="Times New Roman;serif" w:hAnsi="Times New Roman;serif"/>
          <w:b w:val="false"/>
          <w:color w:val="000000"/>
          <w:sz w:val="24"/>
        </w:rPr>
        <w:t>(i)</w:t>
      </w:r>
      <w:r>
        <w:rPr>
          <w:color w:val="000000"/>
        </w:rPr>
        <w:t>☐     </w:t>
      </w:r>
      <w:r>
        <w:rPr>
          <w:rFonts w:ascii="Times New Roman;serif" w:hAnsi="Times New Roman;serif"/>
          <w:b w:val="false"/>
          <w:color w:val="000000"/>
          <w:sz w:val="24"/>
        </w:rPr>
        <w:t>144A</w:t>
      </w:r>
      <w:r>
        <w:rPr>
          <w:color w:val="000000"/>
        </w:rPr>
        <w:t xml:space="preserve"> </w:t>
      </w:r>
      <w:r>
        <w:rPr>
          <w:rFonts w:ascii="Times New Roman;serif" w:hAnsi="Times New Roman;serif"/>
          <w:b w:val="false"/>
          <w:color w:val="000000"/>
          <w:sz w:val="24"/>
        </w:rPr>
        <w:t>Global Note</w:t>
      </w:r>
      <w:r>
        <w:rPr>
          <w:color w:val="000000"/>
        </w:rPr>
        <w:t xml:space="preserve"> </w:t>
      </w:r>
      <w:r>
        <w:rPr>
          <w:rFonts w:ascii="Times New Roman;serif" w:hAnsi="Times New Roman;serif"/>
          <w:b w:val="false"/>
          <w:color w:val="000000"/>
          <w:sz w:val="24"/>
        </w:rPr>
        <w:t>(CUSIP</w:t>
      </w:r>
      <w:r>
        <w:rPr>
          <w:color w:val="000000"/>
        </w:rPr>
        <w:t xml:space="preserve"> </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or</w:t>
      </w:r>
    </w:p>
    <w:p>
      <w:pPr>
        <w:pStyle w:val="TextBody"/>
        <w:bidi w:val="0"/>
        <w:spacing w:lineRule="auto" w:line="240" w:before="0" w:after="240"/>
        <w:ind w:left="0" w:right="0" w:firstLine="1440"/>
        <w:jc w:val="both"/>
        <w:rPr/>
      </w:pPr>
      <w:r>
        <w:rPr>
          <w:rFonts w:ascii="Times New Roman;serif" w:hAnsi="Times New Roman;serif"/>
          <w:b w:val="false"/>
          <w:color w:val="000000"/>
          <w:sz w:val="24"/>
        </w:rPr>
        <w:t>(ii)</w:t>
      </w:r>
      <w:r>
        <w:rPr>
          <w:color w:val="000000"/>
        </w:rPr>
        <w:t>☐     </w:t>
      </w:r>
      <w:r>
        <w:rPr>
          <w:rFonts w:ascii="Times New Roman;serif" w:hAnsi="Times New Roman;serif"/>
          <w:b w:val="false"/>
          <w:color w:val="000000"/>
          <w:sz w:val="24"/>
        </w:rPr>
        <w:t>Regulation</w:t>
      </w:r>
      <w:r>
        <w:rPr>
          <w:color w:val="000000"/>
        </w:rPr>
        <w:t xml:space="preserve"> </w:t>
      </w:r>
      <w:r>
        <w:rPr>
          <w:rFonts w:ascii="Times New Roman;serif" w:hAnsi="Times New Roman;serif"/>
          <w:b w:val="false"/>
          <w:color w:val="000000"/>
          <w:sz w:val="24"/>
        </w:rPr>
        <w:t>S</w:t>
      </w:r>
      <w:r>
        <w:rPr>
          <w:color w:val="000000"/>
        </w:rPr>
        <w:t xml:space="preserve"> </w:t>
      </w:r>
      <w:r>
        <w:rPr>
          <w:rFonts w:ascii="Times New Roman;serif" w:hAnsi="Times New Roman;serif"/>
          <w:b w:val="false"/>
          <w:color w:val="000000"/>
          <w:sz w:val="24"/>
        </w:rPr>
        <w:t>Global</w:t>
      </w:r>
      <w:r>
        <w:rPr>
          <w:color w:val="000000"/>
        </w:rPr>
        <w:t xml:space="preserve"> </w:t>
      </w:r>
      <w:r>
        <w:rPr>
          <w:rFonts w:ascii="Times New Roman;serif" w:hAnsi="Times New Roman;serif"/>
          <w:b w:val="false"/>
          <w:color w:val="000000"/>
          <w:sz w:val="24"/>
        </w:rPr>
        <w:t>Note</w:t>
      </w:r>
      <w:r>
        <w:rPr>
          <w:color w:val="000000"/>
        </w:rPr>
        <w:t xml:space="preserve"> </w:t>
      </w:r>
      <w:r>
        <w:rPr>
          <w:rFonts w:ascii="Times New Roman;serif" w:hAnsi="Times New Roman;serif"/>
          <w:b w:val="false"/>
          <w:color w:val="000000"/>
          <w:sz w:val="24"/>
        </w:rPr>
        <w:t>(CUSIP</w:t>
      </w:r>
      <w:r>
        <w:rPr>
          <w:color w:val="000000"/>
        </w:rPr>
        <w:t xml:space="preserve"> </w:t>
      </w:r>
      <w:r>
        <w:rPr>
          <w:rFonts w:ascii="Times New Roman;serif" w:hAnsi="Times New Roman;serif"/>
          <w:b w:val="false"/>
          <w:color w:val="000000"/>
          <w:sz w:val="24"/>
        </w:rPr>
        <w:t>), or</w:t>
      </w:r>
    </w:p>
    <w:p>
      <w:pPr>
        <w:pStyle w:val="TextBody"/>
        <w:bidi w:val="0"/>
        <w:spacing w:lineRule="auto" w:line="240" w:before="0" w:after="240"/>
        <w:ind w:left="0" w:right="0" w:firstLine="1440"/>
        <w:jc w:val="both"/>
        <w:rPr/>
      </w:pPr>
      <w:r>
        <w:rPr>
          <w:rFonts w:ascii="Times New Roman;serif" w:hAnsi="Times New Roman;serif"/>
          <w:b w:val="false"/>
          <w:color w:val="000000"/>
          <w:sz w:val="24"/>
        </w:rPr>
        <w:t>(iii)</w:t>
      </w:r>
      <w:r>
        <w:rPr>
          <w:color w:val="000000"/>
        </w:rPr>
        <w:t>☐     </w:t>
      </w:r>
      <w:r>
        <w:rPr>
          <w:rFonts w:ascii="Times New Roman;serif" w:hAnsi="Times New Roman;serif"/>
          <w:b w:val="false"/>
          <w:color w:val="000000"/>
          <w:sz w:val="24"/>
        </w:rPr>
        <w:t>IAI</w:t>
      </w:r>
      <w:r>
        <w:rPr>
          <w:color w:val="000000"/>
        </w:rPr>
        <w:t xml:space="preserve"> </w:t>
      </w:r>
      <w:r>
        <w:rPr>
          <w:rFonts w:ascii="Times New Roman;serif" w:hAnsi="Times New Roman;serif"/>
          <w:b w:val="false"/>
          <w:color w:val="000000"/>
          <w:sz w:val="24"/>
        </w:rPr>
        <w:t>Global</w:t>
      </w:r>
      <w:r>
        <w:rPr>
          <w:color w:val="000000"/>
        </w:rPr>
        <w:t xml:space="preserve"> </w:t>
      </w:r>
      <w:r>
        <w:rPr>
          <w:rFonts w:ascii="Times New Roman;serif" w:hAnsi="Times New Roman;serif"/>
          <w:b w:val="false"/>
          <w:color w:val="000000"/>
          <w:sz w:val="24"/>
        </w:rPr>
        <w:t>Note</w:t>
      </w:r>
      <w:r>
        <w:rPr>
          <w:color w:val="000000"/>
        </w:rPr>
        <w:t xml:space="preserve"> </w:t>
      </w:r>
      <w:r>
        <w:rPr>
          <w:rFonts w:ascii="Times New Roman;serif" w:hAnsi="Times New Roman;serif"/>
          <w:b w:val="false"/>
          <w:color w:val="000000"/>
          <w:sz w:val="24"/>
        </w:rPr>
        <w:t>(CUSIP</w:t>
      </w:r>
      <w:r>
        <w:rPr>
          <w:color w:val="000000"/>
        </w:rPr>
        <w:t xml:space="preserve"> </w:t>
      </w:r>
      <w:r>
        <w:rPr>
          <w:rFonts w:ascii="Times New Roman;serif" w:hAnsi="Times New Roman;serif"/>
          <w:b w:val="false"/>
          <w:color w:val="000000"/>
          <w:sz w:val="24"/>
        </w:rPr>
        <w:t>); or</w:t>
      </w:r>
    </w:p>
    <w:p>
      <w:pPr>
        <w:pStyle w:val="TextBody"/>
        <w:bidi w:val="0"/>
        <w:spacing w:lineRule="auto" w:line="240" w:before="0" w:after="240"/>
        <w:ind w:left="0" w:right="0" w:firstLine="1440"/>
        <w:jc w:val="both"/>
        <w:rPr/>
      </w:pPr>
      <w:r>
        <w:rPr>
          <w:rFonts w:ascii="Times New Roman;serif" w:hAnsi="Times New Roman;serif"/>
          <w:b w:val="false"/>
          <w:color w:val="000000"/>
          <w:sz w:val="24"/>
        </w:rPr>
        <w:t>(b)</w:t>
      </w:r>
      <w:r>
        <w:rPr>
          <w:color w:val="000000"/>
        </w:rPr>
        <w:t>☐</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Restricted</w:t>
      </w:r>
      <w:r>
        <w:rPr>
          <w:color w:val="000000"/>
        </w:rPr>
        <w:t xml:space="preserve"> </w:t>
      </w:r>
      <w:r>
        <w:rPr>
          <w:rFonts w:ascii="Times New Roman;serif" w:hAnsi="Times New Roman;serif"/>
          <w:b w:val="false"/>
          <w:color w:val="000000"/>
          <w:sz w:val="24"/>
        </w:rPr>
        <w:t>Definitive</w:t>
      </w:r>
      <w:r>
        <w:rPr>
          <w:color w:val="000000"/>
        </w:rPr>
        <w:t xml:space="preserve"> </w:t>
      </w:r>
      <w:r>
        <w:rPr>
          <w:rFonts w:ascii="Times New Roman;serif" w:hAnsi="Times New Roman;serif"/>
          <w:b w:val="false"/>
          <w:color w:val="000000"/>
          <w:sz w:val="24"/>
        </w:rPr>
        <w:t>Note.</w:t>
      </w:r>
    </w:p>
    <w:p>
      <w:pPr>
        <w:pStyle w:val="TextBody"/>
        <w:bidi w:val="0"/>
        <w:spacing w:lineRule="auto" w:line="240" w:before="0" w:after="240"/>
        <w:ind w:left="0" w:right="0" w:firstLine="720"/>
        <w:jc w:val="both"/>
        <w:rPr/>
      </w:pPr>
      <w:r>
        <w:rPr>
          <w:rFonts w:ascii="Times New Roman;serif" w:hAnsi="Times New Roman;serif"/>
          <w:b w:val="false"/>
          <w:color w:val="000000"/>
          <w:sz w:val="24"/>
        </w:rPr>
        <w:t>2.</w:t>
      </w:r>
      <w:r>
        <w:rPr>
          <w:rFonts w:ascii="Times New Roman;serif" w:hAnsi="Times New Roman;serif"/>
          <w:b w:val="false"/>
          <w:color w:val="000000"/>
          <w:sz w:val="24"/>
        </w:rPr>
        <w:t>After</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Transfer</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Transferee</w:t>
      </w:r>
      <w:r>
        <w:rPr>
          <w:color w:val="000000"/>
        </w:rPr>
        <w:t xml:space="preserve"> </w:t>
      </w:r>
      <w:r>
        <w:rPr>
          <w:rFonts w:ascii="Times New Roman;serif" w:hAnsi="Times New Roman;serif"/>
          <w:b w:val="false"/>
          <w:color w:val="000000"/>
          <w:sz w:val="24"/>
        </w:rPr>
        <w:t>will</w:t>
      </w:r>
      <w:r>
        <w:rPr>
          <w:color w:val="000000"/>
        </w:rPr>
        <w:t xml:space="preserve"> </w:t>
      </w:r>
      <w:r>
        <w:rPr>
          <w:rFonts w:ascii="Times New Roman;serif" w:hAnsi="Times New Roman;serif"/>
          <w:b w:val="false"/>
          <w:color w:val="000000"/>
          <w:sz w:val="24"/>
        </w:rPr>
        <w:t>hold:</w:t>
      </w:r>
    </w:p>
    <w:p>
      <w:pPr>
        <w:pStyle w:val="TextBody"/>
        <w:bidi w:val="0"/>
        <w:spacing w:lineRule="auto" w:line="556" w:before="0" w:after="0"/>
        <w:jc w:val="left"/>
        <w:rPr/>
      </w:pPr>
      <w:r>
        <w:rPr>
          <w:rFonts w:ascii="Times New Roman;serif" w:hAnsi="Times New Roman;serif"/>
          <w:b/>
          <w:color w:val="000000"/>
          <w:sz w:val="24"/>
        </w:rPr>
        <w:t>[CHECK</w:t>
      </w:r>
      <w:r>
        <w:rPr>
          <w:color w:val="000000"/>
        </w:rPr>
        <w:t xml:space="preserve"> </w:t>
      </w:r>
      <w:r>
        <w:rPr>
          <w:rFonts w:ascii="Times New Roman;serif" w:hAnsi="Times New Roman;serif"/>
          <w:b/>
          <w:color w:val="000000"/>
          <w:sz w:val="24"/>
        </w:rPr>
        <w:t>ONE</w:t>
      </w:r>
      <w:r>
        <w:rPr>
          <w:color w:val="000000"/>
        </w:rPr>
        <w:t xml:space="preserve"> </w:t>
      </w:r>
      <w:r>
        <w:rPr>
          <w:rFonts w:ascii="Times New Roman;serif" w:hAnsi="Times New Roman;serif"/>
          <w:b/>
          <w:color w:val="000000"/>
          <w:sz w:val="24"/>
        </w:rPr>
        <w:t>OF</w:t>
      </w:r>
      <w:r>
        <w:rPr>
          <w:color w:val="000000"/>
        </w:rPr>
        <w:t xml:space="preserve"> </w:t>
      </w:r>
      <w:r>
        <w:rPr>
          <w:rFonts w:ascii="Times New Roman;serif" w:hAnsi="Times New Roman;serif"/>
          <w:b/>
          <w:color w:val="000000"/>
          <w:sz w:val="24"/>
        </w:rPr>
        <w:t>(a),</w:t>
      </w:r>
      <w:r>
        <w:rPr>
          <w:color w:val="000000"/>
        </w:rPr>
        <w:t xml:space="preserve"> </w:t>
      </w:r>
      <w:r>
        <w:rPr>
          <w:rFonts w:ascii="Times New Roman;serif" w:hAnsi="Times New Roman;serif"/>
          <w:b/>
          <w:color w:val="000000"/>
          <w:sz w:val="24"/>
        </w:rPr>
        <w:t>(b)</w:t>
      </w:r>
      <w:r>
        <w:rPr>
          <w:color w:val="000000"/>
        </w:rPr>
        <w:t xml:space="preserve"> </w:t>
      </w:r>
      <w:r>
        <w:rPr>
          <w:rFonts w:ascii="Times New Roman;serif" w:hAnsi="Times New Roman;serif"/>
          <w:b/>
          <w:color w:val="000000"/>
          <w:sz w:val="24"/>
        </w:rPr>
        <w:t>OR</w:t>
      </w:r>
      <w:r>
        <w:rPr>
          <w:color w:val="000000"/>
        </w:rPr>
        <w:t xml:space="preserve"> </w:t>
      </w:r>
      <w:r>
        <w:rPr>
          <w:rFonts w:ascii="Times New Roman;serif" w:hAnsi="Times New Roman;serif"/>
          <w:b/>
          <w:color w:val="000000"/>
          <w:sz w:val="24"/>
        </w:rPr>
        <w:t>(c)]</w:t>
      </w:r>
    </w:p>
    <w:p>
      <w:pPr>
        <w:pStyle w:val="TextBody"/>
        <w:bidi w:val="0"/>
        <w:spacing w:lineRule="auto" w:line="240" w:before="0" w:after="240"/>
        <w:ind w:left="0" w:right="0" w:firstLine="1440"/>
        <w:jc w:val="both"/>
        <w:rPr/>
      </w:pPr>
      <w:r>
        <w:rPr>
          <w:rFonts w:ascii="Times New Roman;serif" w:hAnsi="Times New Roman;serif"/>
          <w:b w:val="false"/>
          <w:color w:val="000000"/>
          <w:sz w:val="24"/>
        </w:rPr>
        <w:t>(a)</w:t>
      </w:r>
      <w:r>
        <w:rPr>
          <w:color w:val="000000"/>
        </w:rPr>
        <w:t>☐</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beneficial</w:t>
      </w:r>
      <w:r>
        <w:rPr>
          <w:color w:val="000000"/>
        </w:rPr>
        <w:t xml:space="preserve"> </w:t>
      </w:r>
      <w:r>
        <w:rPr>
          <w:rFonts w:ascii="Times New Roman;serif" w:hAnsi="Times New Roman;serif"/>
          <w:b w:val="false"/>
          <w:color w:val="000000"/>
          <w:sz w:val="24"/>
        </w:rPr>
        <w:t>interest</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the:</w:t>
      </w:r>
    </w:p>
    <w:p>
      <w:pPr>
        <w:pStyle w:val="TextBody"/>
        <w:bidi w:val="0"/>
        <w:spacing w:lineRule="auto" w:line="240" w:before="0" w:after="240"/>
        <w:ind w:left="0" w:right="0" w:firstLine="1440"/>
        <w:jc w:val="both"/>
        <w:rPr/>
      </w:pPr>
      <w:r>
        <w:rPr>
          <w:rFonts w:ascii="Times New Roman;serif" w:hAnsi="Times New Roman;serif"/>
          <w:b w:val="false"/>
          <w:color w:val="000000"/>
          <w:sz w:val="24"/>
        </w:rPr>
        <w:t>(i)</w:t>
      </w:r>
      <w:r>
        <w:rPr>
          <w:color w:val="000000"/>
        </w:rPr>
        <w:t>☐     </w:t>
      </w:r>
      <w:r>
        <w:rPr>
          <w:rFonts w:ascii="Times New Roman;serif" w:hAnsi="Times New Roman;serif"/>
          <w:b w:val="false"/>
          <w:color w:val="000000"/>
          <w:sz w:val="24"/>
        </w:rPr>
        <w:t>144A</w:t>
      </w:r>
      <w:r>
        <w:rPr>
          <w:color w:val="000000"/>
        </w:rPr>
        <w:t xml:space="preserve"> </w:t>
      </w:r>
      <w:r>
        <w:rPr>
          <w:rFonts w:ascii="Times New Roman;serif" w:hAnsi="Times New Roman;serif"/>
          <w:b w:val="false"/>
          <w:color w:val="000000"/>
          <w:sz w:val="24"/>
        </w:rPr>
        <w:t>Global Note</w:t>
      </w:r>
      <w:r>
        <w:rPr>
          <w:color w:val="000000"/>
        </w:rPr>
        <w:t xml:space="preserve"> </w:t>
      </w:r>
      <w:r>
        <w:rPr>
          <w:rFonts w:ascii="Times New Roman;serif" w:hAnsi="Times New Roman;serif"/>
          <w:b w:val="false"/>
          <w:color w:val="000000"/>
          <w:sz w:val="24"/>
        </w:rPr>
        <w:t>(CUSIP</w:t>
      </w:r>
      <w:r>
        <w:rPr>
          <w:color w:val="000000"/>
        </w:rPr>
        <w:t xml:space="preserve"> </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or</w:t>
      </w:r>
    </w:p>
    <w:p>
      <w:pPr>
        <w:pStyle w:val="TextBody"/>
        <w:bidi w:val="0"/>
        <w:spacing w:lineRule="auto" w:line="240" w:before="0" w:after="240"/>
        <w:ind w:left="0" w:right="0" w:firstLine="1440"/>
        <w:jc w:val="both"/>
        <w:rPr/>
      </w:pPr>
      <w:r>
        <w:rPr>
          <w:rFonts w:ascii="Times New Roman;serif" w:hAnsi="Times New Roman;serif"/>
          <w:b w:val="false"/>
          <w:color w:val="000000"/>
          <w:sz w:val="24"/>
        </w:rPr>
        <w:t>(ii)</w:t>
      </w:r>
      <w:r>
        <w:rPr>
          <w:color w:val="000000"/>
        </w:rPr>
        <w:t>☐     </w:t>
      </w:r>
      <w:r>
        <w:rPr>
          <w:rFonts w:ascii="Times New Roman;serif" w:hAnsi="Times New Roman;serif"/>
          <w:b w:val="false"/>
          <w:color w:val="000000"/>
          <w:sz w:val="24"/>
        </w:rPr>
        <w:t>Regulation</w:t>
      </w:r>
      <w:r>
        <w:rPr>
          <w:color w:val="000000"/>
        </w:rPr>
        <w:t xml:space="preserve"> </w:t>
      </w:r>
      <w:r>
        <w:rPr>
          <w:rFonts w:ascii="Times New Roman;serif" w:hAnsi="Times New Roman;serif"/>
          <w:b w:val="false"/>
          <w:color w:val="000000"/>
          <w:sz w:val="24"/>
        </w:rPr>
        <w:t>S</w:t>
      </w:r>
      <w:r>
        <w:rPr>
          <w:color w:val="000000"/>
        </w:rPr>
        <w:t xml:space="preserve"> </w:t>
      </w:r>
      <w:r>
        <w:rPr>
          <w:rFonts w:ascii="Times New Roman;serif" w:hAnsi="Times New Roman;serif"/>
          <w:b w:val="false"/>
          <w:color w:val="000000"/>
          <w:sz w:val="24"/>
        </w:rPr>
        <w:t>Global</w:t>
      </w:r>
      <w:r>
        <w:rPr>
          <w:color w:val="000000"/>
        </w:rPr>
        <w:t xml:space="preserve"> </w:t>
      </w:r>
      <w:r>
        <w:rPr>
          <w:rFonts w:ascii="Times New Roman;serif" w:hAnsi="Times New Roman;serif"/>
          <w:b w:val="false"/>
          <w:color w:val="000000"/>
          <w:sz w:val="24"/>
        </w:rPr>
        <w:t>Note</w:t>
      </w:r>
      <w:r>
        <w:rPr>
          <w:color w:val="000000"/>
        </w:rPr>
        <w:t xml:space="preserve"> </w:t>
      </w:r>
      <w:r>
        <w:rPr>
          <w:rFonts w:ascii="Times New Roman;serif" w:hAnsi="Times New Roman;serif"/>
          <w:b w:val="false"/>
          <w:color w:val="000000"/>
          <w:sz w:val="24"/>
        </w:rPr>
        <w:t>(CUSIP</w:t>
      </w:r>
      <w:r>
        <w:rPr>
          <w:color w:val="000000"/>
        </w:rPr>
        <w:t xml:space="preserve"> </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or</w:t>
      </w:r>
    </w:p>
    <w:p>
      <w:pPr>
        <w:pStyle w:val="TextBody"/>
        <w:bidi w:val="0"/>
        <w:spacing w:lineRule="auto" w:line="240" w:before="0" w:after="240"/>
        <w:ind w:left="0" w:right="0" w:firstLine="1440"/>
        <w:jc w:val="both"/>
        <w:rPr/>
      </w:pPr>
      <w:r>
        <w:rPr>
          <w:rFonts w:ascii="Times New Roman;serif" w:hAnsi="Times New Roman;serif"/>
          <w:b w:val="false"/>
          <w:color w:val="000000"/>
          <w:sz w:val="24"/>
        </w:rPr>
        <w:t>(iii)</w:t>
      </w:r>
      <w:r>
        <w:rPr>
          <w:color w:val="000000"/>
        </w:rPr>
        <w:t>☐    </w:t>
      </w:r>
      <w:r>
        <w:rPr>
          <w:rFonts w:ascii="Times New Roman;serif" w:hAnsi="Times New Roman;serif"/>
          <w:b w:val="false"/>
          <w:color w:val="000000"/>
          <w:sz w:val="24"/>
        </w:rPr>
        <w:t>IAI</w:t>
      </w:r>
      <w:r>
        <w:rPr>
          <w:color w:val="000000"/>
        </w:rPr>
        <w:t xml:space="preserve"> </w:t>
      </w:r>
      <w:r>
        <w:rPr>
          <w:rFonts w:ascii="Times New Roman;serif" w:hAnsi="Times New Roman;serif"/>
          <w:b w:val="false"/>
          <w:color w:val="000000"/>
          <w:sz w:val="24"/>
        </w:rPr>
        <w:t>Global</w:t>
      </w:r>
      <w:r>
        <w:rPr>
          <w:color w:val="000000"/>
        </w:rPr>
        <w:t xml:space="preserve"> </w:t>
      </w:r>
      <w:r>
        <w:rPr>
          <w:rFonts w:ascii="Times New Roman;serif" w:hAnsi="Times New Roman;serif"/>
          <w:b w:val="false"/>
          <w:color w:val="000000"/>
          <w:sz w:val="24"/>
        </w:rPr>
        <w:t>Note</w:t>
      </w:r>
      <w:r>
        <w:rPr>
          <w:color w:val="000000"/>
        </w:rPr>
        <w:t xml:space="preserve"> </w:t>
      </w:r>
      <w:r>
        <w:rPr>
          <w:rFonts w:ascii="Times New Roman;serif" w:hAnsi="Times New Roman;serif"/>
          <w:b w:val="false"/>
          <w:color w:val="000000"/>
          <w:sz w:val="24"/>
        </w:rPr>
        <w:t>(CUSIP</w:t>
      </w:r>
      <w:r>
        <w:rPr>
          <w:color w:val="000000"/>
        </w:rPr>
        <w:t xml:space="preserve"> </w:t>
      </w:r>
      <w:r>
        <w:rPr>
          <w:rFonts w:ascii="Times New Roman;serif" w:hAnsi="Times New Roman;serif"/>
          <w:b w:val="false"/>
          <w:color w:val="000000"/>
          <w:sz w:val="24"/>
        </w:rPr>
        <w:t>), or</w:t>
      </w:r>
    </w:p>
    <w:p>
      <w:pPr>
        <w:pStyle w:val="TextBody"/>
        <w:bidi w:val="0"/>
        <w:spacing w:lineRule="auto" w:line="240" w:before="0" w:after="240"/>
        <w:ind w:left="0" w:right="0" w:firstLine="1440"/>
        <w:jc w:val="both"/>
        <w:rPr/>
      </w:pPr>
      <w:r>
        <w:rPr>
          <w:rFonts w:ascii="Times New Roman;serif" w:hAnsi="Times New Roman;serif"/>
          <w:b w:val="false"/>
          <w:color w:val="000000"/>
          <w:sz w:val="24"/>
        </w:rPr>
        <w:t>(iv)</w:t>
      </w:r>
      <w:r>
        <w:rPr>
          <w:color w:val="000000"/>
        </w:rPr>
        <w:t>☐    </w:t>
      </w:r>
      <w:r>
        <w:rPr>
          <w:rFonts w:ascii="Times New Roman;serif" w:hAnsi="Times New Roman;serif"/>
          <w:b w:val="false"/>
          <w:color w:val="000000"/>
          <w:sz w:val="24"/>
        </w:rPr>
        <w:t>Unrestricted Global</w:t>
      </w:r>
      <w:r>
        <w:rPr>
          <w:color w:val="000000"/>
        </w:rPr>
        <w:t xml:space="preserve"> </w:t>
      </w:r>
      <w:r>
        <w:rPr>
          <w:rFonts w:ascii="Times New Roman;serif" w:hAnsi="Times New Roman;serif"/>
          <w:b w:val="false"/>
          <w:color w:val="000000"/>
          <w:sz w:val="24"/>
        </w:rPr>
        <w:t>Note (CUSIP );</w:t>
      </w:r>
      <w:r>
        <w:rPr>
          <w:color w:val="000000"/>
        </w:rPr>
        <w:t xml:space="preserve"> </w:t>
      </w:r>
      <w:r>
        <w:rPr>
          <w:rFonts w:ascii="Times New Roman;serif" w:hAnsi="Times New Roman;serif"/>
          <w:b w:val="false"/>
          <w:color w:val="000000"/>
          <w:sz w:val="24"/>
        </w:rPr>
        <w:t>or</w:t>
      </w:r>
    </w:p>
    <w:p>
      <w:pPr>
        <w:pStyle w:val="TextBody"/>
        <w:bidi w:val="0"/>
        <w:spacing w:lineRule="auto" w:line="240" w:before="0" w:after="240"/>
        <w:ind w:left="0" w:right="0" w:firstLine="1440"/>
        <w:jc w:val="both"/>
        <w:rPr/>
      </w:pPr>
      <w:r>
        <w:rPr>
          <w:rFonts w:ascii="Times New Roman;serif" w:hAnsi="Times New Roman;serif"/>
          <w:b w:val="false"/>
          <w:color w:val="000000"/>
          <w:sz w:val="24"/>
        </w:rPr>
        <w:t>(b)</w:t>
      </w:r>
      <w:r>
        <w:rPr>
          <w:color w:val="000000"/>
        </w:rPr>
        <w:t>☐</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Restricted</w:t>
      </w:r>
      <w:r>
        <w:rPr>
          <w:color w:val="000000"/>
        </w:rPr>
        <w:t xml:space="preserve"> </w:t>
      </w:r>
      <w:r>
        <w:rPr>
          <w:rFonts w:ascii="Times New Roman;serif" w:hAnsi="Times New Roman;serif"/>
          <w:b w:val="false"/>
          <w:color w:val="000000"/>
          <w:sz w:val="24"/>
        </w:rPr>
        <w:t>Definitive</w:t>
      </w:r>
      <w:r>
        <w:rPr>
          <w:color w:val="000000"/>
        </w:rPr>
        <w:t xml:space="preserve"> </w:t>
      </w:r>
      <w:r>
        <w:rPr>
          <w:rFonts w:ascii="Times New Roman;serif" w:hAnsi="Times New Roman;serif"/>
          <w:b w:val="false"/>
          <w:color w:val="000000"/>
          <w:sz w:val="24"/>
        </w:rPr>
        <w:t>Note;</w:t>
      </w:r>
      <w:r>
        <w:rPr>
          <w:color w:val="000000"/>
        </w:rPr>
        <w:t xml:space="preserve"> </w:t>
      </w:r>
      <w:r>
        <w:rPr>
          <w:rFonts w:ascii="Times New Roman;serif" w:hAnsi="Times New Roman;serif"/>
          <w:b w:val="false"/>
          <w:color w:val="000000"/>
          <w:sz w:val="24"/>
        </w:rPr>
        <w:t>or</w:t>
      </w:r>
    </w:p>
    <w:p>
      <w:pPr>
        <w:pStyle w:val="TextBody"/>
        <w:bidi w:val="0"/>
        <w:spacing w:lineRule="auto" w:line="240" w:before="0" w:after="240"/>
        <w:ind w:left="0" w:right="0" w:firstLine="1440"/>
        <w:jc w:val="both"/>
        <w:rPr/>
      </w:pPr>
      <w:r>
        <w:rPr>
          <w:rFonts w:ascii="Times New Roman;serif" w:hAnsi="Times New Roman;serif"/>
          <w:b w:val="false"/>
          <w:color w:val="000000"/>
          <w:sz w:val="24"/>
        </w:rPr>
        <w:t>(c)</w:t>
      </w:r>
      <w:r>
        <w:rPr>
          <w:color w:val="000000"/>
        </w:rPr>
        <w:t>☐</w:t>
      </w:r>
      <w:r>
        <w:rPr>
          <w:color w:val="000000"/>
        </w:rPr>
        <w:t xml:space="preserve">     </w:t>
      </w:r>
      <w:r>
        <w:rPr>
          <w:rFonts w:ascii="Times New Roman;serif" w:hAnsi="Times New Roman;serif"/>
          <w:b w:val="false"/>
          <w:color w:val="000000"/>
          <w:sz w:val="24"/>
        </w:rPr>
        <w:t>an</w:t>
      </w:r>
      <w:r>
        <w:rPr>
          <w:color w:val="000000"/>
        </w:rPr>
        <w:t xml:space="preserve"> </w:t>
      </w:r>
      <w:r>
        <w:rPr>
          <w:rFonts w:ascii="Times New Roman;serif" w:hAnsi="Times New Roman;serif"/>
          <w:b w:val="false"/>
          <w:color w:val="000000"/>
          <w:sz w:val="24"/>
        </w:rPr>
        <w:t>Unrestricted</w:t>
      </w:r>
      <w:r>
        <w:rPr>
          <w:color w:val="000000"/>
        </w:rPr>
        <w:t xml:space="preserve"> </w:t>
      </w:r>
      <w:r>
        <w:rPr>
          <w:rFonts w:ascii="Times New Roman;serif" w:hAnsi="Times New Roman;serif"/>
          <w:b w:val="false"/>
          <w:color w:val="000000"/>
          <w:sz w:val="24"/>
        </w:rPr>
        <w:t>Definitive</w:t>
      </w:r>
      <w:r>
        <w:rPr>
          <w:color w:val="000000"/>
        </w:rPr>
        <w:t xml:space="preserve"> </w:t>
      </w:r>
      <w:r>
        <w:rPr>
          <w:rFonts w:ascii="Times New Roman;serif" w:hAnsi="Times New Roman;serif"/>
          <w:b w:val="false"/>
          <w:color w:val="000000"/>
          <w:sz w:val="24"/>
        </w:rPr>
        <w:t>Note,</w:t>
      </w:r>
    </w:p>
    <w:p>
      <w:pPr>
        <w:pStyle w:val="TextBody"/>
        <w:bidi w:val="0"/>
        <w:spacing w:lineRule="auto" w:line="556" w:before="0" w:after="0"/>
        <w:jc w:val="left"/>
        <w:rPr/>
      </w:pP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accordance</w:t>
      </w:r>
      <w:r>
        <w:rPr>
          <w:color w:val="000000"/>
        </w:rPr>
        <w:t xml:space="preserve"> </w:t>
      </w:r>
      <w:r>
        <w:rPr>
          <w:rFonts w:ascii="Times New Roman;serif" w:hAnsi="Times New Roman;serif"/>
          <w:b w:val="false"/>
          <w:color w:val="000000"/>
          <w:sz w:val="24"/>
        </w:rPr>
        <w:t>with</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terms</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Indenture.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83">
                <wp:simplePos x="0" y="0"/>
                <wp:positionH relativeFrom="character">
                  <wp:align>left</wp:align>
                </wp:positionH>
                <wp:positionV relativeFrom="line">
                  <wp:posOffset>635</wp:posOffset>
                </wp:positionV>
                <wp:extent cx="6480175" cy="175260"/>
                <wp:effectExtent l="0" t="0" r="0" b="0"/>
                <wp:wrapNone/>
                <wp:docPr id="282" name="Frame28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B-5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B-5</w:t>
                      </w:r>
                    </w:p>
                  </w:txbxContent>
                </v:textbox>
                <w10:wrap type="none"/>
              </v:rect>
            </w:pict>
          </mc:Fallback>
        </mc:AlternateContent>
      </w:r>
    </w:p>
    <w:p>
      <w:pPr>
        <w:pStyle w:val="TextBody"/>
        <w:bidi w:val="0"/>
        <w:spacing w:lineRule="auto" w:line="240" w:before="0" w:after="240"/>
        <w:jc w:val="center"/>
        <w:rPr/>
      </w:pPr>
      <w:r>
        <w:rPr>
          <w:rFonts w:ascii="Times New Roman;serif" w:hAnsi="Times New Roman;serif"/>
          <w:b/>
          <w:color w:val="000000"/>
          <w:sz w:val="24"/>
        </w:rPr>
        <w:t>Exhibit C</w:t>
      </w:r>
      <w:r>
        <w:rPr>
          <w:rFonts w:ascii="Times New Roman;serif" w:hAnsi="Times New Roman;serif"/>
          <w:b/>
          <w:color w:val="000000"/>
          <w:sz w:val="24"/>
        </w:rPr>
        <w:br/>
        <w:br/>
        <w:t>FORM</w:t>
      </w:r>
      <w:r>
        <w:rPr>
          <w:color w:val="000000"/>
        </w:rPr>
        <w:t xml:space="preserve"> </w:t>
      </w:r>
      <w:r>
        <w:rPr>
          <w:rFonts w:ascii="Times New Roman;serif" w:hAnsi="Times New Roman;serif"/>
          <w:b/>
          <w:color w:val="000000"/>
          <w:sz w:val="24"/>
        </w:rPr>
        <w:t>OF</w:t>
      </w:r>
      <w:r>
        <w:rPr>
          <w:color w:val="000000"/>
        </w:rPr>
        <w:t xml:space="preserve"> </w:t>
      </w:r>
      <w:r>
        <w:rPr>
          <w:rFonts w:ascii="Times New Roman;serif" w:hAnsi="Times New Roman;serif"/>
          <w:b/>
          <w:color w:val="000000"/>
          <w:sz w:val="24"/>
        </w:rPr>
        <w:t>CERTIFICATE</w:t>
      </w:r>
      <w:r>
        <w:rPr>
          <w:color w:val="000000"/>
        </w:rPr>
        <w:t xml:space="preserve"> </w:t>
      </w:r>
      <w:r>
        <w:rPr>
          <w:rFonts w:ascii="Times New Roman;serif" w:hAnsi="Times New Roman;serif"/>
          <w:b/>
          <w:color w:val="000000"/>
          <w:sz w:val="24"/>
        </w:rPr>
        <w:t>OF</w:t>
      </w:r>
      <w:r>
        <w:rPr>
          <w:color w:val="000000"/>
        </w:rPr>
        <w:t xml:space="preserve"> </w:t>
      </w:r>
      <w:r>
        <w:rPr>
          <w:rFonts w:ascii="Times New Roman;serif" w:hAnsi="Times New Roman;serif"/>
          <w:b/>
          <w:color w:val="000000"/>
          <w:sz w:val="24"/>
        </w:rPr>
        <w:t>EXCHANGE</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Talen Energy Supply, LLC</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2929 Allen Parkway, Suite 2200</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Houston, Texas 77019</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Attention: Treasurer</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E-mail: TalenTreasury@talenenergy.com</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Wilmington Savings Fund Society, FSB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Wilmington Savings Fund</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300 Bellevue Parkway, Suite 300</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Wilmington, Delaware 19809</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Attn: Anita Woolery</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E-Mail: awoolery@wsfsbank.com</w:t>
      </w:r>
    </w:p>
    <w:p>
      <w:pPr>
        <w:pStyle w:val="TextBody"/>
        <w:bidi w:val="0"/>
        <w:spacing w:before="0" w:after="0"/>
        <w:jc w:val="left"/>
        <w:rPr/>
      </w:pPr>
      <w:r>
        <w:rPr/>
      </w:r>
    </w:p>
    <w:p>
      <w:pPr>
        <w:pStyle w:val="TextBody"/>
        <w:bidi w:val="0"/>
        <w:spacing w:lineRule="auto" w:line="288" w:before="0" w:after="240"/>
        <w:ind w:left="0" w:right="0" w:firstLine="720"/>
        <w:jc w:val="both"/>
        <w:rPr/>
      </w:pPr>
      <w:r>
        <w:rPr>
          <w:rFonts w:ascii="Times New Roman;serif" w:hAnsi="Times New Roman;serif"/>
          <w:b w:val="false"/>
          <w:color w:val="000000"/>
          <w:sz w:val="24"/>
        </w:rPr>
        <w:t>Re:</w:t>
      </w:r>
      <w:r>
        <w:rPr>
          <w:color w:val="000000"/>
        </w:rPr>
        <w:t>    </w:t>
      </w:r>
      <w:r>
        <w:rPr>
          <w:rFonts w:ascii="Times New Roman;serif" w:hAnsi="Times New Roman;serif"/>
          <w:b w:val="false"/>
          <w:color w:val="000000"/>
          <w:sz w:val="24"/>
          <w:u w:val="single"/>
        </w:rPr>
        <w:t>6.375%</w:t>
      </w:r>
      <w:r>
        <w:rPr>
          <w:color w:val="000000"/>
          <w:u w:val="single"/>
        </w:rPr>
        <w:t xml:space="preserve"> </w:t>
      </w:r>
      <w:r>
        <w:rPr>
          <w:rFonts w:ascii="Times New Roman;serif" w:hAnsi="Times New Roman;serif"/>
          <w:b w:val="false"/>
          <w:color w:val="000000"/>
          <w:sz w:val="24"/>
          <w:u w:val="single"/>
        </w:rPr>
        <w:t>Senior</w:t>
      </w:r>
      <w:r>
        <w:rPr>
          <w:color w:val="000000"/>
          <w:u w:val="single"/>
        </w:rPr>
        <w:t xml:space="preserve"> </w:t>
      </w:r>
      <w:r>
        <w:rPr>
          <w:rFonts w:ascii="Times New Roman;serif" w:hAnsi="Times New Roman;serif"/>
          <w:b w:val="false"/>
          <w:color w:val="000000"/>
          <w:sz w:val="24"/>
          <w:u w:val="single"/>
        </w:rPr>
        <w:t>Notes</w:t>
      </w:r>
      <w:r>
        <w:rPr>
          <w:color w:val="000000"/>
          <w:u w:val="single"/>
        </w:rPr>
        <w:t xml:space="preserve"> </w:t>
      </w:r>
      <w:r>
        <w:rPr>
          <w:rFonts w:ascii="Times New Roman;serif" w:hAnsi="Times New Roman;serif"/>
          <w:b w:val="false"/>
          <w:color w:val="000000"/>
          <w:sz w:val="24"/>
          <w:u w:val="single"/>
        </w:rPr>
        <w:t>due</w:t>
      </w:r>
      <w:r>
        <w:rPr>
          <w:color w:val="000000"/>
          <w:u w:val="single"/>
        </w:rPr>
        <w:t xml:space="preserve"> </w:t>
      </w:r>
      <w:r>
        <w:rPr>
          <w:rFonts w:ascii="Times New Roman;serif" w:hAnsi="Times New Roman;serif"/>
          <w:b w:val="false"/>
          <w:color w:val="000000"/>
          <w:sz w:val="24"/>
          <w:u w:val="single"/>
        </w:rPr>
        <w:t>2033</w:t>
      </w:r>
    </w:p>
    <w:p>
      <w:pPr>
        <w:pStyle w:val="TextBody"/>
        <w:bidi w:val="0"/>
        <w:spacing w:lineRule="auto" w:line="288" w:before="0" w:after="240"/>
        <w:ind w:left="0" w:right="0" w:firstLine="720"/>
        <w:jc w:val="both"/>
        <w:rPr/>
      </w:pPr>
      <w:r>
        <w:rPr>
          <w:rFonts w:ascii="Times New Roman;serif" w:hAnsi="Times New Roman;serif"/>
          <w:b w:val="false"/>
          <w:color w:val="000000"/>
          <w:sz w:val="24"/>
        </w:rPr>
        <w:t>Reference is hereby made to the Indenture, dated as of April 29, 2026 (the “</w:t>
      </w:r>
      <w:r>
        <w:rPr>
          <w:rFonts w:ascii="Times New Roman;serif" w:hAnsi="Times New Roman;serif"/>
          <w:b/>
          <w:i/>
          <w:color w:val="000000"/>
          <w:sz w:val="24"/>
        </w:rPr>
        <w:t>Indenture</w:t>
      </w:r>
      <w:r>
        <w:rPr>
          <w:color w:val="000000"/>
        </w:rPr>
        <w:t>”</w:t>
      </w:r>
      <w:r>
        <w:rPr>
          <w:rFonts w:ascii="Times New Roman;serif" w:hAnsi="Times New Roman;serif"/>
          <w:b w:val="false"/>
          <w:color w:val="000000"/>
          <w:sz w:val="24"/>
        </w:rPr>
        <w:t>), among Talen Energy Supply, LLC, as issuer (the “</w:t>
      </w:r>
      <w:r>
        <w:rPr>
          <w:rFonts w:ascii="Times New Roman;serif" w:hAnsi="Times New Roman;serif"/>
          <w:b/>
          <w:i/>
          <w:color w:val="000000"/>
          <w:sz w:val="24"/>
        </w:rPr>
        <w:t>Issuer</w:t>
      </w:r>
      <w:r>
        <w:rPr>
          <w:color w:val="000000"/>
        </w:rPr>
        <w:t>”</w:t>
      </w:r>
      <w:r>
        <w:rPr>
          <w:rFonts w:ascii="Times New Roman;serif" w:hAnsi="Times New Roman;serif"/>
          <w:b w:val="false"/>
          <w:color w:val="000000"/>
          <w:sz w:val="24"/>
        </w:rPr>
        <w:t>), the Subsidiary Guarantors party thereto and Wilmington Savings Fund Society, FSB, as trustee. Capitalized</w:t>
      </w:r>
      <w:r>
        <w:rPr>
          <w:color w:val="000000"/>
        </w:rPr>
        <w:t xml:space="preserve"> </w:t>
      </w:r>
      <w:r>
        <w:rPr>
          <w:rFonts w:ascii="Times New Roman;serif" w:hAnsi="Times New Roman;serif"/>
          <w:b w:val="false"/>
          <w:color w:val="000000"/>
          <w:sz w:val="24"/>
        </w:rPr>
        <w:t>terms used but not defined herein shall have the meanings given to them in the Indenture.</w:t>
      </w:r>
    </w:p>
    <w:p>
      <w:pPr>
        <w:pStyle w:val="TextBody"/>
        <w:bidi w:val="0"/>
        <w:spacing w:lineRule="auto" w:line="288" w:before="0" w:after="240"/>
        <w:ind w:left="0" w:right="0" w:firstLine="720"/>
        <w:jc w:val="both"/>
        <w:rPr/>
      </w:pPr>
      <w:r>
        <w:rPr>
          <w:rFonts w:ascii="Times New Roman;serif" w:hAnsi="Times New Roman;serif"/>
          <w:b w:val="false"/>
          <w:color w:val="000000"/>
          <w:sz w:val="24"/>
        </w:rPr>
        <w:t>_________________, (the “</w:t>
      </w:r>
      <w:r>
        <w:rPr>
          <w:rFonts w:ascii="Times New Roman;serif" w:hAnsi="Times New Roman;serif"/>
          <w:b/>
          <w:i/>
          <w:color w:val="000000"/>
          <w:sz w:val="24"/>
        </w:rPr>
        <w:t>Owner</w:t>
      </w:r>
      <w:r>
        <w:rPr>
          <w:color w:val="000000"/>
        </w:rPr>
        <w:t>”</w:t>
      </w:r>
      <w:r>
        <w:rPr>
          <w:rFonts w:ascii="Times New Roman;serif" w:hAnsi="Times New Roman;serif"/>
          <w:b w:val="false"/>
          <w:color w:val="000000"/>
          <w:sz w:val="24"/>
        </w:rPr>
        <w:t>) owns and proposes to exchange the Note[s] or interest in such Note[s] specified herein, in the principal amount of $ in such</w:t>
      </w:r>
      <w:r>
        <w:rPr>
          <w:color w:val="000000"/>
        </w:rPr>
        <w:t xml:space="preserve"> </w:t>
      </w:r>
      <w:r>
        <w:rPr>
          <w:rFonts w:ascii="Times New Roman;serif" w:hAnsi="Times New Roman;serif"/>
          <w:b w:val="false"/>
          <w:color w:val="000000"/>
          <w:sz w:val="24"/>
        </w:rPr>
        <w:t>Note[s] or interests (the “</w:t>
      </w:r>
      <w:r>
        <w:rPr>
          <w:rFonts w:ascii="Times New Roman;serif" w:hAnsi="Times New Roman;serif"/>
          <w:b/>
          <w:i/>
          <w:color w:val="000000"/>
          <w:sz w:val="24"/>
        </w:rPr>
        <w:t>Exchange</w:t>
      </w:r>
      <w:r>
        <w:rPr>
          <w:color w:val="000000"/>
        </w:rPr>
        <w:t>”</w:t>
      </w:r>
      <w:r>
        <w:rPr>
          <w:rFonts w:ascii="Times New Roman;serif" w:hAnsi="Times New Roman;serif"/>
          <w:b w:val="false"/>
          <w:color w:val="000000"/>
          <w:sz w:val="24"/>
        </w:rPr>
        <w:t>). In connection with the Exchange, the Owner hereby certifies that:</w:t>
      </w:r>
    </w:p>
    <w:p>
      <w:pPr>
        <w:pStyle w:val="TextBody"/>
        <w:bidi w:val="0"/>
        <w:spacing w:lineRule="auto" w:line="240" w:before="0" w:after="240"/>
        <w:ind w:left="0" w:right="0" w:firstLine="720"/>
        <w:jc w:val="both"/>
        <w:rPr/>
      </w:pPr>
      <w:r>
        <w:rPr>
          <w:rFonts w:ascii="Times New Roman;serif" w:hAnsi="Times New Roman;serif"/>
          <w:b w:val="false"/>
          <w:color w:val="000000"/>
          <w:sz w:val="24"/>
        </w:rPr>
        <w:t>1.</w:t>
      </w:r>
      <w:r>
        <w:rPr>
          <w:rFonts w:ascii="Times New Roman;serif" w:hAnsi="Times New Roman;serif"/>
          <w:b/>
          <w:color w:val="000000"/>
          <w:sz w:val="24"/>
          <w:u w:val="single"/>
        </w:rPr>
        <w:t>Exchange</w:t>
      </w:r>
      <w:r>
        <w:rPr>
          <w:color w:val="000000"/>
          <w:u w:val="single"/>
        </w:rPr>
        <w:t xml:space="preserve"> </w:t>
      </w:r>
      <w:r>
        <w:rPr>
          <w:rFonts w:ascii="Times New Roman;serif" w:hAnsi="Times New Roman;serif"/>
          <w:b/>
          <w:color w:val="000000"/>
          <w:sz w:val="24"/>
          <w:u w:val="single"/>
        </w:rPr>
        <w:t>of Restricted Definitive Notes or Beneficial</w:t>
      </w:r>
      <w:r>
        <w:rPr>
          <w:color w:val="000000"/>
          <w:u w:val="single"/>
        </w:rPr>
        <w:t xml:space="preserve"> </w:t>
      </w:r>
      <w:r>
        <w:rPr>
          <w:rFonts w:ascii="Times New Roman;serif" w:hAnsi="Times New Roman;serif"/>
          <w:b/>
          <w:color w:val="000000"/>
          <w:sz w:val="24"/>
          <w:u w:val="single"/>
        </w:rPr>
        <w:t>Interests in</w:t>
      </w:r>
      <w:r>
        <w:rPr>
          <w:color w:val="000000"/>
          <w:u w:val="single"/>
        </w:rPr>
        <w:t xml:space="preserve"> </w:t>
      </w:r>
      <w:r>
        <w:rPr>
          <w:rFonts w:ascii="Times New Roman;serif" w:hAnsi="Times New Roman;serif"/>
          <w:b/>
          <w:color w:val="000000"/>
          <w:sz w:val="24"/>
          <w:u w:val="single"/>
        </w:rPr>
        <w:t>a Restricted Global</w:t>
      </w:r>
      <w:r>
        <w:rPr>
          <w:color w:val="000000"/>
          <w:u w:val="single"/>
        </w:rPr>
        <w:t xml:space="preserve"> </w:t>
      </w:r>
      <w:r>
        <w:rPr>
          <w:rFonts w:ascii="Times New Roman;serif" w:hAnsi="Times New Roman;serif"/>
          <w:b/>
          <w:color w:val="000000"/>
          <w:sz w:val="24"/>
          <w:u w:val="single"/>
        </w:rPr>
        <w:t>Note for Unrestricted Definitive Notes or</w:t>
      </w:r>
      <w:r>
        <w:rPr>
          <w:color w:val="000000"/>
          <w:u w:val="single"/>
        </w:rPr>
        <w:t xml:space="preserve"> </w:t>
      </w:r>
      <w:r>
        <w:rPr>
          <w:rFonts w:ascii="Times New Roman;serif" w:hAnsi="Times New Roman;serif"/>
          <w:b/>
          <w:color w:val="000000"/>
          <w:sz w:val="24"/>
          <w:u w:val="single"/>
        </w:rPr>
        <w:t>Beneficial Interests in an Unrestricted Global Note</w:t>
      </w:r>
    </w:p>
    <w:p>
      <w:pPr>
        <w:pStyle w:val="TextBody"/>
        <w:bidi w:val="0"/>
        <w:spacing w:lineRule="auto" w:line="240" w:before="0" w:after="240"/>
        <w:ind w:left="0" w:right="0" w:firstLine="1440"/>
        <w:jc w:val="both"/>
        <w:rPr/>
      </w:pPr>
      <w:r>
        <w:rPr>
          <w:rFonts w:ascii="Times New Roman;serif" w:hAnsi="Times New Roman;serif"/>
          <w:b w:val="false"/>
          <w:color w:val="000000"/>
          <w:sz w:val="24"/>
        </w:rPr>
        <w:t>(a)</w:t>
      </w:r>
      <w:r>
        <w:rPr>
          <w:color w:val="000000"/>
        </w:rPr>
        <w:t>☐</w:t>
      </w:r>
      <w:r>
        <w:rPr>
          <w:color w:val="000000"/>
        </w:rPr>
        <w:t xml:space="preserve">     </w:t>
      </w:r>
      <w:r>
        <w:rPr>
          <w:rFonts w:ascii="Times New Roman;serif" w:hAnsi="Times New Roman;serif"/>
          <w:b/>
          <w:color w:val="000000"/>
          <w:sz w:val="24"/>
        </w:rPr>
        <w:t>Check</w:t>
      </w:r>
      <w:r>
        <w:rPr>
          <w:color w:val="000000"/>
        </w:rPr>
        <w:t xml:space="preserve"> </w:t>
      </w:r>
      <w:r>
        <w:rPr>
          <w:rFonts w:ascii="Times New Roman;serif" w:hAnsi="Times New Roman;serif"/>
          <w:b/>
          <w:color w:val="000000"/>
          <w:sz w:val="24"/>
        </w:rPr>
        <w:t>if</w:t>
      </w:r>
      <w:r>
        <w:rPr>
          <w:color w:val="000000"/>
        </w:rPr>
        <w:t xml:space="preserve"> </w:t>
      </w:r>
      <w:r>
        <w:rPr>
          <w:rFonts w:ascii="Times New Roman;serif" w:hAnsi="Times New Roman;serif"/>
          <w:b/>
          <w:color w:val="000000"/>
          <w:sz w:val="24"/>
        </w:rPr>
        <w:t>Exchange</w:t>
      </w:r>
      <w:r>
        <w:rPr>
          <w:color w:val="000000"/>
        </w:rPr>
        <w:t xml:space="preserve"> </w:t>
      </w:r>
      <w:r>
        <w:rPr>
          <w:rFonts w:ascii="Times New Roman;serif" w:hAnsi="Times New Roman;serif"/>
          <w:b/>
          <w:color w:val="000000"/>
          <w:sz w:val="24"/>
        </w:rPr>
        <w:t>is</w:t>
      </w:r>
      <w:r>
        <w:rPr>
          <w:color w:val="000000"/>
        </w:rPr>
        <w:t xml:space="preserve"> </w:t>
      </w:r>
      <w:r>
        <w:rPr>
          <w:rFonts w:ascii="Times New Roman;serif" w:hAnsi="Times New Roman;serif"/>
          <w:b/>
          <w:color w:val="000000"/>
          <w:sz w:val="24"/>
        </w:rPr>
        <w:t>from</w:t>
      </w:r>
      <w:r>
        <w:rPr>
          <w:color w:val="000000"/>
        </w:rPr>
        <w:t xml:space="preserve"> </w:t>
      </w:r>
      <w:r>
        <w:rPr>
          <w:rFonts w:ascii="Times New Roman;serif" w:hAnsi="Times New Roman;serif"/>
          <w:b/>
          <w:color w:val="000000"/>
          <w:sz w:val="24"/>
        </w:rPr>
        <w:t>beneficial</w:t>
      </w:r>
      <w:r>
        <w:rPr>
          <w:color w:val="000000"/>
        </w:rPr>
        <w:t xml:space="preserve"> </w:t>
      </w:r>
      <w:r>
        <w:rPr>
          <w:rFonts w:ascii="Times New Roman;serif" w:hAnsi="Times New Roman;serif"/>
          <w:b/>
          <w:color w:val="000000"/>
          <w:sz w:val="24"/>
        </w:rPr>
        <w:t>interest</w:t>
      </w:r>
      <w:r>
        <w:rPr>
          <w:color w:val="000000"/>
        </w:rPr>
        <w:t xml:space="preserve"> </w:t>
      </w:r>
      <w:r>
        <w:rPr>
          <w:rFonts w:ascii="Times New Roman;serif" w:hAnsi="Times New Roman;serif"/>
          <w:b/>
          <w:color w:val="000000"/>
          <w:sz w:val="24"/>
        </w:rPr>
        <w:t>in</w:t>
      </w:r>
      <w:r>
        <w:rPr>
          <w:color w:val="000000"/>
        </w:rPr>
        <w:t xml:space="preserve"> </w:t>
      </w:r>
      <w:r>
        <w:rPr>
          <w:rFonts w:ascii="Times New Roman;serif" w:hAnsi="Times New Roman;serif"/>
          <w:b/>
          <w:color w:val="000000"/>
          <w:sz w:val="24"/>
        </w:rPr>
        <w:t>a</w:t>
      </w:r>
      <w:r>
        <w:rPr>
          <w:color w:val="000000"/>
        </w:rPr>
        <w:t xml:space="preserve"> </w:t>
      </w:r>
      <w:r>
        <w:rPr>
          <w:rFonts w:ascii="Times New Roman;serif" w:hAnsi="Times New Roman;serif"/>
          <w:b/>
          <w:color w:val="000000"/>
          <w:sz w:val="24"/>
        </w:rPr>
        <w:t>Restricted</w:t>
      </w:r>
      <w:r>
        <w:rPr>
          <w:color w:val="000000"/>
        </w:rPr>
        <w:t xml:space="preserve"> </w:t>
      </w:r>
      <w:r>
        <w:rPr>
          <w:rFonts w:ascii="Times New Roman;serif" w:hAnsi="Times New Roman;serif"/>
          <w:b/>
          <w:color w:val="000000"/>
          <w:sz w:val="24"/>
        </w:rPr>
        <w:t>Global</w:t>
      </w:r>
      <w:r>
        <w:rPr>
          <w:color w:val="000000"/>
        </w:rPr>
        <w:t xml:space="preserve"> </w:t>
      </w:r>
      <w:r>
        <w:rPr>
          <w:rFonts w:ascii="Times New Roman;serif" w:hAnsi="Times New Roman;serif"/>
          <w:b/>
          <w:color w:val="000000"/>
          <w:sz w:val="24"/>
        </w:rPr>
        <w:t>Note</w:t>
      </w:r>
      <w:r>
        <w:rPr>
          <w:color w:val="000000"/>
        </w:rPr>
        <w:t xml:space="preserve"> </w:t>
      </w:r>
      <w:r>
        <w:rPr>
          <w:rFonts w:ascii="Times New Roman;serif" w:hAnsi="Times New Roman;serif"/>
          <w:b/>
          <w:color w:val="000000"/>
          <w:sz w:val="24"/>
        </w:rPr>
        <w:t>to</w:t>
      </w:r>
      <w:r>
        <w:rPr>
          <w:color w:val="000000"/>
        </w:rPr>
        <w:t xml:space="preserve"> </w:t>
      </w:r>
      <w:r>
        <w:rPr>
          <w:rFonts w:ascii="Times New Roman;serif" w:hAnsi="Times New Roman;serif"/>
          <w:b/>
          <w:color w:val="000000"/>
          <w:sz w:val="24"/>
        </w:rPr>
        <w:t>beneficial</w:t>
      </w:r>
      <w:r>
        <w:rPr>
          <w:color w:val="000000"/>
        </w:rPr>
        <w:t xml:space="preserve"> </w:t>
      </w:r>
      <w:r>
        <w:rPr>
          <w:rFonts w:ascii="Times New Roman;serif" w:hAnsi="Times New Roman;serif"/>
          <w:b/>
          <w:color w:val="000000"/>
          <w:sz w:val="24"/>
        </w:rPr>
        <w:t>interest</w:t>
      </w:r>
      <w:r>
        <w:rPr>
          <w:color w:val="000000"/>
        </w:rPr>
        <w:t xml:space="preserve"> </w:t>
      </w:r>
      <w:r>
        <w:rPr>
          <w:rFonts w:ascii="Times New Roman;serif" w:hAnsi="Times New Roman;serif"/>
          <w:b/>
          <w:color w:val="000000"/>
          <w:sz w:val="24"/>
        </w:rPr>
        <w:t>in</w:t>
      </w:r>
      <w:r>
        <w:rPr>
          <w:color w:val="000000"/>
        </w:rPr>
        <w:t xml:space="preserve"> </w:t>
      </w:r>
      <w:r>
        <w:rPr>
          <w:rFonts w:ascii="Times New Roman;serif" w:hAnsi="Times New Roman;serif"/>
          <w:b/>
          <w:color w:val="000000"/>
          <w:sz w:val="24"/>
        </w:rPr>
        <w:t>an</w:t>
      </w:r>
      <w:r>
        <w:rPr>
          <w:color w:val="000000"/>
        </w:rPr>
        <w:t xml:space="preserve"> </w:t>
      </w:r>
      <w:r>
        <w:rPr>
          <w:rFonts w:ascii="Times New Roman;serif" w:hAnsi="Times New Roman;serif"/>
          <w:b/>
          <w:color w:val="000000"/>
          <w:sz w:val="24"/>
        </w:rPr>
        <w:t>Unrestricted</w:t>
      </w:r>
      <w:r>
        <w:rPr>
          <w:color w:val="000000"/>
        </w:rPr>
        <w:t xml:space="preserve"> </w:t>
      </w:r>
      <w:r>
        <w:rPr>
          <w:rFonts w:ascii="Times New Roman;serif" w:hAnsi="Times New Roman;serif"/>
          <w:b/>
          <w:color w:val="000000"/>
          <w:sz w:val="24"/>
        </w:rPr>
        <w:t>Global</w:t>
      </w:r>
      <w:r>
        <w:rPr>
          <w:color w:val="000000"/>
        </w:rPr>
        <w:t xml:space="preserve"> </w:t>
      </w:r>
      <w:r>
        <w:rPr>
          <w:rFonts w:ascii="Times New Roman;serif" w:hAnsi="Times New Roman;serif"/>
          <w:b/>
          <w:color w:val="000000"/>
          <w:sz w:val="24"/>
        </w:rPr>
        <w:t>Note</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connection with the Exchange of the Owner’s beneficial interest in a Restricted Global Note for a beneficial interest in an Unrestricted Global Note in an</w:t>
      </w:r>
      <w:r>
        <w:rPr>
          <w:color w:val="000000"/>
        </w:rPr>
        <w:t xml:space="preserve"> </w:t>
      </w:r>
      <w:r>
        <w:rPr>
          <w:rFonts w:ascii="Times New Roman;serif" w:hAnsi="Times New Roman;serif"/>
          <w:b w:val="false"/>
          <w:color w:val="000000"/>
          <w:sz w:val="24"/>
        </w:rPr>
        <w:t>equal principal amount, the Owner hereby certifies (i) the beneficial interest is being acquired for the Owner’s own account without transfer, (ii) such</w:t>
      </w:r>
      <w:r>
        <w:rPr>
          <w:color w:val="000000"/>
        </w:rPr>
        <w:t xml:space="preserve"> </w:t>
      </w:r>
      <w:r>
        <w:rPr>
          <w:rFonts w:ascii="Times New Roman;serif" w:hAnsi="Times New Roman;serif"/>
          <w:b w:val="false"/>
          <w:color w:val="000000"/>
          <w:sz w:val="24"/>
        </w:rPr>
        <w:t>Exchange has been effected in compliance with the transfer restrictions applicable to the Restricted Global Note and pursuant to and in accordance with</w:t>
      </w:r>
      <w:r>
        <w:rPr>
          <w:color w:val="000000"/>
        </w:rPr>
        <w:t xml:space="preserve"> </w:t>
      </w:r>
      <w:r>
        <w:rPr>
          <w:rFonts w:ascii="Times New Roman;serif" w:hAnsi="Times New Roman;serif"/>
          <w:b w:val="false"/>
          <w:color w:val="000000"/>
          <w:sz w:val="24"/>
        </w:rPr>
        <w:t>the United States Securities Act of 1933, as amended (the “</w:t>
      </w:r>
      <w:r>
        <w:rPr>
          <w:rFonts w:ascii="Times New Roman;serif" w:hAnsi="Times New Roman;serif"/>
          <w:b/>
          <w:i/>
          <w:color w:val="000000"/>
          <w:sz w:val="24"/>
        </w:rPr>
        <w:t>Securities Act</w:t>
      </w:r>
      <w:r>
        <w:rPr>
          <w:color w:val="000000"/>
        </w:rPr>
        <w:t>”</w:t>
      </w:r>
      <w:r>
        <w:rPr>
          <w:rFonts w:ascii="Times New Roman;serif" w:hAnsi="Times New Roman;serif"/>
          <w:b w:val="false"/>
          <w:color w:val="000000"/>
          <w:sz w:val="24"/>
        </w:rPr>
        <w:t>), (iii) the restrictions on transfer contained in the Indenture and the Private</w:t>
      </w:r>
      <w:r>
        <w:rPr>
          <w:color w:val="000000"/>
        </w:rPr>
        <w:t xml:space="preserve"> </w:t>
      </w:r>
      <w:r>
        <w:rPr>
          <w:rFonts w:ascii="Times New Roman;serif" w:hAnsi="Times New Roman;serif"/>
          <w:b w:val="false"/>
          <w:color w:val="000000"/>
          <w:sz w:val="24"/>
        </w:rPr>
        <w:t>Placement</w:t>
      </w:r>
      <w:r>
        <w:rPr>
          <w:color w:val="000000"/>
        </w:rPr>
        <w:t xml:space="preserve"> </w:t>
      </w:r>
      <w:r>
        <w:rPr>
          <w:rFonts w:ascii="Times New Roman;serif" w:hAnsi="Times New Roman;serif"/>
          <w:b w:val="false"/>
          <w:color w:val="000000"/>
          <w:sz w:val="24"/>
        </w:rPr>
        <w:t>Legend</w:t>
      </w:r>
      <w:r>
        <w:rPr>
          <w:color w:val="000000"/>
        </w:rPr>
        <w:t xml:space="preserve"> </w:t>
      </w:r>
      <w:r>
        <w:rPr>
          <w:rFonts w:ascii="Times New Roman;serif" w:hAnsi="Times New Roman;serif"/>
          <w:b w:val="false"/>
          <w:color w:val="000000"/>
          <w:sz w:val="24"/>
        </w:rPr>
        <w:t>are</w:t>
      </w:r>
      <w:r>
        <w:rPr>
          <w:color w:val="000000"/>
        </w:rPr>
        <w:t xml:space="preserve"> </w:t>
      </w:r>
      <w:r>
        <w:rPr>
          <w:rFonts w:ascii="Times New Roman;serif" w:hAnsi="Times New Roman;serif"/>
          <w:b w:val="false"/>
          <w:color w:val="000000"/>
          <w:sz w:val="24"/>
        </w:rPr>
        <w:t>not</w:t>
      </w:r>
      <w:r>
        <w:rPr>
          <w:color w:val="000000"/>
        </w:rPr>
        <w:t xml:space="preserve"> </w:t>
      </w:r>
      <w:r>
        <w:rPr>
          <w:rFonts w:ascii="Times New Roman;serif" w:hAnsi="Times New Roman;serif"/>
          <w:b w:val="false"/>
          <w:color w:val="000000"/>
          <w:sz w:val="24"/>
        </w:rPr>
        <w:t>required</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order</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maintain</w:t>
      </w:r>
      <w:r>
        <w:rPr>
          <w:color w:val="000000"/>
        </w:rPr>
        <w:t xml:space="preserve"> </w:t>
      </w:r>
      <w:r>
        <w:rPr>
          <w:rFonts w:ascii="Times New Roman;serif" w:hAnsi="Times New Roman;serif"/>
          <w:b w:val="false"/>
          <w:color w:val="000000"/>
          <w:sz w:val="24"/>
        </w:rPr>
        <w:t>compliance</w:t>
      </w:r>
      <w:r>
        <w:rPr>
          <w:color w:val="000000"/>
        </w:rPr>
        <w:t xml:space="preserve"> </w:t>
      </w:r>
      <w:r>
        <w:rPr>
          <w:rFonts w:ascii="Times New Roman;serif" w:hAnsi="Times New Roman;serif"/>
          <w:b w:val="false"/>
          <w:color w:val="000000"/>
          <w:sz w:val="24"/>
        </w:rPr>
        <w:t>with</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Securities</w:t>
      </w:r>
      <w:r>
        <w:rPr>
          <w:color w:val="000000"/>
        </w:rPr>
        <w:t xml:space="preserve"> </w:t>
      </w:r>
      <w:r>
        <w:rPr>
          <w:rFonts w:ascii="Times New Roman;serif" w:hAnsi="Times New Roman;serif"/>
          <w:b w:val="false"/>
          <w:color w:val="000000"/>
          <w:sz w:val="24"/>
        </w:rPr>
        <w:t>Act</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(iv)</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beneficial</w:t>
      </w:r>
      <w:r>
        <w:rPr>
          <w:color w:val="000000"/>
        </w:rPr>
        <w:t xml:space="preserve"> </w:t>
      </w:r>
      <w:r>
        <w:rPr>
          <w:rFonts w:ascii="Times New Roman;serif" w:hAnsi="Times New Roman;serif"/>
          <w:b w:val="false"/>
          <w:color w:val="000000"/>
          <w:sz w:val="24"/>
        </w:rPr>
        <w:t>interest</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an</w:t>
      </w:r>
      <w:r>
        <w:rPr>
          <w:color w:val="000000"/>
        </w:rPr>
        <w:t xml:space="preserve"> </w:t>
      </w:r>
      <w:r>
        <w:rPr>
          <w:rFonts w:ascii="Times New Roman;serif" w:hAnsi="Times New Roman;serif"/>
          <w:b w:val="false"/>
          <w:color w:val="000000"/>
          <w:sz w:val="24"/>
        </w:rPr>
        <w:t>Unrestricted</w:t>
      </w:r>
      <w:r>
        <w:rPr>
          <w:color w:val="000000"/>
        </w:rPr>
        <w:t xml:space="preserve"> </w:t>
      </w:r>
      <w:r>
        <w:rPr>
          <w:rFonts w:ascii="Times New Roman;serif" w:hAnsi="Times New Roman;serif"/>
          <w:b w:val="false"/>
          <w:color w:val="000000"/>
          <w:sz w:val="24"/>
        </w:rPr>
        <w:t>Global</w:t>
      </w:r>
      <w:r>
        <w:rPr>
          <w:color w:val="000000"/>
        </w:rPr>
        <w:t xml:space="preserve"> </w:t>
      </w:r>
      <w:r>
        <w:rPr>
          <w:rFonts w:ascii="Times New Roman;serif" w:hAnsi="Times New Roman;serif"/>
          <w:b w:val="false"/>
          <w:color w:val="000000"/>
          <w:sz w:val="24"/>
        </w:rPr>
        <w:t>Note</w:t>
      </w:r>
      <w:r>
        <w:rPr>
          <w:color w:val="000000"/>
        </w:rPr>
        <w:t xml:space="preserve"> </w:t>
      </w:r>
      <w:r>
        <w:rPr>
          <w:rFonts w:ascii="Times New Roman;serif" w:hAnsi="Times New Roman;serif"/>
          <w:b w:val="false"/>
          <w:color w:val="000000"/>
          <w:sz w:val="24"/>
        </w:rPr>
        <w:t>is</w:t>
      </w:r>
      <w:r>
        <w:rPr>
          <w:color w:val="000000"/>
        </w:rPr>
        <w:t xml:space="preserve"> </w:t>
      </w:r>
      <w:r>
        <w:rPr>
          <w:rFonts w:ascii="Times New Roman;serif" w:hAnsi="Times New Roman;serif"/>
          <w:b w:val="false"/>
          <w:color w:val="000000"/>
          <w:sz w:val="24"/>
        </w:rPr>
        <w:t>being acquired in compliance with any applicable blue sky securities laws of any state of the United States.</w:t>
      </w:r>
    </w:p>
    <w:p>
      <w:pPr>
        <w:pStyle w:val="TextBody"/>
        <w:bidi w:val="0"/>
        <w:spacing w:lineRule="auto" w:line="240" w:before="0" w:after="240"/>
        <w:ind w:left="0" w:right="0" w:firstLine="1440"/>
        <w:jc w:val="both"/>
        <w:rPr/>
      </w:pPr>
      <w:r>
        <w:rPr>
          <w:rFonts w:ascii="Times New Roman;serif" w:hAnsi="Times New Roman;serif"/>
          <w:b w:val="false"/>
          <w:color w:val="000000"/>
          <w:sz w:val="24"/>
        </w:rPr>
        <w:t>(b)</w:t>
      </w:r>
      <w:r>
        <w:rPr>
          <w:color w:val="000000"/>
        </w:rPr>
        <w:t>☐</w:t>
      </w:r>
      <w:r>
        <w:rPr>
          <w:color w:val="000000"/>
        </w:rPr>
        <w:t xml:space="preserve">     </w:t>
      </w:r>
      <w:r>
        <w:rPr>
          <w:rFonts w:ascii="Times New Roman;serif" w:hAnsi="Times New Roman;serif"/>
          <w:b/>
          <w:color w:val="000000"/>
          <w:sz w:val="24"/>
        </w:rPr>
        <w:t>Check</w:t>
      </w:r>
      <w:r>
        <w:rPr>
          <w:color w:val="000000"/>
        </w:rPr>
        <w:t xml:space="preserve"> </w:t>
      </w:r>
      <w:r>
        <w:rPr>
          <w:rFonts w:ascii="Times New Roman;serif" w:hAnsi="Times New Roman;serif"/>
          <w:b/>
          <w:color w:val="000000"/>
          <w:sz w:val="24"/>
        </w:rPr>
        <w:t>if</w:t>
      </w:r>
      <w:r>
        <w:rPr>
          <w:color w:val="000000"/>
        </w:rPr>
        <w:t xml:space="preserve"> </w:t>
      </w:r>
      <w:r>
        <w:rPr>
          <w:rFonts w:ascii="Times New Roman;serif" w:hAnsi="Times New Roman;serif"/>
          <w:b/>
          <w:color w:val="000000"/>
          <w:sz w:val="24"/>
        </w:rPr>
        <w:t>Exchange</w:t>
      </w:r>
      <w:r>
        <w:rPr>
          <w:color w:val="000000"/>
        </w:rPr>
        <w:t xml:space="preserve"> </w:t>
      </w:r>
      <w:r>
        <w:rPr>
          <w:rFonts w:ascii="Times New Roman;serif" w:hAnsi="Times New Roman;serif"/>
          <w:b/>
          <w:color w:val="000000"/>
          <w:sz w:val="24"/>
        </w:rPr>
        <w:t>is</w:t>
      </w:r>
      <w:r>
        <w:rPr>
          <w:color w:val="000000"/>
        </w:rPr>
        <w:t xml:space="preserve"> </w:t>
      </w:r>
      <w:r>
        <w:rPr>
          <w:rFonts w:ascii="Times New Roman;serif" w:hAnsi="Times New Roman;serif"/>
          <w:b/>
          <w:color w:val="000000"/>
          <w:sz w:val="24"/>
        </w:rPr>
        <w:t>from</w:t>
      </w:r>
      <w:r>
        <w:rPr>
          <w:color w:val="000000"/>
        </w:rPr>
        <w:t xml:space="preserve"> </w:t>
      </w:r>
      <w:r>
        <w:rPr>
          <w:rFonts w:ascii="Times New Roman;serif" w:hAnsi="Times New Roman;serif"/>
          <w:b/>
          <w:color w:val="000000"/>
          <w:sz w:val="24"/>
        </w:rPr>
        <w:t>beneficial</w:t>
      </w:r>
      <w:r>
        <w:rPr>
          <w:color w:val="000000"/>
        </w:rPr>
        <w:t xml:space="preserve"> </w:t>
      </w:r>
      <w:r>
        <w:rPr>
          <w:rFonts w:ascii="Times New Roman;serif" w:hAnsi="Times New Roman;serif"/>
          <w:b/>
          <w:color w:val="000000"/>
          <w:sz w:val="24"/>
        </w:rPr>
        <w:t>interest</w:t>
      </w:r>
      <w:r>
        <w:rPr>
          <w:color w:val="000000"/>
        </w:rPr>
        <w:t xml:space="preserve"> </w:t>
      </w:r>
      <w:r>
        <w:rPr>
          <w:rFonts w:ascii="Times New Roman;serif" w:hAnsi="Times New Roman;serif"/>
          <w:b/>
          <w:color w:val="000000"/>
          <w:sz w:val="24"/>
        </w:rPr>
        <w:t>in</w:t>
      </w:r>
      <w:r>
        <w:rPr>
          <w:color w:val="000000"/>
        </w:rPr>
        <w:t xml:space="preserve"> </w:t>
      </w:r>
      <w:r>
        <w:rPr>
          <w:rFonts w:ascii="Times New Roman;serif" w:hAnsi="Times New Roman;serif"/>
          <w:b/>
          <w:color w:val="000000"/>
          <w:sz w:val="24"/>
        </w:rPr>
        <w:t>a</w:t>
      </w:r>
      <w:r>
        <w:rPr>
          <w:color w:val="000000"/>
        </w:rPr>
        <w:t xml:space="preserve"> </w:t>
      </w:r>
      <w:r>
        <w:rPr>
          <w:rFonts w:ascii="Times New Roman;serif" w:hAnsi="Times New Roman;serif"/>
          <w:b/>
          <w:color w:val="000000"/>
          <w:sz w:val="24"/>
        </w:rPr>
        <w:t>Restricted</w:t>
      </w:r>
      <w:r>
        <w:rPr>
          <w:color w:val="000000"/>
        </w:rPr>
        <w:t xml:space="preserve"> </w:t>
      </w:r>
      <w:r>
        <w:rPr>
          <w:rFonts w:ascii="Times New Roman;serif" w:hAnsi="Times New Roman;serif"/>
          <w:b/>
          <w:color w:val="000000"/>
          <w:sz w:val="24"/>
        </w:rPr>
        <w:t>Global</w:t>
      </w:r>
      <w:r>
        <w:rPr>
          <w:color w:val="000000"/>
        </w:rPr>
        <w:t xml:space="preserve"> </w:t>
      </w:r>
      <w:r>
        <w:rPr>
          <w:rFonts w:ascii="Times New Roman;serif" w:hAnsi="Times New Roman;serif"/>
          <w:b/>
          <w:color w:val="000000"/>
          <w:sz w:val="24"/>
        </w:rPr>
        <w:t>Note</w:t>
      </w:r>
      <w:r>
        <w:rPr>
          <w:color w:val="000000"/>
        </w:rPr>
        <w:t xml:space="preserve"> </w:t>
      </w:r>
      <w:r>
        <w:rPr>
          <w:rFonts w:ascii="Times New Roman;serif" w:hAnsi="Times New Roman;serif"/>
          <w:b/>
          <w:color w:val="000000"/>
          <w:sz w:val="24"/>
        </w:rPr>
        <w:t>to</w:t>
      </w:r>
      <w:r>
        <w:rPr>
          <w:color w:val="000000"/>
        </w:rPr>
        <w:t xml:space="preserve"> </w:t>
      </w:r>
      <w:r>
        <w:rPr>
          <w:rFonts w:ascii="Times New Roman;serif" w:hAnsi="Times New Roman;serif"/>
          <w:b/>
          <w:color w:val="000000"/>
          <w:sz w:val="24"/>
        </w:rPr>
        <w:t>Unrestricted</w:t>
      </w:r>
      <w:r>
        <w:rPr>
          <w:color w:val="000000"/>
        </w:rPr>
        <w:t xml:space="preserve"> </w:t>
      </w:r>
      <w:r>
        <w:rPr>
          <w:rFonts w:ascii="Times New Roman;serif" w:hAnsi="Times New Roman;serif"/>
          <w:b/>
          <w:color w:val="000000"/>
          <w:sz w:val="24"/>
        </w:rPr>
        <w:t>Definitive</w:t>
      </w:r>
      <w:r>
        <w:rPr>
          <w:color w:val="000000"/>
        </w:rPr>
        <w:t xml:space="preserve"> </w:t>
      </w:r>
      <w:r>
        <w:rPr>
          <w:rFonts w:ascii="Times New Roman;serif" w:hAnsi="Times New Roman;serif"/>
          <w:b/>
          <w:color w:val="000000"/>
          <w:sz w:val="24"/>
        </w:rPr>
        <w:t>Note</w:t>
      </w:r>
      <w:r>
        <w:rPr>
          <w:rFonts w:ascii="Times New Roman;serif" w:hAnsi="Times New Roman;serif"/>
          <w:b w:val="false"/>
          <w:color w:val="000000"/>
          <w:sz w:val="24"/>
        </w:rPr>
        <w:t>. In connection with the</w:t>
      </w:r>
      <w:r>
        <w:rPr>
          <w:color w:val="000000"/>
        </w:rPr>
        <w:t xml:space="preserve"> </w:t>
      </w:r>
      <w:r>
        <w:rPr>
          <w:rFonts w:ascii="Times New Roman;serif" w:hAnsi="Times New Roman;serif"/>
          <w:b w:val="false"/>
          <w:color w:val="000000"/>
          <w:sz w:val="24"/>
        </w:rPr>
        <w:t>Exchange</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Owner’s</w:t>
      </w:r>
      <w:r>
        <w:rPr>
          <w:color w:val="000000"/>
        </w:rPr>
        <w:t xml:space="preserve"> </w:t>
      </w:r>
      <w:r>
        <w:rPr>
          <w:rFonts w:ascii="Times New Roman;serif" w:hAnsi="Times New Roman;serif"/>
          <w:b w:val="false"/>
          <w:color w:val="000000"/>
          <w:sz w:val="24"/>
        </w:rPr>
        <w:t>beneficial</w:t>
      </w:r>
      <w:r>
        <w:rPr>
          <w:color w:val="000000"/>
        </w:rPr>
        <w:t xml:space="preserve"> </w:t>
      </w:r>
      <w:r>
        <w:rPr>
          <w:rFonts w:ascii="Times New Roman;serif" w:hAnsi="Times New Roman;serif"/>
          <w:b w:val="false"/>
          <w:color w:val="000000"/>
          <w:sz w:val="24"/>
        </w:rPr>
        <w:t>interest</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Restricted</w:t>
      </w:r>
      <w:r>
        <w:rPr>
          <w:color w:val="000000"/>
        </w:rPr>
        <w:t xml:space="preserve"> </w:t>
      </w:r>
      <w:r>
        <w:rPr>
          <w:rFonts w:ascii="Times New Roman;serif" w:hAnsi="Times New Roman;serif"/>
          <w:b w:val="false"/>
          <w:color w:val="000000"/>
          <w:sz w:val="24"/>
        </w:rPr>
        <w:t>Global</w:t>
      </w:r>
      <w:r>
        <w:rPr>
          <w:color w:val="000000"/>
        </w:rPr>
        <w:t xml:space="preserve"> </w:t>
      </w:r>
      <w:r>
        <w:rPr>
          <w:rFonts w:ascii="Times New Roman;serif" w:hAnsi="Times New Roman;serif"/>
          <w:b w:val="false"/>
          <w:color w:val="000000"/>
          <w:sz w:val="24"/>
        </w:rPr>
        <w:t>Note</w:t>
      </w:r>
      <w:r>
        <w:rPr>
          <w:color w:val="000000"/>
        </w:rPr>
        <w:t xml:space="preserve"> </w:t>
      </w:r>
      <w:r>
        <w:rPr>
          <w:rFonts w:ascii="Times New Roman;serif" w:hAnsi="Times New Roman;serif"/>
          <w:b w:val="false"/>
          <w:color w:val="000000"/>
          <w:sz w:val="24"/>
        </w:rPr>
        <w:t>for</w:t>
      </w:r>
      <w:r>
        <w:rPr>
          <w:color w:val="000000"/>
        </w:rPr>
        <w:t xml:space="preserve"> </w:t>
      </w:r>
      <w:r>
        <w:rPr>
          <w:rFonts w:ascii="Times New Roman;serif" w:hAnsi="Times New Roman;serif"/>
          <w:b w:val="false"/>
          <w:color w:val="000000"/>
          <w:sz w:val="24"/>
        </w:rPr>
        <w:t>an</w:t>
      </w:r>
      <w:r>
        <w:rPr>
          <w:color w:val="000000"/>
        </w:rPr>
        <w:t xml:space="preserve"> </w:t>
      </w:r>
      <w:r>
        <w:rPr>
          <w:rFonts w:ascii="Times New Roman;serif" w:hAnsi="Times New Roman;serif"/>
          <w:b w:val="false"/>
          <w:color w:val="000000"/>
          <w:sz w:val="24"/>
        </w:rPr>
        <w:t>Unrestricted</w:t>
      </w:r>
      <w:r>
        <w:rPr>
          <w:color w:val="000000"/>
        </w:rPr>
        <w:t xml:space="preserve"> </w:t>
      </w:r>
      <w:r>
        <w:rPr>
          <w:rFonts w:ascii="Times New Roman;serif" w:hAnsi="Times New Roman;serif"/>
          <w:b w:val="false"/>
          <w:color w:val="000000"/>
          <w:sz w:val="24"/>
        </w:rPr>
        <w:t>Definitive</w:t>
      </w:r>
      <w:r>
        <w:rPr>
          <w:color w:val="000000"/>
        </w:rPr>
        <w:t xml:space="preserve"> </w:t>
      </w:r>
      <w:r>
        <w:rPr>
          <w:rFonts w:ascii="Times New Roman;serif" w:hAnsi="Times New Roman;serif"/>
          <w:b w:val="false"/>
          <w:color w:val="000000"/>
          <w:sz w:val="24"/>
        </w:rPr>
        <w:t>Note,</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Owner</w:t>
      </w:r>
      <w:r>
        <w:rPr>
          <w:color w:val="000000"/>
        </w:rPr>
        <w:t xml:space="preserve"> </w:t>
      </w:r>
      <w:r>
        <w:rPr>
          <w:rFonts w:ascii="Times New Roman;serif" w:hAnsi="Times New Roman;serif"/>
          <w:b w:val="false"/>
          <w:color w:val="000000"/>
          <w:sz w:val="24"/>
        </w:rPr>
        <w:t>hereby</w:t>
      </w:r>
      <w:r>
        <w:rPr>
          <w:color w:val="000000"/>
        </w:rPr>
        <w:t xml:space="preserve"> </w:t>
      </w:r>
      <w:r>
        <w:rPr>
          <w:rFonts w:ascii="Times New Roman;serif" w:hAnsi="Times New Roman;serif"/>
          <w:b w:val="false"/>
          <w:color w:val="000000"/>
          <w:sz w:val="24"/>
        </w:rPr>
        <w:t>certifies</w:t>
      </w:r>
      <w:r>
        <w:rPr>
          <w:color w:val="000000"/>
        </w:rPr>
        <w:t xml:space="preserve"> </w:t>
      </w:r>
      <w:r>
        <w:rPr>
          <w:rFonts w:ascii="Times New Roman;serif" w:hAnsi="Times New Roman;serif"/>
          <w:b w:val="false"/>
          <w:color w:val="000000"/>
          <w:sz w:val="24"/>
        </w:rPr>
        <w:t>(i)</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Unrestricted</w:t>
      </w:r>
      <w:r>
        <w:rPr>
          <w:color w:val="000000"/>
        </w:rPr>
        <w:t xml:space="preserve"> </w:t>
      </w:r>
      <w:r>
        <w:rPr>
          <w:rFonts w:ascii="Times New Roman;serif" w:hAnsi="Times New Roman;serif"/>
          <w:b w:val="false"/>
          <w:color w:val="000000"/>
          <w:sz w:val="24"/>
        </w:rPr>
        <w:t xml:space="preserve">Definitive Note is being acquired for the Owner’s own </w:t>
      </w:r>
    </w:p>
    <w:p>
      <w:pPr>
        <w:pStyle w:val="TextBody"/>
        <w:bidi w:val="0"/>
        <w:spacing w:before="0" w:after="0"/>
        <w:jc w:val="left"/>
        <w:rPr/>
      </w:pPr>
      <w:r>
        <w:rPr/>
      </w:r>
      <w:r>
        <mc:AlternateContent>
          <mc:Choice Requires="wps">
            <w:drawing>
              <wp:anchor behindDoc="0" distT="0" distB="0" distL="0" distR="0" simplePos="0" locked="0" layoutInCell="1" allowOverlap="1" relativeHeight="284">
                <wp:simplePos x="0" y="0"/>
                <wp:positionH relativeFrom="character">
                  <wp:align>left</wp:align>
                </wp:positionH>
                <wp:positionV relativeFrom="line">
                  <wp:posOffset>635</wp:posOffset>
                </wp:positionV>
                <wp:extent cx="6480175" cy="175260"/>
                <wp:effectExtent l="0" t="0" r="0" b="0"/>
                <wp:wrapNone/>
                <wp:docPr id="283" name="Frame28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C-1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C-1</w:t>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rPr>
        <w:t>account without transfer, (ii) such Exchange has been effected in compliance with the transfer</w:t>
      </w:r>
      <w:r>
        <w:rPr>
          <w:color w:val="000000"/>
        </w:rPr>
        <w:t xml:space="preserve"> </w:t>
      </w:r>
      <w:r>
        <w:rPr>
          <w:rFonts w:ascii="Times New Roman;serif" w:hAnsi="Times New Roman;serif"/>
          <w:b w:val="false"/>
          <w:color w:val="000000"/>
          <w:sz w:val="24"/>
        </w:rPr>
        <w:t>restrictions applicable to the Restricted Global Note and pursuant to and in accordance with the Securities Act, (iii) the restrictions on transfer contained</w:t>
      </w:r>
      <w:r>
        <w:rPr>
          <w:color w:val="000000"/>
        </w:rPr>
        <w:t xml:space="preserve"> </w:t>
      </w:r>
      <w:r>
        <w:rPr>
          <w:rFonts w:ascii="Times New Roman;serif" w:hAnsi="Times New Roman;serif"/>
          <w:b w:val="false"/>
          <w:color w:val="000000"/>
          <w:sz w:val="24"/>
        </w:rPr>
        <w:t>in the Indenture and the Private Placement Legend are not required in order to maintain compliance with the Securities Act and (iv) the Unrestricted</w:t>
      </w:r>
      <w:r>
        <w:rPr>
          <w:color w:val="000000"/>
        </w:rPr>
        <w:t xml:space="preserve"> </w:t>
      </w:r>
      <w:r>
        <w:rPr>
          <w:rFonts w:ascii="Times New Roman;serif" w:hAnsi="Times New Roman;serif"/>
          <w:b w:val="false"/>
          <w:color w:val="000000"/>
          <w:sz w:val="24"/>
        </w:rPr>
        <w:t>Definitive Note is being acquired in compliance with any applicable blue sky securities laws of any state of the United States.</w:t>
      </w:r>
    </w:p>
    <w:p>
      <w:pPr>
        <w:pStyle w:val="TextBody"/>
        <w:bidi w:val="0"/>
        <w:spacing w:lineRule="auto" w:line="240" w:before="0" w:after="240"/>
        <w:ind w:left="0" w:right="0" w:firstLine="1440"/>
        <w:jc w:val="both"/>
        <w:rPr/>
      </w:pPr>
      <w:r>
        <w:rPr>
          <w:rFonts w:ascii="Times New Roman;serif" w:hAnsi="Times New Roman;serif"/>
          <w:b w:val="false"/>
          <w:color w:val="000000"/>
          <w:sz w:val="24"/>
        </w:rPr>
        <w:t>(c)</w:t>
      </w:r>
      <w:r>
        <w:rPr>
          <w:color w:val="000000"/>
        </w:rPr>
        <w:t>☐</w:t>
      </w:r>
      <w:r>
        <w:rPr>
          <w:color w:val="000000"/>
        </w:rPr>
        <w:t xml:space="preserve">     </w:t>
      </w:r>
      <w:r>
        <w:rPr>
          <w:rFonts w:ascii="Times New Roman;serif" w:hAnsi="Times New Roman;serif"/>
          <w:b/>
          <w:color w:val="000000"/>
          <w:sz w:val="24"/>
        </w:rPr>
        <w:t>Check</w:t>
      </w:r>
      <w:r>
        <w:rPr>
          <w:color w:val="000000"/>
        </w:rPr>
        <w:t xml:space="preserve"> </w:t>
      </w:r>
      <w:r>
        <w:rPr>
          <w:rFonts w:ascii="Times New Roman;serif" w:hAnsi="Times New Roman;serif"/>
          <w:b/>
          <w:color w:val="000000"/>
          <w:sz w:val="24"/>
        </w:rPr>
        <w:t>if</w:t>
      </w:r>
      <w:r>
        <w:rPr>
          <w:color w:val="000000"/>
        </w:rPr>
        <w:t xml:space="preserve"> </w:t>
      </w:r>
      <w:r>
        <w:rPr>
          <w:rFonts w:ascii="Times New Roman;serif" w:hAnsi="Times New Roman;serif"/>
          <w:b/>
          <w:color w:val="000000"/>
          <w:sz w:val="24"/>
        </w:rPr>
        <w:t>Exchange</w:t>
      </w:r>
      <w:r>
        <w:rPr>
          <w:color w:val="000000"/>
        </w:rPr>
        <w:t xml:space="preserve"> </w:t>
      </w:r>
      <w:r>
        <w:rPr>
          <w:rFonts w:ascii="Times New Roman;serif" w:hAnsi="Times New Roman;serif"/>
          <w:b/>
          <w:color w:val="000000"/>
          <w:sz w:val="24"/>
        </w:rPr>
        <w:t>is</w:t>
      </w:r>
      <w:r>
        <w:rPr>
          <w:color w:val="000000"/>
        </w:rPr>
        <w:t xml:space="preserve"> </w:t>
      </w:r>
      <w:r>
        <w:rPr>
          <w:rFonts w:ascii="Times New Roman;serif" w:hAnsi="Times New Roman;serif"/>
          <w:b/>
          <w:color w:val="000000"/>
          <w:sz w:val="24"/>
        </w:rPr>
        <w:t>from</w:t>
      </w:r>
      <w:r>
        <w:rPr>
          <w:color w:val="000000"/>
        </w:rPr>
        <w:t xml:space="preserve"> </w:t>
      </w:r>
      <w:r>
        <w:rPr>
          <w:rFonts w:ascii="Times New Roman;serif" w:hAnsi="Times New Roman;serif"/>
          <w:b/>
          <w:color w:val="000000"/>
          <w:sz w:val="24"/>
        </w:rPr>
        <w:t>Restricted</w:t>
      </w:r>
      <w:r>
        <w:rPr>
          <w:color w:val="000000"/>
        </w:rPr>
        <w:t xml:space="preserve"> </w:t>
      </w:r>
      <w:r>
        <w:rPr>
          <w:rFonts w:ascii="Times New Roman;serif" w:hAnsi="Times New Roman;serif"/>
          <w:b/>
          <w:color w:val="000000"/>
          <w:sz w:val="24"/>
        </w:rPr>
        <w:t>Definitive</w:t>
      </w:r>
      <w:r>
        <w:rPr>
          <w:color w:val="000000"/>
        </w:rPr>
        <w:t xml:space="preserve"> </w:t>
      </w:r>
      <w:r>
        <w:rPr>
          <w:rFonts w:ascii="Times New Roman;serif" w:hAnsi="Times New Roman;serif"/>
          <w:b/>
          <w:color w:val="000000"/>
          <w:sz w:val="24"/>
        </w:rPr>
        <w:t>Note</w:t>
      </w:r>
      <w:r>
        <w:rPr>
          <w:color w:val="000000"/>
        </w:rPr>
        <w:t xml:space="preserve"> </w:t>
      </w:r>
      <w:r>
        <w:rPr>
          <w:rFonts w:ascii="Times New Roman;serif" w:hAnsi="Times New Roman;serif"/>
          <w:b/>
          <w:color w:val="000000"/>
          <w:sz w:val="24"/>
        </w:rPr>
        <w:t>to</w:t>
      </w:r>
      <w:r>
        <w:rPr>
          <w:color w:val="000000"/>
        </w:rPr>
        <w:t xml:space="preserve"> </w:t>
      </w:r>
      <w:r>
        <w:rPr>
          <w:rFonts w:ascii="Times New Roman;serif" w:hAnsi="Times New Roman;serif"/>
          <w:b/>
          <w:color w:val="000000"/>
          <w:sz w:val="24"/>
        </w:rPr>
        <w:t>beneficial</w:t>
      </w:r>
      <w:r>
        <w:rPr>
          <w:color w:val="000000"/>
        </w:rPr>
        <w:t xml:space="preserve"> </w:t>
      </w:r>
      <w:r>
        <w:rPr>
          <w:rFonts w:ascii="Times New Roman;serif" w:hAnsi="Times New Roman;serif"/>
          <w:b/>
          <w:color w:val="000000"/>
          <w:sz w:val="24"/>
        </w:rPr>
        <w:t>interest</w:t>
      </w:r>
      <w:r>
        <w:rPr>
          <w:color w:val="000000"/>
        </w:rPr>
        <w:t xml:space="preserve"> </w:t>
      </w:r>
      <w:r>
        <w:rPr>
          <w:rFonts w:ascii="Times New Roman;serif" w:hAnsi="Times New Roman;serif"/>
          <w:b/>
          <w:color w:val="000000"/>
          <w:sz w:val="24"/>
        </w:rPr>
        <w:t>in</w:t>
      </w:r>
      <w:r>
        <w:rPr>
          <w:color w:val="000000"/>
        </w:rPr>
        <w:t xml:space="preserve"> </w:t>
      </w:r>
      <w:r>
        <w:rPr>
          <w:rFonts w:ascii="Times New Roman;serif" w:hAnsi="Times New Roman;serif"/>
          <w:b/>
          <w:color w:val="000000"/>
          <w:sz w:val="24"/>
        </w:rPr>
        <w:t>an</w:t>
      </w:r>
      <w:r>
        <w:rPr>
          <w:color w:val="000000"/>
        </w:rPr>
        <w:t xml:space="preserve"> </w:t>
      </w:r>
      <w:r>
        <w:rPr>
          <w:rFonts w:ascii="Times New Roman;serif" w:hAnsi="Times New Roman;serif"/>
          <w:b/>
          <w:color w:val="000000"/>
          <w:sz w:val="24"/>
        </w:rPr>
        <w:t>Unrestricted</w:t>
      </w:r>
      <w:r>
        <w:rPr>
          <w:color w:val="000000"/>
        </w:rPr>
        <w:t xml:space="preserve"> </w:t>
      </w:r>
      <w:r>
        <w:rPr>
          <w:rFonts w:ascii="Times New Roman;serif" w:hAnsi="Times New Roman;serif"/>
          <w:b/>
          <w:color w:val="000000"/>
          <w:sz w:val="24"/>
        </w:rPr>
        <w:t>Global</w:t>
      </w:r>
      <w:r>
        <w:rPr>
          <w:color w:val="000000"/>
        </w:rPr>
        <w:t xml:space="preserve"> </w:t>
      </w:r>
      <w:r>
        <w:rPr>
          <w:rFonts w:ascii="Times New Roman;serif" w:hAnsi="Times New Roman;serif"/>
          <w:b/>
          <w:color w:val="000000"/>
          <w:sz w:val="24"/>
        </w:rPr>
        <w:t>Note</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connection</w:t>
      </w:r>
      <w:r>
        <w:rPr>
          <w:color w:val="000000"/>
        </w:rPr>
        <w:t xml:space="preserve"> </w:t>
      </w:r>
      <w:r>
        <w:rPr>
          <w:rFonts w:ascii="Times New Roman;serif" w:hAnsi="Times New Roman;serif"/>
          <w:b w:val="false"/>
          <w:color w:val="000000"/>
          <w:sz w:val="24"/>
        </w:rPr>
        <w:t>with</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Owner’s Exchange of a Restricted Definitive Note for a beneficial interest in an Unrestricted Global Note, the Owner hereby certifies (i) the beneficial</w:t>
      </w:r>
      <w:r>
        <w:rPr>
          <w:color w:val="000000"/>
        </w:rPr>
        <w:t xml:space="preserve"> </w:t>
      </w:r>
      <w:r>
        <w:rPr>
          <w:rFonts w:ascii="Times New Roman;serif" w:hAnsi="Times New Roman;serif"/>
          <w:b w:val="false"/>
          <w:color w:val="000000"/>
          <w:sz w:val="24"/>
        </w:rPr>
        <w:t>interest is being acquired for the Owner’s own account without transfer, (ii) such Exchange has been effected in compliance with the transfer restrictions</w:t>
      </w:r>
      <w:r>
        <w:rPr>
          <w:color w:val="000000"/>
        </w:rPr>
        <w:t xml:space="preserve"> </w:t>
      </w:r>
      <w:r>
        <w:rPr>
          <w:rFonts w:ascii="Times New Roman;serif" w:hAnsi="Times New Roman;serif"/>
          <w:b w:val="false"/>
          <w:color w:val="000000"/>
          <w:sz w:val="24"/>
        </w:rPr>
        <w:t>applicable to Restricted Definitive Notes and pursuant to and in accordance with the Securities Act, (iii) the restrictions on transfer contained in the</w:t>
      </w:r>
      <w:r>
        <w:rPr>
          <w:color w:val="000000"/>
        </w:rPr>
        <w:t xml:space="preserve"> </w:t>
      </w:r>
      <w:r>
        <w:rPr>
          <w:rFonts w:ascii="Times New Roman;serif" w:hAnsi="Times New Roman;serif"/>
          <w:b w:val="false"/>
          <w:color w:val="000000"/>
          <w:sz w:val="24"/>
        </w:rPr>
        <w:t>Indenture and the Private Placement Legend are not required in order to maintain compliance with the Securities Act and (iv) the beneficial interest is</w:t>
      </w:r>
      <w:r>
        <w:rPr>
          <w:color w:val="000000"/>
        </w:rPr>
        <w:t xml:space="preserve"> </w:t>
      </w:r>
      <w:r>
        <w:rPr>
          <w:rFonts w:ascii="Times New Roman;serif" w:hAnsi="Times New Roman;serif"/>
          <w:b w:val="false"/>
          <w:color w:val="000000"/>
          <w:sz w:val="24"/>
        </w:rPr>
        <w:t>being acquired in compliance with any applicable blue sky securities laws of any state of the United States.</w:t>
      </w:r>
    </w:p>
    <w:p>
      <w:pPr>
        <w:pStyle w:val="TextBody"/>
        <w:bidi w:val="0"/>
        <w:spacing w:lineRule="auto" w:line="240" w:before="0" w:after="240"/>
        <w:ind w:left="0" w:right="0" w:firstLine="1440"/>
        <w:jc w:val="both"/>
        <w:rPr/>
      </w:pPr>
      <w:r>
        <w:rPr>
          <w:rFonts w:ascii="Times New Roman;serif" w:hAnsi="Times New Roman;serif"/>
          <w:b w:val="false"/>
          <w:color w:val="000000"/>
          <w:sz w:val="24"/>
        </w:rPr>
        <w:t>(d)</w:t>
      </w:r>
      <w:r>
        <w:rPr>
          <w:color w:val="000000"/>
        </w:rPr>
        <w:t>☐</w:t>
      </w:r>
      <w:r>
        <w:rPr>
          <w:color w:val="000000"/>
        </w:rPr>
        <w:t xml:space="preserve">     </w:t>
      </w:r>
      <w:r>
        <w:rPr>
          <w:rFonts w:ascii="Times New Roman;serif" w:hAnsi="Times New Roman;serif"/>
          <w:b/>
          <w:color w:val="000000"/>
          <w:sz w:val="24"/>
        </w:rPr>
        <w:t>Check</w:t>
      </w:r>
      <w:r>
        <w:rPr>
          <w:color w:val="000000"/>
        </w:rPr>
        <w:t xml:space="preserve"> </w:t>
      </w:r>
      <w:r>
        <w:rPr>
          <w:rFonts w:ascii="Times New Roman;serif" w:hAnsi="Times New Roman;serif"/>
          <w:b/>
          <w:color w:val="000000"/>
          <w:sz w:val="24"/>
        </w:rPr>
        <w:t>if</w:t>
      </w:r>
      <w:r>
        <w:rPr>
          <w:color w:val="000000"/>
        </w:rPr>
        <w:t xml:space="preserve"> </w:t>
      </w:r>
      <w:r>
        <w:rPr>
          <w:rFonts w:ascii="Times New Roman;serif" w:hAnsi="Times New Roman;serif"/>
          <w:b/>
          <w:color w:val="000000"/>
          <w:sz w:val="24"/>
        </w:rPr>
        <w:t>Exchange</w:t>
      </w:r>
      <w:r>
        <w:rPr>
          <w:color w:val="000000"/>
        </w:rPr>
        <w:t xml:space="preserve"> </w:t>
      </w:r>
      <w:r>
        <w:rPr>
          <w:rFonts w:ascii="Times New Roman;serif" w:hAnsi="Times New Roman;serif"/>
          <w:b/>
          <w:color w:val="000000"/>
          <w:sz w:val="24"/>
        </w:rPr>
        <w:t>is</w:t>
      </w:r>
      <w:r>
        <w:rPr>
          <w:color w:val="000000"/>
        </w:rPr>
        <w:t xml:space="preserve"> </w:t>
      </w:r>
      <w:r>
        <w:rPr>
          <w:rFonts w:ascii="Times New Roman;serif" w:hAnsi="Times New Roman;serif"/>
          <w:b/>
          <w:color w:val="000000"/>
          <w:sz w:val="24"/>
        </w:rPr>
        <w:t>from</w:t>
      </w:r>
      <w:r>
        <w:rPr>
          <w:color w:val="000000"/>
        </w:rPr>
        <w:t xml:space="preserve"> </w:t>
      </w:r>
      <w:r>
        <w:rPr>
          <w:rFonts w:ascii="Times New Roman;serif" w:hAnsi="Times New Roman;serif"/>
          <w:b/>
          <w:color w:val="000000"/>
          <w:sz w:val="24"/>
        </w:rPr>
        <w:t>Restricted</w:t>
      </w:r>
      <w:r>
        <w:rPr>
          <w:color w:val="000000"/>
        </w:rPr>
        <w:t xml:space="preserve"> </w:t>
      </w:r>
      <w:r>
        <w:rPr>
          <w:rFonts w:ascii="Times New Roman;serif" w:hAnsi="Times New Roman;serif"/>
          <w:b/>
          <w:color w:val="000000"/>
          <w:sz w:val="24"/>
        </w:rPr>
        <w:t>Definitive</w:t>
      </w:r>
      <w:r>
        <w:rPr>
          <w:color w:val="000000"/>
        </w:rPr>
        <w:t xml:space="preserve"> </w:t>
      </w:r>
      <w:r>
        <w:rPr>
          <w:rFonts w:ascii="Times New Roman;serif" w:hAnsi="Times New Roman;serif"/>
          <w:b/>
          <w:color w:val="000000"/>
          <w:sz w:val="24"/>
        </w:rPr>
        <w:t>Note</w:t>
      </w:r>
      <w:r>
        <w:rPr>
          <w:color w:val="000000"/>
        </w:rPr>
        <w:t xml:space="preserve"> </w:t>
      </w:r>
      <w:r>
        <w:rPr>
          <w:rFonts w:ascii="Times New Roman;serif" w:hAnsi="Times New Roman;serif"/>
          <w:b/>
          <w:color w:val="000000"/>
          <w:sz w:val="24"/>
        </w:rPr>
        <w:t>to</w:t>
      </w:r>
      <w:r>
        <w:rPr>
          <w:color w:val="000000"/>
        </w:rPr>
        <w:t xml:space="preserve"> </w:t>
      </w:r>
      <w:r>
        <w:rPr>
          <w:rFonts w:ascii="Times New Roman;serif" w:hAnsi="Times New Roman;serif"/>
          <w:b/>
          <w:color w:val="000000"/>
          <w:sz w:val="24"/>
        </w:rPr>
        <w:t>Unrestricted</w:t>
      </w:r>
      <w:r>
        <w:rPr>
          <w:color w:val="000000"/>
        </w:rPr>
        <w:t xml:space="preserve"> </w:t>
      </w:r>
      <w:r>
        <w:rPr>
          <w:rFonts w:ascii="Times New Roman;serif" w:hAnsi="Times New Roman;serif"/>
          <w:b/>
          <w:color w:val="000000"/>
          <w:sz w:val="24"/>
        </w:rPr>
        <w:t>Definitive</w:t>
      </w:r>
      <w:r>
        <w:rPr>
          <w:color w:val="000000"/>
        </w:rPr>
        <w:t xml:space="preserve"> </w:t>
      </w:r>
      <w:r>
        <w:rPr>
          <w:rFonts w:ascii="Times New Roman;serif" w:hAnsi="Times New Roman;serif"/>
          <w:b/>
          <w:color w:val="000000"/>
          <w:sz w:val="24"/>
        </w:rPr>
        <w:t>Note</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connection</w:t>
      </w:r>
      <w:r>
        <w:rPr>
          <w:color w:val="000000"/>
        </w:rPr>
        <w:t xml:space="preserve"> </w:t>
      </w:r>
      <w:r>
        <w:rPr>
          <w:rFonts w:ascii="Times New Roman;serif" w:hAnsi="Times New Roman;serif"/>
          <w:b w:val="false"/>
          <w:color w:val="000000"/>
          <w:sz w:val="24"/>
        </w:rPr>
        <w:t>with</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Owner’s</w:t>
      </w:r>
      <w:r>
        <w:rPr>
          <w:color w:val="000000"/>
        </w:rPr>
        <w:t xml:space="preserve"> </w:t>
      </w:r>
      <w:r>
        <w:rPr>
          <w:rFonts w:ascii="Times New Roman;serif" w:hAnsi="Times New Roman;serif"/>
          <w:b w:val="false"/>
          <w:color w:val="000000"/>
          <w:sz w:val="24"/>
        </w:rPr>
        <w:t>Exchange</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Restricted Definitive Note for an Unrestricted Definitive Note, the Owner hereby certifies (i) the Unrestricted Definitive Note is being acquired for the</w:t>
      </w:r>
      <w:r>
        <w:rPr>
          <w:color w:val="000000"/>
        </w:rPr>
        <w:t xml:space="preserve"> </w:t>
      </w:r>
      <w:r>
        <w:rPr>
          <w:rFonts w:ascii="Times New Roman;serif" w:hAnsi="Times New Roman;serif"/>
          <w:b w:val="false"/>
          <w:color w:val="000000"/>
          <w:sz w:val="24"/>
        </w:rPr>
        <w:t>Owner’s own account without transfer, (ii) such Exchange has been effected in compliance with the transfer restrictions applicable to Restricted Definitive</w:t>
      </w:r>
      <w:r>
        <w:rPr>
          <w:color w:val="000000"/>
        </w:rPr>
        <w:t xml:space="preserve"> </w:t>
      </w:r>
      <w:r>
        <w:rPr>
          <w:rFonts w:ascii="Times New Roman;serif" w:hAnsi="Times New Roman;serif"/>
          <w:b w:val="false"/>
          <w:color w:val="000000"/>
          <w:sz w:val="24"/>
        </w:rPr>
        <w:t>Notes and pursuant to and in accordance with the Securities Act, (iii) the restrictions on transfer contained in the Indenture and the Private Placement</w:t>
      </w:r>
      <w:r>
        <w:rPr>
          <w:color w:val="000000"/>
        </w:rPr>
        <w:t xml:space="preserve"> </w:t>
      </w:r>
      <w:r>
        <w:rPr>
          <w:rFonts w:ascii="Times New Roman;serif" w:hAnsi="Times New Roman;serif"/>
          <w:b w:val="false"/>
          <w:color w:val="000000"/>
          <w:sz w:val="24"/>
        </w:rPr>
        <w:t>Legend are not required in order to maintain compliance with the Securities Act and (iv) the Unrestricted Definitive Note is being acquired in compliance</w:t>
      </w:r>
      <w:r>
        <w:rPr>
          <w:color w:val="000000"/>
        </w:rPr>
        <w:t xml:space="preserve"> </w:t>
      </w:r>
      <w:r>
        <w:rPr>
          <w:rFonts w:ascii="Times New Roman;serif" w:hAnsi="Times New Roman;serif"/>
          <w:b w:val="false"/>
          <w:color w:val="000000"/>
          <w:sz w:val="24"/>
        </w:rPr>
        <w:t>with any applicable blue sky securities laws of any state of the United States.</w:t>
      </w:r>
    </w:p>
    <w:p>
      <w:pPr>
        <w:pStyle w:val="TextBody"/>
        <w:bidi w:val="0"/>
        <w:spacing w:lineRule="auto" w:line="240" w:before="0" w:after="240"/>
        <w:ind w:left="0" w:right="0" w:firstLine="720"/>
        <w:jc w:val="both"/>
        <w:rPr/>
      </w:pPr>
      <w:r>
        <w:rPr>
          <w:rFonts w:ascii="Times New Roman;serif" w:hAnsi="Times New Roman;serif"/>
          <w:b w:val="false"/>
          <w:color w:val="000000"/>
          <w:sz w:val="24"/>
        </w:rPr>
        <w:t>2.</w:t>
      </w:r>
      <w:r>
        <w:rPr>
          <w:rFonts w:ascii="Times New Roman;serif" w:hAnsi="Times New Roman;serif"/>
          <w:b/>
          <w:color w:val="000000"/>
          <w:sz w:val="24"/>
          <w:u w:val="single"/>
        </w:rPr>
        <w:t>Exchange of Restricted Definitive Notes or Beneficial Interests in Restricted Global Notes for Restricted Definitive Notes or</w:t>
      </w:r>
      <w:r>
        <w:rPr>
          <w:color w:val="000000"/>
          <w:u w:val="single"/>
        </w:rPr>
        <w:t xml:space="preserve"> </w:t>
      </w:r>
      <w:r>
        <w:rPr>
          <w:rFonts w:ascii="Times New Roman;serif" w:hAnsi="Times New Roman;serif"/>
          <w:b/>
          <w:color w:val="000000"/>
          <w:sz w:val="24"/>
          <w:u w:val="single"/>
        </w:rPr>
        <w:t>Beneficial Interests in Restricted Global Notes</w:t>
      </w:r>
    </w:p>
    <w:p>
      <w:pPr>
        <w:pStyle w:val="TextBody"/>
        <w:bidi w:val="0"/>
        <w:spacing w:lineRule="auto" w:line="240" w:before="0" w:after="240"/>
        <w:ind w:left="0" w:right="0" w:firstLine="1440"/>
        <w:jc w:val="both"/>
        <w:rPr/>
      </w:pPr>
      <w:r>
        <w:rPr>
          <w:rFonts w:ascii="Times New Roman;serif" w:hAnsi="Times New Roman;serif"/>
          <w:b w:val="false"/>
          <w:color w:val="000000"/>
          <w:sz w:val="24"/>
        </w:rPr>
        <w:t>(a)</w:t>
      </w:r>
      <w:r>
        <w:rPr>
          <w:color w:val="000000"/>
        </w:rPr>
        <w:t>☐</w:t>
      </w:r>
      <w:r>
        <w:rPr>
          <w:color w:val="000000"/>
        </w:rPr>
        <w:t xml:space="preserve">     </w:t>
      </w:r>
      <w:r>
        <w:rPr>
          <w:rFonts w:ascii="Times New Roman;serif" w:hAnsi="Times New Roman;serif"/>
          <w:b/>
          <w:color w:val="000000"/>
          <w:sz w:val="24"/>
        </w:rPr>
        <w:t>Check</w:t>
      </w:r>
      <w:r>
        <w:rPr>
          <w:color w:val="000000"/>
        </w:rPr>
        <w:t xml:space="preserve"> </w:t>
      </w:r>
      <w:r>
        <w:rPr>
          <w:rFonts w:ascii="Times New Roman;serif" w:hAnsi="Times New Roman;serif"/>
          <w:b/>
          <w:color w:val="000000"/>
          <w:sz w:val="24"/>
        </w:rPr>
        <w:t>if</w:t>
      </w:r>
      <w:r>
        <w:rPr>
          <w:color w:val="000000"/>
        </w:rPr>
        <w:t xml:space="preserve"> </w:t>
      </w:r>
      <w:r>
        <w:rPr>
          <w:rFonts w:ascii="Times New Roman;serif" w:hAnsi="Times New Roman;serif"/>
          <w:b/>
          <w:color w:val="000000"/>
          <w:sz w:val="24"/>
        </w:rPr>
        <w:t>Exchange</w:t>
      </w:r>
      <w:r>
        <w:rPr>
          <w:color w:val="000000"/>
        </w:rPr>
        <w:t xml:space="preserve"> </w:t>
      </w:r>
      <w:r>
        <w:rPr>
          <w:rFonts w:ascii="Times New Roman;serif" w:hAnsi="Times New Roman;serif"/>
          <w:b/>
          <w:color w:val="000000"/>
          <w:sz w:val="24"/>
        </w:rPr>
        <w:t>is</w:t>
      </w:r>
      <w:r>
        <w:rPr>
          <w:color w:val="000000"/>
        </w:rPr>
        <w:t xml:space="preserve"> </w:t>
      </w:r>
      <w:r>
        <w:rPr>
          <w:rFonts w:ascii="Times New Roman;serif" w:hAnsi="Times New Roman;serif"/>
          <w:b/>
          <w:color w:val="000000"/>
          <w:sz w:val="24"/>
        </w:rPr>
        <w:t>from</w:t>
      </w:r>
      <w:r>
        <w:rPr>
          <w:color w:val="000000"/>
        </w:rPr>
        <w:t xml:space="preserve"> </w:t>
      </w:r>
      <w:r>
        <w:rPr>
          <w:rFonts w:ascii="Times New Roman;serif" w:hAnsi="Times New Roman;serif"/>
          <w:b/>
          <w:color w:val="000000"/>
          <w:sz w:val="24"/>
        </w:rPr>
        <w:t>beneficial</w:t>
      </w:r>
      <w:r>
        <w:rPr>
          <w:color w:val="000000"/>
        </w:rPr>
        <w:t xml:space="preserve"> </w:t>
      </w:r>
      <w:r>
        <w:rPr>
          <w:rFonts w:ascii="Times New Roman;serif" w:hAnsi="Times New Roman;serif"/>
          <w:b/>
          <w:color w:val="000000"/>
          <w:sz w:val="24"/>
        </w:rPr>
        <w:t>interest</w:t>
      </w:r>
      <w:r>
        <w:rPr>
          <w:color w:val="000000"/>
        </w:rPr>
        <w:t xml:space="preserve"> </w:t>
      </w:r>
      <w:r>
        <w:rPr>
          <w:rFonts w:ascii="Times New Roman;serif" w:hAnsi="Times New Roman;serif"/>
          <w:b/>
          <w:color w:val="000000"/>
          <w:sz w:val="24"/>
        </w:rPr>
        <w:t>in</w:t>
      </w:r>
      <w:r>
        <w:rPr>
          <w:color w:val="000000"/>
        </w:rPr>
        <w:t xml:space="preserve"> </w:t>
      </w:r>
      <w:r>
        <w:rPr>
          <w:rFonts w:ascii="Times New Roman;serif" w:hAnsi="Times New Roman;serif"/>
          <w:b/>
          <w:color w:val="000000"/>
          <w:sz w:val="24"/>
        </w:rPr>
        <w:t>a</w:t>
      </w:r>
      <w:r>
        <w:rPr>
          <w:color w:val="000000"/>
        </w:rPr>
        <w:t xml:space="preserve"> </w:t>
      </w:r>
      <w:r>
        <w:rPr>
          <w:rFonts w:ascii="Times New Roman;serif" w:hAnsi="Times New Roman;serif"/>
          <w:b/>
          <w:color w:val="000000"/>
          <w:sz w:val="24"/>
        </w:rPr>
        <w:t>Restricted</w:t>
      </w:r>
      <w:r>
        <w:rPr>
          <w:color w:val="000000"/>
        </w:rPr>
        <w:t xml:space="preserve"> </w:t>
      </w:r>
      <w:r>
        <w:rPr>
          <w:rFonts w:ascii="Times New Roman;serif" w:hAnsi="Times New Roman;serif"/>
          <w:b/>
          <w:color w:val="000000"/>
          <w:sz w:val="24"/>
        </w:rPr>
        <w:t>Global</w:t>
      </w:r>
      <w:r>
        <w:rPr>
          <w:color w:val="000000"/>
        </w:rPr>
        <w:t xml:space="preserve"> </w:t>
      </w:r>
      <w:r>
        <w:rPr>
          <w:rFonts w:ascii="Times New Roman;serif" w:hAnsi="Times New Roman;serif"/>
          <w:b/>
          <w:color w:val="000000"/>
          <w:sz w:val="24"/>
        </w:rPr>
        <w:t>Note</w:t>
      </w:r>
      <w:r>
        <w:rPr>
          <w:color w:val="000000"/>
        </w:rPr>
        <w:t xml:space="preserve"> </w:t>
      </w:r>
      <w:r>
        <w:rPr>
          <w:rFonts w:ascii="Times New Roman;serif" w:hAnsi="Times New Roman;serif"/>
          <w:b/>
          <w:color w:val="000000"/>
          <w:sz w:val="24"/>
        </w:rPr>
        <w:t>to</w:t>
      </w:r>
      <w:r>
        <w:rPr>
          <w:color w:val="000000"/>
        </w:rPr>
        <w:t xml:space="preserve"> </w:t>
      </w:r>
      <w:r>
        <w:rPr>
          <w:rFonts w:ascii="Times New Roman;serif" w:hAnsi="Times New Roman;serif"/>
          <w:b/>
          <w:color w:val="000000"/>
          <w:sz w:val="24"/>
        </w:rPr>
        <w:t>Restricted</w:t>
      </w:r>
      <w:r>
        <w:rPr>
          <w:color w:val="000000"/>
        </w:rPr>
        <w:t xml:space="preserve"> </w:t>
      </w:r>
      <w:r>
        <w:rPr>
          <w:rFonts w:ascii="Times New Roman;serif" w:hAnsi="Times New Roman;serif"/>
          <w:b/>
          <w:color w:val="000000"/>
          <w:sz w:val="24"/>
        </w:rPr>
        <w:t>Definitive</w:t>
      </w:r>
      <w:r>
        <w:rPr>
          <w:color w:val="000000"/>
        </w:rPr>
        <w:t xml:space="preserve"> </w:t>
      </w:r>
      <w:r>
        <w:rPr>
          <w:rFonts w:ascii="Times New Roman;serif" w:hAnsi="Times New Roman;serif"/>
          <w:b/>
          <w:color w:val="000000"/>
          <w:sz w:val="24"/>
        </w:rPr>
        <w:t>Note</w:t>
      </w:r>
      <w:r>
        <w:rPr>
          <w:rFonts w:ascii="Times New Roman;serif" w:hAnsi="Times New Roman;serif"/>
          <w:b w:val="false"/>
          <w:color w:val="000000"/>
          <w:sz w:val="24"/>
        </w:rPr>
        <w:t>. In connection with the</w:t>
      </w:r>
      <w:r>
        <w:rPr>
          <w:color w:val="000000"/>
        </w:rPr>
        <w:t xml:space="preserve"> </w:t>
      </w:r>
      <w:r>
        <w:rPr>
          <w:rFonts w:ascii="Times New Roman;serif" w:hAnsi="Times New Roman;serif"/>
          <w:b w:val="false"/>
          <w:color w:val="000000"/>
          <w:sz w:val="24"/>
        </w:rPr>
        <w:t>Exchange</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Owner’s</w:t>
      </w:r>
      <w:r>
        <w:rPr>
          <w:color w:val="000000"/>
        </w:rPr>
        <w:t xml:space="preserve"> </w:t>
      </w:r>
      <w:r>
        <w:rPr>
          <w:rFonts w:ascii="Times New Roman;serif" w:hAnsi="Times New Roman;serif"/>
          <w:b w:val="false"/>
          <w:color w:val="000000"/>
          <w:sz w:val="24"/>
        </w:rPr>
        <w:t>beneficial</w:t>
      </w:r>
      <w:r>
        <w:rPr>
          <w:color w:val="000000"/>
        </w:rPr>
        <w:t xml:space="preserve"> </w:t>
      </w:r>
      <w:r>
        <w:rPr>
          <w:rFonts w:ascii="Times New Roman;serif" w:hAnsi="Times New Roman;serif"/>
          <w:b w:val="false"/>
          <w:color w:val="000000"/>
          <w:sz w:val="24"/>
        </w:rPr>
        <w:t>interest</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Restricted</w:t>
      </w:r>
      <w:r>
        <w:rPr>
          <w:color w:val="000000"/>
        </w:rPr>
        <w:t xml:space="preserve"> </w:t>
      </w:r>
      <w:r>
        <w:rPr>
          <w:rFonts w:ascii="Times New Roman;serif" w:hAnsi="Times New Roman;serif"/>
          <w:b w:val="false"/>
          <w:color w:val="000000"/>
          <w:sz w:val="24"/>
        </w:rPr>
        <w:t>Global</w:t>
      </w:r>
      <w:r>
        <w:rPr>
          <w:color w:val="000000"/>
        </w:rPr>
        <w:t xml:space="preserve"> </w:t>
      </w:r>
      <w:r>
        <w:rPr>
          <w:rFonts w:ascii="Times New Roman;serif" w:hAnsi="Times New Roman;serif"/>
          <w:b w:val="false"/>
          <w:color w:val="000000"/>
          <w:sz w:val="24"/>
        </w:rPr>
        <w:t>Note</w:t>
      </w:r>
      <w:r>
        <w:rPr>
          <w:color w:val="000000"/>
        </w:rPr>
        <w:t xml:space="preserve"> </w:t>
      </w:r>
      <w:r>
        <w:rPr>
          <w:rFonts w:ascii="Times New Roman;serif" w:hAnsi="Times New Roman;serif"/>
          <w:b w:val="false"/>
          <w:color w:val="000000"/>
          <w:sz w:val="24"/>
        </w:rPr>
        <w:t>for</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Restricted</w:t>
      </w:r>
      <w:r>
        <w:rPr>
          <w:color w:val="000000"/>
        </w:rPr>
        <w:t xml:space="preserve"> </w:t>
      </w:r>
      <w:r>
        <w:rPr>
          <w:rFonts w:ascii="Times New Roman;serif" w:hAnsi="Times New Roman;serif"/>
          <w:b w:val="false"/>
          <w:color w:val="000000"/>
          <w:sz w:val="24"/>
        </w:rPr>
        <w:t>Definitive</w:t>
      </w:r>
      <w:r>
        <w:rPr>
          <w:color w:val="000000"/>
        </w:rPr>
        <w:t xml:space="preserve"> </w:t>
      </w:r>
      <w:r>
        <w:rPr>
          <w:rFonts w:ascii="Times New Roman;serif" w:hAnsi="Times New Roman;serif"/>
          <w:b w:val="false"/>
          <w:color w:val="000000"/>
          <w:sz w:val="24"/>
        </w:rPr>
        <w:t>Note</w:t>
      </w:r>
      <w:r>
        <w:rPr>
          <w:color w:val="000000"/>
        </w:rPr>
        <w:t xml:space="preserve"> </w:t>
      </w:r>
      <w:r>
        <w:rPr>
          <w:rFonts w:ascii="Times New Roman;serif" w:hAnsi="Times New Roman;serif"/>
          <w:b w:val="false"/>
          <w:color w:val="000000"/>
          <w:sz w:val="24"/>
        </w:rPr>
        <w:t>with</w:t>
      </w:r>
      <w:r>
        <w:rPr>
          <w:color w:val="000000"/>
        </w:rPr>
        <w:t xml:space="preserve"> </w:t>
      </w:r>
      <w:r>
        <w:rPr>
          <w:rFonts w:ascii="Times New Roman;serif" w:hAnsi="Times New Roman;serif"/>
          <w:b w:val="false"/>
          <w:color w:val="000000"/>
          <w:sz w:val="24"/>
        </w:rPr>
        <w:t>an</w:t>
      </w:r>
      <w:r>
        <w:rPr>
          <w:color w:val="000000"/>
        </w:rPr>
        <w:t xml:space="preserve"> </w:t>
      </w:r>
      <w:r>
        <w:rPr>
          <w:rFonts w:ascii="Times New Roman;serif" w:hAnsi="Times New Roman;serif"/>
          <w:b w:val="false"/>
          <w:color w:val="000000"/>
          <w:sz w:val="24"/>
        </w:rPr>
        <w:t>equal</w:t>
      </w:r>
      <w:r>
        <w:rPr>
          <w:color w:val="000000"/>
        </w:rPr>
        <w:t xml:space="preserve"> </w:t>
      </w:r>
      <w:r>
        <w:rPr>
          <w:rFonts w:ascii="Times New Roman;serif" w:hAnsi="Times New Roman;serif"/>
          <w:b w:val="false"/>
          <w:color w:val="000000"/>
          <w:sz w:val="24"/>
        </w:rPr>
        <w:t>principal</w:t>
      </w:r>
      <w:r>
        <w:rPr>
          <w:color w:val="000000"/>
        </w:rPr>
        <w:t xml:space="preserve"> </w:t>
      </w:r>
      <w:r>
        <w:rPr>
          <w:rFonts w:ascii="Times New Roman;serif" w:hAnsi="Times New Roman;serif"/>
          <w:b w:val="false"/>
          <w:color w:val="000000"/>
          <w:sz w:val="24"/>
        </w:rPr>
        <w:t>amount,</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Owner</w:t>
      </w:r>
      <w:r>
        <w:rPr>
          <w:color w:val="000000"/>
        </w:rPr>
        <w:t xml:space="preserve"> </w:t>
      </w:r>
      <w:r>
        <w:rPr>
          <w:rFonts w:ascii="Times New Roman;serif" w:hAnsi="Times New Roman;serif"/>
          <w:b w:val="false"/>
          <w:color w:val="000000"/>
          <w:sz w:val="24"/>
        </w:rPr>
        <w:t>hereby</w:t>
      </w:r>
      <w:r>
        <w:rPr>
          <w:color w:val="000000"/>
        </w:rPr>
        <w:t xml:space="preserve"> </w:t>
      </w:r>
      <w:r>
        <w:rPr>
          <w:rFonts w:ascii="Times New Roman;serif" w:hAnsi="Times New Roman;serif"/>
          <w:b w:val="false"/>
          <w:color w:val="000000"/>
          <w:sz w:val="24"/>
        </w:rPr>
        <w:t>certifies that the Restricted Definitive Note is being acquired for the Owner’s own account without transfer. Upon consummation of the proposed</w:t>
      </w:r>
      <w:r>
        <w:rPr>
          <w:color w:val="000000"/>
        </w:rPr>
        <w:t xml:space="preserve"> </w:t>
      </w:r>
      <w:r>
        <w:rPr>
          <w:rFonts w:ascii="Times New Roman;serif" w:hAnsi="Times New Roman;serif"/>
          <w:b w:val="false"/>
          <w:color w:val="000000"/>
          <w:sz w:val="24"/>
        </w:rPr>
        <w:t>Exchange in accordance with the terms of the Indenture, the Restricted Definitive Note issued will continue to be subject to the restrictions on transfer</w:t>
      </w:r>
      <w:r>
        <w:rPr>
          <w:color w:val="000000"/>
        </w:rPr>
        <w:t xml:space="preserve"> </w:t>
      </w:r>
      <w:r>
        <w:rPr>
          <w:rFonts w:ascii="Times New Roman;serif" w:hAnsi="Times New Roman;serif"/>
          <w:b w:val="false"/>
          <w:color w:val="000000"/>
          <w:sz w:val="24"/>
        </w:rPr>
        <w:t>enumerated in the Private Placement Legend printed on the Restricted Definitive Note and in the Indenture and the Securities Act.</w:t>
      </w:r>
    </w:p>
    <w:p>
      <w:pPr>
        <w:pStyle w:val="TextBody"/>
        <w:bidi w:val="0"/>
        <w:spacing w:lineRule="auto" w:line="240" w:before="0" w:after="240"/>
        <w:ind w:left="0" w:right="0" w:firstLine="1440"/>
        <w:jc w:val="both"/>
        <w:rPr/>
      </w:pPr>
      <w:r>
        <w:rPr>
          <w:rFonts w:ascii="Times New Roman;serif" w:hAnsi="Times New Roman;serif"/>
          <w:b w:val="false"/>
          <w:color w:val="000000"/>
          <w:sz w:val="24"/>
        </w:rPr>
        <w:t>(b)</w:t>
      </w:r>
      <w:r>
        <w:rPr>
          <w:color w:val="000000"/>
        </w:rPr>
        <w:t>☐     </w:t>
      </w:r>
      <w:r>
        <w:rPr>
          <w:rFonts w:ascii="Times New Roman;serif" w:hAnsi="Times New Roman;serif"/>
          <w:b w:val="false"/>
          <w:color w:val="000000"/>
          <w:sz w:val="24"/>
        </w:rPr>
        <w:t>Check if Exchange is from Restricted Definitive Note to beneficial interest in a Restricted Global Note. In connection with the Exchange of the Owner’s Restricted Definitive Note for a beneficial interest in the [CHECK ONE] ☐ 144A Global Note, ☐ Regulation S Global Note, ☐ IAI Global Note with an equal principal amount, the Owner hereby certifies (i) the beneficial interest is being acquired for the Owner’s own account without transfer and (ii) such Exchange has been effected in compliance with the transfer restrictions applicable to the Restricted Definitive Note and pursuant to and in accordance with the Securities Act, and in compliance with any applicable blue sky securities laws of any state of the United States. Upon consummation of the proposed Exchange in accordance with the terms of the Indenture, the beneficial interest issued will be subject to the restrictions on transfer enumerated in the Private Placement Legend printed on the relevant Restricted Global Note and in the Indenture and the Securities Act.</w:t>
      </w:r>
    </w:p>
    <w:p>
      <w:pPr>
        <w:pStyle w:val="TextBody"/>
        <w:bidi w:val="0"/>
        <w:spacing w:before="0" w:after="0"/>
        <w:jc w:val="left"/>
        <w:rPr/>
      </w:pPr>
      <w:r>
        <w:rPr/>
      </w:r>
      <w:r>
        <mc:AlternateContent>
          <mc:Choice Requires="wps">
            <w:drawing>
              <wp:anchor behindDoc="0" distT="0" distB="0" distL="0" distR="0" simplePos="0" locked="0" layoutInCell="1" allowOverlap="1" relativeHeight="285">
                <wp:simplePos x="0" y="0"/>
                <wp:positionH relativeFrom="character">
                  <wp:align>left</wp:align>
                </wp:positionH>
                <wp:positionV relativeFrom="line">
                  <wp:posOffset>635</wp:posOffset>
                </wp:positionV>
                <wp:extent cx="6480175" cy="175260"/>
                <wp:effectExtent l="0" t="0" r="0" b="0"/>
                <wp:wrapNone/>
                <wp:docPr id="284" name="Frame28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C-2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C-2</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4"/>
        </w:rPr>
        <w:t>This</w:t>
      </w:r>
      <w:r>
        <w:rPr>
          <w:color w:val="000000"/>
        </w:rPr>
        <w:t xml:space="preserve"> </w:t>
      </w:r>
      <w:r>
        <w:rPr>
          <w:rFonts w:ascii="Times New Roman;serif" w:hAnsi="Times New Roman;serif"/>
          <w:b w:val="false"/>
          <w:color w:val="000000"/>
          <w:sz w:val="24"/>
        </w:rPr>
        <w:t>certificate</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statements</w:t>
      </w:r>
      <w:r>
        <w:rPr>
          <w:color w:val="000000"/>
        </w:rPr>
        <w:t xml:space="preserve"> </w:t>
      </w:r>
      <w:r>
        <w:rPr>
          <w:rFonts w:ascii="Times New Roman;serif" w:hAnsi="Times New Roman;serif"/>
          <w:b w:val="false"/>
          <w:color w:val="000000"/>
          <w:sz w:val="24"/>
        </w:rPr>
        <w:t>contained</w:t>
      </w:r>
      <w:r>
        <w:rPr>
          <w:color w:val="000000"/>
        </w:rPr>
        <w:t xml:space="preserve"> </w:t>
      </w:r>
      <w:r>
        <w:rPr>
          <w:rFonts w:ascii="Times New Roman;serif" w:hAnsi="Times New Roman;serif"/>
          <w:b w:val="false"/>
          <w:color w:val="000000"/>
          <w:sz w:val="24"/>
        </w:rPr>
        <w:t>herein</w:t>
      </w:r>
      <w:r>
        <w:rPr>
          <w:color w:val="000000"/>
        </w:rPr>
        <w:t xml:space="preserve"> </w:t>
      </w:r>
      <w:r>
        <w:rPr>
          <w:rFonts w:ascii="Times New Roman;serif" w:hAnsi="Times New Roman;serif"/>
          <w:b w:val="false"/>
          <w:color w:val="000000"/>
          <w:sz w:val="24"/>
        </w:rPr>
        <w:t>are</w:t>
      </w:r>
      <w:r>
        <w:rPr>
          <w:color w:val="000000"/>
        </w:rPr>
        <w:t xml:space="preserve"> </w:t>
      </w:r>
      <w:r>
        <w:rPr>
          <w:rFonts w:ascii="Times New Roman;serif" w:hAnsi="Times New Roman;serif"/>
          <w:b w:val="false"/>
          <w:color w:val="000000"/>
          <w:sz w:val="24"/>
        </w:rPr>
        <w:t>made</w:t>
      </w:r>
      <w:r>
        <w:rPr>
          <w:color w:val="000000"/>
        </w:rPr>
        <w:t xml:space="preserve"> </w:t>
      </w:r>
      <w:r>
        <w:rPr>
          <w:rFonts w:ascii="Times New Roman;serif" w:hAnsi="Times New Roman;serif"/>
          <w:b w:val="false"/>
          <w:color w:val="000000"/>
          <w:sz w:val="24"/>
        </w:rPr>
        <w:t>for</w:t>
      </w:r>
      <w:r>
        <w:rPr>
          <w:color w:val="000000"/>
        </w:rPr>
        <w:t xml:space="preserve"> </w:t>
      </w:r>
      <w:r>
        <w:rPr>
          <w:rFonts w:ascii="Times New Roman;serif" w:hAnsi="Times New Roman;serif"/>
          <w:b w:val="false"/>
          <w:color w:val="000000"/>
          <w:sz w:val="24"/>
        </w:rPr>
        <w:t>your</w:t>
      </w:r>
      <w:r>
        <w:rPr>
          <w:color w:val="000000"/>
        </w:rPr>
        <w:t xml:space="preserve"> </w:t>
      </w:r>
      <w:r>
        <w:rPr>
          <w:rFonts w:ascii="Times New Roman;serif" w:hAnsi="Times New Roman;serif"/>
          <w:b w:val="false"/>
          <w:color w:val="000000"/>
          <w:sz w:val="24"/>
        </w:rPr>
        <w:t>benefit</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benefit</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Issuer.</w:t>
      </w:r>
    </w:p>
    <w:p>
      <w:pPr>
        <w:pStyle w:val="TextBody"/>
        <w:bidi w:val="0"/>
        <w:spacing w:lineRule="auto" w:line="288" w:before="0" w:after="0"/>
        <w:jc w:val="left"/>
        <w:rPr>
          <w:color w:val="000000"/>
          <w:u w:val="single"/>
        </w:rPr>
      </w:pPr>
      <w:r>
        <w:rPr>
          <w:color w:val="000000"/>
          <w:u w:val="single"/>
        </w:rPr>
        <w:t>             </w:t>
      </w:r>
    </w:p>
    <w:p>
      <w:pPr>
        <w:pStyle w:val="TextBody"/>
        <w:bidi w:val="0"/>
        <w:spacing w:lineRule="auto" w:line="288" w:before="0" w:after="0"/>
        <w:jc w:val="left"/>
        <w:rPr/>
      </w:pPr>
      <w:r>
        <w:rPr>
          <w:rFonts w:ascii="Times New Roman;serif" w:hAnsi="Times New Roman;serif"/>
          <w:b w:val="false"/>
          <w:color w:val="000000"/>
          <w:sz w:val="24"/>
          <w:u w:val="single"/>
        </w:rPr>
        <w:t>[Insert</w:t>
      </w:r>
      <w:r>
        <w:rPr>
          <w:color w:val="000000"/>
          <w:u w:val="single"/>
        </w:rPr>
        <w:t xml:space="preserve"> </w:t>
      </w:r>
      <w:r>
        <w:rPr>
          <w:rFonts w:ascii="Times New Roman;serif" w:hAnsi="Times New Roman;serif"/>
          <w:b w:val="false"/>
          <w:color w:val="000000"/>
          <w:sz w:val="24"/>
          <w:u w:val="single"/>
        </w:rPr>
        <w:t>Name</w:t>
      </w:r>
      <w:r>
        <w:rPr>
          <w:color w:val="000000"/>
          <w:u w:val="single"/>
        </w:rPr>
        <w:t xml:space="preserve"> </w:t>
      </w:r>
      <w:r>
        <w:rPr>
          <w:rFonts w:ascii="Times New Roman;serif" w:hAnsi="Times New Roman;serif"/>
          <w:b w:val="false"/>
          <w:color w:val="000000"/>
          <w:sz w:val="24"/>
          <w:u w:val="single"/>
        </w:rPr>
        <w:t>of</w:t>
      </w:r>
      <w:r>
        <w:rPr>
          <w:color w:val="000000"/>
          <w:u w:val="single"/>
        </w:rPr>
        <w:t xml:space="preserve"> </w:t>
      </w:r>
      <w:r>
        <w:rPr>
          <w:rFonts w:ascii="Times New Roman;serif" w:hAnsi="Times New Roman;serif"/>
          <w:b w:val="false"/>
          <w:color w:val="000000"/>
          <w:sz w:val="24"/>
          <w:u w:val="single"/>
        </w:rPr>
        <w:t>Transferor]</w:t>
      </w:r>
    </w:p>
    <w:p>
      <w:pPr>
        <w:pStyle w:val="TextBody"/>
        <w:bidi w:val="0"/>
        <w:spacing w:before="0" w:after="0"/>
        <w:jc w:val="left"/>
        <w:rPr/>
      </w:pPr>
      <w:r>
        <w:rPr/>
      </w:r>
    </w:p>
    <w:p>
      <w:pPr>
        <w:pStyle w:val="TextBody"/>
        <w:bidi w:val="0"/>
        <w:spacing w:lineRule="auto" w:line="288" w:before="0" w:after="240"/>
        <w:jc w:val="left"/>
        <w:rPr/>
      </w:pPr>
      <w:r>
        <w:rPr>
          <w:rFonts w:ascii="Times New Roman;serif" w:hAnsi="Times New Roman;serif"/>
          <w:b w:val="false"/>
          <w:color w:val="000000"/>
          <w:sz w:val="24"/>
        </w:rPr>
        <w:t>By:    </w:t>
      </w:r>
      <w:r>
        <w:rPr>
          <w:color w:val="000000"/>
          <w:u w:val="single"/>
        </w:rPr>
        <w:t>        </w:t>
      </w:r>
      <w:r>
        <w:rPr>
          <w:rFonts w:ascii="Times New Roman;serif" w:hAnsi="Times New Roman;serif"/>
          <w:b w:val="false"/>
          <w:color w:val="000000"/>
          <w:sz w:val="24"/>
          <w:u w:val="single"/>
        </w:rPr>
        <w:br/>
      </w:r>
      <w:r>
        <w:rPr>
          <w:color w:val="000000"/>
        </w:rPr>
        <w:t>    </w:t>
      </w:r>
      <w:r>
        <w:rPr>
          <w:rFonts w:ascii="Times New Roman;serif" w:hAnsi="Times New Roman;serif"/>
          <w:b w:val="false"/>
          <w:color w:val="000000"/>
          <w:sz w:val="24"/>
        </w:rPr>
        <w:t>Name:    </w:t>
        <w:br/>
        <w:t>    Title:    </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Dated: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86">
                <wp:simplePos x="0" y="0"/>
                <wp:positionH relativeFrom="character">
                  <wp:align>left</wp:align>
                </wp:positionH>
                <wp:positionV relativeFrom="line">
                  <wp:posOffset>635</wp:posOffset>
                </wp:positionV>
                <wp:extent cx="6480175" cy="175260"/>
                <wp:effectExtent l="0" t="0" r="0" b="0"/>
                <wp:wrapNone/>
                <wp:docPr id="285" name="Frame28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C-3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C-3</w:t>
                      </w:r>
                    </w:p>
                  </w:txbxContent>
                </v:textbox>
                <w10:wrap type="none"/>
              </v:rect>
            </w:pict>
          </mc:Fallback>
        </mc:AlternateContent>
      </w:r>
    </w:p>
    <w:p>
      <w:pPr>
        <w:pStyle w:val="TextBody"/>
        <w:bidi w:val="0"/>
        <w:spacing w:lineRule="auto" w:line="240" w:before="0" w:after="240"/>
        <w:jc w:val="center"/>
        <w:rPr/>
      </w:pPr>
      <w:r>
        <w:rPr>
          <w:rFonts w:ascii="Times New Roman;serif" w:hAnsi="Times New Roman;serif"/>
          <w:b/>
          <w:color w:val="000000"/>
          <w:sz w:val="24"/>
        </w:rPr>
        <w:t>Exhibit D</w:t>
      </w:r>
      <w:r>
        <w:rPr>
          <w:rFonts w:ascii="Times New Roman;serif" w:hAnsi="Times New Roman;serif"/>
          <w:b/>
          <w:color w:val="000000"/>
          <w:sz w:val="24"/>
        </w:rPr>
        <w:br/>
        <w:br/>
        <w:t>FORM OF CERTIFICATE FROM ACQUIRING INSTITUTIONAL ACCREDITED INVESTOR</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Talen Energy Supply, LLC</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2929 Allen Parkway, Suite 2200</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Houston, Texas 77019</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Attention: Treasurer</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E-mail: TalenTreasury@talenenergy.com</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Wilmington Savings Fund Society, FSB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Wilmington Savings Fund</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300 Bellevue Parkway, Suite 300</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Wilmington, Delaware 19809</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Attn: Anita Woolery</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E-Mail: awoolery@wsfsbank.com</w:t>
      </w:r>
    </w:p>
    <w:p>
      <w:pPr>
        <w:pStyle w:val="TextBody"/>
        <w:bidi w:val="0"/>
        <w:spacing w:before="0" w:after="0"/>
        <w:jc w:val="left"/>
        <w:rPr/>
      </w:pPr>
      <w:r>
        <w:rPr/>
      </w:r>
    </w:p>
    <w:p>
      <w:pPr>
        <w:pStyle w:val="TextBody"/>
        <w:bidi w:val="0"/>
        <w:spacing w:lineRule="auto" w:line="288" w:before="0" w:after="240"/>
        <w:ind w:left="0" w:right="0" w:firstLine="720"/>
        <w:jc w:val="both"/>
        <w:rPr/>
      </w:pPr>
      <w:r>
        <w:rPr>
          <w:rFonts w:ascii="Times New Roman;serif" w:hAnsi="Times New Roman;serif"/>
          <w:b w:val="false"/>
          <w:color w:val="000000"/>
          <w:sz w:val="24"/>
        </w:rPr>
        <w:t>Re:</w:t>
      </w:r>
      <w:r>
        <w:rPr>
          <w:color w:val="000000"/>
        </w:rPr>
        <w:t>    </w:t>
      </w:r>
      <w:r>
        <w:rPr>
          <w:rFonts w:ascii="Times New Roman;serif" w:hAnsi="Times New Roman;serif"/>
          <w:b w:val="false"/>
          <w:color w:val="000000"/>
          <w:sz w:val="24"/>
          <w:u w:val="single"/>
        </w:rPr>
        <w:t>6.375%</w:t>
      </w:r>
      <w:r>
        <w:rPr>
          <w:color w:val="000000"/>
          <w:u w:val="single"/>
        </w:rPr>
        <w:t xml:space="preserve"> </w:t>
      </w:r>
      <w:r>
        <w:rPr>
          <w:rFonts w:ascii="Times New Roman;serif" w:hAnsi="Times New Roman;serif"/>
          <w:b w:val="false"/>
          <w:color w:val="000000"/>
          <w:sz w:val="24"/>
          <w:u w:val="single"/>
        </w:rPr>
        <w:t>Senior</w:t>
      </w:r>
      <w:r>
        <w:rPr>
          <w:color w:val="000000"/>
          <w:u w:val="single"/>
        </w:rPr>
        <w:t xml:space="preserve"> </w:t>
      </w:r>
      <w:r>
        <w:rPr>
          <w:rFonts w:ascii="Times New Roman;serif" w:hAnsi="Times New Roman;serif"/>
          <w:b w:val="false"/>
          <w:color w:val="000000"/>
          <w:sz w:val="24"/>
          <w:u w:val="single"/>
        </w:rPr>
        <w:t>Notes</w:t>
      </w:r>
      <w:r>
        <w:rPr>
          <w:color w:val="000000"/>
          <w:u w:val="single"/>
        </w:rPr>
        <w:t xml:space="preserve"> </w:t>
      </w:r>
      <w:r>
        <w:rPr>
          <w:rFonts w:ascii="Times New Roman;serif" w:hAnsi="Times New Roman;serif"/>
          <w:b w:val="false"/>
          <w:color w:val="000000"/>
          <w:sz w:val="24"/>
          <w:u w:val="single"/>
        </w:rPr>
        <w:t>due</w:t>
      </w:r>
      <w:r>
        <w:rPr>
          <w:color w:val="000000"/>
          <w:u w:val="single"/>
        </w:rPr>
        <w:t xml:space="preserve"> </w:t>
      </w:r>
      <w:r>
        <w:rPr>
          <w:rFonts w:ascii="Times New Roman;serif" w:hAnsi="Times New Roman;serif"/>
          <w:b w:val="false"/>
          <w:color w:val="000000"/>
          <w:sz w:val="24"/>
          <w:u w:val="single"/>
        </w:rPr>
        <w:t>2033</w:t>
      </w:r>
    </w:p>
    <w:p>
      <w:pPr>
        <w:pStyle w:val="TextBody"/>
        <w:bidi w:val="0"/>
        <w:spacing w:lineRule="auto" w:line="288" w:before="0" w:after="240"/>
        <w:ind w:left="0" w:right="0" w:firstLine="720"/>
        <w:jc w:val="both"/>
        <w:rPr/>
      </w:pPr>
      <w:r>
        <w:rPr>
          <w:rFonts w:ascii="Times New Roman;serif" w:hAnsi="Times New Roman;serif"/>
          <w:b w:val="false"/>
          <w:color w:val="000000"/>
          <w:sz w:val="24"/>
        </w:rPr>
        <w:t>Reference is hereby made to the Indenture, dated as of April 29, 2026 (the “</w:t>
      </w:r>
      <w:r>
        <w:rPr>
          <w:rFonts w:ascii="Times New Roman;serif" w:hAnsi="Times New Roman;serif"/>
          <w:b/>
          <w:i/>
          <w:color w:val="000000"/>
          <w:sz w:val="24"/>
        </w:rPr>
        <w:t>Indenture</w:t>
      </w:r>
      <w:r>
        <w:rPr>
          <w:color w:val="000000"/>
        </w:rPr>
        <w:t>”</w:t>
      </w:r>
      <w:r>
        <w:rPr>
          <w:rFonts w:ascii="Times New Roman;serif" w:hAnsi="Times New Roman;serif"/>
          <w:b w:val="false"/>
          <w:color w:val="000000"/>
          <w:sz w:val="24"/>
        </w:rPr>
        <w:t>), among Talen Energy Supply, LLC, as issuer (the “</w:t>
      </w:r>
      <w:r>
        <w:rPr>
          <w:rFonts w:ascii="Times New Roman;serif" w:hAnsi="Times New Roman;serif"/>
          <w:b/>
          <w:i/>
          <w:color w:val="000000"/>
          <w:sz w:val="24"/>
        </w:rPr>
        <w:t>Issuer</w:t>
      </w:r>
      <w:r>
        <w:rPr>
          <w:color w:val="000000"/>
        </w:rPr>
        <w:t>”</w:t>
      </w:r>
      <w:r>
        <w:rPr>
          <w:rFonts w:ascii="Times New Roman;serif" w:hAnsi="Times New Roman;serif"/>
          <w:b w:val="false"/>
          <w:color w:val="000000"/>
          <w:sz w:val="24"/>
        </w:rPr>
        <w:t>), the Subsidiary Guarantors party thereto and Wilmington Savings Fund Society, FSB, as trustee. Capitalized</w:t>
      </w:r>
      <w:r>
        <w:rPr>
          <w:color w:val="000000"/>
        </w:rPr>
        <w:t xml:space="preserve"> </w:t>
      </w:r>
      <w:r>
        <w:rPr>
          <w:rFonts w:ascii="Times New Roman;serif" w:hAnsi="Times New Roman;serif"/>
          <w:b w:val="false"/>
          <w:color w:val="000000"/>
          <w:sz w:val="24"/>
        </w:rPr>
        <w:t>terms used but not defined herein shall have the meanings given to them in the Indenture.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In connection with our proposed purchase of $____________ aggregate principal amount of:</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     a beneficial interest in a Global Note, or</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(b)     a Definitive Note,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we confirm that:</w:t>
      </w:r>
    </w:p>
    <w:p>
      <w:pPr>
        <w:pStyle w:val="TextBody"/>
        <w:bidi w:val="0"/>
        <w:spacing w:lineRule="auto" w:line="288" w:before="0" w:after="240"/>
        <w:ind w:left="0" w:right="0" w:firstLine="720"/>
        <w:jc w:val="both"/>
        <w:rPr/>
      </w:pPr>
      <w:r>
        <w:rPr>
          <w:rFonts w:ascii="Times New Roman;serif" w:hAnsi="Times New Roman;serif"/>
          <w:b w:val="false"/>
          <w:color w:val="000000"/>
          <w:sz w:val="24"/>
        </w:rPr>
        <w:t>1.    We understand that any subsequent transfer of the Notes or any interest therein is subject to certain restrictions and conditions set forth in the Indenture and the undersigned agrees to be bound by, and not to resell, pledge or otherwise transfer the Notes or any interest therein except in compliance with, such restrictions and conditions and the Securities Act of 1933, as amended (the “</w:t>
      </w:r>
      <w:r>
        <w:rPr>
          <w:rFonts w:ascii="Times New Roman;serif" w:hAnsi="Times New Roman;serif"/>
          <w:b/>
          <w:i/>
          <w:color w:val="000000"/>
          <w:sz w:val="24"/>
        </w:rPr>
        <w:t>Securities Act</w:t>
      </w:r>
      <w:r>
        <w:rPr>
          <w:color w:val="000000"/>
        </w:rPr>
        <w:t>”</w:t>
      </w:r>
      <w:r>
        <w:rPr>
          <w:rFonts w:ascii="Times New Roman;serif" w:hAnsi="Times New Roman;serif"/>
          <w:b w:val="false"/>
          <w:color w:val="000000"/>
          <w:sz w:val="24"/>
        </w:rPr>
        <w: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2.    We understand that the offer and sale of the Notes have not been registered under the Securities Act, and that the Notes and any interest therein may not be offered or sold except as permitted in the following sentence. We agree, on our own behalf and on behalf of any accounts for which we are acting as hereinafter stated, that if we should sell the Notes or any interest therein, we will do so only (A) to the Company or any subsidiary thereof, (B) in accordance with Rule 144A under the Securities Act to a “qualified institutional buyer” (as defined therein), (C) to an institutional “accredited investor” (as defined below) that, prior to such transfer, furnishes </w:t>
      </w:r>
    </w:p>
    <w:p>
      <w:pPr>
        <w:pStyle w:val="TextBody"/>
        <w:bidi w:val="0"/>
        <w:spacing w:before="0" w:after="0"/>
        <w:jc w:val="left"/>
        <w:rPr/>
      </w:pPr>
      <w:r>
        <w:rPr/>
      </w:r>
      <w:r>
        <mc:AlternateContent>
          <mc:Choice Requires="wps">
            <w:drawing>
              <wp:anchor behindDoc="0" distT="0" distB="0" distL="0" distR="0" simplePos="0" locked="0" layoutInCell="1" allowOverlap="1" relativeHeight="287">
                <wp:simplePos x="0" y="0"/>
                <wp:positionH relativeFrom="character">
                  <wp:align>left</wp:align>
                </wp:positionH>
                <wp:positionV relativeFrom="line">
                  <wp:posOffset>635</wp:posOffset>
                </wp:positionV>
                <wp:extent cx="6480175" cy="175260"/>
                <wp:effectExtent l="0" t="0" r="0" b="0"/>
                <wp:wrapNone/>
                <wp:docPr id="286" name="Frame28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D-1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D-1</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(or has furnished on its behalf by a U.S. broker-dealer) to you and to the Company a signed letter substantially in the form of this letter and an Opinion of Counsel in form reasonably acceptable to the Company to the effect that such transfer is in compliance with the Securities Act, (D) outside the United States in accordance with Rule 904 of Regulation S under the Securities Act, (E) pursuant to the provisions of Rule 144(k) under the Securities Act or (F) pursuant to an effective registration statement under the Securities Act, and we further agree to provide to any Person purchasing the Definitive Note or beneficial interest in a Global Note from us in a transaction meeting the requirements of clauses (A) through (E) of this paragraph a notice advising such purchaser that resales thereof are restricted as stated herein.</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3.    We understand that, on any proposed resale of the Notes or beneficial interest therein, we will be required to furnish to you and the Company such certifications, legal opinions and other information as you and the Company may reasonably require to confirm that the proposed sale complies with the foregoing restrictions. We further understand that the Notes purchased by us will bear a legend to the foregoing effect.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4.    We are an institutional “accredited investor” (as defined in Rule 501(a)(1), (2), (3) or (7) of Regulation D under the Securities Act) and have such knowledge and experience in financial and business matters as to be capable of evaluating the merits and risks of our investment in the Notes, and we and any accounts for which we are acting are each able to bear the economic risk of our or its investment.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5.    We are acquiring the Notes or beneficial interest therein purchased by us for our own account or for one or more accounts (each of which is an institutional “accredited investor”) as to each of which we exercise sole investment discretion.</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You and the Company are entitled to rely upon this letter and are irrevocably authorized to produce this letter or a copy hereof to any interested party in any administrative or legal proceedings or official inquiry with respect to the matters covered hereby.</w:t>
      </w:r>
    </w:p>
    <w:tbl>
      <w:tblPr>
        <w:tblW w:w="3645" w:type="dxa"/>
        <w:jc w:val="left"/>
        <w:tblInd w:w="0" w:type="dxa"/>
        <w:tblLayout w:type="fixed"/>
        <w:tblCellMar>
          <w:top w:w="28" w:type="dxa"/>
          <w:left w:w="28" w:type="dxa"/>
          <w:bottom w:w="28" w:type="dxa"/>
          <w:right w:w="28" w:type="dxa"/>
        </w:tblCellMar>
      </w:tblPr>
      <w:tblGrid>
        <w:gridCol w:w="1165"/>
        <w:gridCol w:w="1026"/>
        <w:gridCol w:w="1454"/>
      </w:tblGrid>
      <w:tr>
        <w:trPr/>
        <w:tc>
          <w:tcPr>
            <w:tcW w:w="1165"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1454" w:type="dxa"/>
            <w:tcBorders/>
            <w:vAlign w:val="center"/>
          </w:tcPr>
          <w:p>
            <w:pPr>
              <w:pStyle w:val="TableContents"/>
              <w:bidi w:val="0"/>
              <w:spacing w:before="0" w:after="283"/>
              <w:jc w:val="left"/>
              <w:rPr>
                <w:sz w:val="4"/>
                <w:szCs w:val="4"/>
              </w:rPr>
            </w:pPr>
            <w:r>
              <w:rPr>
                <w:sz w:val="4"/>
                <w:szCs w:val="4"/>
              </w:rPr>
            </w:r>
          </w:p>
        </w:tc>
      </w:tr>
      <w:tr>
        <w:trPr/>
        <w:tc>
          <w:tcPr>
            <w:tcW w:w="3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[Insert Name of Accredited Investor]</w:t>
            </w:r>
          </w:p>
        </w:tc>
      </w:tr>
    </w:tbl>
    <w:p>
      <w:pPr>
        <w:pStyle w:val="TextBody"/>
        <w:bidi w:val="0"/>
        <w:spacing w:before="0" w:after="240"/>
        <w:ind w:left="0" w:right="0" w:firstLine="9180"/>
        <w:jc w:val="left"/>
        <w:rPr/>
      </w:pPr>
      <w:r>
        <w:rPr/>
      </w:r>
    </w:p>
    <w:tbl>
      <w:tblPr>
        <w:tblW w:w="1244" w:type="dxa"/>
        <w:jc w:val="left"/>
        <w:tblInd w:w="0" w:type="dxa"/>
        <w:tblLayout w:type="fixed"/>
        <w:tblCellMar>
          <w:top w:w="28" w:type="dxa"/>
          <w:left w:w="28" w:type="dxa"/>
          <w:bottom w:w="28" w:type="dxa"/>
          <w:right w:w="28" w:type="dxa"/>
        </w:tblCellMar>
      </w:tblPr>
      <w:tblGrid>
        <w:gridCol w:w="168"/>
        <w:gridCol w:w="148"/>
        <w:gridCol w:w="149"/>
        <w:gridCol w:w="228"/>
        <w:gridCol w:w="228"/>
        <w:gridCol w:w="323"/>
      </w:tblGrid>
      <w:tr>
        <w:trPr/>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r>
      <w:tr>
        <w:trPr/>
        <w:tc>
          <w:tcPr>
            <w:tcW w:w="4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By:</w:t>
            </w:r>
          </w:p>
        </w:tc>
        <w:tc>
          <w:tcPr>
            <w:tcW w:w="7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Name:</w:t>
            </w:r>
          </w:p>
        </w:tc>
      </w:tr>
      <w:tr>
        <w:trPr/>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Title:</w:t>
            </w:r>
          </w:p>
        </w:tc>
      </w:tr>
    </w:tbl>
    <w:p>
      <w:pPr>
        <w:pStyle w:val="TextBody"/>
        <w:bidi w:val="0"/>
        <w:spacing w:lineRule="auto" w:line="307" w:before="0" w:after="240"/>
        <w:ind w:left="0" w:right="0" w:firstLine="9180"/>
        <w:jc w:val="left"/>
        <w:rPr>
          <w:rFonts w:ascii="Times New Roman;serif" w:hAnsi="Times New Roman;serif"/>
          <w:b w:val="false"/>
          <w:color w:val="000000"/>
          <w:sz w:val="24"/>
        </w:rPr>
      </w:pPr>
      <w:r>
        <w:rPr>
          <w:rFonts w:ascii="Times New Roman;serif" w:hAnsi="Times New Roman;serif"/>
          <w:b w:val="false"/>
          <w:color w:val="000000"/>
          <w:sz w:val="24"/>
        </w:rPr>
      </w:r>
    </w:p>
    <w:p>
      <w:pPr>
        <w:pStyle w:val="TextBody"/>
        <w:bidi w:val="0"/>
        <w:spacing w:lineRule="auto" w:line="307" w:before="0" w:after="0"/>
        <w:jc w:val="left"/>
        <w:rPr>
          <w:rFonts w:ascii="Times New Roman;serif" w:hAnsi="Times New Roman;serif"/>
          <w:b w:val="false"/>
          <w:color w:val="000000"/>
          <w:sz w:val="24"/>
        </w:rPr>
      </w:pPr>
      <w:r>
        <w:rPr>
          <w:rFonts w:ascii="Times New Roman;serif" w:hAnsi="Times New Roman;serif"/>
          <w:b w:val="false"/>
          <w:color w:val="000000"/>
          <w:sz w:val="24"/>
        </w:rPr>
        <w:t>Dated: _______________________</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88">
                <wp:simplePos x="0" y="0"/>
                <wp:positionH relativeFrom="character">
                  <wp:align>left</wp:align>
                </wp:positionH>
                <wp:positionV relativeFrom="line">
                  <wp:posOffset>635</wp:posOffset>
                </wp:positionV>
                <wp:extent cx="6480175" cy="175260"/>
                <wp:effectExtent l="0" t="0" r="0" b="0"/>
                <wp:wrapNone/>
                <wp:docPr id="287" name="Frame28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D-2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D-2</w:t>
                      </w:r>
                    </w:p>
                  </w:txbxContent>
                </v:textbox>
                <w10:wrap type="none"/>
              </v:rect>
            </w:pict>
          </mc:Fallback>
        </mc:AlternateContent>
      </w:r>
    </w:p>
    <w:p>
      <w:pPr>
        <w:pStyle w:val="TextBody"/>
        <w:bidi w:val="0"/>
        <w:spacing w:lineRule="auto" w:line="240" w:before="0" w:after="240"/>
        <w:jc w:val="center"/>
        <w:rPr/>
      </w:pPr>
      <w:r>
        <w:rPr>
          <w:rFonts w:ascii="Times New Roman;serif" w:hAnsi="Times New Roman;serif"/>
          <w:b/>
          <w:color w:val="000000"/>
          <w:sz w:val="24"/>
        </w:rPr>
        <w:t>Exhibit E</w:t>
      </w:r>
      <w:r>
        <w:rPr>
          <w:rFonts w:ascii="Times New Roman;serif" w:hAnsi="Times New Roman;serif"/>
          <w:b/>
          <w:color w:val="000000"/>
          <w:sz w:val="24"/>
        </w:rPr>
        <w:br/>
        <w:br/>
        <w:t>FORM</w:t>
      </w:r>
      <w:r>
        <w:rPr>
          <w:color w:val="000000"/>
        </w:rPr>
        <w:t xml:space="preserve"> </w:t>
      </w:r>
      <w:r>
        <w:rPr>
          <w:rFonts w:ascii="Times New Roman;serif" w:hAnsi="Times New Roman;serif"/>
          <w:b/>
          <w:color w:val="000000"/>
          <w:sz w:val="24"/>
        </w:rPr>
        <w:t>OF</w:t>
      </w:r>
      <w:r>
        <w:rPr>
          <w:color w:val="000000"/>
        </w:rPr>
        <w:t xml:space="preserve"> </w:t>
      </w:r>
      <w:r>
        <w:rPr>
          <w:rFonts w:ascii="Times New Roman;serif" w:hAnsi="Times New Roman;serif"/>
          <w:b/>
          <w:color w:val="000000"/>
          <w:sz w:val="24"/>
        </w:rPr>
        <w:t>SUPPLEMENTAL</w:t>
      </w:r>
      <w:r>
        <w:rPr>
          <w:color w:val="000000"/>
        </w:rPr>
        <w:t xml:space="preserve"> </w:t>
      </w:r>
      <w:r>
        <w:rPr>
          <w:rFonts w:ascii="Times New Roman;serif" w:hAnsi="Times New Roman;serif"/>
          <w:b/>
          <w:color w:val="000000"/>
          <w:sz w:val="24"/>
        </w:rPr>
        <w:t>INDENTURE –</w:t>
        <w:br/>
        <w:t>ADDITIONAL</w:t>
      </w:r>
      <w:r>
        <w:rPr>
          <w:color w:val="000000"/>
        </w:rPr>
        <w:t xml:space="preserve"> </w:t>
      </w:r>
      <w:r>
        <w:rPr>
          <w:rFonts w:ascii="Times New Roman;serif" w:hAnsi="Times New Roman;serif"/>
          <w:b/>
          <w:color w:val="000000"/>
          <w:sz w:val="24"/>
        </w:rPr>
        <w:t>SUBSIDIARY</w:t>
      </w:r>
      <w:r>
        <w:rPr>
          <w:color w:val="000000"/>
        </w:rPr>
        <w:t xml:space="preserve"> </w:t>
      </w:r>
      <w:r>
        <w:rPr>
          <w:rFonts w:ascii="Times New Roman;serif" w:hAnsi="Times New Roman;serif"/>
          <w:b/>
          <w:color w:val="000000"/>
          <w:sz w:val="24"/>
        </w:rPr>
        <w:t>GUARANTEES</w:t>
      </w:r>
    </w:p>
    <w:p>
      <w:pPr>
        <w:pStyle w:val="TextBody"/>
        <w:bidi w:val="0"/>
        <w:spacing w:lineRule="auto" w:line="288" w:before="0" w:after="240"/>
        <w:ind w:left="0" w:right="0" w:firstLine="720"/>
        <w:jc w:val="both"/>
        <w:rPr/>
      </w:pPr>
      <w:r>
        <w:rPr>
          <w:rFonts w:ascii="Times New Roman;serif" w:hAnsi="Times New Roman;serif"/>
          <w:b w:val="false"/>
          <w:color w:val="000000"/>
          <w:sz w:val="24"/>
        </w:rPr>
        <w:t>THIS</w:t>
      </w:r>
      <w:r>
        <w:rPr>
          <w:color w:val="000000"/>
        </w:rPr>
        <w:t xml:space="preserve"> </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SUPPLEMENTAL</w:t>
      </w:r>
      <w:r>
        <w:rPr>
          <w:color w:val="000000"/>
        </w:rPr>
        <w:t xml:space="preserve"> </w:t>
      </w:r>
      <w:r>
        <w:rPr>
          <w:rFonts w:ascii="Times New Roman;serif" w:hAnsi="Times New Roman;serif"/>
          <w:b w:val="false"/>
          <w:color w:val="000000"/>
          <w:sz w:val="24"/>
        </w:rPr>
        <w:t>INDENTURE</w:t>
      </w:r>
      <w:r>
        <w:rPr>
          <w:color w:val="000000"/>
        </w:rPr>
        <w:t xml:space="preserve"> </w:t>
      </w:r>
      <w:r>
        <w:rPr>
          <w:rFonts w:ascii="Times New Roman;serif" w:hAnsi="Times New Roman;serif"/>
          <w:b w:val="false"/>
          <w:color w:val="000000"/>
          <w:sz w:val="24"/>
        </w:rPr>
        <w:t>(this</w:t>
      </w:r>
      <w:r>
        <w:rPr>
          <w:color w:val="000000"/>
        </w:rPr>
        <w:t xml:space="preserve"> “</w:t>
      </w:r>
      <w:r>
        <w:rPr>
          <w:rFonts w:ascii="Times New Roman;serif" w:hAnsi="Times New Roman;serif"/>
          <w:b w:val="false"/>
          <w:i/>
          <w:color w:val="000000"/>
          <w:sz w:val="24"/>
        </w:rPr>
        <w:t>Supplemental Indenture</w:t>
      </w:r>
      <w:r>
        <w:rPr>
          <w:color w:val="000000"/>
        </w:rPr>
        <w:t>”</w:t>
      </w:r>
      <w:r>
        <w:rPr>
          <w:rFonts w:ascii="Times New Roman;serif" w:hAnsi="Times New Roman;serif"/>
          <w:b w:val="false"/>
          <w:color w:val="000000"/>
          <w:sz w:val="24"/>
        </w:rPr>
        <w:t>), dated as of,</w:t>
      </w:r>
      <w:r>
        <w:rPr>
          <w:color w:val="000000"/>
        </w:rPr>
        <w:t xml:space="preserve"> </w:t>
      </w:r>
      <w:r>
        <w:rPr>
          <w:rFonts w:ascii="Times New Roman;serif" w:hAnsi="Times New Roman;serif"/>
          <w:b w:val="false"/>
          <w:color w:val="000000"/>
          <w:sz w:val="24"/>
        </w:rPr>
        <w:t>20</w:t>
      </w:r>
      <w:r>
        <w:rPr>
          <w:color w:val="000000"/>
        </w:rPr>
        <w:t xml:space="preserve"> </w:t>
      </w:r>
      <w:r>
        <w:rPr>
          <w:rFonts w:ascii="Times New Roman;serif" w:hAnsi="Times New Roman;serif"/>
          <w:b w:val="false"/>
          <w:color w:val="000000"/>
          <w:sz w:val="24"/>
        </w:rPr>
        <w:t>, among the subsidiary guarantors listed on Schedule I</w:t>
      </w:r>
      <w:r>
        <w:rPr>
          <w:color w:val="000000"/>
        </w:rPr>
        <w:t xml:space="preserve"> </w:t>
      </w:r>
      <w:r>
        <w:rPr>
          <w:rFonts w:ascii="Times New Roman;serif" w:hAnsi="Times New Roman;serif"/>
          <w:b w:val="false"/>
          <w:color w:val="000000"/>
          <w:sz w:val="24"/>
        </w:rPr>
        <w:t>hereto (the “</w:t>
      </w:r>
      <w:r>
        <w:rPr>
          <w:rFonts w:ascii="Times New Roman;serif" w:hAnsi="Times New Roman;serif"/>
          <w:b w:val="false"/>
          <w:i/>
          <w:color w:val="000000"/>
          <w:sz w:val="24"/>
        </w:rPr>
        <w:t>Guaranteeing Subsidiaries</w:t>
      </w:r>
      <w:r>
        <w:rPr>
          <w:color w:val="000000"/>
        </w:rPr>
        <w:t>”</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Talen Energy Supply, LLC,</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Delaware</w:t>
      </w:r>
      <w:r>
        <w:rPr>
          <w:color w:val="000000"/>
        </w:rPr>
        <w:t xml:space="preserve"> </w:t>
      </w:r>
      <w:r>
        <w:rPr>
          <w:rFonts w:ascii="Times New Roman;serif" w:hAnsi="Times New Roman;serif"/>
          <w:b w:val="false"/>
          <w:color w:val="000000"/>
          <w:sz w:val="24"/>
        </w:rPr>
        <w:t>limited</w:t>
      </w:r>
      <w:r>
        <w:rPr>
          <w:color w:val="000000"/>
        </w:rPr>
        <w:t xml:space="preserve"> </w:t>
      </w:r>
      <w:r>
        <w:rPr>
          <w:rFonts w:ascii="Times New Roman;serif" w:hAnsi="Times New Roman;serif"/>
          <w:b w:val="false"/>
          <w:color w:val="000000"/>
          <w:sz w:val="24"/>
        </w:rPr>
        <w:t>liability</w:t>
      </w:r>
      <w:r>
        <w:rPr>
          <w:color w:val="000000"/>
        </w:rPr>
        <w:t xml:space="preserve"> </w:t>
      </w:r>
      <w:r>
        <w:rPr>
          <w:rFonts w:ascii="Times New Roman;serif" w:hAnsi="Times New Roman;serif"/>
          <w:b w:val="false"/>
          <w:color w:val="000000"/>
          <w:sz w:val="24"/>
        </w:rPr>
        <w:t>company</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i/>
          <w:color w:val="000000"/>
          <w:sz w:val="24"/>
        </w:rPr>
        <w:t>Issuer</w:t>
      </w:r>
      <w:r>
        <w:rPr>
          <w:color w:val="000000"/>
        </w:rPr>
        <w:t xml:space="preserve">” </w:t>
      </w:r>
      <w:r>
        <w:rPr>
          <w:rFonts w:ascii="Times New Roman;serif" w:hAnsi="Times New Roman;serif"/>
          <w:b w:val="false"/>
          <w:color w:val="000000"/>
          <w:sz w:val="24"/>
        </w:rPr>
        <w:t>), the other Subsidiary</w:t>
      </w:r>
      <w:r>
        <w:rPr>
          <w:color w:val="000000"/>
        </w:rPr>
        <w:t xml:space="preserve"> </w:t>
      </w:r>
      <w:r>
        <w:rPr>
          <w:rFonts w:ascii="Times New Roman;serif" w:hAnsi="Times New Roman;serif"/>
          <w:b w:val="false"/>
          <w:color w:val="000000"/>
          <w:sz w:val="24"/>
        </w:rPr>
        <w:t>Guarantors (as defined in the Indenture, as defined below) and Wilmington Savings Fund Society, FSB, as trustee under the Indenture (the “</w:t>
      </w:r>
      <w:r>
        <w:rPr>
          <w:rFonts w:ascii="Times New Roman;serif" w:hAnsi="Times New Roman;serif"/>
          <w:b w:val="false"/>
          <w:i/>
          <w:color w:val="000000"/>
          <w:sz w:val="24"/>
        </w:rPr>
        <w:t>Trustee</w:t>
      </w:r>
      <w:r>
        <w:rPr>
          <w:color w:val="000000"/>
        </w:rPr>
        <w:t>”</w:t>
      </w:r>
      <w:r>
        <w:rPr>
          <w:rFonts w:ascii="Times New Roman;serif" w:hAnsi="Times New Roman;serif"/>
          <w:b w:val="false"/>
          <w:color w:val="000000"/>
          <w:sz w:val="24"/>
        </w:rPr>
        <w:t>).</w:t>
      </w:r>
    </w:p>
    <w:p>
      <w:pPr>
        <w:pStyle w:val="TextBody"/>
        <w:bidi w:val="0"/>
        <w:spacing w:lineRule="auto" w:line="288" w:before="0" w:after="240"/>
        <w:jc w:val="center"/>
        <w:rPr/>
      </w:pPr>
      <w:r>
        <w:rPr>
          <w:rFonts w:ascii="Times New Roman;serif" w:hAnsi="Times New Roman;serif"/>
          <w:b w:val="false"/>
          <w:color w:val="000000"/>
          <w:sz w:val="24"/>
        </w:rPr>
        <w:t>W</w:t>
      </w:r>
      <w:r>
        <w:rPr>
          <w:color w:val="000000"/>
        </w:rPr>
        <w:t xml:space="preserve"> </w:t>
      </w:r>
      <w:r>
        <w:rPr>
          <w:rFonts w:ascii="Times New Roman;serif" w:hAnsi="Times New Roman;serif"/>
          <w:b w:val="false"/>
          <w:color w:val="000000"/>
          <w:sz w:val="24"/>
        </w:rPr>
        <w:t>I</w:t>
      </w:r>
      <w:r>
        <w:rPr>
          <w:color w:val="000000"/>
        </w:rPr>
        <w:t xml:space="preserve"> </w:t>
      </w:r>
      <w:r>
        <w:rPr>
          <w:rFonts w:ascii="Times New Roman;serif" w:hAnsi="Times New Roman;serif"/>
          <w:b w:val="false"/>
          <w:color w:val="000000"/>
          <w:sz w:val="24"/>
        </w:rPr>
        <w:t>T</w:t>
      </w:r>
      <w:r>
        <w:rPr>
          <w:color w:val="000000"/>
        </w:rPr>
        <w:t xml:space="preserve"> </w:t>
      </w:r>
      <w:r>
        <w:rPr>
          <w:rFonts w:ascii="Times New Roman;serif" w:hAnsi="Times New Roman;serif"/>
          <w:b w:val="false"/>
          <w:color w:val="000000"/>
          <w:sz w:val="24"/>
        </w:rPr>
        <w:t>N</w:t>
      </w:r>
      <w:r>
        <w:rPr>
          <w:color w:val="000000"/>
        </w:rPr>
        <w:t xml:space="preserve"> </w:t>
      </w:r>
      <w:r>
        <w:rPr>
          <w:rFonts w:ascii="Times New Roman;serif" w:hAnsi="Times New Roman;serif"/>
          <w:b w:val="false"/>
          <w:color w:val="000000"/>
          <w:sz w:val="24"/>
        </w:rPr>
        <w:t>E</w:t>
      </w:r>
      <w:r>
        <w:rPr>
          <w:color w:val="000000"/>
        </w:rPr>
        <w:t xml:space="preserve"> </w:t>
      </w:r>
      <w:r>
        <w:rPr>
          <w:rFonts w:ascii="Times New Roman;serif" w:hAnsi="Times New Roman;serif"/>
          <w:b w:val="false"/>
          <w:color w:val="000000"/>
          <w:sz w:val="24"/>
        </w:rPr>
        <w:t>S</w:t>
      </w:r>
      <w:r>
        <w:rPr>
          <w:color w:val="000000"/>
        </w:rPr>
        <w:t xml:space="preserve"> </w:t>
      </w:r>
      <w:r>
        <w:rPr>
          <w:rFonts w:ascii="Times New Roman;serif" w:hAnsi="Times New Roman;serif"/>
          <w:b w:val="false"/>
          <w:color w:val="000000"/>
          <w:sz w:val="24"/>
        </w:rPr>
        <w:t>S</w:t>
      </w:r>
      <w:r>
        <w:rPr>
          <w:color w:val="000000"/>
        </w:rPr>
        <w:t xml:space="preserve"> </w:t>
      </w:r>
      <w:r>
        <w:rPr>
          <w:rFonts w:ascii="Times New Roman;serif" w:hAnsi="Times New Roman;serif"/>
          <w:b w:val="false"/>
          <w:color w:val="000000"/>
          <w:sz w:val="24"/>
        </w:rPr>
        <w:t>E</w:t>
      </w:r>
      <w:r>
        <w:rPr>
          <w:color w:val="000000"/>
        </w:rPr>
        <w:t xml:space="preserve"> </w:t>
      </w:r>
      <w:r>
        <w:rPr>
          <w:rFonts w:ascii="Times New Roman;serif" w:hAnsi="Times New Roman;serif"/>
          <w:b w:val="false"/>
          <w:color w:val="000000"/>
          <w:sz w:val="24"/>
        </w:rPr>
        <w:t>T</w:t>
      </w:r>
      <w:r>
        <w:rPr>
          <w:color w:val="000000"/>
        </w:rPr>
        <w:t xml:space="preserve"> </w:t>
      </w:r>
      <w:r>
        <w:rPr>
          <w:rFonts w:ascii="Times New Roman;serif" w:hAnsi="Times New Roman;serif"/>
          <w:b w:val="false"/>
          <w:color w:val="000000"/>
          <w:sz w:val="24"/>
        </w:rPr>
        <w:t>H</w:t>
      </w:r>
    </w:p>
    <w:p>
      <w:pPr>
        <w:pStyle w:val="TextBody"/>
        <w:bidi w:val="0"/>
        <w:spacing w:lineRule="auto" w:line="288" w:before="0" w:after="240"/>
        <w:ind w:left="0" w:right="0" w:firstLine="720"/>
        <w:jc w:val="both"/>
        <w:rPr/>
      </w:pPr>
      <w:r>
        <w:rPr>
          <w:rFonts w:ascii="Times New Roman;serif" w:hAnsi="Times New Roman;serif"/>
          <w:b w:val="false"/>
          <w:color w:val="000000"/>
          <w:sz w:val="24"/>
        </w:rPr>
        <w:t>WHEREAS, the Issuer has heretofore executed and delivered to the Trustee that certain indenture (the “</w:t>
      </w:r>
      <w:r>
        <w:rPr>
          <w:rFonts w:ascii="Times New Roman;serif" w:hAnsi="Times New Roman;serif"/>
          <w:b w:val="false"/>
          <w:i/>
          <w:color w:val="000000"/>
          <w:sz w:val="24"/>
        </w:rPr>
        <w:t>Indenture</w:t>
      </w:r>
      <w:r>
        <w:rPr>
          <w:color w:val="000000"/>
        </w:rPr>
        <w:t>”</w:t>
      </w:r>
      <w:r>
        <w:rPr>
          <w:rFonts w:ascii="Times New Roman;serif" w:hAnsi="Times New Roman;serif"/>
          <w:b w:val="false"/>
          <w:color w:val="000000"/>
          <w:sz w:val="24"/>
        </w:rPr>
        <w:t>), dated as of April 29, 2026, among the Issuer, the Subsidiary Guarantors party thereto and the Trustee, providing for the original issuance of an aggregate principal amount of $2,500,000,000 of 6.375% Senior Notes due 2033 (the “</w:t>
      </w:r>
      <w:r>
        <w:rPr>
          <w:rFonts w:ascii="Times New Roman;serif" w:hAnsi="Times New Roman;serif"/>
          <w:b w:val="false"/>
          <w:i/>
          <w:color w:val="000000"/>
          <w:sz w:val="24"/>
        </w:rPr>
        <w:t>Initial Notes</w:t>
      </w:r>
      <w:r>
        <w:rPr>
          <w:color w:val="000000"/>
        </w:rPr>
        <w:t>”</w:t>
      </w:r>
      <w:r>
        <w:rPr>
          <w:rFonts w:ascii="Times New Roman;serif" w:hAnsi="Times New Roman;serif"/>
          <w:b w:val="false"/>
          <w:color w:val="000000"/>
          <w:sz w:val="24"/>
        </w:rPr>
        <w:t>) and, subject to the terms of the Indenture, future issuances of 6.375% Senior Notes due 2033 (each such issuance, the “</w:t>
      </w:r>
      <w:r>
        <w:rPr>
          <w:rFonts w:ascii="Times New Roman;serif" w:hAnsi="Times New Roman;serif"/>
          <w:b w:val="false"/>
          <w:i/>
          <w:color w:val="000000"/>
          <w:sz w:val="24"/>
        </w:rPr>
        <w:t>Additional Notes</w:t>
      </w:r>
      <w:r>
        <w:rPr>
          <w:color w:val="000000"/>
        </w:rPr>
        <w:t xml:space="preserve">” </w:t>
      </w:r>
      <w:r>
        <w:rPr>
          <w:rFonts w:ascii="Times New Roman;serif" w:hAnsi="Times New Roman;serif"/>
          <w:b w:val="false"/>
          <w:color w:val="000000"/>
          <w:sz w:val="24"/>
        </w:rPr>
        <w:t>and, together with the Initial Notes, the “</w:t>
      </w:r>
      <w:r>
        <w:rPr>
          <w:rFonts w:ascii="Times New Roman;serif" w:hAnsi="Times New Roman;serif"/>
          <w:b w:val="false"/>
          <w:i/>
          <w:color w:val="000000"/>
          <w:sz w:val="24"/>
        </w:rPr>
        <w:t>Notes</w:t>
      </w:r>
      <w:r>
        <w:rPr>
          <w:color w:val="000000"/>
        </w:rPr>
        <w:t>”</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rFonts w:ascii="Times New Roman;serif" w:hAnsi="Times New Roman;serif"/>
          <w:b w:val="false"/>
          <w:color w:val="000000"/>
          <w:sz w:val="24"/>
        </w:rPr>
        <w:t>WHEREAS, the Indenture provides that under certain circumstances the Guaranteeing Subsidiaries shall execute and deliver to the Trustee a</w:t>
      </w:r>
      <w:r>
        <w:rPr>
          <w:color w:val="000000"/>
        </w:rPr>
        <w:t xml:space="preserve"> </w:t>
      </w:r>
      <w:r>
        <w:rPr>
          <w:rFonts w:ascii="Times New Roman;serif" w:hAnsi="Times New Roman;serif"/>
          <w:b w:val="false"/>
          <w:color w:val="000000"/>
          <w:sz w:val="24"/>
        </w:rPr>
        <w:t>supplemental indenture pursuant to which the Guaranteeing Subsidiaries shall unconditionally guarantee all of the Issuer’s Obligations under the</w:t>
      </w:r>
      <w:r>
        <w:rPr>
          <w:color w:val="000000"/>
        </w:rPr>
        <w:t xml:space="preserve"> </w:t>
      </w:r>
      <w:r>
        <w:rPr>
          <w:rFonts w:ascii="Times New Roman;serif" w:hAnsi="Times New Roman;serif"/>
          <w:b w:val="false"/>
          <w:color w:val="000000"/>
          <w:sz w:val="24"/>
        </w:rPr>
        <w:t>Notes and the Indenture (the “</w:t>
      </w:r>
      <w:r>
        <w:rPr>
          <w:rFonts w:ascii="Times New Roman;serif" w:hAnsi="Times New Roman;serif"/>
          <w:b w:val="false"/>
          <w:i/>
          <w:color w:val="000000"/>
          <w:sz w:val="24"/>
        </w:rPr>
        <w:t>Subsidiary Guarantees</w:t>
      </w:r>
      <w:r>
        <w:rPr>
          <w:color w:val="000000"/>
        </w:rPr>
        <w:t>”</w:t>
      </w:r>
      <w:r>
        <w:rPr>
          <w:rFonts w:ascii="Times New Roman;serif" w:hAnsi="Times New Roman;serif"/>
          <w:b w:val="false"/>
          <w:color w:val="000000"/>
          <w:sz w:val="24"/>
        </w:rPr>
        <w:t>); and</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WHEREAS, pursuant to </w:t>
      </w:r>
      <w:r>
        <w:rPr>
          <w:rFonts w:ascii="Times New Roman;serif" w:hAnsi="Times New Roman;serif"/>
          <w:b w:val="false"/>
          <w:color w:val="000000"/>
          <w:sz w:val="24"/>
          <w:u w:val="single"/>
        </w:rPr>
        <w:t>Section 4.06</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Section 9.01</w:t>
      </w:r>
      <w:r>
        <w:rPr>
          <w:color w:val="000000"/>
        </w:rPr>
        <w:t xml:space="preserve"> </w:t>
      </w:r>
      <w:r>
        <w:rPr>
          <w:rFonts w:ascii="Times New Roman;serif" w:hAnsi="Times New Roman;serif"/>
          <w:b w:val="false"/>
          <w:color w:val="000000"/>
          <w:sz w:val="24"/>
        </w:rPr>
        <w:t>of the Indenture, the Trustee,</w:t>
      </w:r>
      <w:r>
        <w:rPr>
          <w:color w:val="000000"/>
        </w:rPr>
        <w:t xml:space="preserve"> </w:t>
      </w:r>
      <w:r>
        <w:rPr>
          <w:rFonts w:ascii="Times New Roman;serif" w:hAnsi="Times New Roman;serif"/>
          <w:b w:val="false"/>
          <w:color w:val="000000"/>
          <w:sz w:val="24"/>
        </w:rPr>
        <w:t>the Issuer and the Guaranteeing Subsidiaries are authorized and required to execute and deliver this Supplemental Indenture.</w:t>
      </w:r>
    </w:p>
    <w:p>
      <w:pPr>
        <w:pStyle w:val="TextBody"/>
        <w:bidi w:val="0"/>
        <w:spacing w:lineRule="auto" w:line="288" w:before="0" w:after="240"/>
        <w:ind w:left="0" w:right="0" w:firstLine="720"/>
        <w:jc w:val="both"/>
        <w:rPr/>
      </w:pPr>
      <w:r>
        <w:rPr>
          <w:rFonts w:ascii="Times New Roman;serif" w:hAnsi="Times New Roman;serif"/>
          <w:b w:val="false"/>
          <w:color w:val="000000"/>
          <w:sz w:val="24"/>
        </w:rPr>
        <w:t>NOW, THEREFORE, in consideration of the foregoing and for good and valuable consideration, the receipt of which is hereby acknowledged, the</w:t>
      </w:r>
      <w:r>
        <w:rPr>
          <w:color w:val="000000"/>
        </w:rPr>
        <w:t xml:space="preserve"> </w:t>
      </w:r>
      <w:r>
        <w:rPr>
          <w:rFonts w:ascii="Times New Roman;serif" w:hAnsi="Times New Roman;serif"/>
          <w:b w:val="false"/>
          <w:color w:val="000000"/>
          <w:sz w:val="24"/>
        </w:rPr>
        <w:t>Guaranteeing Subsidiary, the Trustee and the Issuer mutually covenant and agree for the equal and ratable benefit of</w:t>
      </w:r>
      <w:r>
        <w:rPr>
          <w:color w:val="000000"/>
        </w:rPr>
        <w:t xml:space="preserve"> </w:t>
      </w:r>
      <w:r>
        <w:rPr>
          <w:rFonts w:ascii="Times New Roman;serif" w:hAnsi="Times New Roman;serif"/>
          <w:b w:val="false"/>
          <w:color w:val="000000"/>
          <w:sz w:val="24"/>
        </w:rPr>
        <w:t>the Holders as follows:</w:t>
      </w:r>
    </w:p>
    <w:p>
      <w:pPr>
        <w:pStyle w:val="TextBody"/>
        <w:bidi w:val="0"/>
        <w:spacing w:lineRule="auto" w:line="240" w:before="0" w:after="240"/>
        <w:ind w:left="0" w:right="0" w:firstLine="720"/>
        <w:jc w:val="both"/>
        <w:rPr/>
      </w:pPr>
      <w:r>
        <w:rPr>
          <w:rFonts w:ascii="Times New Roman;serif" w:hAnsi="Times New Roman;serif"/>
          <w:b w:val="false"/>
          <w:color w:val="000000"/>
          <w:sz w:val="24"/>
        </w:rPr>
        <w:t>1.</w:t>
      </w:r>
      <w:r>
        <w:rPr>
          <w:rFonts w:ascii="Times New Roman;serif" w:hAnsi="Times New Roman;serif"/>
          <w:b w:val="false"/>
          <w:i/>
          <w:color w:val="000000"/>
          <w:sz w:val="24"/>
        </w:rPr>
        <w:t>Capitalized Terms</w:t>
      </w:r>
      <w:r>
        <w:rPr>
          <w:rFonts w:ascii="Times New Roman;serif" w:hAnsi="Times New Roman;serif"/>
          <w:b w:val="false"/>
          <w:color w:val="000000"/>
          <w:sz w:val="24"/>
        </w:rPr>
        <w:t>. Unless otherwise defined in this Supplemental Indenture, capitalized terms used herein without definition shall have the</w:t>
      </w:r>
      <w:r>
        <w:rPr>
          <w:color w:val="000000"/>
        </w:rPr>
        <w:t xml:space="preserve"> </w:t>
      </w:r>
      <w:r>
        <w:rPr>
          <w:rFonts w:ascii="Times New Roman;serif" w:hAnsi="Times New Roman;serif"/>
          <w:b w:val="false"/>
          <w:color w:val="000000"/>
          <w:sz w:val="24"/>
        </w:rPr>
        <w:t>meanings assigned to them in the Indenture.</w:t>
      </w:r>
    </w:p>
    <w:p>
      <w:pPr>
        <w:pStyle w:val="TextBody"/>
        <w:bidi w:val="0"/>
        <w:spacing w:lineRule="auto" w:line="240" w:before="0" w:after="240"/>
        <w:ind w:left="0" w:right="0" w:firstLine="720"/>
        <w:jc w:val="both"/>
        <w:rPr/>
      </w:pPr>
      <w:r>
        <w:rPr>
          <w:rFonts w:ascii="Times New Roman;serif" w:hAnsi="Times New Roman;serif"/>
          <w:b w:val="false"/>
          <w:color w:val="000000"/>
          <w:sz w:val="24"/>
        </w:rPr>
        <w:t>2.</w:t>
      </w:r>
      <w:r>
        <w:rPr>
          <w:rFonts w:ascii="Times New Roman;serif" w:hAnsi="Times New Roman;serif"/>
          <w:b w:val="false"/>
          <w:i/>
          <w:color w:val="000000"/>
          <w:sz w:val="24"/>
        </w:rPr>
        <w:t>Agreement to be Bound; Guarantee</w:t>
      </w:r>
      <w:r>
        <w:rPr>
          <w:rFonts w:ascii="Times New Roman;serif" w:hAnsi="Times New Roman;serif"/>
          <w:b w:val="false"/>
          <w:color w:val="000000"/>
          <w:sz w:val="24"/>
        </w:rPr>
        <w:t>. Each of the Guaranteeing Subsidiaries hereby becomes a party to the Indenture as a Subsidiary</w:t>
      </w:r>
      <w:r>
        <w:rPr>
          <w:color w:val="000000"/>
        </w:rPr>
        <w:t xml:space="preserve"> </w:t>
      </w:r>
      <w:r>
        <w:rPr>
          <w:rFonts w:ascii="Times New Roman;serif" w:hAnsi="Times New Roman;serif"/>
          <w:b w:val="false"/>
          <w:color w:val="000000"/>
          <w:sz w:val="24"/>
        </w:rPr>
        <w:t>Guarantor and as such will have all of the rights and be subject to all of the Obligations and agreements of a Subsidiary Guarantor under the Indenture.</w:t>
      </w:r>
      <w:r>
        <w:rPr>
          <w:color w:val="000000"/>
        </w:rPr>
        <w:t xml:space="preserve"> </w:t>
      </w:r>
      <w:r>
        <w:rPr>
          <w:rFonts w:ascii="Times New Roman;serif" w:hAnsi="Times New Roman;serif"/>
          <w:b w:val="false"/>
          <w:color w:val="000000"/>
          <w:sz w:val="24"/>
        </w:rPr>
        <w:t>Each of the Guaranteeing Subsidiaries hereby agrees to be bound by all of the provisions of the Indenture applicable to a Subsidiary Guarantor and to perform all of the Obligations and agreements of a Subsidiary Guarantor under the Indenture. In furtherance of the foregoing,</w:t>
      </w:r>
      <w:r>
        <w:rPr>
          <w:color w:val="000000"/>
        </w:rPr>
        <w:t xml:space="preserve"> </w:t>
      </w:r>
      <w:r>
        <w:rPr>
          <w:rFonts w:ascii="Times New Roman;serif" w:hAnsi="Times New Roman;serif"/>
          <w:b w:val="false"/>
          <w:color w:val="000000"/>
          <w:sz w:val="24"/>
        </w:rPr>
        <w:t xml:space="preserve">each of the Guaranteeing Subsidiaries shall be deemed a Subsidiary Guarantor for purposes of </w:t>
      </w:r>
      <w:r>
        <w:rPr>
          <w:rFonts w:ascii="Times New Roman;serif" w:hAnsi="Times New Roman;serif"/>
          <w:b w:val="false"/>
          <w:color w:val="000000"/>
          <w:sz w:val="24"/>
          <w:u w:val="single"/>
        </w:rPr>
        <w:t>Article 11</w:t>
      </w:r>
      <w:r>
        <w:rPr>
          <w:color w:val="000000"/>
        </w:rPr>
        <w:t xml:space="preserve"> </w:t>
      </w:r>
      <w:r>
        <w:rPr>
          <w:rFonts w:ascii="Times New Roman;serif" w:hAnsi="Times New Roman;serif"/>
          <w:b w:val="false"/>
          <w:color w:val="000000"/>
          <w:sz w:val="24"/>
        </w:rPr>
        <w:t>of the Indenture,</w:t>
      </w:r>
      <w:r>
        <w:rPr>
          <w:color w:val="000000"/>
        </w:rPr>
        <w:t xml:space="preserve"> </w:t>
      </w:r>
      <w:r>
        <w:rPr>
          <w:rFonts w:ascii="Times New Roman;serif" w:hAnsi="Times New Roman;serif"/>
          <w:b w:val="false"/>
          <w:color w:val="000000"/>
          <w:sz w:val="24"/>
        </w:rPr>
        <w:t xml:space="preserve">including, without limitation, </w:t>
      </w:r>
      <w:r>
        <w:rPr>
          <w:rFonts w:ascii="Times New Roman;serif" w:hAnsi="Times New Roman;serif"/>
          <w:b w:val="false"/>
          <w:color w:val="000000"/>
          <w:sz w:val="24"/>
          <w:u w:val="single"/>
        </w:rPr>
        <w:t>Section 11.02</w:t>
      </w:r>
      <w:r>
        <w:rPr>
          <w:color w:val="000000"/>
        </w:rPr>
        <w:t xml:space="preserve"> </w:t>
      </w:r>
      <w:r>
        <w:rPr>
          <w:rFonts w:ascii="Times New Roman;serif" w:hAnsi="Times New Roman;serif"/>
          <w:b w:val="false"/>
          <w:color w:val="000000"/>
          <w:sz w:val="24"/>
        </w:rPr>
        <w:t>thereof.</w:t>
      </w:r>
    </w:p>
    <w:p>
      <w:pPr>
        <w:pStyle w:val="TextBody"/>
        <w:bidi w:val="0"/>
        <w:spacing w:before="0" w:after="0"/>
        <w:jc w:val="left"/>
        <w:rPr/>
      </w:pPr>
      <w:r>
        <w:rPr/>
      </w:r>
      <w:r>
        <mc:AlternateContent>
          <mc:Choice Requires="wps">
            <w:drawing>
              <wp:anchor behindDoc="0" distT="0" distB="0" distL="0" distR="0" simplePos="0" locked="0" layoutInCell="1" allowOverlap="1" relativeHeight="289">
                <wp:simplePos x="0" y="0"/>
                <wp:positionH relativeFrom="character">
                  <wp:align>left</wp:align>
                </wp:positionH>
                <wp:positionV relativeFrom="line">
                  <wp:posOffset>635</wp:posOffset>
                </wp:positionV>
                <wp:extent cx="6480175" cy="175260"/>
                <wp:effectExtent l="0" t="0" r="0" b="0"/>
                <wp:wrapNone/>
                <wp:docPr id="288" name="Frame28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E-1</w:t>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00000"/>
          <w:sz w:val="24"/>
        </w:rPr>
        <w:t>3.</w:t>
      </w:r>
      <w:r>
        <w:rPr>
          <w:rFonts w:ascii="Times New Roman;serif" w:hAnsi="Times New Roman;serif"/>
          <w:b w:val="false"/>
          <w:i/>
          <w:color w:val="000000"/>
          <w:sz w:val="24"/>
        </w:rPr>
        <w:t>NEW YORK LAW TO</w:t>
      </w:r>
      <w:r>
        <w:rPr>
          <w:color w:val="000000"/>
        </w:rPr>
        <w:t xml:space="preserve"> </w:t>
      </w:r>
      <w:r>
        <w:rPr>
          <w:rFonts w:ascii="Times New Roman;serif" w:hAnsi="Times New Roman;serif"/>
          <w:b w:val="false"/>
          <w:i/>
          <w:color w:val="000000"/>
          <w:sz w:val="24"/>
        </w:rPr>
        <w:t>GOVERN</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THIS</w:t>
      </w:r>
      <w:r>
        <w:rPr>
          <w:color w:val="000000"/>
        </w:rPr>
        <w:t xml:space="preserve"> </w:t>
      </w:r>
      <w:r>
        <w:rPr>
          <w:rFonts w:ascii="Times New Roman;serif" w:hAnsi="Times New Roman;serif"/>
          <w:b w:val="false"/>
          <w:color w:val="000000"/>
          <w:sz w:val="24"/>
        </w:rPr>
        <w:t>SUPPLEMENTAL</w:t>
      </w:r>
      <w:r>
        <w:rPr>
          <w:color w:val="000000"/>
        </w:rPr>
        <w:t xml:space="preserve"> </w:t>
      </w:r>
      <w:r>
        <w:rPr>
          <w:rFonts w:ascii="Times New Roman;serif" w:hAnsi="Times New Roman;serif"/>
          <w:b w:val="false"/>
          <w:color w:val="000000"/>
          <w:sz w:val="24"/>
        </w:rPr>
        <w:t>INDENTURE</w:t>
      </w:r>
      <w:r>
        <w:rPr>
          <w:color w:val="000000"/>
        </w:rPr>
        <w:t xml:space="preserve"> </w:t>
      </w:r>
      <w:r>
        <w:rPr>
          <w:rFonts w:ascii="Times New Roman;serif" w:hAnsi="Times New Roman;serif"/>
          <w:b w:val="false"/>
          <w:color w:val="000000"/>
          <w:sz w:val="24"/>
        </w:rPr>
        <w:t>SHALL</w:t>
      </w:r>
      <w:r>
        <w:rPr>
          <w:color w:val="000000"/>
        </w:rPr>
        <w:t xml:space="preserve"> </w:t>
      </w:r>
      <w:r>
        <w:rPr>
          <w:rFonts w:ascii="Times New Roman;serif" w:hAnsi="Times New Roman;serif"/>
          <w:b w:val="false"/>
          <w:color w:val="000000"/>
          <w:sz w:val="24"/>
        </w:rPr>
        <w:t>BE</w:t>
      </w:r>
      <w:r>
        <w:rPr>
          <w:color w:val="000000"/>
        </w:rPr>
        <w:t xml:space="preserve"> </w:t>
      </w:r>
      <w:r>
        <w:rPr>
          <w:rFonts w:ascii="Times New Roman;serif" w:hAnsi="Times New Roman;serif"/>
          <w:b w:val="false"/>
          <w:color w:val="000000"/>
          <w:sz w:val="24"/>
        </w:rPr>
        <w:t>GOVERNED</w:t>
      </w:r>
      <w:r>
        <w:rPr>
          <w:color w:val="000000"/>
        </w:rPr>
        <w:t xml:space="preserve"> </w:t>
      </w:r>
      <w:r>
        <w:rPr>
          <w:rFonts w:ascii="Times New Roman;serif" w:hAnsi="Times New Roman;serif"/>
          <w:b w:val="false"/>
          <w:color w:val="000000"/>
          <w:sz w:val="24"/>
        </w:rPr>
        <w:t>BY</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CONSTRUED</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ACCORDANCE</w:t>
      </w:r>
      <w:r>
        <w:rPr>
          <w:color w:val="000000"/>
        </w:rPr>
        <w:t xml:space="preserve"> </w:t>
      </w:r>
      <w:r>
        <w:rPr>
          <w:rFonts w:ascii="Times New Roman;serif" w:hAnsi="Times New Roman;serif"/>
          <w:b w:val="false"/>
          <w:color w:val="000000"/>
          <w:sz w:val="24"/>
        </w:rPr>
        <w:t>WITH</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LAWS</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STATE</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NEW</w:t>
      </w:r>
      <w:r>
        <w:rPr>
          <w:color w:val="000000"/>
        </w:rPr>
        <w:t xml:space="preserve"> </w:t>
      </w:r>
      <w:r>
        <w:rPr>
          <w:rFonts w:ascii="Times New Roman;serif" w:hAnsi="Times New Roman;serif"/>
          <w:b w:val="false"/>
          <w:color w:val="000000"/>
          <w:sz w:val="24"/>
        </w:rPr>
        <w:t>YORK.</w:t>
      </w:r>
    </w:p>
    <w:p>
      <w:pPr>
        <w:pStyle w:val="TextBody"/>
        <w:bidi w:val="0"/>
        <w:spacing w:lineRule="auto" w:line="240" w:before="0" w:after="240"/>
        <w:ind w:left="0" w:right="0" w:firstLine="720"/>
        <w:jc w:val="both"/>
        <w:rPr/>
      </w:pPr>
      <w:r>
        <w:rPr>
          <w:rFonts w:ascii="Times New Roman;serif" w:hAnsi="Times New Roman;serif"/>
          <w:b w:val="false"/>
          <w:color w:val="000000"/>
          <w:sz w:val="24"/>
        </w:rPr>
        <w:t>4.</w:t>
      </w:r>
      <w:r>
        <w:rPr>
          <w:rFonts w:ascii="Times New Roman;serif" w:hAnsi="Times New Roman;serif"/>
          <w:b w:val="false"/>
          <w:i/>
          <w:color w:val="000000"/>
          <w:sz w:val="24"/>
        </w:rPr>
        <w:t>Counterparts</w:t>
      </w:r>
      <w:r>
        <w:rPr>
          <w:rFonts w:ascii="Times New Roman;serif" w:hAnsi="Times New Roman;serif"/>
          <w:b w:val="false"/>
          <w:color w:val="000000"/>
          <w:sz w:val="24"/>
        </w:rPr>
        <w:t>. The parties may sign any number of copies of this Supplemental Indenture. Each signed copy shall be an original, but all</w:t>
      </w:r>
      <w:r>
        <w:rPr>
          <w:color w:val="000000"/>
        </w:rPr>
        <w:t xml:space="preserve"> </w:t>
      </w:r>
      <w:r>
        <w:rPr>
          <w:rFonts w:ascii="Times New Roman;serif" w:hAnsi="Times New Roman;serif"/>
          <w:b w:val="false"/>
          <w:color w:val="000000"/>
          <w:sz w:val="24"/>
        </w:rPr>
        <w:t>of them together represent the same agreement.</w:t>
      </w:r>
    </w:p>
    <w:p>
      <w:pPr>
        <w:pStyle w:val="TextBody"/>
        <w:bidi w:val="0"/>
        <w:spacing w:lineRule="auto" w:line="240" w:before="0" w:after="240"/>
        <w:ind w:left="0" w:right="0" w:firstLine="720"/>
        <w:jc w:val="both"/>
        <w:rPr/>
      </w:pPr>
      <w:r>
        <w:rPr>
          <w:rFonts w:ascii="Times New Roman;serif" w:hAnsi="Times New Roman;serif"/>
          <w:b w:val="false"/>
          <w:color w:val="000000"/>
          <w:sz w:val="24"/>
        </w:rPr>
        <w:t>5.</w:t>
      </w:r>
      <w:r>
        <w:rPr>
          <w:rFonts w:ascii="Times New Roman;serif" w:hAnsi="Times New Roman;serif"/>
          <w:b w:val="false"/>
          <w:i/>
          <w:color w:val="000000"/>
          <w:sz w:val="24"/>
        </w:rPr>
        <w:t>Effect of</w:t>
      </w:r>
      <w:r>
        <w:rPr>
          <w:color w:val="000000"/>
        </w:rPr>
        <w:t xml:space="preserve"> </w:t>
      </w:r>
      <w:r>
        <w:rPr>
          <w:rFonts w:ascii="Times New Roman;serif" w:hAnsi="Times New Roman;serif"/>
          <w:b w:val="false"/>
          <w:i/>
          <w:color w:val="000000"/>
          <w:sz w:val="24"/>
        </w:rPr>
        <w:t>Headings</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Section</w:t>
      </w:r>
      <w:r>
        <w:rPr>
          <w:color w:val="000000"/>
        </w:rPr>
        <w:t xml:space="preserve"> </w:t>
      </w:r>
      <w:r>
        <w:rPr>
          <w:rFonts w:ascii="Times New Roman;serif" w:hAnsi="Times New Roman;serif"/>
          <w:b w:val="false"/>
          <w:color w:val="000000"/>
          <w:sz w:val="24"/>
        </w:rPr>
        <w:t>headings</w:t>
      </w:r>
      <w:r>
        <w:rPr>
          <w:color w:val="000000"/>
        </w:rPr>
        <w:t xml:space="preserve"> </w:t>
      </w:r>
      <w:r>
        <w:rPr>
          <w:rFonts w:ascii="Times New Roman;serif" w:hAnsi="Times New Roman;serif"/>
          <w:b w:val="false"/>
          <w:color w:val="000000"/>
          <w:sz w:val="24"/>
        </w:rPr>
        <w:t>herein</w:t>
      </w:r>
      <w:r>
        <w:rPr>
          <w:color w:val="000000"/>
        </w:rPr>
        <w:t xml:space="preserve"> </w:t>
      </w:r>
      <w:r>
        <w:rPr>
          <w:rFonts w:ascii="Times New Roman;serif" w:hAnsi="Times New Roman;serif"/>
          <w:b w:val="false"/>
          <w:color w:val="000000"/>
          <w:sz w:val="24"/>
        </w:rPr>
        <w:t>are</w:t>
      </w:r>
      <w:r>
        <w:rPr>
          <w:color w:val="000000"/>
        </w:rPr>
        <w:t xml:space="preserve"> </w:t>
      </w:r>
      <w:r>
        <w:rPr>
          <w:rFonts w:ascii="Times New Roman;serif" w:hAnsi="Times New Roman;serif"/>
          <w:b w:val="false"/>
          <w:color w:val="000000"/>
          <w:sz w:val="24"/>
        </w:rPr>
        <w:t>for</w:t>
      </w:r>
      <w:r>
        <w:rPr>
          <w:color w:val="000000"/>
        </w:rPr>
        <w:t xml:space="preserve"> </w:t>
      </w:r>
      <w:r>
        <w:rPr>
          <w:rFonts w:ascii="Times New Roman;serif" w:hAnsi="Times New Roman;serif"/>
          <w:b w:val="false"/>
          <w:color w:val="000000"/>
          <w:sz w:val="24"/>
        </w:rPr>
        <w:t>convenience</w:t>
      </w:r>
      <w:r>
        <w:rPr>
          <w:color w:val="000000"/>
        </w:rPr>
        <w:t xml:space="preserve"> </w:t>
      </w:r>
      <w:r>
        <w:rPr>
          <w:rFonts w:ascii="Times New Roman;serif" w:hAnsi="Times New Roman;serif"/>
          <w:b w:val="false"/>
          <w:color w:val="000000"/>
          <w:sz w:val="24"/>
        </w:rPr>
        <w:t>only</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shall</w:t>
      </w:r>
      <w:r>
        <w:rPr>
          <w:color w:val="000000"/>
        </w:rPr>
        <w:t xml:space="preserve"> </w:t>
      </w:r>
      <w:r>
        <w:rPr>
          <w:rFonts w:ascii="Times New Roman;serif" w:hAnsi="Times New Roman;serif"/>
          <w:b w:val="false"/>
          <w:color w:val="000000"/>
          <w:sz w:val="24"/>
        </w:rPr>
        <w:t>not</w:t>
      </w:r>
      <w:r>
        <w:rPr>
          <w:color w:val="000000"/>
        </w:rPr>
        <w:t xml:space="preserve"> </w:t>
      </w:r>
      <w:r>
        <w:rPr>
          <w:rFonts w:ascii="Times New Roman;serif" w:hAnsi="Times New Roman;serif"/>
          <w:b w:val="false"/>
          <w:color w:val="000000"/>
          <w:sz w:val="24"/>
        </w:rPr>
        <w:t>affect</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construction</w:t>
      </w:r>
      <w:r>
        <w:rPr>
          <w:color w:val="000000"/>
        </w:rPr>
        <w:t xml:space="preserve"> </w:t>
      </w:r>
      <w:r>
        <w:rPr>
          <w:rFonts w:ascii="Times New Roman;serif" w:hAnsi="Times New Roman;serif"/>
          <w:b w:val="false"/>
          <w:color w:val="000000"/>
          <w:sz w:val="24"/>
        </w:rPr>
        <w:t>hereof.</w:t>
      </w:r>
    </w:p>
    <w:p>
      <w:pPr>
        <w:pStyle w:val="TextBody"/>
        <w:bidi w:val="0"/>
        <w:spacing w:lineRule="auto" w:line="240" w:before="0" w:after="240"/>
        <w:ind w:left="0" w:right="0" w:firstLine="720"/>
        <w:jc w:val="both"/>
        <w:rPr/>
      </w:pPr>
      <w:r>
        <w:rPr>
          <w:rFonts w:ascii="Times New Roman;serif" w:hAnsi="Times New Roman;serif"/>
          <w:b w:val="false"/>
          <w:color w:val="000000"/>
          <w:sz w:val="24"/>
        </w:rPr>
        <w:t>6.</w:t>
      </w:r>
      <w:r>
        <w:rPr>
          <w:rFonts w:ascii="Times New Roman;serif" w:hAnsi="Times New Roman;serif"/>
          <w:b w:val="false"/>
          <w:i/>
          <w:color w:val="000000"/>
          <w:sz w:val="24"/>
        </w:rPr>
        <w:t>The Trustee</w:t>
      </w:r>
      <w:r>
        <w:rPr>
          <w:rFonts w:ascii="Times New Roman;serif" w:hAnsi="Times New Roman;serif"/>
          <w:b w:val="false"/>
          <w:color w:val="000000"/>
          <w:sz w:val="24"/>
        </w:rPr>
        <w:t>. The Trustee shall not be responsible in any manner whatsoever for or in respect of the validity or sufficiency of this</w:t>
      </w:r>
      <w:r>
        <w:rPr>
          <w:color w:val="000000"/>
        </w:rPr>
        <w:t xml:space="preserve"> </w:t>
      </w:r>
      <w:r>
        <w:rPr>
          <w:rFonts w:ascii="Times New Roman;serif" w:hAnsi="Times New Roman;serif"/>
          <w:b w:val="false"/>
          <w:color w:val="000000"/>
          <w:sz w:val="24"/>
        </w:rPr>
        <w:t>Supplemental Indenture or for or in respect of the recitals contained herein, all of which recitals are made solely by the Guaranteeing Subsidiaries and the</w:t>
      </w:r>
      <w:r>
        <w:rPr>
          <w:color w:val="000000"/>
        </w:rPr>
        <w:t xml:space="preserve"> </w:t>
      </w:r>
      <w:r>
        <w:rPr>
          <w:rFonts w:ascii="Times New Roman;serif" w:hAnsi="Times New Roman;serif"/>
          <w:b w:val="false"/>
          <w:color w:val="000000"/>
          <w:sz w:val="24"/>
        </w:rPr>
        <w:t>Issuer.</w:t>
      </w:r>
    </w:p>
    <w:p>
      <w:pPr>
        <w:pStyle w:val="TextBody"/>
        <w:bidi w:val="0"/>
        <w:spacing w:lineRule="auto" w:line="240" w:before="0" w:after="240"/>
        <w:ind w:left="0" w:right="0" w:firstLine="720"/>
        <w:jc w:val="both"/>
        <w:rPr/>
      </w:pPr>
      <w:r>
        <w:rPr>
          <w:rFonts w:ascii="Times New Roman;serif" w:hAnsi="Times New Roman;serif"/>
          <w:b w:val="false"/>
          <w:color w:val="000000"/>
          <w:sz w:val="24"/>
        </w:rPr>
        <w:t>7.</w:t>
      </w:r>
      <w:r>
        <w:rPr>
          <w:rFonts w:ascii="Times New Roman;serif" w:hAnsi="Times New Roman;serif"/>
          <w:b w:val="false"/>
          <w:i/>
          <w:color w:val="000000"/>
          <w:sz w:val="24"/>
        </w:rPr>
        <w:t>Ratification of Indenture; Supplemental Indenture Part of Indenture</w:t>
      </w:r>
      <w:r>
        <w:rPr>
          <w:rFonts w:ascii="Times New Roman;serif" w:hAnsi="Times New Roman;serif"/>
          <w:b w:val="false"/>
          <w:color w:val="000000"/>
          <w:sz w:val="24"/>
        </w:rPr>
        <w:t>. Except as expressly amended hereby, the Indenture is in all respects</w:t>
      </w:r>
      <w:r>
        <w:rPr>
          <w:color w:val="000000"/>
        </w:rPr>
        <w:t xml:space="preserve"> </w:t>
      </w:r>
      <w:r>
        <w:rPr>
          <w:rFonts w:ascii="Times New Roman;serif" w:hAnsi="Times New Roman;serif"/>
          <w:b w:val="false"/>
          <w:color w:val="000000"/>
          <w:sz w:val="24"/>
        </w:rPr>
        <w:t>ratified and confirmed and all the terms, conditions and provisions thereof shall remain in full force and effect. This Supplemental Indenture shall form a</w:t>
      </w:r>
      <w:r>
        <w:rPr>
          <w:color w:val="000000"/>
        </w:rPr>
        <w:t xml:space="preserve"> </w:t>
      </w:r>
      <w:r>
        <w:rPr>
          <w:rFonts w:ascii="Times New Roman;serif" w:hAnsi="Times New Roman;serif"/>
          <w:b w:val="false"/>
          <w:color w:val="000000"/>
          <w:sz w:val="24"/>
        </w:rPr>
        <w:t>part of the Indenture for all purposes, and every Holder of Notes heretofore or hereafter authenticated and delivered shall be bound hereby.</w:t>
      </w:r>
    </w:p>
    <w:p>
      <w:pPr>
        <w:pStyle w:val="TextBody"/>
        <w:bidi w:val="0"/>
        <w:spacing w:lineRule="auto" w:line="288" w:before="0" w:after="240"/>
        <w:jc w:val="center"/>
        <w:rPr/>
      </w:pPr>
      <w:r>
        <w:rPr>
          <w:rFonts w:ascii="Times New Roman;serif" w:hAnsi="Times New Roman;serif"/>
          <w:b w:val="false"/>
          <w:color w:val="000000"/>
          <w:sz w:val="24"/>
        </w:rPr>
        <w:t>[</w:t>
      </w:r>
      <w:r>
        <w:rPr>
          <w:rFonts w:ascii="Times New Roman;serif" w:hAnsi="Times New Roman;serif"/>
          <w:b w:val="false"/>
          <w:i/>
          <w:color w:val="000000"/>
          <w:sz w:val="24"/>
        </w:rPr>
        <w:t>Signature</w:t>
      </w:r>
      <w:r>
        <w:rPr>
          <w:color w:val="000000"/>
        </w:rPr>
        <w:t xml:space="preserve"> </w:t>
      </w:r>
      <w:r>
        <w:rPr>
          <w:rFonts w:ascii="Times New Roman;serif" w:hAnsi="Times New Roman;serif"/>
          <w:b w:val="false"/>
          <w:i/>
          <w:color w:val="000000"/>
          <w:sz w:val="24"/>
        </w:rPr>
        <w:t>Page</w:t>
      </w:r>
      <w:r>
        <w:rPr>
          <w:color w:val="000000"/>
        </w:rPr>
        <w:t xml:space="preserve"> </w:t>
      </w:r>
      <w:r>
        <w:rPr>
          <w:rFonts w:ascii="Times New Roman;serif" w:hAnsi="Times New Roman;serif"/>
          <w:b w:val="false"/>
          <w:i/>
          <w:color w:val="000000"/>
          <w:sz w:val="24"/>
        </w:rPr>
        <w:t>Follows</w:t>
      </w:r>
      <w:r>
        <w:rPr>
          <w:rFonts w:ascii="Times New Roman;serif" w:hAnsi="Times New Roman;serif"/>
          <w:b w:val="false"/>
          <w:color w:val="000000"/>
          <w:sz w:val="24"/>
        </w:rPr>
        <w:t>]</w:t>
      </w:r>
    </w:p>
    <w:p>
      <w:pPr>
        <w:pStyle w:val="TextBody"/>
        <w:bidi w:val="0"/>
        <w:spacing w:before="0" w:after="0"/>
        <w:jc w:val="left"/>
        <w:rPr/>
      </w:pPr>
      <w:r>
        <w:rPr/>
      </w:r>
      <w:r>
        <mc:AlternateContent>
          <mc:Choice Requires="wps">
            <w:drawing>
              <wp:anchor behindDoc="0" distT="0" distB="0" distL="0" distR="0" simplePos="0" locked="0" layoutInCell="1" allowOverlap="1" relativeHeight="290">
                <wp:simplePos x="0" y="0"/>
                <wp:positionH relativeFrom="character">
                  <wp:align>left</wp:align>
                </wp:positionH>
                <wp:positionV relativeFrom="line">
                  <wp:posOffset>635</wp:posOffset>
                </wp:positionV>
                <wp:extent cx="6480175" cy="175260"/>
                <wp:effectExtent l="0" t="0" r="0" b="0"/>
                <wp:wrapNone/>
                <wp:docPr id="289" name="Frame28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E-2</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4"/>
        </w:rPr>
        <w:t>IN WITNESS WHEREOF, the parties hereto have caused this Supplemental Indenture to be duly executed and attested, all as of the date first</w:t>
      </w:r>
      <w:r>
        <w:rPr>
          <w:color w:val="000000"/>
        </w:rPr>
        <w:t xml:space="preserve"> </w:t>
      </w:r>
      <w:r>
        <w:rPr>
          <w:rFonts w:ascii="Times New Roman;serif" w:hAnsi="Times New Roman;serif"/>
          <w:b w:val="false"/>
          <w:color w:val="000000"/>
          <w:sz w:val="24"/>
        </w:rPr>
        <w:t>above written.</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Dated:    _______________ , 20[ ]</w:t>
      </w:r>
    </w:p>
    <w:p>
      <w:pPr>
        <w:pStyle w:val="TextBody"/>
        <w:bidi w:val="0"/>
        <w:spacing w:lineRule="auto" w:line="288" w:before="0" w:after="240"/>
        <w:jc w:val="left"/>
        <w:rPr>
          <w:rFonts w:ascii="Times New Roman;serif" w:hAnsi="Times New Roman;serif"/>
          <w:b/>
          <w:color w:val="000000"/>
          <w:sz w:val="24"/>
        </w:rPr>
      </w:pPr>
      <w:r>
        <w:rPr>
          <w:rFonts w:ascii="Times New Roman;serif" w:hAnsi="Times New Roman;serif"/>
          <w:b/>
          <w:color w:val="000000"/>
          <w:sz w:val="24"/>
        </w:rPr>
        <w:t>[GUARANTEEING SUBSIDIARIES]</w:t>
      </w:r>
    </w:p>
    <w:p>
      <w:pPr>
        <w:pStyle w:val="TextBody"/>
        <w:bidi w:val="0"/>
        <w:spacing w:lineRule="auto" w:line="288" w:before="0" w:after="240"/>
        <w:jc w:val="left"/>
        <w:rPr/>
      </w:pPr>
      <w:r>
        <w:rPr>
          <w:rFonts w:ascii="Times New Roman;serif" w:hAnsi="Times New Roman;serif"/>
          <w:b w:val="false"/>
          <w:color w:val="000000"/>
          <w:sz w:val="24"/>
        </w:rPr>
        <w:t>By:    </w:t>
      </w:r>
      <w:r>
        <w:rPr>
          <w:color w:val="000000"/>
          <w:u w:val="single"/>
        </w:rPr>
        <w:t>        </w:t>
      </w:r>
      <w:r>
        <w:rPr>
          <w:rFonts w:ascii="Times New Roman;serif" w:hAnsi="Times New Roman;serif"/>
          <w:b w:val="false"/>
          <w:color w:val="000000"/>
          <w:sz w:val="24"/>
          <w:u w:val="single"/>
        </w:rPr>
        <w:br/>
      </w:r>
      <w:r>
        <w:rPr>
          <w:color w:val="000000"/>
        </w:rPr>
        <w:t>    </w:t>
      </w:r>
      <w:r>
        <w:rPr>
          <w:rFonts w:ascii="Times New Roman;serif" w:hAnsi="Times New Roman;serif"/>
          <w:b w:val="false"/>
          <w:color w:val="000000"/>
          <w:sz w:val="24"/>
        </w:rPr>
        <w:t>Name:    </w:t>
        <w:br/>
        <w:t>    Title:    </w:t>
      </w:r>
    </w:p>
    <w:p>
      <w:pPr>
        <w:pStyle w:val="TextBody"/>
        <w:bidi w:val="0"/>
        <w:spacing w:lineRule="auto" w:line="288" w:before="0" w:after="240"/>
        <w:jc w:val="left"/>
        <w:rPr>
          <w:rFonts w:ascii="Times New Roman;serif" w:hAnsi="Times New Roman;serif"/>
          <w:b/>
          <w:color w:val="000000"/>
          <w:sz w:val="24"/>
        </w:rPr>
      </w:pPr>
      <w:r>
        <w:rPr>
          <w:rFonts w:ascii="Times New Roman;serif" w:hAnsi="Times New Roman;serif"/>
          <w:b/>
          <w:color w:val="000000"/>
          <w:sz w:val="24"/>
        </w:rPr>
        <w:t>TALEN ENERGY SUPPLY, LLC</w:t>
      </w:r>
    </w:p>
    <w:p>
      <w:pPr>
        <w:pStyle w:val="TextBody"/>
        <w:bidi w:val="0"/>
        <w:spacing w:lineRule="auto" w:line="288" w:before="0" w:after="240"/>
        <w:jc w:val="left"/>
        <w:rPr/>
      </w:pPr>
      <w:r>
        <w:rPr>
          <w:rFonts w:ascii="Times New Roman;serif" w:hAnsi="Times New Roman;serif"/>
          <w:b w:val="false"/>
          <w:color w:val="000000"/>
          <w:sz w:val="24"/>
        </w:rPr>
        <w:t>By:    </w:t>
      </w:r>
      <w:r>
        <w:rPr>
          <w:color w:val="000000"/>
          <w:u w:val="single"/>
        </w:rPr>
        <w:t>        </w:t>
      </w:r>
      <w:r>
        <w:rPr>
          <w:rFonts w:ascii="Times New Roman;serif" w:hAnsi="Times New Roman;serif"/>
          <w:b w:val="false"/>
          <w:color w:val="000000"/>
          <w:sz w:val="24"/>
          <w:u w:val="single"/>
        </w:rPr>
        <w:br/>
      </w:r>
      <w:r>
        <w:rPr>
          <w:color w:val="000000"/>
        </w:rPr>
        <w:t>    </w:t>
      </w:r>
      <w:r>
        <w:rPr>
          <w:rFonts w:ascii="Times New Roman;serif" w:hAnsi="Times New Roman;serif"/>
          <w:b w:val="false"/>
          <w:color w:val="000000"/>
          <w:sz w:val="24"/>
        </w:rPr>
        <w:t>Name:    </w:t>
        <w:br/>
        <w:t>    Title:    </w:t>
      </w:r>
    </w:p>
    <w:p>
      <w:pPr>
        <w:pStyle w:val="TextBody"/>
        <w:bidi w:val="0"/>
        <w:spacing w:lineRule="auto" w:line="288" w:before="0" w:after="240"/>
        <w:jc w:val="left"/>
        <w:rPr/>
      </w:pPr>
      <w:r>
        <w:rPr>
          <w:rFonts w:ascii="Times New Roman;serif" w:hAnsi="Times New Roman;serif"/>
          <w:b/>
          <w:color w:val="000000"/>
          <w:sz w:val="24"/>
        </w:rPr>
        <w:t>WILMINGTON SAVINGS FUND SOCIETY, FSB,</w:t>
        <w:br/>
      </w:r>
      <w:r>
        <w:rPr>
          <w:rFonts w:ascii="Times New Roman;serif" w:hAnsi="Times New Roman;serif"/>
          <w:b w:val="false"/>
          <w:color w:val="000000"/>
          <w:sz w:val="24"/>
        </w:rPr>
        <w:t>as Trustee</w:t>
      </w:r>
    </w:p>
    <w:p>
      <w:pPr>
        <w:pStyle w:val="TextBody"/>
        <w:bidi w:val="0"/>
        <w:spacing w:lineRule="auto" w:line="288" w:before="0" w:after="240"/>
        <w:jc w:val="left"/>
        <w:rPr/>
      </w:pPr>
      <w:r>
        <w:rPr>
          <w:rFonts w:ascii="Times New Roman;serif" w:hAnsi="Times New Roman;serif"/>
          <w:b w:val="false"/>
          <w:color w:val="000000"/>
          <w:sz w:val="24"/>
        </w:rPr>
        <w:t>By:    </w:t>
      </w:r>
      <w:r>
        <w:rPr>
          <w:color w:val="000000"/>
          <w:u w:val="single"/>
        </w:rPr>
        <w:t>        </w:t>
      </w:r>
      <w:r>
        <w:rPr>
          <w:rFonts w:ascii="Times New Roman;serif" w:hAnsi="Times New Roman;serif"/>
          <w:b w:val="false"/>
          <w:color w:val="000000"/>
          <w:sz w:val="24"/>
          <w:u w:val="single"/>
        </w:rPr>
        <w:br/>
      </w:r>
      <w:r>
        <w:rPr>
          <w:color w:val="000000"/>
        </w:rPr>
        <w:t>    </w:t>
      </w:r>
      <w:r>
        <w:rPr>
          <w:rFonts w:ascii="Times New Roman;serif" w:hAnsi="Times New Roman;serif"/>
          <w:b w:val="false"/>
          <w:color w:val="000000"/>
          <w:sz w:val="24"/>
        </w:rPr>
        <w:t>Name:    </w:t>
        <w:br/>
        <w:t>    Title: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91">
                <wp:simplePos x="0" y="0"/>
                <wp:positionH relativeFrom="character">
                  <wp:align>left</wp:align>
                </wp:positionH>
                <wp:positionV relativeFrom="line">
                  <wp:posOffset>635</wp:posOffset>
                </wp:positionV>
                <wp:extent cx="6480175" cy="175260"/>
                <wp:effectExtent l="0" t="0" r="0" b="0"/>
                <wp:wrapNone/>
                <wp:docPr id="290" name="Frame29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E-3</w:t>
                      </w:r>
                    </w:p>
                  </w:txbxContent>
                </v:textbox>
                <w10:wrap type="none"/>
              </v:rect>
            </w:pict>
          </mc:Fallback>
        </mc:AlternateContent>
      </w:r>
    </w:p>
    <w:p>
      <w:pPr>
        <w:pStyle w:val="TextBody"/>
        <w:bidi w:val="0"/>
        <w:spacing w:lineRule="auto" w:line="240" w:before="0" w:after="240"/>
        <w:jc w:val="center"/>
        <w:rPr/>
      </w:pPr>
      <w:r>
        <w:rPr>
          <w:rFonts w:ascii="Times New Roman;serif" w:hAnsi="Times New Roman;serif"/>
          <w:b/>
          <w:color w:val="000000"/>
          <w:sz w:val="24"/>
          <w:u w:val="single"/>
        </w:rPr>
        <w:t>Schedule</w:t>
      </w:r>
      <w:r>
        <w:rPr>
          <w:color w:val="000000"/>
          <w:u w:val="single"/>
        </w:rPr>
        <w:t xml:space="preserve"> </w:t>
      </w:r>
      <w:r>
        <w:rPr>
          <w:rFonts w:ascii="Times New Roman;serif" w:hAnsi="Times New Roman;serif"/>
          <w:b/>
          <w:color w:val="000000"/>
          <w:sz w:val="24"/>
          <w:u w:val="single"/>
        </w:rPr>
        <w:t>I</w:t>
      </w:r>
    </w:p>
    <w:p>
      <w:pPr>
        <w:pStyle w:val="TextBody"/>
        <w:bidi w:val="0"/>
        <w:spacing w:lineRule="auto" w:line="240" w:before="0" w:after="240"/>
        <w:jc w:val="center"/>
        <w:rPr/>
      </w:pPr>
      <w:r>
        <w:rPr>
          <w:rFonts w:ascii="Times New Roman;serif" w:hAnsi="Times New Roman;serif"/>
          <w:b/>
          <w:color w:val="000000"/>
          <w:sz w:val="24"/>
        </w:rPr>
        <w:t>Guaranteeing</w:t>
      </w:r>
      <w:r>
        <w:rPr>
          <w:color w:val="000000"/>
        </w:rPr>
        <w:t xml:space="preserve"> </w:t>
      </w:r>
      <w:r>
        <w:rPr>
          <w:rFonts w:ascii="Times New Roman;serif" w:hAnsi="Times New Roman;serif"/>
          <w:b/>
          <w:color w:val="000000"/>
          <w:sz w:val="24"/>
        </w:rPr>
        <w:t>Subsidiaries</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40"/>
        <w:ind w:left="0" w:right="0" w:firstLine="360"/>
        <w:jc w:val="left"/>
        <w:rPr/>
      </w:pPr>
      <w:r>
        <w:rPr/>
      </w:r>
    </w:p>
    <w:p>
      <w:pPr>
        <w:pStyle w:val="TextBody"/>
        <w:bidi w:val="0"/>
        <w:spacing w:before="0" w:after="240"/>
        <w:jc w:val="center"/>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Arial;sans-serif" w:hAnsi="Arial;sans-serif"/>
          <w:b w:val="false"/>
          <w:color w:val="000000"/>
          <w:sz w:val="18"/>
        </w:rPr>
      </w:pPr>
      <w:r>
        <w:rPr>
          <w:rFonts w:ascii="Arial;sans-serif" w:hAnsi="Arial;sans-serif"/>
          <w:b w:val="false"/>
          <w:color w:val="000000"/>
          <w:sz w:val="18"/>
        </w:rPr>
        <w:t>Exhibit 31.1</w:t>
      </w:r>
      <w:r>
        <mc:AlternateContent>
          <mc:Choice Requires="wps">
            <w:drawing>
              <wp:anchor behindDoc="0" distT="0" distB="0" distL="0" distR="0" simplePos="0" locked="0" layoutInCell="1" allowOverlap="1" relativeHeight="292">
                <wp:simplePos x="0" y="0"/>
                <wp:positionH relativeFrom="character">
                  <wp:align>left</wp:align>
                </wp:positionH>
                <wp:positionV relativeFrom="line">
                  <wp:posOffset>635</wp:posOffset>
                </wp:positionV>
                <wp:extent cx="6480175" cy="175260"/>
                <wp:effectExtent l="0" t="0" r="0" b="0"/>
                <wp:wrapNone/>
                <wp:docPr id="291" name="Frame29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SCH-1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4.9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SCH-1</w:t>
                      </w:r>
                    </w:p>
                  </w:txbxContent>
                </v:textbox>
                <w10:wrap type="none"/>
              </v:rect>
            </w:pict>
          </mc:Fallback>
        </mc:AlternateContent>
      </w:r>
    </w:p>
    <w:p>
      <w:pPr>
        <w:pStyle w:val="TextBody"/>
        <w:bidi w:val="0"/>
        <w:spacing w:lineRule="auto" w:line="288" w:before="0" w:after="180"/>
        <w:ind w:left="0" w:right="0" w:firstLine="720"/>
        <w:jc w:val="center"/>
        <w:rPr>
          <w:rFonts w:ascii="Arial;sans-serif" w:hAnsi="Arial;sans-serif"/>
          <w:b/>
          <w:color w:val="000000"/>
          <w:sz w:val="18"/>
        </w:rPr>
      </w:pPr>
      <w:r>
        <w:rPr>
          <w:rFonts w:ascii="Arial;sans-serif" w:hAnsi="Arial;sans-serif"/>
          <w:b/>
          <w:color w:val="000000"/>
          <w:sz w:val="18"/>
        </w:rPr>
        <w:t>Certification Pursuant to Rules 13a-14(a) and 15d-14(a) under the Securities Exchange Act of 1934, as Adopted Pursuant to Section 302 of the Sarbanes-Oxley Act of 2002</w:t>
      </w:r>
    </w:p>
    <w:p>
      <w:pPr>
        <w:pStyle w:val="TextBody"/>
        <w:bidi w:val="0"/>
        <w:spacing w:lineRule="auto" w:line="288" w:before="0" w:after="180"/>
        <w:ind w:left="0" w:right="0" w:firstLine="180"/>
        <w:jc w:val="left"/>
        <w:rPr>
          <w:rFonts w:ascii="Arial;sans-serif" w:hAnsi="Arial;sans-serif"/>
          <w:b w:val="false"/>
          <w:color w:val="000000"/>
          <w:sz w:val="18"/>
        </w:rPr>
      </w:pPr>
      <w:r>
        <w:rPr>
          <w:rFonts w:ascii="Arial;sans-serif" w:hAnsi="Arial;sans-serif"/>
          <w:b w:val="false"/>
          <w:color w:val="000000"/>
          <w:sz w:val="18"/>
        </w:rPr>
        <w:t>I, Mark “Mac” A. McFarland, certify that:</w:t>
      </w:r>
    </w:p>
    <w:p>
      <w:pPr>
        <w:pStyle w:val="TextBody"/>
        <w:bidi w:val="0"/>
        <w:spacing w:lineRule="auto" w:line="288" w:before="0" w:after="180"/>
        <w:ind w:left="0" w:right="0" w:hanging="630"/>
        <w:jc w:val="left"/>
        <w:rPr>
          <w:rFonts w:ascii="Arial;sans-serif" w:hAnsi="Arial;sans-serif"/>
          <w:b w:val="false"/>
          <w:color w:val="000000"/>
          <w:sz w:val="18"/>
        </w:rPr>
      </w:pPr>
      <w:r>
        <w:rPr>
          <w:rFonts w:ascii="Arial;sans-serif" w:hAnsi="Arial;sans-serif"/>
          <w:b w:val="false"/>
          <w:color w:val="000000"/>
          <w:sz w:val="18"/>
        </w:rPr>
        <w:t>1.I have reviewed this quarterly report on Form 10-Q of Talen Energy Corporation (the “registrant”);</w:t>
      </w:r>
    </w:p>
    <w:p>
      <w:pPr>
        <w:pStyle w:val="TextBody"/>
        <w:bidi w:val="0"/>
        <w:spacing w:lineRule="auto" w:line="288" w:before="0" w:after="180"/>
        <w:ind w:left="0" w:right="0" w:hanging="630"/>
        <w:jc w:val="left"/>
        <w:rPr>
          <w:rFonts w:ascii="Arial;sans-serif" w:hAnsi="Arial;sans-serif"/>
          <w:b w:val="false"/>
          <w:color w:val="000000"/>
          <w:sz w:val="18"/>
        </w:rPr>
      </w:pPr>
      <w:r>
        <w:rPr>
          <w:rFonts w:ascii="Arial;sans-serif" w:hAnsi="Arial;sans-serif"/>
          <w:b w:val="false"/>
          <w:color w:val="000000"/>
          <w:sz w:val="18"/>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180"/>
        <w:ind w:left="0" w:right="0" w:hanging="630"/>
        <w:jc w:val="left"/>
        <w:rPr>
          <w:rFonts w:ascii="Arial;sans-serif" w:hAnsi="Arial;sans-serif"/>
          <w:b w:val="false"/>
          <w:color w:val="000000"/>
          <w:sz w:val="18"/>
        </w:rPr>
      </w:pPr>
      <w:r>
        <w:rPr>
          <w:rFonts w:ascii="Arial;sans-serif" w:hAnsi="Arial;sans-serif"/>
          <w:b w:val="false"/>
          <w:color w:val="000000"/>
          <w:sz w:val="18"/>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180"/>
        <w:ind w:left="0" w:right="0" w:hanging="630"/>
        <w:jc w:val="left"/>
        <w:rPr>
          <w:rFonts w:ascii="Arial;sans-serif" w:hAnsi="Arial;sans-serif"/>
          <w:b w:val="false"/>
          <w:color w:val="000000"/>
          <w:sz w:val="18"/>
        </w:rPr>
      </w:pPr>
      <w:r>
        <w:rPr>
          <w:rFonts w:ascii="Arial;sans-serif" w:hAnsi="Arial;sans-serif"/>
          <w:b w:val="false"/>
          <w:color w:val="000000"/>
          <w:sz w:val="18"/>
        </w:rPr>
        <w:t xml:space="preserve">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lineRule="auto" w:line="288" w:before="0" w:after="180"/>
        <w:ind w:left="0" w:right="0" w:hanging="540"/>
        <w:jc w:val="left"/>
        <w:rPr>
          <w:rFonts w:ascii="Arial;sans-serif" w:hAnsi="Arial;sans-serif"/>
          <w:b w:val="false"/>
          <w:color w:val="000000"/>
          <w:sz w:val="18"/>
        </w:rPr>
      </w:pPr>
      <w:r>
        <w:rPr>
          <w:rFonts w:ascii="Arial;sans-serif" w:hAnsi="Arial;sans-serif"/>
          <w:b w:val="false"/>
          <w:color w:val="000000"/>
          <w:sz w:val="18"/>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180"/>
        <w:ind w:left="0" w:right="0" w:hanging="540"/>
        <w:jc w:val="left"/>
        <w:rPr>
          <w:rFonts w:ascii="Arial;sans-serif" w:hAnsi="Arial;sans-serif"/>
          <w:b w:val="false"/>
          <w:color w:val="000000"/>
          <w:sz w:val="18"/>
        </w:rPr>
      </w:pPr>
      <w:r>
        <w:rPr>
          <w:rFonts w:ascii="Arial;sans-serif" w:hAnsi="Arial;sans-serif"/>
          <w:b w:val="false"/>
          <w:color w:val="000000"/>
          <w:sz w:val="18"/>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180"/>
        <w:ind w:left="0" w:right="0" w:hanging="540"/>
        <w:jc w:val="left"/>
        <w:rPr>
          <w:rFonts w:ascii="Arial;sans-serif" w:hAnsi="Arial;sans-serif"/>
          <w:b w:val="false"/>
          <w:color w:val="000000"/>
          <w:sz w:val="18"/>
        </w:rPr>
      </w:pPr>
      <w:r>
        <w:rPr>
          <w:rFonts w:ascii="Arial;sans-serif" w:hAnsi="Arial;sans-serif"/>
          <w:b w:val="false"/>
          <w:color w:val="000000"/>
          <w:sz w:val="18"/>
        </w:rPr>
        <w:t xml:space="preserve">c.Evaluated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lineRule="auto" w:line="288" w:before="0" w:after="180"/>
        <w:ind w:left="0" w:right="0" w:hanging="540"/>
        <w:jc w:val="left"/>
        <w:rPr>
          <w:rFonts w:ascii="Arial;sans-serif" w:hAnsi="Arial;sans-serif"/>
          <w:b w:val="false"/>
          <w:color w:val="000000"/>
          <w:sz w:val="18"/>
        </w:rPr>
      </w:pPr>
      <w:r>
        <w:rPr>
          <w:rFonts w:ascii="Arial;sans-serif" w:hAnsi="Arial;sans-serif"/>
          <w:b w:val="false"/>
          <w:color w:val="000000"/>
          <w:sz w:val="18"/>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pStyle w:val="TextBody"/>
        <w:bidi w:val="0"/>
        <w:spacing w:lineRule="auto" w:line="288" w:before="0" w:after="180"/>
        <w:ind w:left="0" w:right="0" w:hanging="630"/>
        <w:jc w:val="left"/>
        <w:rPr>
          <w:rFonts w:ascii="Arial;sans-serif" w:hAnsi="Arial;sans-serif"/>
          <w:b w:val="false"/>
          <w:color w:val="000000"/>
          <w:sz w:val="18"/>
        </w:rPr>
      </w:pPr>
      <w:r>
        <w:rPr>
          <w:rFonts w:ascii="Arial;sans-serif" w:hAnsi="Arial;sans-serif"/>
          <w:b w:val="false"/>
          <w:color w:val="000000"/>
          <w:sz w:val="18"/>
        </w:rPr>
        <w:t xml:space="preserve">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lineRule="auto" w:line="288" w:before="0" w:after="180"/>
        <w:ind w:left="0" w:right="0" w:hanging="540"/>
        <w:jc w:val="left"/>
        <w:rPr>
          <w:rFonts w:ascii="Arial;sans-serif" w:hAnsi="Arial;sans-serif"/>
          <w:b w:val="false"/>
          <w:color w:val="000000"/>
          <w:sz w:val="18"/>
        </w:rPr>
      </w:pPr>
      <w:r>
        <w:rPr>
          <w:rFonts w:ascii="Arial;sans-serif" w:hAnsi="Arial;sans-serif"/>
          <w:b w:val="false"/>
          <w:color w:val="000000"/>
          <w:sz w:val="18"/>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180"/>
        <w:ind w:left="0" w:right="0" w:hanging="540"/>
        <w:jc w:val="left"/>
        <w:rPr>
          <w:rFonts w:ascii="Arial;sans-serif" w:hAnsi="Arial;sans-serif"/>
          <w:b w:val="false"/>
          <w:color w:val="000000"/>
          <w:sz w:val="18"/>
        </w:rPr>
      </w:pPr>
      <w:r>
        <w:rPr>
          <w:rFonts w:ascii="Arial;sans-serif" w:hAnsi="Arial;sans-serif"/>
          <w:b w:val="false"/>
          <w:color w:val="000000"/>
          <w:sz w:val="18"/>
        </w:rPr>
        <w:t>b.Any fraud, whether or not material, that involves management or other employees who have a significant role in the registrant’s internal control over financial reporting.</w:t>
      </w:r>
    </w:p>
    <w:tbl>
      <w:tblPr>
        <w:tblW w:w="3059" w:type="dxa"/>
        <w:jc w:val="right"/>
        <w:tblInd w:w="0" w:type="dxa"/>
        <w:tblLayout w:type="fixed"/>
        <w:tblCellMar>
          <w:top w:w="28" w:type="dxa"/>
          <w:left w:w="28" w:type="dxa"/>
          <w:bottom w:w="28" w:type="dxa"/>
          <w:right w:w="28" w:type="dxa"/>
        </w:tblCellMar>
      </w:tblPr>
      <w:tblGrid>
        <w:gridCol w:w="977"/>
        <w:gridCol w:w="859"/>
        <w:gridCol w:w="1223"/>
      </w:tblGrid>
      <w:tr>
        <w:trPr/>
        <w:tc>
          <w:tcPr>
            <w:tcW w:w="977"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sz w:val="4"/>
                <w:szCs w:val="4"/>
              </w:rPr>
            </w:pPr>
            <w:r>
              <w:rPr>
                <w:sz w:val="4"/>
                <w:szCs w:val="4"/>
              </w:rPr>
            </w:r>
          </w:p>
        </w:tc>
      </w:tr>
      <w:tr>
        <w:trPr/>
        <w:tc>
          <w:tcPr>
            <w:tcW w:w="305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i/>
                <w:color w:val="000000"/>
                <w:sz w:val="18"/>
              </w:rPr>
            </w:pPr>
            <w:r>
              <w:rPr>
                <w:rFonts w:ascii="Arial;sans-serif" w:hAnsi="Arial;sans-serif"/>
                <w:b w:val="false"/>
                <w:i/>
                <w:color w:val="000000"/>
                <w:sz w:val="18"/>
              </w:rPr>
              <w:t>/s/ Mark A. McFarland</w:t>
            </w:r>
          </w:p>
        </w:tc>
      </w:tr>
      <w:tr>
        <w:trPr/>
        <w:tc>
          <w:tcPr>
            <w:tcW w:w="305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Mark “Mac” A. McFarland</w:t>
            </w:r>
          </w:p>
        </w:tc>
      </w:tr>
      <w:tr>
        <w:trPr/>
        <w:tc>
          <w:tcPr>
            <w:tcW w:w="305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i/>
                <w:color w:val="000000"/>
                <w:sz w:val="18"/>
              </w:rPr>
            </w:pPr>
            <w:r>
              <w:rPr>
                <w:rFonts w:ascii="Arial;sans-serif" w:hAnsi="Arial;sans-serif"/>
                <w:b w:val="false"/>
                <w:i/>
                <w:color w:val="000000"/>
                <w:sz w:val="18"/>
              </w:rPr>
              <w:t>Chief Executive Officer and Director</w:t>
            </w:r>
          </w:p>
        </w:tc>
      </w:tr>
      <w:tr>
        <w:trPr/>
        <w:tc>
          <w:tcPr>
            <w:tcW w:w="30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18"/>
              </w:rPr>
            </w:pPr>
            <w:r>
              <w:rPr>
                <w:rFonts w:ascii="Arial;sans-serif" w:hAnsi="Arial;sans-serif"/>
                <w:b w:val="false"/>
                <w:i/>
                <w:color w:val="000000"/>
                <w:sz w:val="18"/>
              </w:rPr>
              <w:t>(Principal Executive Officer)</w:t>
            </w:r>
          </w:p>
        </w:tc>
      </w:tr>
    </w:tbl>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Dated: May 5, 2026</w:t>
      </w:r>
    </w:p>
    <w:p>
      <w:pPr>
        <w:pStyle w:val="TextBody"/>
        <w:bidi w:val="0"/>
        <w:spacing w:before="0" w:after="180"/>
        <w:jc w:val="left"/>
        <w:rPr/>
      </w:pPr>
      <w:r>
        <w:rPr/>
      </w:r>
    </w:p>
    <w:p>
      <w:pPr>
        <w:pStyle w:val="TextBody"/>
        <w:bidi w:val="0"/>
        <w:spacing w:before="0" w:after="180"/>
        <w:ind w:left="0" w:right="0" w:hanging="18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Arial;sans-serif" w:hAnsi="Arial;sans-serif"/>
          <w:b w:val="false"/>
          <w:color w:val="000000"/>
          <w:sz w:val="18"/>
        </w:rPr>
      </w:pPr>
      <w:r>
        <w:rPr>
          <w:rFonts w:ascii="Arial;sans-serif" w:hAnsi="Arial;sans-serif"/>
          <w:b w:val="false"/>
          <w:color w:val="000000"/>
          <w:sz w:val="18"/>
        </w:rPr>
        <w:t>Exhibit 31.2</w:t>
      </w:r>
      <w:r>
        <mc:AlternateContent>
          <mc:Choice Requires="wps">
            <w:drawing>
              <wp:anchor behindDoc="0" distT="0" distB="0" distL="0" distR="0" simplePos="0" locked="0" layoutInCell="1" allowOverlap="1" relativeHeight="293">
                <wp:simplePos x="0" y="0"/>
                <wp:positionH relativeFrom="character">
                  <wp:align>left</wp:align>
                </wp:positionH>
                <wp:positionV relativeFrom="line">
                  <wp:posOffset>635</wp:posOffset>
                </wp:positionV>
                <wp:extent cx="6480175" cy="175260"/>
                <wp:effectExtent l="0" t="0" r="0" b="0"/>
                <wp:wrapNone/>
                <wp:docPr id="292" name="Frame29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4.9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180"/>
        <w:ind w:left="0" w:right="0" w:firstLine="720"/>
        <w:jc w:val="center"/>
        <w:rPr>
          <w:rFonts w:ascii="Arial;sans-serif" w:hAnsi="Arial;sans-serif"/>
          <w:b/>
          <w:color w:val="000000"/>
          <w:sz w:val="18"/>
        </w:rPr>
      </w:pPr>
      <w:r>
        <w:rPr>
          <w:rFonts w:ascii="Arial;sans-serif" w:hAnsi="Arial;sans-serif"/>
          <w:b/>
          <w:color w:val="000000"/>
          <w:sz w:val="18"/>
        </w:rPr>
        <w:t>Certification Pursuant to Rules 13a-14(a) and 15d-14(a) under the Securities Exchange Act of 1934, as Adopted Pursuant to Section 302 of the Sarbanes-Oxley Act of 2002</w:t>
      </w:r>
    </w:p>
    <w:p>
      <w:pPr>
        <w:pStyle w:val="TextBody"/>
        <w:bidi w:val="0"/>
        <w:spacing w:lineRule="auto" w:line="288" w:before="0" w:after="180"/>
        <w:ind w:left="0" w:right="0" w:firstLine="180"/>
        <w:jc w:val="left"/>
        <w:rPr>
          <w:rFonts w:ascii="Arial;sans-serif" w:hAnsi="Arial;sans-serif"/>
          <w:b w:val="false"/>
          <w:color w:val="000000"/>
          <w:sz w:val="18"/>
        </w:rPr>
      </w:pPr>
      <w:r>
        <w:rPr>
          <w:rFonts w:ascii="Arial;sans-serif" w:hAnsi="Arial;sans-serif"/>
          <w:b w:val="false"/>
          <w:color w:val="000000"/>
          <w:sz w:val="18"/>
        </w:rPr>
        <w:t>I, Cole Muller, certify that:</w:t>
      </w:r>
    </w:p>
    <w:p>
      <w:pPr>
        <w:pStyle w:val="TextBody"/>
        <w:bidi w:val="0"/>
        <w:spacing w:lineRule="auto" w:line="288" w:before="0" w:after="180"/>
        <w:ind w:left="0" w:right="0" w:hanging="630"/>
        <w:jc w:val="left"/>
        <w:rPr>
          <w:rFonts w:ascii="Arial;sans-serif" w:hAnsi="Arial;sans-serif"/>
          <w:b w:val="false"/>
          <w:color w:val="000000"/>
          <w:sz w:val="18"/>
        </w:rPr>
      </w:pPr>
      <w:r>
        <w:rPr>
          <w:rFonts w:ascii="Arial;sans-serif" w:hAnsi="Arial;sans-serif"/>
          <w:b w:val="false"/>
          <w:color w:val="000000"/>
          <w:sz w:val="18"/>
        </w:rPr>
        <w:t>1.I have reviewed this quarterly report on Form 10-Q of Talen Energy Corporation (the “registrant”);</w:t>
      </w:r>
    </w:p>
    <w:p>
      <w:pPr>
        <w:pStyle w:val="TextBody"/>
        <w:bidi w:val="0"/>
        <w:spacing w:lineRule="auto" w:line="288" w:before="0" w:after="180"/>
        <w:ind w:left="0" w:right="0" w:hanging="630"/>
        <w:jc w:val="left"/>
        <w:rPr>
          <w:rFonts w:ascii="Arial;sans-serif" w:hAnsi="Arial;sans-serif"/>
          <w:b w:val="false"/>
          <w:color w:val="000000"/>
          <w:sz w:val="18"/>
        </w:rPr>
      </w:pPr>
      <w:r>
        <w:rPr>
          <w:rFonts w:ascii="Arial;sans-serif" w:hAnsi="Arial;sans-serif"/>
          <w:b w:val="false"/>
          <w:color w:val="000000"/>
          <w:sz w:val="18"/>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180"/>
        <w:ind w:left="0" w:right="0" w:hanging="630"/>
        <w:jc w:val="left"/>
        <w:rPr>
          <w:rFonts w:ascii="Arial;sans-serif" w:hAnsi="Arial;sans-serif"/>
          <w:b w:val="false"/>
          <w:color w:val="000000"/>
          <w:sz w:val="18"/>
        </w:rPr>
      </w:pPr>
      <w:r>
        <w:rPr>
          <w:rFonts w:ascii="Arial;sans-serif" w:hAnsi="Arial;sans-serif"/>
          <w:b w:val="false"/>
          <w:color w:val="000000"/>
          <w:sz w:val="18"/>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180"/>
        <w:ind w:left="0" w:right="0" w:hanging="630"/>
        <w:jc w:val="left"/>
        <w:rPr>
          <w:rFonts w:ascii="Arial;sans-serif" w:hAnsi="Arial;sans-serif"/>
          <w:b w:val="false"/>
          <w:color w:val="000000"/>
          <w:sz w:val="18"/>
        </w:rPr>
      </w:pPr>
      <w:r>
        <w:rPr>
          <w:rFonts w:ascii="Arial;sans-serif" w:hAnsi="Arial;sans-serif"/>
          <w:b w:val="false"/>
          <w:color w:val="000000"/>
          <w:sz w:val="18"/>
        </w:rPr>
        <w:t xml:space="preserve">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lineRule="auto" w:line="288" w:before="0" w:after="180"/>
        <w:ind w:left="0" w:right="0" w:hanging="540"/>
        <w:jc w:val="left"/>
        <w:rPr>
          <w:rFonts w:ascii="Arial;sans-serif" w:hAnsi="Arial;sans-serif"/>
          <w:b w:val="false"/>
          <w:color w:val="000000"/>
          <w:sz w:val="18"/>
        </w:rPr>
      </w:pPr>
      <w:r>
        <w:rPr>
          <w:rFonts w:ascii="Arial;sans-serif" w:hAnsi="Arial;sans-serif"/>
          <w:b w:val="false"/>
          <w:color w:val="000000"/>
          <w:sz w:val="18"/>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180"/>
        <w:ind w:left="0" w:right="0" w:hanging="540"/>
        <w:jc w:val="left"/>
        <w:rPr>
          <w:rFonts w:ascii="Arial;sans-serif" w:hAnsi="Arial;sans-serif"/>
          <w:b w:val="false"/>
          <w:color w:val="000000"/>
          <w:sz w:val="18"/>
        </w:rPr>
      </w:pPr>
      <w:r>
        <w:rPr>
          <w:rFonts w:ascii="Arial;sans-serif" w:hAnsi="Arial;sans-serif"/>
          <w:b w:val="false"/>
          <w:color w:val="000000"/>
          <w:sz w:val="18"/>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180"/>
        <w:ind w:left="0" w:right="0" w:hanging="540"/>
        <w:jc w:val="left"/>
        <w:rPr>
          <w:rFonts w:ascii="Arial;sans-serif" w:hAnsi="Arial;sans-serif"/>
          <w:b w:val="false"/>
          <w:color w:val="000000"/>
          <w:sz w:val="18"/>
        </w:rPr>
      </w:pPr>
      <w:r>
        <w:rPr>
          <w:rFonts w:ascii="Arial;sans-serif" w:hAnsi="Arial;sans-serif"/>
          <w:b w:val="false"/>
          <w:color w:val="000000"/>
          <w:sz w:val="18"/>
        </w:rPr>
        <w:t xml:space="preserve">c.Evaluated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lineRule="auto" w:line="288" w:before="0" w:after="180"/>
        <w:ind w:left="0" w:right="0" w:hanging="540"/>
        <w:jc w:val="left"/>
        <w:rPr>
          <w:rFonts w:ascii="Arial;sans-serif" w:hAnsi="Arial;sans-serif"/>
          <w:b w:val="false"/>
          <w:color w:val="000000"/>
          <w:sz w:val="18"/>
        </w:rPr>
      </w:pPr>
      <w:r>
        <w:rPr>
          <w:rFonts w:ascii="Arial;sans-serif" w:hAnsi="Arial;sans-serif"/>
          <w:b w:val="false"/>
          <w:color w:val="000000"/>
          <w:sz w:val="18"/>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pStyle w:val="TextBody"/>
        <w:bidi w:val="0"/>
        <w:spacing w:lineRule="auto" w:line="288" w:before="0" w:after="180"/>
        <w:ind w:left="0" w:right="0" w:hanging="630"/>
        <w:jc w:val="left"/>
        <w:rPr>
          <w:rFonts w:ascii="Arial;sans-serif" w:hAnsi="Arial;sans-serif"/>
          <w:b w:val="false"/>
          <w:color w:val="000000"/>
          <w:sz w:val="18"/>
        </w:rPr>
      </w:pPr>
      <w:r>
        <w:rPr>
          <w:rFonts w:ascii="Arial;sans-serif" w:hAnsi="Arial;sans-serif"/>
          <w:b w:val="false"/>
          <w:color w:val="000000"/>
          <w:sz w:val="18"/>
        </w:rPr>
        <w:t xml:space="preserve">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lineRule="auto" w:line="288" w:before="0" w:after="180"/>
        <w:ind w:left="0" w:right="0" w:hanging="540"/>
        <w:jc w:val="left"/>
        <w:rPr>
          <w:rFonts w:ascii="Arial;sans-serif" w:hAnsi="Arial;sans-serif"/>
          <w:b w:val="false"/>
          <w:color w:val="000000"/>
          <w:sz w:val="18"/>
        </w:rPr>
      </w:pPr>
      <w:r>
        <w:rPr>
          <w:rFonts w:ascii="Arial;sans-serif" w:hAnsi="Arial;sans-serif"/>
          <w:b w:val="false"/>
          <w:color w:val="000000"/>
          <w:sz w:val="18"/>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180"/>
        <w:ind w:left="0" w:right="0" w:hanging="540"/>
        <w:jc w:val="left"/>
        <w:rPr>
          <w:rFonts w:ascii="Arial;sans-serif" w:hAnsi="Arial;sans-serif"/>
          <w:b w:val="false"/>
          <w:color w:val="000000"/>
          <w:sz w:val="18"/>
        </w:rPr>
      </w:pPr>
      <w:r>
        <w:rPr>
          <w:rFonts w:ascii="Arial;sans-serif" w:hAnsi="Arial;sans-serif"/>
          <w:b w:val="false"/>
          <w:color w:val="000000"/>
          <w:sz w:val="18"/>
        </w:rPr>
        <w:t>b.Any fraud, whether or not material, that involves management or other employees who have a significant role in the registrant’s internal control over financial reporting.</w:t>
      </w:r>
    </w:p>
    <w:tbl>
      <w:tblPr>
        <w:tblW w:w="2369" w:type="dxa"/>
        <w:jc w:val="right"/>
        <w:tblInd w:w="0" w:type="dxa"/>
        <w:tblLayout w:type="fixed"/>
        <w:tblCellMar>
          <w:top w:w="28" w:type="dxa"/>
          <w:left w:w="28" w:type="dxa"/>
          <w:bottom w:w="28" w:type="dxa"/>
          <w:right w:w="28" w:type="dxa"/>
        </w:tblCellMar>
      </w:tblPr>
      <w:tblGrid>
        <w:gridCol w:w="756"/>
        <w:gridCol w:w="666"/>
        <w:gridCol w:w="947"/>
      </w:tblGrid>
      <w:tr>
        <w:trPr/>
        <w:tc>
          <w:tcPr>
            <w:tcW w:w="756"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r>
      <w:tr>
        <w:trPr/>
        <w:tc>
          <w:tcPr>
            <w:tcW w:w="236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i/>
                <w:color w:val="000000"/>
                <w:sz w:val="18"/>
              </w:rPr>
            </w:pPr>
            <w:r>
              <w:rPr>
                <w:rFonts w:ascii="Arial;sans-serif" w:hAnsi="Arial;sans-serif"/>
                <w:b w:val="false"/>
                <w:i/>
                <w:color w:val="000000"/>
                <w:sz w:val="18"/>
              </w:rPr>
              <w:t>/s/ Cole Muller</w:t>
            </w:r>
          </w:p>
        </w:tc>
      </w:tr>
      <w:tr>
        <w:trPr/>
        <w:tc>
          <w:tcPr>
            <w:tcW w:w="236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Cole Muller</w:t>
            </w:r>
          </w:p>
        </w:tc>
      </w:tr>
      <w:tr>
        <w:trPr/>
        <w:tc>
          <w:tcPr>
            <w:tcW w:w="236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i/>
                <w:color w:val="000000"/>
                <w:sz w:val="18"/>
              </w:rPr>
            </w:pPr>
            <w:r>
              <w:rPr>
                <w:rFonts w:ascii="Arial;sans-serif" w:hAnsi="Arial;sans-serif"/>
                <w:b w:val="false"/>
                <w:i/>
                <w:color w:val="000000"/>
                <w:sz w:val="18"/>
              </w:rPr>
              <w:t>Chief Financial Officer</w:t>
            </w:r>
          </w:p>
        </w:tc>
      </w:tr>
      <w:tr>
        <w:trPr/>
        <w:tc>
          <w:tcPr>
            <w:tcW w:w="23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18"/>
              </w:rPr>
            </w:pPr>
            <w:r>
              <w:rPr>
                <w:rFonts w:ascii="Arial;sans-serif" w:hAnsi="Arial;sans-serif"/>
                <w:b w:val="false"/>
                <w:i/>
                <w:color w:val="000000"/>
                <w:sz w:val="18"/>
              </w:rPr>
              <w:t>(Principal Financial Officer)</w:t>
            </w:r>
          </w:p>
        </w:tc>
      </w:tr>
    </w:tbl>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Dated: May 5, 2026</w:t>
      </w:r>
    </w:p>
    <w:p>
      <w:pPr>
        <w:pStyle w:val="TextBody"/>
        <w:bidi w:val="0"/>
        <w:spacing w:before="0" w:after="180"/>
        <w:ind w:left="0" w:right="0" w:hanging="18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Arial;sans-serif" w:hAnsi="Arial;sans-serif"/>
          <w:b w:val="false"/>
          <w:color w:val="000000"/>
          <w:sz w:val="18"/>
        </w:rPr>
      </w:pPr>
      <w:r>
        <w:rPr>
          <w:rFonts w:ascii="Arial;sans-serif" w:hAnsi="Arial;sans-serif"/>
          <w:b w:val="false"/>
          <w:color w:val="000000"/>
          <w:sz w:val="18"/>
        </w:rPr>
        <w:t>Exhibit 32.1</w:t>
      </w:r>
      <w:r>
        <mc:AlternateContent>
          <mc:Choice Requires="wps">
            <w:drawing>
              <wp:anchor behindDoc="0" distT="0" distB="0" distL="0" distR="0" simplePos="0" locked="0" layoutInCell="1" allowOverlap="1" relativeHeight="294">
                <wp:simplePos x="0" y="0"/>
                <wp:positionH relativeFrom="character">
                  <wp:align>left</wp:align>
                </wp:positionH>
                <wp:positionV relativeFrom="line">
                  <wp:posOffset>635</wp:posOffset>
                </wp:positionV>
                <wp:extent cx="6480175" cy="175260"/>
                <wp:effectExtent l="0" t="0" r="0" b="0"/>
                <wp:wrapNone/>
                <wp:docPr id="293" name="Frame29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4.9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180"/>
        <w:ind w:left="0" w:right="0" w:firstLine="720"/>
        <w:jc w:val="center"/>
        <w:rPr>
          <w:rFonts w:ascii="Arial;sans-serif" w:hAnsi="Arial;sans-serif"/>
          <w:b/>
          <w:color w:val="000000"/>
          <w:sz w:val="18"/>
        </w:rPr>
      </w:pPr>
      <w:r>
        <w:rPr>
          <w:rFonts w:ascii="Arial;sans-serif" w:hAnsi="Arial;sans-serif"/>
          <w:b/>
          <w:color w:val="000000"/>
          <w:sz w:val="18"/>
        </w:rPr>
        <w:t>Certification Pursuant to 18 U.S.C. Section 1350, as Adopted Pursuant to Section 906 of the Sarbanes-Oxley Act of 2002</w:t>
      </w:r>
    </w:p>
    <w:p>
      <w:pPr>
        <w:pStyle w:val="TextBody"/>
        <w:bidi w:val="0"/>
        <w:spacing w:lineRule="auto" w:line="268" w:before="0" w:after="180"/>
        <w:jc w:val="left"/>
        <w:rPr>
          <w:rFonts w:ascii="Arial;sans-serif" w:hAnsi="Arial;sans-serif"/>
          <w:b w:val="false"/>
          <w:color w:val="000000"/>
          <w:sz w:val="18"/>
        </w:rPr>
      </w:pPr>
      <w:r>
        <w:rPr>
          <w:rFonts w:ascii="Arial;sans-serif" w:hAnsi="Arial;sans-serif"/>
          <w:b w:val="false"/>
          <w:color w:val="000000"/>
          <w:sz w:val="18"/>
        </w:rPr>
        <w:t>In connection with the quarterly report on Form 10-Q of Talen Energy Corporation (the “Company”) for the quarter ended March 31, 2026, as filed with the Securities and Exchange Commission on the date hereof (the “Covered Report”), each of the undersigned officers of the Company, certify, pursuant to 18 U.S.C. Section 1350, as adopted pursuant to Section 906 of the Sarbanes-Oxley Act of 2002, that:</w:t>
      </w:r>
    </w:p>
    <w:p>
      <w:pPr>
        <w:pStyle w:val="TextBody"/>
        <w:bidi w:val="0"/>
        <w:spacing w:lineRule="auto" w:line="256" w:before="0" w:after="180"/>
        <w:ind w:left="0" w:right="0" w:hanging="540"/>
        <w:jc w:val="left"/>
        <w:rPr>
          <w:rFonts w:ascii="Arial;sans-serif" w:hAnsi="Arial;sans-serif"/>
          <w:b w:val="false"/>
          <w:color w:val="000000"/>
          <w:sz w:val="18"/>
        </w:rPr>
      </w:pPr>
      <w:r>
        <w:rPr>
          <w:rFonts w:ascii="Arial;sans-serif" w:hAnsi="Arial;sans-serif"/>
          <w:b w:val="false"/>
          <w:color w:val="000000"/>
          <w:sz w:val="18"/>
        </w:rPr>
        <w:t>1.The Covered Report fully complies with the requirements of Section 13(a) or 15(d) of the Securities Exchange Act of 1934, as amended (the “Exchange Act”); and</w:t>
      </w:r>
    </w:p>
    <w:p>
      <w:pPr>
        <w:pStyle w:val="TextBody"/>
        <w:bidi w:val="0"/>
        <w:spacing w:lineRule="auto" w:line="256" w:before="0" w:after="0"/>
        <w:ind w:left="0" w:right="0" w:hanging="540"/>
        <w:jc w:val="left"/>
        <w:rPr>
          <w:rFonts w:ascii="Arial;sans-serif" w:hAnsi="Arial;sans-serif"/>
          <w:b w:val="false"/>
          <w:color w:val="000000"/>
          <w:sz w:val="18"/>
        </w:rPr>
      </w:pPr>
      <w:r>
        <w:rPr>
          <w:rFonts w:ascii="Arial;sans-serif" w:hAnsi="Arial;sans-serif"/>
          <w:b w:val="false"/>
          <w:color w:val="000000"/>
          <w:sz w:val="18"/>
        </w:rPr>
        <w:t>2.The information contained in the Covered Report fairly presents, in all material respects, the financial condition and results of operations of the Company.</w:t>
      </w:r>
    </w:p>
    <w:p>
      <w:pPr>
        <w:pStyle w:val="TextBody"/>
        <w:bidi w:val="0"/>
        <w:spacing w:before="0" w:after="180"/>
        <w:ind w:left="0" w:right="0" w:hanging="270"/>
        <w:jc w:val="left"/>
        <w:rPr/>
      </w:pPr>
      <w:r>
        <w:rPr/>
      </w:r>
    </w:p>
    <w:tbl>
      <w:tblPr>
        <w:tblW w:w="3059" w:type="dxa"/>
        <w:jc w:val="right"/>
        <w:tblInd w:w="0" w:type="dxa"/>
        <w:tblLayout w:type="fixed"/>
        <w:tblCellMar>
          <w:top w:w="28" w:type="dxa"/>
          <w:left w:w="28" w:type="dxa"/>
          <w:bottom w:w="28" w:type="dxa"/>
          <w:right w:w="28" w:type="dxa"/>
        </w:tblCellMar>
      </w:tblPr>
      <w:tblGrid>
        <w:gridCol w:w="977"/>
        <w:gridCol w:w="859"/>
        <w:gridCol w:w="1223"/>
      </w:tblGrid>
      <w:tr>
        <w:trPr/>
        <w:tc>
          <w:tcPr>
            <w:tcW w:w="977"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sz w:val="4"/>
                <w:szCs w:val="4"/>
              </w:rPr>
            </w:pPr>
            <w:r>
              <w:rPr>
                <w:sz w:val="4"/>
                <w:szCs w:val="4"/>
              </w:rPr>
            </w:r>
          </w:p>
        </w:tc>
      </w:tr>
      <w:tr>
        <w:trPr/>
        <w:tc>
          <w:tcPr>
            <w:tcW w:w="305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i/>
                <w:color w:val="000000"/>
                <w:sz w:val="18"/>
              </w:rPr>
            </w:pPr>
            <w:r>
              <w:rPr>
                <w:rFonts w:ascii="Arial;sans-serif" w:hAnsi="Arial;sans-serif"/>
                <w:b w:val="false"/>
                <w:i/>
                <w:color w:val="000000"/>
                <w:sz w:val="18"/>
              </w:rPr>
              <w:t>/s/ Mark A. McFarland</w:t>
            </w:r>
          </w:p>
        </w:tc>
      </w:tr>
      <w:tr>
        <w:trPr/>
        <w:tc>
          <w:tcPr>
            <w:tcW w:w="305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Mark “Mac” A. McFarland</w:t>
            </w:r>
          </w:p>
        </w:tc>
      </w:tr>
      <w:tr>
        <w:trPr/>
        <w:tc>
          <w:tcPr>
            <w:tcW w:w="305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i/>
                <w:color w:val="000000"/>
                <w:sz w:val="18"/>
              </w:rPr>
            </w:pPr>
            <w:r>
              <w:rPr>
                <w:rFonts w:ascii="Arial;sans-serif" w:hAnsi="Arial;sans-serif"/>
                <w:b w:val="false"/>
                <w:i/>
                <w:color w:val="000000"/>
                <w:sz w:val="18"/>
              </w:rPr>
              <w:t>Chief Executive Officer and Director</w:t>
            </w:r>
          </w:p>
        </w:tc>
      </w:tr>
      <w:tr>
        <w:trPr/>
        <w:tc>
          <w:tcPr>
            <w:tcW w:w="30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18"/>
              </w:rPr>
            </w:pPr>
            <w:r>
              <w:rPr>
                <w:rFonts w:ascii="Arial;sans-serif" w:hAnsi="Arial;sans-serif"/>
                <w:b w:val="false"/>
                <w:i/>
                <w:color w:val="000000"/>
                <w:sz w:val="18"/>
              </w:rPr>
              <w:t>(Principal Executive Officer)</w:t>
            </w:r>
          </w:p>
        </w:tc>
      </w:tr>
    </w:tbl>
    <w:tbl>
      <w:tblPr>
        <w:tblW w:w="2369" w:type="dxa"/>
        <w:jc w:val="right"/>
        <w:tblInd w:w="0" w:type="dxa"/>
        <w:tblLayout w:type="fixed"/>
        <w:tblCellMar>
          <w:top w:w="28" w:type="dxa"/>
          <w:left w:w="28" w:type="dxa"/>
          <w:bottom w:w="28" w:type="dxa"/>
          <w:right w:w="28" w:type="dxa"/>
        </w:tblCellMar>
      </w:tblPr>
      <w:tblGrid>
        <w:gridCol w:w="756"/>
        <w:gridCol w:w="666"/>
        <w:gridCol w:w="947"/>
      </w:tblGrid>
      <w:tr>
        <w:trPr/>
        <w:tc>
          <w:tcPr>
            <w:tcW w:w="756"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r>
      <w:tr>
        <w:trPr/>
        <w:tc>
          <w:tcPr>
            <w:tcW w:w="236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i/>
                <w:color w:val="000000"/>
                <w:sz w:val="18"/>
              </w:rPr>
            </w:pPr>
            <w:r>
              <w:rPr>
                <w:rFonts w:ascii="Arial;sans-serif" w:hAnsi="Arial;sans-serif"/>
                <w:b w:val="false"/>
                <w:i/>
                <w:color w:val="000000"/>
                <w:sz w:val="18"/>
              </w:rPr>
              <w:t>/s/ Cole Muller</w:t>
            </w:r>
          </w:p>
        </w:tc>
      </w:tr>
      <w:tr>
        <w:trPr/>
        <w:tc>
          <w:tcPr>
            <w:tcW w:w="236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Cole Muller</w:t>
            </w:r>
          </w:p>
        </w:tc>
      </w:tr>
      <w:tr>
        <w:trPr/>
        <w:tc>
          <w:tcPr>
            <w:tcW w:w="236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i/>
                <w:color w:val="000000"/>
                <w:sz w:val="18"/>
              </w:rPr>
            </w:pPr>
            <w:r>
              <w:rPr>
                <w:rFonts w:ascii="Arial;sans-serif" w:hAnsi="Arial;sans-serif"/>
                <w:b w:val="false"/>
                <w:i/>
                <w:color w:val="000000"/>
                <w:sz w:val="18"/>
              </w:rPr>
              <w:t>Chief Financial Officer</w:t>
            </w:r>
          </w:p>
        </w:tc>
      </w:tr>
      <w:tr>
        <w:trPr/>
        <w:tc>
          <w:tcPr>
            <w:tcW w:w="23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18"/>
              </w:rPr>
            </w:pPr>
            <w:r>
              <w:rPr>
                <w:rFonts w:ascii="Arial;sans-serif" w:hAnsi="Arial;sans-serif"/>
                <w:b w:val="false"/>
                <w:i/>
                <w:color w:val="000000"/>
                <w:sz w:val="18"/>
              </w:rPr>
              <w:t>(Principal Financial Officer)</w:t>
            </w:r>
          </w:p>
        </w:tc>
      </w:tr>
    </w:tbl>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Dated: May 5, 2026</w:t>
      </w:r>
    </w:p>
    <w:p>
      <w:pPr>
        <w:pStyle w:val="TextBody"/>
        <w:bidi w:val="0"/>
        <w:spacing w:before="0" w:after="180"/>
        <w:ind w:left="0" w:right="0" w:hanging="180"/>
        <w:jc w:val="left"/>
        <w:rPr/>
      </w:pPr>
      <w:r>
        <w:rPr/>
      </w:r>
    </w:p>
    <w:p>
      <w:pPr>
        <w:pStyle w:val="TextBody"/>
        <w:bidi w:val="0"/>
        <w:spacing w:before="0" w:after="180"/>
        <w:ind w:left="0" w:right="0" w:hanging="180"/>
        <w:jc w:val="left"/>
        <w:rPr/>
      </w:pPr>
      <w:r>
        <w:rPr/>
      </w:r>
    </w:p>
    <w:p>
      <w:pPr>
        <w:pStyle w:val="TextBody"/>
        <w:bidi w:val="0"/>
        <w:spacing w:before="0" w:after="180"/>
        <w:ind w:left="0" w:right="0" w:hanging="180"/>
        <w:jc w:val="left"/>
        <w:rPr/>
      </w:pPr>
      <w:r>
        <w:rPr/>
      </w:r>
    </w:p>
    <w:p>
      <w:pPr>
        <w:pStyle w:val="TextBody"/>
        <w:bidi w:val="0"/>
        <w:spacing w:before="0" w:after="180"/>
        <w:ind w:left="0" w:right="0" w:hanging="180"/>
        <w:jc w:val="left"/>
        <w:rPr/>
      </w:pPr>
      <w:r>
        <w:rPr/>
      </w:r>
    </w:p>
    <w:p>
      <w:pPr>
        <w:pStyle w:val="TextBody"/>
        <w:bidi w:val="0"/>
        <w:spacing w:before="0" w:after="180"/>
        <w:ind w:left="0" w:right="0" w:hanging="180"/>
        <w:jc w:val="left"/>
        <w:rPr/>
      </w:pPr>
      <w:r>
        <w:rPr/>
      </w:r>
    </w:p>
    <w:p>
      <w:pPr>
        <w:pStyle w:val="TextBody"/>
        <w:bidi w:val="0"/>
        <w:spacing w:before="0" w:after="180"/>
        <w:ind w:left="0" w:right="0" w:hanging="180"/>
        <w:jc w:val="left"/>
        <w:rPr/>
      </w:pPr>
      <w:r>
        <w:rPr/>
      </w:r>
    </w:p>
    <w:p>
      <w:pPr>
        <w:pStyle w:val="TextBody"/>
        <w:bidi w:val="0"/>
        <w:spacing w:before="0" w:after="180"/>
        <w:ind w:left="0" w:right="0" w:hanging="180"/>
        <w:jc w:val="left"/>
        <w:rPr/>
      </w:pPr>
      <w:r>
        <w:rPr/>
      </w:r>
    </w:p>
    <w:p>
      <w:pPr>
        <w:pStyle w:val="TextBody"/>
        <w:bidi w:val="0"/>
        <w:spacing w:before="0" w:after="180"/>
        <w:ind w:left="0" w:right="0" w:hanging="180"/>
        <w:jc w:val="left"/>
        <w:rPr/>
      </w:pPr>
      <w:r>
        <w:rPr/>
      </w:r>
    </w:p>
    <w:p>
      <w:pPr>
        <w:pStyle w:val="TextBody"/>
        <w:bidi w:val="0"/>
        <w:spacing w:before="0" w:after="180"/>
        <w:ind w:left="0" w:right="0" w:hanging="180"/>
        <w:jc w:val="left"/>
        <w:rPr/>
      </w:pPr>
      <w:r>
        <w:rPr/>
      </w:r>
    </w:p>
    <w:p>
      <w:pPr>
        <w:pStyle w:val="TextBody"/>
        <w:bidi w:val="0"/>
        <w:spacing w:before="0" w:after="180"/>
        <w:ind w:left="0" w:right="0" w:hanging="180"/>
        <w:jc w:val="left"/>
        <w:rPr/>
      </w:pPr>
      <w:r>
        <w:rPr/>
      </w:r>
    </w:p>
    <w:p>
      <w:pPr>
        <w:pStyle w:val="TextBody"/>
        <w:bidi w:val="0"/>
        <w:spacing w:before="0" w:after="180"/>
        <w:ind w:left="0" w:right="0" w:hanging="180"/>
        <w:jc w:val="left"/>
        <w:rPr/>
      </w:pPr>
      <w:r>
        <w:rPr/>
      </w:r>
    </w:p>
    <w:p>
      <w:pPr>
        <w:pStyle w:val="TextBody"/>
        <w:bidi w:val="0"/>
        <w:spacing w:before="0" w:after="180"/>
        <w:ind w:left="0" w:right="0" w:hanging="180"/>
        <w:jc w:val="left"/>
        <w:rPr/>
      </w:pPr>
      <w:r>
        <w:rPr/>
      </w:r>
    </w:p>
    <w:p>
      <w:pPr>
        <w:pStyle w:val="TextBody"/>
        <w:bidi w:val="0"/>
        <w:spacing w:before="0" w:after="180"/>
        <w:ind w:left="0" w:right="0" w:hanging="180"/>
        <w:jc w:val="left"/>
        <w:rPr/>
      </w:pPr>
      <w:r>
        <w:rPr/>
      </w:r>
    </w:p>
    <w:p>
      <w:pPr>
        <w:pStyle w:val="TextBody"/>
        <w:bidi w:val="0"/>
        <w:spacing w:before="0" w:after="180"/>
        <w:ind w:left="0" w:right="0" w:hanging="180"/>
        <w:jc w:val="left"/>
        <w:rPr/>
      </w:pPr>
      <w:r>
        <w:rPr/>
      </w:r>
    </w:p>
    <w:p>
      <w:pPr>
        <w:pStyle w:val="TextBody"/>
        <w:bidi w:val="0"/>
        <w:spacing w:lineRule="auto" w:line="268" w:before="0" w:after="180"/>
        <w:jc w:val="left"/>
        <w:rPr>
          <w:rFonts w:ascii="Arial;sans-serif" w:hAnsi="Arial;sans-serif"/>
          <w:b w:val="false"/>
          <w:color w:val="000000"/>
          <w:sz w:val="18"/>
        </w:rPr>
      </w:pPr>
      <w:r>
        <w:rPr>
          <w:rFonts w:ascii="Arial;sans-serif" w:hAnsi="Arial;sans-serif"/>
          <w:b w:val="false"/>
          <w:color w:val="000000"/>
          <w:sz w:val="18"/>
        </w:rPr>
        <w:t>This certification is furnished with this Report pursuant to Section 906 of the Sarbanes-Oxley Act of 2002 and shall not, except to the extent required by the Sarbanes-Oxley Act of 2002, be deemed “filed” for the purpose of Section 18 of the Exchange Act or otherwise subject to the liabilities of that Section. This certification shall not be incorporated by reference into any registration statement or other document pursuant to the Securities Act of 1933, as amended, or the Exchange Act.</w:t>
      </w:r>
    </w:p>
    <w:p>
      <w:pPr>
        <w:pStyle w:val="TextBody"/>
        <w:bidi w:val="0"/>
        <w:spacing w:before="0" w:after="283"/>
        <w:jc w:val="left"/>
        <w:rPr/>
      </w:pPr>
      <w:r>
        <w:rPr/>
      </w:r>
      <w:r>
        <mc:AlternateContent>
          <mc:Choice Requires="wps">
            <w:drawing>
              <wp:anchor behindDoc="0" distT="0" distB="0" distL="0" distR="0" simplePos="0" locked="0" layoutInCell="1" allowOverlap="1" relativeHeight="295">
                <wp:simplePos x="0" y="0"/>
                <wp:positionH relativeFrom="character">
                  <wp:align>left</wp:align>
                </wp:positionH>
                <wp:positionV relativeFrom="line">
                  <wp:posOffset>635</wp:posOffset>
                </wp:positionV>
                <wp:extent cx="6480175" cy="175260"/>
                <wp:effectExtent l="0" t="0" r="0" b="0"/>
                <wp:wrapNone/>
                <wp:docPr id="294" name="Frame29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0001622536/000162253626000017/tec-20251231ex21cornerston.htm" TargetMode="External"/><Relationship Id="rId3" Type="http://schemas.openxmlformats.org/officeDocument/2006/relationships/hyperlink" Target="https://www.sec.gov/Archives/edgar/data/1622536/000162828024029107/exhibit31-sx1.htm" TargetMode="External"/><Relationship Id="rId4" Type="http://schemas.openxmlformats.org/officeDocument/2006/relationships/hyperlink" Target="https://www.sec.gov/Archives/edgar/data/1622536/000162828024029107/exhibit32-sx1.htm" TargetMode="External"/><Relationship Id="rId5" Type="http://schemas.openxmlformats.org/officeDocument/2006/relationships/hyperlink" Target="https://www.sec.gov/Archives/edgar/data/0001622536/000162253626000017/tec-20251231ex416formofcor.htm" TargetMode="External"/><Relationship Id="rId6" Type="http://schemas.openxmlformats.org/officeDocument/2006/relationships/hyperlink" Target="https://www.sec.gov/Archives/edgar/data/0001622536/000162253626000017/tec-20251231ex416formofcor.htm" TargetMode="External"/><Relationship Id="rId7" Type="http://schemas.openxmlformats.org/officeDocument/2006/relationships/hyperlink" Target="https://www.sec.gov/Archives/edgar/data/0001622536/000162253626000017/tec-20251231ex416formofcor.htm" TargetMode="External"/><Relationship Id="rId8" Type="http://schemas.openxmlformats.org/officeDocument/2006/relationships/hyperlink" Target="https://www.sec.gov/Archives/edgar/data/0001622536/000162253626000017/tec-20251231ex416formofcor.htm" TargetMode="External"/><Relationship Id="rId9" Type="http://schemas.openxmlformats.org/officeDocument/2006/relationships/hyperlink" Target="https://www.sec.gov/Archives/edgar/data/0001622536/000162253626000017/tec-20251231ex416formofcor.htm" TargetMode="External"/><Relationship Id="rId10" Type="http://schemas.openxmlformats.org/officeDocument/2006/relationships/hyperlink" Target="https://www.sec.gov/Archives/edgar/data/0001622536/000162253626000017/tec-20251231ex416formofcor.htm" TargetMode="External"/><Relationship Id="rId11" Type="http://schemas.openxmlformats.org/officeDocument/2006/relationships/hyperlink" Target="https://www.sec.gov/Archives/edgar/data/0001622536/000162253626000017/tec-20251231ex416formofcor.htm" TargetMode="External"/><Relationship Id="rId12" Type="http://schemas.openxmlformats.org/officeDocument/2006/relationships/hyperlink" Target="https://www.sec.gov/Archives/edgar/data/0001622536/000162253626000017/tec-20251231ex416formofcor.htm" TargetMode="External"/><Relationship Id="rId13" Type="http://schemas.openxmlformats.org/officeDocument/2006/relationships/fontTable" Target="fontTable.xml"/><Relationship Id="rId1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256</Pages>
  <Words>130687</Words>
  <Characters>692944</Characters>
  <CharactersWithSpaces>820062</CharactersWithSpaces>
  <Paragraphs>6176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