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32"/>
        </w:rPr>
      </w:pPr>
      <w:r>
        <w:rPr>
          <w:rFonts w:ascii="Arial;sans-serif" w:hAnsi="Arial;sans-serif"/>
          <w:b/>
          <w:color w:val="000000"/>
          <w:sz w:val="32"/>
        </w:rPr>
        <w:t xml:space="preserve">UNITED STATES </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SECURITIES AND EXCHANGE COMMISSION </w:t>
      </w:r>
    </w:p>
    <w:p>
      <w:pPr>
        <w:pStyle w:val="TextBody"/>
        <w:bidi w:val="0"/>
        <w:spacing w:lineRule="auto" w:line="288" w:before="0" w:after="180"/>
        <w:jc w:val="center"/>
        <w:rPr/>
      </w:pPr>
      <w:r>
        <w:rPr>
          <w:rFonts w:ascii="Arial;sans-serif" w:hAnsi="Arial;sans-serif"/>
          <w:b/>
          <w:color w:val="000000"/>
          <w:sz w:val="20"/>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88" w:before="0" w:after="180"/>
        <w:jc w:val="center"/>
        <w:rPr/>
      </w:pPr>
      <w:r>
        <w:rPr>
          <w:rFonts w:ascii="Arial;sans-serif" w:hAnsi="Arial;sans-serif"/>
          <w:b w:val="false"/>
          <w:color w:val="000000"/>
          <w:sz w:val="18"/>
        </w:rPr>
        <w:t>Date of Report (Date of earliest event repo</w:t>
      </w:r>
      <w:r>
        <w:rPr>
          <w:rFonts w:ascii="Arial;sans-serif" w:hAnsi="Arial;sans-serif"/>
          <w:b w:val="false"/>
          <w:color w:val="000000"/>
          <w:sz w:val="18"/>
          <w:shd w:fill="FFFFFF" w:val="clear"/>
        </w:rPr>
        <w:t xml:space="preserve">rted): </w:t>
      </w:r>
      <w:r>
        <w:rPr>
          <w:rFonts w:ascii="Arial;sans-serif" w:hAnsi="Arial;sans-serif"/>
          <w:b/>
          <w:color w:val="000000"/>
          <w:sz w:val="18"/>
          <w:shd w:fill="FFFFFF" w:val="clear"/>
        </w:rPr>
        <w:t>August 5,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Talen Energy Corporation</w:t>
      </w:r>
    </w:p>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 xml:space="preserve">(Exact name of registrant as specified in its charter)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921" w:type="dxa"/>
        <w:jc w:val="center"/>
        <w:tblInd w:w="0" w:type="dxa"/>
        <w:tblLayout w:type="fixed"/>
        <w:tblCellMar>
          <w:top w:w="28" w:type="dxa"/>
          <w:left w:w="28" w:type="dxa"/>
          <w:bottom w:w="28" w:type="dxa"/>
          <w:right w:w="28" w:type="dxa"/>
        </w:tblCellMar>
      </w:tblPr>
      <w:tblGrid>
        <w:gridCol w:w="867"/>
        <w:gridCol w:w="761"/>
        <w:gridCol w:w="771"/>
        <w:gridCol w:w="109"/>
        <w:gridCol w:w="109"/>
        <w:gridCol w:w="109"/>
        <w:gridCol w:w="762"/>
        <w:gridCol w:w="762"/>
        <w:gridCol w:w="770"/>
        <w:gridCol w:w="109"/>
        <w:gridCol w:w="109"/>
        <w:gridCol w:w="109"/>
        <w:gridCol w:w="459"/>
        <w:gridCol w:w="459"/>
        <w:gridCol w:w="656"/>
      </w:tblGrid>
      <w:tr>
        <w:trPr/>
        <w:tc>
          <w:tcPr>
            <w:tcW w:w="8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001-37388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47-1197305</w:t>
            </w:r>
          </w:p>
        </w:tc>
      </w:tr>
      <w:tr>
        <w:trPr/>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(State or other jurisdiction of</w:t>
            </w:r>
          </w:p>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2929 Allen Pkwy, Suite 2200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Houston, TX 77019</w:t>
      </w:r>
    </w:p>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(888) 211-6011 </w:t>
      </w:r>
    </w:p>
    <w:p>
      <w:pPr>
        <w:pStyle w:val="TextBody"/>
        <w:bidi w:val="0"/>
        <w:spacing w:lineRule="auto" w:line="288" w:before="0" w:after="180"/>
        <w:jc w:val="center"/>
        <w:rPr/>
      </w:pPr>
      <w:r>
        <w:rPr>
          <w:rFonts w:ascii="Arial;sans-serif" w:hAnsi="Arial;sans-serif"/>
          <w:b w:val="false"/>
          <w:color w:val="000000"/>
          <w:sz w:val="18"/>
        </w:rPr>
        <w:t>(Registrant’s telephone number, including area code)</w:t>
      </w:r>
      <w:r>
        <w:rPr>
          <w:color w:val="000000"/>
        </w:rPr>
        <w:t xml:space="preserve">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Not applicable </w:t>
      </w:r>
    </w:p>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Securities registered pursuant to Section 12(b) of the Act: </w:t>
      </w:r>
    </w:p>
    <w:tbl>
      <w:tblPr>
        <w:tblW w:w="10071" w:type="dxa"/>
        <w:jc w:val="center"/>
        <w:tblInd w:w="0" w:type="dxa"/>
        <w:tblLayout w:type="fixed"/>
        <w:tblCellMar>
          <w:top w:w="28" w:type="dxa"/>
          <w:left w:w="28" w:type="dxa"/>
          <w:bottom w:w="28" w:type="dxa"/>
          <w:right w:w="28" w:type="dxa"/>
        </w:tblCellMar>
      </w:tblPr>
      <w:tblGrid>
        <w:gridCol w:w="1345"/>
        <w:gridCol w:w="1185"/>
        <w:gridCol w:w="1189"/>
        <w:gridCol w:w="109"/>
        <w:gridCol w:w="109"/>
        <w:gridCol w:w="109"/>
        <w:gridCol w:w="554"/>
        <w:gridCol w:w="554"/>
        <w:gridCol w:w="556"/>
        <w:gridCol w:w="109"/>
        <w:gridCol w:w="109"/>
        <w:gridCol w:w="109"/>
        <w:gridCol w:w="831"/>
        <w:gridCol w:w="831"/>
        <w:gridCol w:w="2372"/>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180"/>
              <w:jc w:val="center"/>
              <w:rPr>
                <w:rFonts w:ascii="Arial;sans-serif" w:hAnsi="Arial;sans-serif"/>
                <w:b/>
                <w:color w:val="000000"/>
                <w:sz w:val="18"/>
              </w:rPr>
            </w:pPr>
            <w:r>
              <w:rPr>
                <w:rFonts w:ascii="Arial;sans-serif" w:hAnsi="Arial;sans-serif"/>
                <w:b/>
                <w:color w:val="000000"/>
                <w:sz w:val="18"/>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90"/>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ind w:left="0" w:right="0" w:firstLine="90"/>
              <w:jc w:val="center"/>
              <w:rPr>
                <w:rFonts w:ascii="Arial;sans-serif" w:hAnsi="Arial;sans-serif"/>
                <w:b w:val="false"/>
                <w:color w:val="000000"/>
                <w:sz w:val="18"/>
              </w:rPr>
            </w:pPr>
            <w:r>
              <w:rPr>
                <w:rFonts w:ascii="Arial;sans-serif" w:hAnsi="Arial;sans-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TLN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80"/>
        <w:jc w:val="left"/>
        <w:rPr/>
      </w:pPr>
      <w:r>
        <w:rPr>
          <w:rFonts w:ascii="Arial;sans-serif" w:hAnsi="Arial;sans-serif"/>
          <w:b w:val="false"/>
          <w:color w:val="000000"/>
          <w:sz w:val="18"/>
        </w:rPr>
        <w:t>Emerging growth company ☐</w:t>
      </w:r>
      <w:r>
        <w:rPr>
          <w:color w:val="000000"/>
        </w:rPr>
        <w:t xml:space="preserve"> </w:t>
      </w:r>
    </w:p>
    <w:p>
      <w:pPr>
        <w:pStyle w:val="TextBody"/>
        <w:bidi w:val="0"/>
        <w:spacing w:lineRule="auto" w:line="288" w:before="0" w:after="18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2.02. Results of Operations and Financial Condition.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August 5, 2026, Talen Energy Corporation (“Talen”) announced via press release its second quarter 2026 financial and operating results. A copy of the earnings release is furnished as Exhibit 99.1 to this Current Report on Form 8-K (this “Report”).</w:t>
      </w:r>
    </w:p>
    <w:p>
      <w:pPr>
        <w:pStyle w:val="TextBody"/>
        <w:bidi w:val="0"/>
        <w:spacing w:lineRule="auto" w:line="288" w:before="0" w:after="18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information provided under this Item 2.02 and in Exhibit 99.1 to this Report is being furnished and shall not be deemed “filed” for the purpose of Section 18 of the Securities Exchange Act of 1934, as amended (the “Exchange Act”), or otherwise subject to the liabilities of that Section. The information under this Item 2.02 and in Exhibit 99.1 to this Report shall not be incorporated by reference into any registration statement or other document pursuant to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lineRule="auto" w:line="288" w:before="0" w:after="180"/>
        <w:jc w:val="left"/>
        <w:rPr/>
      </w:pPr>
      <w:r>
        <w:rPr>
          <w:rFonts w:ascii="Arial;sans-serif" w:hAnsi="Arial;sans-serif"/>
          <w:b w:val="false"/>
          <w:color w:val="000000"/>
          <w:sz w:val="18"/>
        </w:rPr>
        <w:t xml:space="preserve">(d) </w:t>
      </w:r>
      <w:r>
        <w:rPr>
          <w:rFonts w:ascii="Arial;sans-serif" w:hAnsi="Arial;sans-serif"/>
          <w:b w:val="false"/>
          <w:i/>
          <w:color w:val="000000"/>
          <w:sz w:val="18"/>
        </w:rPr>
        <w:t>Exhibits.</w:t>
      </w:r>
    </w:p>
    <w:tbl>
      <w:tblPr>
        <w:tblW w:w="9777" w:type="dxa"/>
        <w:jc w:val="left"/>
        <w:tblInd w:w="0" w:type="dxa"/>
        <w:tblLayout w:type="fixed"/>
        <w:tblCellMar>
          <w:top w:w="28" w:type="dxa"/>
          <w:left w:w="28" w:type="dxa"/>
          <w:bottom w:w="28" w:type="dxa"/>
          <w:right w:w="28" w:type="dxa"/>
        </w:tblCellMar>
      </w:tblPr>
      <w:tblGrid>
        <w:gridCol w:w="359"/>
        <w:gridCol w:w="315"/>
        <w:gridCol w:w="316"/>
        <w:gridCol w:w="109"/>
        <w:gridCol w:w="109"/>
        <w:gridCol w:w="109"/>
        <w:gridCol w:w="2477"/>
        <w:gridCol w:w="2477"/>
        <w:gridCol w:w="3506"/>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3506"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805q22026earningsrel.htm">
              <w:r>
                <w:rPr>
                  <w:rStyle w:val="InternetLink"/>
                  <w:rFonts w:ascii="Arial;sans-serif" w:hAnsi="Arial;sans-serif"/>
                  <w:b w:val="false"/>
                  <w:color w:val="0000FF"/>
                  <w:sz w:val="18"/>
                  <w:u w:val="single"/>
                </w:rPr>
                <w:t>Press Release dated August 5, 2026.</w:t>
              </w:r>
            </w:hyperlink>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(cover page XBRL tags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tbl>
      <w:tblPr>
        <w:tblW w:w="5457" w:type="dxa"/>
        <w:jc w:val="left"/>
        <w:tblInd w:w="0" w:type="dxa"/>
        <w:tblLayout w:type="fixed"/>
        <w:tblCellMar>
          <w:top w:w="28" w:type="dxa"/>
          <w:left w:w="28" w:type="dxa"/>
          <w:bottom w:w="28" w:type="dxa"/>
          <w:right w:w="28" w:type="dxa"/>
        </w:tblCellMar>
      </w:tblPr>
      <w:tblGrid>
        <w:gridCol w:w="201"/>
        <w:gridCol w:w="176"/>
        <w:gridCol w:w="178"/>
        <w:gridCol w:w="444"/>
        <w:gridCol w:w="444"/>
        <w:gridCol w:w="446"/>
        <w:gridCol w:w="214"/>
        <w:gridCol w:w="214"/>
        <w:gridCol w:w="216"/>
        <w:gridCol w:w="856"/>
        <w:gridCol w:w="856"/>
        <w:gridCol w:w="1212"/>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ENERGY CORPORATION</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Date:</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August 5, 2026</w:t>
            </w:r>
          </w:p>
        </w:tc>
        <w:tc>
          <w:tcPr>
            <w:tcW w:w="6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By:</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/s/ Cole Muller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Name:</w:t>
            </w:r>
          </w:p>
        </w:tc>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Cole Muller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Title:</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right"/>
        <w:rPr>
          <w:rFonts w:ascii="Arial;sans-serif" w:hAnsi="Arial;sans-serif"/>
          <w:b w:val="false"/>
          <w:color w:val="000000"/>
          <w:sz w:val="18"/>
        </w:rPr>
      </w:pPr>
      <w:r>
        <w:rPr>
          <w:rFonts w:ascii="Arial;sans-serif" w:hAnsi="Arial;sans-serif"/>
          <w:b w:val="false"/>
          <w:color w:val="000000"/>
          <w:sz w:val="18"/>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Talen Energy Reports Second Quarter 2026 Results, Raises 2026 Guidance</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Earnings Release Highlights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Second quarter GAAP Net Income (Loss) Attributable to Stockholders of $(92) million.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Second quarter Adjusted EBITDA of $374 million and Adjusted Free Cash Flow of $212 million.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Completed the acquisition of the Waterford Energy Center, Darby Generating Station, and the Lawrenceburg Power Plant (collectively, the “Cornerstone Acquisition”) in June 2026.</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Raising 2026 Adjusted EBITDA and Adjusted Free Cash Flow guidance ranges to $2,025 million - $2,225 million and $1,200 million - $1,350 million, respectively.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Repurchased 550,000 shares of common stock for approximately $200 million under our Share Repurchase Program (“SRP”), with $1.7 billion of capacity remaining through December 2028.</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Cleared over 10 gigawatts (“GW”) in the 2028/2029 PJM Base Residual Auction at $325.00 per megawatt-day (“MWd”) for the MAAC, PPL, and RTO locational deliverability areas.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Progressing pipeline of approximately 4 GW of land development and data center contracting options.</w:t>
      </w:r>
    </w:p>
    <w:p>
      <w:pPr>
        <w:pStyle w:val="TextBody"/>
        <w:bidi w:val="0"/>
        <w:spacing w:lineRule="auto" w:line="288" w:before="0" w:after="180"/>
        <w:ind w:left="0" w:right="0" w:firstLine="360"/>
        <w:jc w:val="left"/>
        <w:rPr/>
      </w:pPr>
      <w:r>
        <w:rPr>
          <w:rFonts w:ascii="Arial;sans-serif" w:hAnsi="Arial;sans-serif"/>
          <w:b/>
          <w:color w:val="000000"/>
          <w:sz w:val="18"/>
          <w:shd w:fill="FFFFFF" w:val="clear"/>
        </w:rPr>
        <w:t xml:space="preserve">HOUSTON, August 5, 2026 </w:t>
      </w:r>
      <w:r>
        <w:rPr>
          <w:color w:val="000000"/>
          <w:shd w:fill="FFFFFF" w:val="clear"/>
        </w:rPr>
        <w:t xml:space="preserve">– </w:t>
      </w:r>
      <w:r>
        <w:rPr>
          <w:rFonts w:ascii="Arial;sans-serif" w:hAnsi="Arial;sans-serif"/>
          <w:b w:val="false"/>
          <w:color w:val="000000"/>
          <w:sz w:val="18"/>
          <w:shd w:fill="FFFFFF" w:val="clear"/>
        </w:rPr>
        <w:t>Talen Energy Corporation (“Talen,” “TEC”, the “Compan</w:t>
      </w:r>
      <w:r>
        <w:rPr>
          <w:rFonts w:ascii="Arial;sans-serif" w:hAnsi="Arial;sans-serif"/>
          <w:b w:val="false"/>
          <w:color w:val="000000"/>
          <w:sz w:val="18"/>
        </w:rPr>
        <w:t>y,” “we,” or “our”) (</w:t>
      </w:r>
      <w:r>
        <w:rPr>
          <w:rFonts w:ascii="Arial;sans-serif" w:hAnsi="Arial;sans-serif"/>
          <w:b w:val="false"/>
          <w:color w:val="0E32E1"/>
          <w:sz w:val="18"/>
          <w:u w:val="single"/>
        </w:rPr>
        <w:t>NASDAQ: TLN</w:t>
      </w:r>
      <w:r>
        <w:rPr>
          <w:rFonts w:ascii="Arial;sans-serif" w:hAnsi="Arial;sans-serif"/>
          <w:b w:val="false"/>
          <w:color w:val="000000"/>
          <w:sz w:val="18"/>
        </w:rPr>
        <w:t xml:space="preserve">), </w:t>
      </w:r>
      <w:r>
        <w:rPr>
          <w:rFonts w:ascii="Arial;sans-serif" w:hAnsi="Arial;sans-serif"/>
          <w:b w:val="false"/>
          <w:color w:val="000000"/>
          <w:sz w:val="18"/>
          <w:shd w:fill="FFFFFF" w:val="clear"/>
        </w:rPr>
        <w:t>a leading independent power producer, today reported its second quarter 2026 financial results and other highlights.</w:t>
      </w:r>
    </w:p>
    <w:p>
      <w:pPr>
        <w:pStyle w:val="TextBody"/>
        <w:bidi w:val="0"/>
        <w:spacing w:lineRule="auto" w:line="288" w:before="0" w:after="180"/>
        <w:ind w:left="0" w:right="0" w:firstLine="360"/>
        <w:jc w:val="left"/>
        <w:rPr>
          <w:color w:val="000000"/>
        </w:rPr>
      </w:pPr>
      <w:r>
        <w:rPr>
          <w:color w:val="000000"/>
        </w:rPr>
        <w:t>“</w:t>
      </w:r>
      <w:r>
        <w:rPr>
          <w:rFonts w:ascii="Arial;sans-serif" w:hAnsi="Arial;sans-serif"/>
          <w:b w:val="false"/>
          <w:color w:val="000000"/>
          <w:sz w:val="18"/>
        </w:rPr>
        <w:t>Today we are reporting Talen’s second quarter results, earning $374 million of Adjusted EBITDA and $212 million of Adjusted Free Cash Flow. With strong year-to-date results and closing of the Cornerstone Acquisition, we are raising our 2026 guidance as well as increasing the 2027 and 2028 outlooks,” said Talen Chief Executive Officer Mac McFarland. He continued, “We remain committed to our flywheel strategy, leveraging our advantaged portfolio of assets, building our development pipeline of powered land and new capacity all of which allows us to enter into long-term contracts with large loads with a variety of structures.”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Operating Results (Unaudited)</w:t>
      </w:r>
    </w:p>
    <w:tbl>
      <w:tblPr>
        <w:tblW w:w="9423" w:type="dxa"/>
        <w:jc w:val="left"/>
        <w:tblInd w:w="0" w:type="dxa"/>
        <w:tblLayout w:type="fixed"/>
        <w:tblCellMar>
          <w:top w:w="28" w:type="dxa"/>
          <w:left w:w="28" w:type="dxa"/>
          <w:bottom w:w="28" w:type="dxa"/>
          <w:right w:w="28" w:type="dxa"/>
        </w:tblCellMar>
      </w:tblPr>
      <w:tblGrid>
        <w:gridCol w:w="1457"/>
        <w:gridCol w:w="1278"/>
        <w:gridCol w:w="1285"/>
        <w:gridCol w:w="109"/>
        <w:gridCol w:w="109"/>
        <w:gridCol w:w="109"/>
        <w:gridCol w:w="288"/>
        <w:gridCol w:w="596"/>
        <w:gridCol w:w="160"/>
        <w:gridCol w:w="160"/>
        <w:gridCol w:w="160"/>
        <w:gridCol w:w="160"/>
        <w:gridCol w:w="288"/>
        <w:gridCol w:w="486"/>
        <w:gridCol w:w="160"/>
        <w:gridCol w:w="109"/>
        <w:gridCol w:w="109"/>
        <w:gridCol w:w="109"/>
        <w:gridCol w:w="250"/>
        <w:gridCol w:w="519"/>
        <w:gridCol w:w="139"/>
        <w:gridCol w:w="139"/>
        <w:gridCol w:w="139"/>
        <w:gridCol w:w="139"/>
        <w:gridCol w:w="250"/>
        <w:gridCol w:w="519"/>
        <w:gridCol w:w="197"/>
      </w:tblGrid>
      <w:tr>
        <w:trPr/>
        <w:tc>
          <w:tcPr>
            <w:tcW w:w="145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Unless Otherwise 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0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Net Income (Loss) Attributable to Stockholders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6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6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3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w:t>
            </w:r>
          </w:p>
        </w:tc>
      </w:tr>
      <w:tr>
        <w:trPr/>
        <w:tc>
          <w:tcPr>
            <w:tcW w:w="40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Free Cash Flow</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6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16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562 </w:t>
            </w:r>
          </w:p>
        </w:tc>
        <w:tc>
          <w:tcPr>
            <w:tcW w:w="13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Total Generation (TWh)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Capacity Factor</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w:t>
            </w:r>
          </w:p>
        </w:tc>
        <w:tc>
          <w:tcPr>
            <w:tcW w:w="4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w:t>
            </w:r>
          </w:p>
        </w:tc>
        <w:tc>
          <w:tcPr>
            <w:tcW w:w="41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w:t>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(a)Total generation is net of station use consumption, where applicable. Volumes associated with acquired and sold generation facilities are presented for the periods in which Talen owned the facilities.</w:t>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For the quarter ended June 30, 2026, Talen reported GAAP Net Income (Loss) Attributable to Stockholders of $(92) million, Adjusted EBITDA of $374 million, and Adjusted Free Cash Flow of $212 million. Compared with the quarter ended June 30, 2025:</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GAAP Net Income (Loss) Attributable to Stockholders decreased by $(164) million primarily due to unrealized losses on derivative instruments and increases in interest expense which offset increases in capacity revenues and energy and other revenues, net of fuel and energy purchases.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Adjusted EBITDA increased by $284 million primarily due to increases in energy and other revenues and capacity revenues, net of fuel and energy purchases.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Adjusted Free Cash Flow increased by $290 million primarily due to increases in capacity revenues and energy and other revenues, net of fuel and energy purchases, and lower income tax payments, which were partially offset by higher capital expenditures and cash interest payments.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“Non-GAAP Financial Measures” for details and reconciliations of GAAP to non-GAAP financial measures.</w:t>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Raising 2026 Guidance</w:t>
      </w:r>
    </w:p>
    <w:tbl>
      <w:tblPr>
        <w:tblW w:w="3800" w:type="dxa"/>
        <w:jc w:val="left"/>
        <w:tblInd w:w="0" w:type="dxa"/>
        <w:tblLayout w:type="fixed"/>
        <w:tblCellMar>
          <w:top w:w="28" w:type="dxa"/>
          <w:left w:w="28" w:type="dxa"/>
          <w:bottom w:w="28" w:type="dxa"/>
          <w:right w:w="28" w:type="dxa"/>
        </w:tblCellMar>
      </w:tblPr>
      <w:tblGrid>
        <w:gridCol w:w="712"/>
        <w:gridCol w:w="624"/>
        <w:gridCol w:w="629"/>
        <w:gridCol w:w="109"/>
        <w:gridCol w:w="109"/>
        <w:gridCol w:w="109"/>
        <w:gridCol w:w="109"/>
        <w:gridCol w:w="109"/>
        <w:gridCol w:w="377"/>
        <w:gridCol w:w="377"/>
        <w:gridCol w:w="536"/>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2026E </w:t>
            </w:r>
            <w:r>
              <w:rPr>
                <w:rFonts w:ascii="Arial;sans-serif" w:hAnsi="Arial;sans-serif"/>
                <w:b/>
                <w:color w:val="000000"/>
                <w:sz w:val="10"/>
              </w:rPr>
              <w:t>(a)</w:t>
            </w:r>
          </w:p>
        </w:tc>
      </w:tr>
      <w:tr>
        <w:trPr/>
        <w:tc>
          <w:tcPr>
            <w:tcW w:w="196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$2,025 - $2,225</w:t>
            </w:r>
          </w:p>
        </w:tc>
      </w:tr>
      <w:tr>
        <w:trPr/>
        <w:tc>
          <w:tcPr>
            <w:tcW w:w="19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$1,200 - $1,350</w:t>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(a)Excludes Keystone as of July 1, 2026.</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Cornerstone Acquisition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On June 15, 2026, the Company completed the Cornerstone Acquisition, which increases Talen’s generation by approximately 2.6 GW and provides efficient baseload and peaker generation and cash flow diversification.</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Share Repurchases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Since the start of 2024, we have repurchased approximately 15 million shares of TEC common stock for a total of approximately $2.3 billion, with $1.7 billion remaining under our SRP through year end 2028. During the second quarter 2026, we repurchased 550,000 shares of TEC common stock for approximately $200 million. All share repurchase amounts exclude transaction costs.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Financing Transactions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April 2026, Talen subsidiary, Talen Energy Supply, LLC (“TES”) issued in private placement transactions not involving a public offering: (i) $1.5 billion in aggregate principal amount of 6.125% senior unsecured notes due 2031; and (ii) $2.5 billion in aggregate principal amount of 6.375% senior unsecured notes due 2033. The net proceeds from the issuance and sale of the unsecured notes due 2031 and 2033 were used to (i) fund the Cornerstone Acquisition; and (ii) redeem in full $1.2 billion of outstanding 8.625% senior secured notes due 2030.</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Additionally, during the second quarter 2026, TES (i) upsized its Revolving Credit Facility (“RCF”), (including its revolving LC capacity) from $900 million to $1.35 billion; (ii) upsized its existing $1.1 billion Letter of Credit Facility (“LCF”) to $1.5 billion and extended its maturity from December 2027 to December 2029; and (iii) repriced the RCF, TLB-1, and TLB-2, and extended the TLB-1 maturity from May 2030 to November 2032. </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Balance Sheet and Liquidity</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are focused on maintaining net leverage below our target of 3.5x net debt-to-Adjusted EBITDA. As of July 31, 2026, Talen had ample total available liquidity of approximately $1.9 billion, comprised of $525 million of unrestricted cash and $1.4 billion of available capacity under the RCF.</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Update on Hedging Activities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As of June 30, 2026, including the impact of the Nuclear Production Tax Credit, we had hedged approximately 85% of our expected generation volumes for 2026, approximately 70% for 2027 and approximately 30% for 2028. Talen’s hedging program is a key component of our comprehensive risk policy and supports the objective of increasing cash flow stability while maintaining upside optionality.</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Earnings Call</w:t>
      </w:r>
    </w:p>
    <w:p>
      <w:pPr>
        <w:pStyle w:val="TextBody"/>
        <w:bidi w:val="0"/>
        <w:spacing w:lineRule="auto" w:line="288" w:before="0" w:after="180"/>
        <w:ind w:left="0" w:right="0" w:firstLine="360"/>
        <w:jc w:val="left"/>
        <w:rPr/>
      </w:pPr>
      <w:r>
        <w:rPr>
          <w:rFonts w:ascii="Arial;sans-serif" w:hAnsi="Arial;sans-serif"/>
          <w:b w:val="false"/>
          <w:color w:val="000000"/>
          <w:sz w:val="18"/>
        </w:rPr>
        <w:t xml:space="preserve">Talen will hold an earnings call on Wednesday, August 5, 2026, at 4:30 p.m. ET (3:30 p.m. CT). To listen to the earnings call, please register in advance for the webcast </w:t>
      </w:r>
      <w:r>
        <w:rPr>
          <w:rFonts w:ascii="Arial;sans-serif" w:hAnsi="Arial;sans-serif"/>
          <w:b w:val="false"/>
          <w:color w:val="0E32E1"/>
          <w:sz w:val="18"/>
          <w:u w:val="single"/>
        </w:rPr>
        <w:t>here</w:t>
      </w:r>
      <w:r>
        <w:rPr>
          <w:rFonts w:ascii="Arial;sans-serif" w:hAnsi="Arial;sans-serif"/>
          <w:b w:val="false"/>
          <w:color w:val="000000"/>
          <w:sz w:val="18"/>
        </w:rPr>
        <w:t xml:space="preserve">. For participants joining the call via phone, please register </w:t>
      </w:r>
      <w:r>
        <w:rPr>
          <w:rFonts w:ascii="Arial;sans-serif" w:hAnsi="Arial;sans-serif"/>
          <w:b w:val="false"/>
          <w:color w:val="0E32E1"/>
          <w:sz w:val="18"/>
          <w:u w:val="single"/>
        </w:rPr>
        <w:t>here</w:t>
      </w:r>
      <w:r>
        <w:rPr>
          <w:color w:val="000000"/>
        </w:rPr>
        <w:t xml:space="preserve"> </w:t>
      </w:r>
      <w:r>
        <w:rPr>
          <w:rFonts w:ascii="Arial;sans-serif" w:hAnsi="Arial;sans-serif"/>
          <w:b w:val="false"/>
          <w:color w:val="000000"/>
          <w:sz w:val="18"/>
        </w:rPr>
        <w:t xml:space="preserve">prior to the start time to receive dial-in information. For those unable to participate in the live event, a digital replay will be archived for approximately one year and available on the Events page of Talen’s Investor Relations website linked </w:t>
      </w:r>
      <w:r>
        <w:rPr>
          <w:rFonts w:ascii="Arial;sans-serif" w:hAnsi="Arial;sans-serif"/>
          <w:b w:val="false"/>
          <w:color w:val="0E32E1"/>
          <w:sz w:val="18"/>
          <w:u w:val="single"/>
        </w:rPr>
        <w:t>here</w:t>
      </w:r>
      <w:r>
        <w:rPr>
          <w:rFonts w:ascii="Arial;sans-serif" w:hAnsi="Arial;sans-serif"/>
          <w:b w:val="false"/>
          <w:color w:val="000000"/>
          <w:sz w:val="18"/>
        </w:rPr>
        <w:t>.</w:t>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About Talen</w:t>
      </w:r>
    </w:p>
    <w:p>
      <w:pPr>
        <w:pStyle w:val="TextBody"/>
        <w:bidi w:val="0"/>
        <w:spacing w:lineRule="auto" w:line="288" w:before="0" w:after="180"/>
        <w:ind w:left="0" w:right="0" w:firstLine="360"/>
        <w:jc w:val="left"/>
        <w:rPr/>
      </w:pPr>
      <w:r>
        <w:rPr>
          <w:rFonts w:ascii="Arial;sans-serif" w:hAnsi="Arial;sans-serif"/>
          <w:b w:val="false"/>
          <w:color w:val="000000"/>
          <w:sz w:val="18"/>
        </w:rPr>
        <w:t>Talen Energy (</w:t>
      </w:r>
      <w:r>
        <w:rPr>
          <w:rFonts w:ascii="Arial;sans-serif" w:hAnsi="Arial;sans-serif"/>
          <w:b w:val="false"/>
          <w:color w:val="0E32E1"/>
          <w:sz w:val="18"/>
          <w:u w:val="single"/>
        </w:rPr>
        <w:t>NASDAQ: TLN</w:t>
      </w:r>
      <w:r>
        <w:rPr>
          <w:rFonts w:ascii="Arial;sans-serif" w:hAnsi="Arial;sans-serif"/>
          <w:b w:val="false"/>
          <w:color w:val="000000"/>
          <w:sz w:val="18"/>
        </w:rPr>
        <w:t xml:space="preserve">) is a leading independent power producer and energy infrastructure company dedicated to powering the future. We own and operate approximately 15.7 GW of power infrastructure in the United States, including 2.2 GW of nuclear power and a significant dispatchable fossil fleet. We produce and sell electricity, capacity, and ancillary services into wholesale U.S. power markets, with our generation fleet located in the Mid-Atlantic, Ohio, Indiana, and Montana. Our team is committed to generating power safely and reliably and delivering the most value per megawatt produced. Talen is also powering the digital infrastructure revolution. We are well-positioned to serve this growing industry, as artificial intelligence data centers increasingly demand more reliable power. Talen is headquartered in Houston, Texas. For more information, visit </w:t>
      </w:r>
      <w:r>
        <w:rPr>
          <w:rFonts w:ascii="Arial;sans-serif" w:hAnsi="Arial;sans-serif"/>
          <w:b w:val="false"/>
          <w:color w:val="0E32E1"/>
          <w:sz w:val="18"/>
          <w:u w:val="single"/>
        </w:rPr>
        <w:t>https://www.talenenergy.com/</w:t>
      </w:r>
      <w:r>
        <w:rPr>
          <w:rFonts w:ascii="Arial;sans-serif" w:hAnsi="Arial;sans-serif"/>
          <w:b w:val="false"/>
          <w:color w:val="000000"/>
          <w:sz w:val="18"/>
        </w:rPr>
        <w:t>.</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Investor Relations:</w:t>
      </w:r>
    </w:p>
    <w:p>
      <w:pPr>
        <w:pStyle w:val="TextBody"/>
        <w:bidi w:val="0"/>
        <w:spacing w:lineRule="auto" w:line="288" w:before="0" w:after="40"/>
        <w:jc w:val="left"/>
        <w:rPr>
          <w:rFonts w:ascii="Arial;sans-serif" w:hAnsi="Arial;sans-serif"/>
          <w:b w:val="false"/>
          <w:color w:val="000000"/>
          <w:sz w:val="18"/>
        </w:rPr>
      </w:pPr>
      <w:r>
        <w:rPr>
          <w:rFonts w:ascii="Arial;sans-serif" w:hAnsi="Arial;sans-serif"/>
          <w:b w:val="false"/>
          <w:color w:val="000000"/>
          <w:sz w:val="18"/>
        </w:rPr>
        <w:t>Sergio Castro</w:t>
      </w:r>
    </w:p>
    <w:p>
      <w:pPr>
        <w:pStyle w:val="TextBody"/>
        <w:bidi w:val="0"/>
        <w:spacing w:lineRule="auto" w:line="288" w:before="0" w:after="40"/>
        <w:jc w:val="left"/>
        <w:rPr>
          <w:rFonts w:ascii="Arial;sans-serif" w:hAnsi="Arial;sans-serif"/>
          <w:b w:val="false"/>
          <w:color w:val="000000"/>
          <w:sz w:val="18"/>
        </w:rPr>
      </w:pPr>
      <w:r>
        <w:rPr>
          <w:rFonts w:ascii="Arial;sans-serif" w:hAnsi="Arial;sans-serif"/>
          <w:b w:val="false"/>
          <w:color w:val="000000"/>
          <w:sz w:val="18"/>
        </w:rPr>
        <w:t>Vice President &amp; Treasurer</w:t>
      </w:r>
    </w:p>
    <w:p>
      <w:pPr>
        <w:pStyle w:val="TextBody"/>
        <w:bidi w:val="0"/>
        <w:spacing w:lineRule="auto" w:line="288" w:before="0" w:after="180"/>
        <w:jc w:val="left"/>
        <w:rPr>
          <w:rFonts w:ascii="Arial;sans-serif" w:hAnsi="Arial;sans-serif"/>
          <w:b w:val="false"/>
          <w:color w:val="0E32E1"/>
          <w:sz w:val="18"/>
          <w:u w:val="single"/>
        </w:rPr>
      </w:pPr>
      <w:r>
        <w:rPr>
          <w:rFonts w:ascii="Arial;sans-serif" w:hAnsi="Arial;sans-serif"/>
          <w:b w:val="false"/>
          <w:color w:val="0E32E1"/>
          <w:sz w:val="18"/>
          <w:u w:val="single"/>
        </w:rPr>
        <w:t>InvestorRelations@talenenergy.com</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Media:</w:t>
      </w:r>
    </w:p>
    <w:p>
      <w:pPr>
        <w:pStyle w:val="TextBody"/>
        <w:bidi w:val="0"/>
        <w:spacing w:lineRule="auto" w:line="288" w:before="0" w:after="40"/>
        <w:jc w:val="left"/>
        <w:rPr>
          <w:rFonts w:ascii="Arial;sans-serif" w:hAnsi="Arial;sans-serif"/>
          <w:b w:val="false"/>
          <w:color w:val="000000"/>
          <w:sz w:val="18"/>
        </w:rPr>
      </w:pPr>
      <w:r>
        <w:rPr>
          <w:rFonts w:ascii="Arial;sans-serif" w:hAnsi="Arial;sans-serif"/>
          <w:b w:val="false"/>
          <w:color w:val="000000"/>
          <w:sz w:val="18"/>
        </w:rPr>
        <w:t>Taryne Williams</w:t>
      </w:r>
    </w:p>
    <w:p>
      <w:pPr>
        <w:pStyle w:val="TextBody"/>
        <w:bidi w:val="0"/>
        <w:spacing w:lineRule="auto" w:line="288" w:before="0" w:after="40"/>
        <w:jc w:val="left"/>
        <w:rPr>
          <w:rFonts w:ascii="Arial;sans-serif" w:hAnsi="Arial;sans-serif"/>
          <w:b w:val="false"/>
          <w:color w:val="000000"/>
          <w:sz w:val="18"/>
        </w:rPr>
      </w:pPr>
      <w:r>
        <w:rPr>
          <w:rFonts w:ascii="Arial;sans-serif" w:hAnsi="Arial;sans-serif"/>
          <w:b w:val="false"/>
          <w:color w:val="000000"/>
          <w:sz w:val="18"/>
        </w:rPr>
        <w:t>Director, Corporate Communications</w:t>
      </w:r>
    </w:p>
    <w:p>
      <w:pPr>
        <w:pStyle w:val="TextBody"/>
        <w:bidi w:val="0"/>
        <w:spacing w:lineRule="auto" w:line="288" w:before="0" w:after="180"/>
        <w:jc w:val="left"/>
        <w:rPr>
          <w:rFonts w:ascii="Arial;sans-serif" w:hAnsi="Arial;sans-serif"/>
          <w:b w:val="false"/>
          <w:color w:val="0E32E1"/>
          <w:sz w:val="18"/>
          <w:u w:val="single"/>
        </w:rPr>
      </w:pPr>
      <w:r>
        <w:rPr>
          <w:rFonts w:ascii="Arial;sans-serif" w:hAnsi="Arial;sans-serif"/>
          <w:b w:val="false"/>
          <w:color w:val="0E32E1"/>
          <w:sz w:val="18"/>
          <w:u w:val="single"/>
        </w:rPr>
        <w:t>Taryne.Williams@talenenergy.com</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Forward-Looking Statements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This communication contains forward-looking statements within the meaning of the federal securities laws, which statements are subject to substantial risks and uncertainties. These forward-looking statements are intended to qualify for the safe harbor from liability established by the Private Securities Litigation Reform Act of 1995. All statements other than statements of historical fact included in this communication, or incorporated by reference into this communication, are forward-looking statements. Throughout this communication, we have attempted to identify forward-looking statements by using words such as "anticipate," "believe," "continue," "could," "estimate," "expect," "forecasts," "goal," "intend," "may," "plan," "potential," "predict," "project," "seek," "should," "will," or other forms of these words or similar words or expressions or the negative thereof, although not all forward-looking statements contain these terms. Forward-looking statements address future events and conditions concerning, among other things, the integration of and anticipated benefits from the recent Cornerstone acquisition and the Freedom and Guernsey acquisitions, capital expenditures, earnings, litigation, regulatory matters, hedging, liquidity and capital resources, accounting matters, expectations, beliefs, plans, objectives, goals, strategies, future events or performance, shareholder returns and underlying assumptions.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Forward-looking statements are subject to substantial risks and uncertainties that could cause our future business, financial condition, results of operations or performance to differ materially from our historical results or those expressed or implied in any forward-looking statement contained in this communication. All of our forward-looking statements include assumptions underlying or relating to such statements that may cause actual results to differ materially from expectations and are subject to numerous factors that present considerable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CONDENSED CONSOLIDATED STATEMENTS OF OPERATIONS (UNAUDITED)</w:t>
      </w:r>
    </w:p>
    <w:tbl>
      <w:tblPr>
        <w:tblW w:w="10205" w:type="dxa"/>
        <w:jc w:val="left"/>
        <w:tblInd w:w="0" w:type="dxa"/>
        <w:tblLayout w:type="fixed"/>
        <w:tblCellMar>
          <w:top w:w="28" w:type="dxa"/>
          <w:left w:w="28" w:type="dxa"/>
          <w:bottom w:w="28" w:type="dxa"/>
          <w:right w:w="28" w:type="dxa"/>
        </w:tblCellMar>
      </w:tblPr>
      <w:tblGrid>
        <w:gridCol w:w="1914"/>
        <w:gridCol w:w="1338"/>
        <w:gridCol w:w="1353"/>
        <w:gridCol w:w="109"/>
        <w:gridCol w:w="109"/>
        <w:gridCol w:w="109"/>
        <w:gridCol w:w="227"/>
        <w:gridCol w:w="601"/>
        <w:gridCol w:w="126"/>
        <w:gridCol w:w="126"/>
        <w:gridCol w:w="126"/>
        <w:gridCol w:w="126"/>
        <w:gridCol w:w="227"/>
        <w:gridCol w:w="541"/>
        <w:gridCol w:w="126"/>
        <w:gridCol w:w="109"/>
        <w:gridCol w:w="109"/>
        <w:gridCol w:w="109"/>
        <w:gridCol w:w="206"/>
        <w:gridCol w:w="588"/>
        <w:gridCol w:w="115"/>
        <w:gridCol w:w="115"/>
        <w:gridCol w:w="115"/>
        <w:gridCol w:w="115"/>
        <w:gridCol w:w="206"/>
        <w:gridCol w:w="545"/>
        <w:gridCol w:w="115"/>
        <w:gridCol w:w="109"/>
        <w:gridCol w:w="109"/>
        <w:gridCol w:w="109"/>
        <w:gridCol w:w="109"/>
        <w:gridCol w:w="164"/>
      </w:tblGrid>
      <w:tr>
        <w:trPr/>
        <w:tc>
          <w:tcPr>
            <w:tcW w:w="1914"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722 </w:t>
            </w:r>
          </w:p>
        </w:tc>
        <w:tc>
          <w:tcPr>
            <w:tcW w:w="12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366 </w:t>
            </w:r>
          </w:p>
        </w:tc>
        <w:tc>
          <w:tcPr>
            <w:tcW w:w="12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1,756 </w:t>
            </w:r>
          </w:p>
        </w:tc>
        <w:tc>
          <w:tcPr>
            <w:tcW w:w="11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948 </w:t>
            </w:r>
          </w:p>
        </w:tc>
        <w:tc>
          <w:tcPr>
            <w:tcW w:w="11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w:t>
            </w:r>
          </w:p>
        </w:tc>
        <w:tc>
          <w:tcPr>
            <w:tcW w:w="1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747</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630</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1,876</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1,020</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w:t>
            </w:r>
          </w:p>
        </w:tc>
        <w:tc>
          <w:tcPr>
            <w:tcW w:w="1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w:t>
            </w:r>
          </w:p>
        </w:tc>
        <w:tc>
          <w:tcPr>
            <w:tcW w:w="1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(1,007)</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(487)</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 (Includes stock-based compensation of $(70), $(16), $(69) and $(27))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Operating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Income (Loss)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Net Income (Loss) Attributable to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 Common Share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460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Diluted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2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8"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(0.63)</w:t>
            </w:r>
          </w:p>
        </w:tc>
        <w:tc>
          <w:tcPr>
            <w:tcW w:w="1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5"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1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Basic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460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Diluted (in thousands)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45,904 </w:t>
            </w:r>
          </w:p>
        </w:tc>
        <w:tc>
          <w:tcPr>
            <w:tcW w:w="126"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47,905 </w:t>
            </w:r>
          </w:p>
        </w:tc>
        <w:tc>
          <w:tcPr>
            <w:tcW w:w="126"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45,759 </w:t>
            </w:r>
          </w:p>
        </w:tc>
        <w:tc>
          <w:tcPr>
            <w:tcW w:w="115"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45,699 </w:t>
            </w:r>
          </w:p>
        </w:tc>
        <w:tc>
          <w:tcPr>
            <w:tcW w:w="115"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80"/>
        <w:ind w:left="0" w:right="0" w:firstLine="360"/>
        <w:jc w:val="left"/>
        <w:rPr/>
      </w:pPr>
      <w:r>
        <w:rPr/>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CONDENSED CONSOLIDATED BALANCE SHEETS (UNAUDITED)</w:t>
      </w:r>
    </w:p>
    <w:tbl>
      <w:tblPr>
        <w:tblW w:w="8368" w:type="dxa"/>
        <w:jc w:val="left"/>
        <w:tblInd w:w="0" w:type="dxa"/>
        <w:tblLayout w:type="fixed"/>
        <w:tblCellMar>
          <w:top w:w="28" w:type="dxa"/>
          <w:left w:w="28" w:type="dxa"/>
          <w:bottom w:w="28" w:type="dxa"/>
          <w:right w:w="28" w:type="dxa"/>
        </w:tblCellMar>
      </w:tblPr>
      <w:tblGrid>
        <w:gridCol w:w="1852"/>
        <w:gridCol w:w="1630"/>
        <w:gridCol w:w="1647"/>
        <w:gridCol w:w="109"/>
        <w:gridCol w:w="109"/>
        <w:gridCol w:w="109"/>
        <w:gridCol w:w="196"/>
        <w:gridCol w:w="661"/>
        <w:gridCol w:w="109"/>
        <w:gridCol w:w="109"/>
        <w:gridCol w:w="109"/>
        <w:gridCol w:w="109"/>
        <w:gridCol w:w="314"/>
        <w:gridCol w:w="1059"/>
        <w:gridCol w:w="246"/>
      </w:tblGrid>
      <w:tr>
        <w:trPr/>
        <w:tc>
          <w:tcPr>
            <w:tcW w:w="185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946" w:type="dxa"/>
            <w:gridSpan w:val="6"/>
            <w:tcBorders/>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1,349</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11,928 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7,546 </w:t>
            </w:r>
          </w:p>
        </w:tc>
        <w:tc>
          <w:tcPr>
            <w:tcW w:w="2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15,068</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10,905</w:t>
            </w:r>
            <w:r>
              <w:rPr>
                <w:color w:val="000000"/>
              </w:rPr>
              <w:t> </w:t>
            </w:r>
          </w:p>
        </w:tc>
        <w:tc>
          <w:tcPr>
            <w:tcW w:w="2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due within one year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other accrued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1,316</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1,050</w:t>
            </w:r>
            <w:r>
              <w:rPr>
                <w:color w:val="000000"/>
              </w:rPr>
              <w:t> </w:t>
            </w:r>
          </w:p>
        </w:tc>
        <w:tc>
          <w:tcPr>
            <w:tcW w:w="2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6,782 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 and accrued environmental costs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contract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13,429</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9,812</w:t>
            </w:r>
            <w:r>
              <w:rPr>
                <w:color w:val="000000"/>
              </w:rPr>
              <w:t> </w:t>
            </w:r>
          </w:p>
        </w:tc>
        <w:tc>
          <w:tcPr>
            <w:tcW w:w="2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Common stock ($0.001 par value, 350,000,000 shares authorized)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2,533 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retained 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1,093</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1,093</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15,068</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5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10,905</w:t>
            </w:r>
            <w:r>
              <w:rPr>
                <w:color w:val="000000"/>
              </w:rPr>
              <w:t> </w:t>
            </w:r>
          </w:p>
        </w:tc>
        <w:tc>
          <w:tcPr>
            <w:tcW w:w="2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pPr>
      <w:r>
        <w:rPr>
          <w:rFonts w:ascii="Arial;sans-serif" w:hAnsi="Arial;sans-serif"/>
          <w:b w:val="false"/>
          <w:color w:val="000000"/>
          <w:sz w:val="14"/>
        </w:rPr>
        <w:t>(a)47,900,355 and 45,687,828 shares issued and outstanding as of June 30, 2026 and December 31, 2025, respectivel</w:t>
      </w:r>
      <w:r>
        <w:rPr>
          <w:rFonts w:ascii="Arial;sans-serif" w:hAnsi="Arial;sans-serif"/>
          <w:b w:val="false"/>
          <w:color w:val="000000"/>
          <w:sz w:val="12"/>
        </w:rPr>
        <w:t>y.</w:t>
      </w:r>
    </w:p>
    <w:p>
      <w:pPr>
        <w:pStyle w:val="TextBody"/>
        <w:bidi w:val="0"/>
        <w:spacing w:before="0" w:after="180"/>
        <w:jc w:val="left"/>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CONDENSED 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2549"/>
        <w:gridCol w:w="2237"/>
        <w:gridCol w:w="2260"/>
        <w:gridCol w:w="109"/>
        <w:gridCol w:w="109"/>
        <w:gridCol w:w="109"/>
        <w:gridCol w:w="242"/>
        <w:gridCol w:w="540"/>
        <w:gridCol w:w="134"/>
        <w:gridCol w:w="134"/>
        <w:gridCol w:w="134"/>
        <w:gridCol w:w="134"/>
        <w:gridCol w:w="242"/>
        <w:gridCol w:w="540"/>
        <w:gridCol w:w="134"/>
        <w:gridCol w:w="109"/>
        <w:gridCol w:w="109"/>
        <w:gridCol w:w="109"/>
        <w:gridCol w:w="109"/>
        <w:gridCol w:w="162"/>
      </w:tblGrid>
      <w:tr>
        <w:trPr/>
        <w:tc>
          <w:tcPr>
            <w:tcW w:w="2549"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70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reconciliation adjustments: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(gains) losses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 (excluding interest and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Changes in assets and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Collateral received (posted),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settlement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top w:val="doub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expenditures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investment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investment sale proceeds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1,186 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Cornerstone Acquisition,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(2,824)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top w:val="doub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repayments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facility borrowings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facility 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payments related to net-settled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2,283</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704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(decrease) in cash and cash equivalents and restricted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w:t>
            </w:r>
          </w:p>
        </w:tc>
        <w:tc>
          <w:tcPr>
            <w:tcW w:w="13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13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70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of period cash and cash equivalents and 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70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 of period cash and cash equivalents and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Non-GAAP Financial Measures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Adjusted EBITDA and Adjusted Free Cash Flow, which we use as measures of our performance and liquidity, are not financial measures prepared under GAAP.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a non-GAAP financial measure is a numerical measure of financial performance, financial position, or cash flows that excludes (or includes) amounts that are included in (or excluded from) the most directly comparable measure calculated and presented in accordance with GAAP. Management cautions readers not to place undue reliance on the following non-GAAP financial measures, but to also consider them along with their most directly comparable GAAP financial measures. Non-GAAP measures have limitations as analytical tools and should not be considered in isolation or as a substitute for analyzing our results as reported under GAAP.</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Adjusted EBITDA</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nuclear facility decommissioning trust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our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Adjusted Free Cash Flow</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Adjusted Free Cash Flow is utilized by our chief operating decision makers to evaluate cash flow activities. Adjusted Free Cash Flow is computed as Adjusted EBITDA reduced by capital expenditures (including nuclear fuel but excluding development, growth, and (or) conversion capital expenditures), cash payments for interest and finance charges, cash payments for income taxes (excluding income taxes paid from the NDT, taxes paid or deductions taken as a result of strategic asset sales, and benefits of the Nuclear PTC utilized to reduce income taxes paid), and pension contributions.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believe Adjusted Free Cash Flow is useful to investors and other users of our financial statements in evaluating our operating performance because it provides them with an additional tool to determine a company’s ability to meet future obligations and to compare business performance across companies and across periods. Adjusted Free Cash Flow is widely used by investors to measure a company’s levered cash flow without regard to items such as ARO settlements; nonrecurring development, growth and conversion expenditures; and cash proceeds or payments for the sale or purchase of assets, which can vary substantially from company to company and from period to period depending upon accounting methods, book value of assets, capital structure, and the method by which assets were acquired.</w:t>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Adjusted EBITDA / Adjusted Free Cash Flow Reconciliation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following table presents a reconciliation of the GAAP financial measure of “Net Income (Loss)” presented on the Consolidated Statements of Operations to the non-GAAP financial measures of Adjusted EBITDA and Adjusted Free Cash Flow:</w:t>
      </w:r>
    </w:p>
    <w:tbl>
      <w:tblPr>
        <w:tblW w:w="10205" w:type="dxa"/>
        <w:jc w:val="left"/>
        <w:tblInd w:w="0" w:type="dxa"/>
        <w:tblLayout w:type="fixed"/>
        <w:tblCellMar>
          <w:top w:w="28" w:type="dxa"/>
          <w:left w:w="28" w:type="dxa"/>
          <w:bottom w:w="28" w:type="dxa"/>
          <w:right w:w="28" w:type="dxa"/>
        </w:tblCellMar>
      </w:tblPr>
      <w:tblGrid>
        <w:gridCol w:w="1653"/>
        <w:gridCol w:w="1418"/>
        <w:gridCol w:w="1401"/>
        <w:gridCol w:w="109"/>
        <w:gridCol w:w="109"/>
        <w:gridCol w:w="109"/>
        <w:gridCol w:w="266"/>
        <w:gridCol w:w="592"/>
        <w:gridCol w:w="148"/>
        <w:gridCol w:w="148"/>
        <w:gridCol w:w="148"/>
        <w:gridCol w:w="148"/>
        <w:gridCol w:w="266"/>
        <w:gridCol w:w="544"/>
        <w:gridCol w:w="148"/>
        <w:gridCol w:w="109"/>
        <w:gridCol w:w="109"/>
        <w:gridCol w:w="109"/>
        <w:gridCol w:w="236"/>
        <w:gridCol w:w="527"/>
        <w:gridCol w:w="131"/>
        <w:gridCol w:w="131"/>
        <w:gridCol w:w="131"/>
        <w:gridCol w:w="131"/>
        <w:gridCol w:w="236"/>
        <w:gridCol w:w="527"/>
        <w:gridCol w:w="131"/>
        <w:gridCol w:w="109"/>
        <w:gridCol w:w="109"/>
        <w:gridCol w:w="109"/>
        <w:gridCol w:w="163"/>
      </w:tblGrid>
      <w:tr>
        <w:trPr/>
        <w:tc>
          <w:tcPr>
            <w:tcW w:w="165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4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4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3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3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13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3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Depreciation, amortization and accretion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3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3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Nuclear fuel amortization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90"/>
              <w:jc w:val="left"/>
              <w:rPr>
                <w:sz w:val="4"/>
                <w:szCs w:val="4"/>
              </w:rPr>
            </w:pPr>
            <w:r>
              <w:rPr>
                <w:sz w:val="4"/>
                <w:szCs w:val="4"/>
              </w:rPr>
            </w:r>
          </w:p>
        </w:tc>
      </w:tr>
      <w:tr>
        <w:trPr/>
        <w:tc>
          <w:tcPr>
            <w:tcW w:w="44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commodity derivative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3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3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90"/>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E1E1E2"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Stock-based and other long-term incentive compensation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3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3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Acquisition and divestiture activities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3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374</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847</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290</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3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13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finance charge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3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3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Adjusted Free Cash Flow</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212</w:t>
            </w:r>
            <w:r>
              <w:rPr>
                <w:color w:val="000000"/>
              </w:rPr>
              <w:t> </w:t>
            </w:r>
          </w:p>
        </w:tc>
        <w:tc>
          <w:tcPr>
            <w:tcW w:w="14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(78)</w:t>
            </w:r>
          </w:p>
        </w:tc>
        <w:tc>
          <w:tcPr>
            <w:tcW w:w="14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562</w:t>
            </w:r>
            <w:r>
              <w:rPr>
                <w:color w:val="000000"/>
              </w:rPr>
              <w:t> </w:t>
            </w:r>
          </w:p>
        </w:tc>
        <w:tc>
          <w:tcPr>
            <w:tcW w:w="13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13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(a)Includes the periodic amortization of fair value adjustments associated with acquired fuel supply contract liabilities and intangible assets.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(b)Includes the non-recurring: (i) advisory fees associated with completed acquisitions and divestitures; (ii) remaining settlements on contracts of divested assets and (iii) non-recurring finance fees charged to the Consolidated Statement of Operations associated with acquisition financing fee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Adjusted EBITDA / Adjusted Free Cash Flow Reconciliation: 2026 Guidance</w:t>
      </w:r>
    </w:p>
    <w:tbl>
      <w:tblPr>
        <w:tblW w:w="6186" w:type="dxa"/>
        <w:jc w:val="left"/>
        <w:tblInd w:w="0" w:type="dxa"/>
        <w:tblLayout w:type="fixed"/>
        <w:tblCellMar>
          <w:top w:w="28" w:type="dxa"/>
          <w:left w:w="28" w:type="dxa"/>
          <w:bottom w:w="28" w:type="dxa"/>
          <w:right w:w="28" w:type="dxa"/>
        </w:tblCellMar>
      </w:tblPr>
      <w:tblGrid>
        <w:gridCol w:w="1192"/>
        <w:gridCol w:w="1049"/>
        <w:gridCol w:w="1058"/>
        <w:gridCol w:w="109"/>
        <w:gridCol w:w="109"/>
        <w:gridCol w:w="109"/>
        <w:gridCol w:w="196"/>
        <w:gridCol w:w="571"/>
        <w:gridCol w:w="109"/>
        <w:gridCol w:w="109"/>
        <w:gridCol w:w="109"/>
        <w:gridCol w:w="109"/>
        <w:gridCol w:w="196"/>
        <w:gridCol w:w="571"/>
        <w:gridCol w:w="109"/>
        <w:gridCol w:w="109"/>
        <w:gridCol w:w="109"/>
        <w:gridCol w:w="109"/>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2026E </w:t>
            </w:r>
            <w:r>
              <w:rPr>
                <w:rFonts w:ascii="Arial;sans-serif" w:hAnsi="Arial;sans-serif"/>
                <w:b/>
                <w:color w:val="000000"/>
                <w:sz w:val="10"/>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High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2,025</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2,225</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finance charge payments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contributions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Note: Figures are rounded to the nearest $5 million.</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(a)Excludes Keystone as of July 1, 2026.</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3827</Words>
  <Characters>22058</Characters>
  <CharactersWithSpaces>25389</CharactersWithSpaces>
  <Paragraphs>724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