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100" w:after="283"/>
        <w:jc w:val="center"/>
        <w:rPr/>
      </w:pPr>
      <w:r>
        <w:rPr/>
      </w:r>
    </w:p>
    <w:p>
      <w:pPr>
        <w:pStyle w:val="TextBody"/>
        <w:bidi w:val="0"/>
        <w:spacing w:before="0" w:after="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180"/>
        <w:ind w:left="0" w:right="0" w:firstLine="360"/>
        <w:jc w:val="center"/>
        <w:rPr>
          <w:rFonts w:ascii="Arial;sans-serif" w:hAnsi="Arial;sans-serif"/>
          <w:b/>
          <w:color w:val="000000"/>
          <w:sz w:val="24"/>
        </w:rPr>
      </w:pPr>
      <w:r>
        <w:rPr>
          <w:rFonts w:ascii="Arial;sans-serif" w:hAnsi="Arial;sans-serif"/>
          <w:b/>
          <w:color w:val="000000"/>
          <w:sz w:val="24"/>
        </w:rPr>
        <w:t xml:space="preserve">UNITED STATES </w:t>
      </w:r>
    </w:p>
    <w:p>
      <w:pPr>
        <w:pStyle w:val="TextBody"/>
        <w:bidi w:val="0"/>
        <w:spacing w:lineRule="auto" w:line="240" w:before="0" w:after="120"/>
        <w:jc w:val="center"/>
        <w:rPr>
          <w:rFonts w:ascii="Arial;sans-serif" w:hAnsi="Arial;sans-serif"/>
          <w:b/>
          <w:color w:val="000000"/>
          <w:sz w:val="24"/>
        </w:rPr>
      </w:pPr>
      <w:r>
        <w:rPr>
          <w:rFonts w:ascii="Arial;sans-serif" w:hAnsi="Arial;sans-serif"/>
          <w:b/>
          <w:color w:val="000000"/>
          <w:sz w:val="24"/>
        </w:rPr>
        <w:t xml:space="preserve">SECURITIES AND EXCHANGE COMMISSION </w:t>
      </w:r>
    </w:p>
    <w:p>
      <w:pPr>
        <w:pStyle w:val="TextBody"/>
        <w:bidi w:val="0"/>
        <w:spacing w:lineRule="auto" w:line="240" w:before="0" w:after="0"/>
        <w:jc w:val="center"/>
        <w:rPr/>
      </w:pPr>
      <w:r>
        <w:rPr>
          <w:rFonts w:ascii="Arial;sans-serif" w:hAnsi="Arial;sans-serif"/>
          <w:b/>
          <w:color w:val="000000"/>
          <w:sz w:val="18"/>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100"/>
        <w:ind w:left="0" w:right="0" w:firstLine="360"/>
        <w:jc w:val="center"/>
        <w:rPr>
          <w:rFonts w:ascii="Arial;sans-serif" w:hAnsi="Arial;sans-serif"/>
          <w:b/>
          <w:color w:val="000000"/>
          <w:sz w:val="24"/>
        </w:rPr>
      </w:pPr>
      <w:r>
        <w:rPr>
          <w:rFonts w:ascii="Arial;sans-serif" w:hAnsi="Arial;sans-serif"/>
          <w:b/>
          <w:color w:val="000000"/>
          <w:sz w:val="2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ind w:left="0" w:right="0" w:firstLine="360"/>
        <w:jc w:val="left"/>
        <w:rPr>
          <w:rFonts w:ascii="Arial;sans-serif" w:hAnsi="Arial;sans-serif"/>
          <w:b/>
          <w:color w:val="000000"/>
          <w:sz w:val="16"/>
        </w:rPr>
      </w:pPr>
      <w:r>
        <w:rPr>
          <w:rFonts w:ascii="Arial;sans-serif" w:hAnsi="Arial;sans-serif"/>
          <w:b/>
          <w:color w:val="000000"/>
          <w:sz w:val="16"/>
        </w:rPr>
        <w:t>(Mark One)</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3"/>
        <w:gridCol w:w="2553"/>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color w:val="000000"/>
              </w:rPr>
            </w:pPr>
            <w:r>
              <w:rPr>
                <w:color w:val="000000"/>
              </w:rPr>
              <w:t> </w:t>
            </w:r>
            <w:r>
              <w:rPr>
                <w:rFonts w:ascii="Arial;sans-serif" w:hAnsi="Arial;sans-serif"/>
                <w:b/>
                <w:color w:val="000000"/>
                <w:sz w:val="16"/>
              </w:rPr>
              <w:t>QUARTERLY REPORT PURSUANT TO SECTION 13 OR 15(d) OF THE SECURITIES EXCHANGE ACT OF 1934</w:t>
            </w:r>
          </w:p>
        </w:tc>
      </w:tr>
    </w:tbl>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For the quarterly period ended June 30, 2026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4"/>
        <w:gridCol w:w="2544"/>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For the transition period from __________ to __________</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 001-37388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ind w:left="0" w:right="0" w:firstLine="36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40" w:before="0" w:after="100"/>
        <w:jc w:val="center"/>
        <w:rPr>
          <w:rFonts w:ascii="Arial;sans-serif" w:hAnsi="Arial;sans-serif"/>
          <w:b/>
          <w:color w:val="000000"/>
          <w:sz w:val="16"/>
        </w:rPr>
      </w:pPr>
      <w:r>
        <w:rPr>
          <w:rFonts w:ascii="Arial;sans-serif" w:hAnsi="Arial;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tbl>
      <w:tblPr>
        <w:tblW w:w="6268" w:type="dxa"/>
        <w:jc w:val="center"/>
        <w:tblInd w:w="0" w:type="dxa"/>
        <w:tblLayout w:type="fixed"/>
        <w:tblCellMar>
          <w:top w:w="28" w:type="dxa"/>
          <w:left w:w="28" w:type="dxa"/>
          <w:bottom w:w="28" w:type="dxa"/>
          <w:right w:w="28" w:type="dxa"/>
        </w:tblCellMar>
      </w:tblPr>
      <w:tblGrid>
        <w:gridCol w:w="1479"/>
        <w:gridCol w:w="1303"/>
        <w:gridCol w:w="1312"/>
        <w:gridCol w:w="635"/>
        <w:gridCol w:w="635"/>
        <w:gridCol w:w="904"/>
      </w:tblGrid>
      <w:tr>
        <w:trPr/>
        <w:tc>
          <w:tcPr>
            <w:tcW w:w="147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47-1197305</w:t>
            </w:r>
          </w:p>
        </w:tc>
      </w:tr>
      <w:tr>
        <w:trPr/>
        <w:tc>
          <w:tcPr>
            <w:tcW w:w="4094" w:type="dxa"/>
            <w:gridSpan w:val="3"/>
            <w:tcBorders/>
            <w:tcMar>
              <w:top w:w="0" w:type="dxa"/>
              <w:left w:w="0" w:type="dxa"/>
              <w:bottom w:w="0" w:type="dxa"/>
              <w:right w:w="0" w:type="dxa"/>
            </w:tcMar>
            <w:vAlign w:val="center"/>
          </w:tcPr>
          <w:p>
            <w:pPr>
              <w:pStyle w:val="TableContents"/>
              <w:bidi w:val="0"/>
              <w:spacing w:lineRule="auto" w:line="266" w:before="0" w:after="180"/>
              <w:ind w:left="0" w:right="0" w:firstLine="36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2174" w:type="dxa"/>
            <w:gridSpan w:val="3"/>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240" w:before="0" w:after="60"/>
        <w:jc w:val="center"/>
        <w:rPr>
          <w:rFonts w:ascii="Arial;sans-serif" w:hAnsi="Arial;sans-serif"/>
          <w:b/>
          <w:color w:val="000000"/>
          <w:sz w:val="16"/>
        </w:rPr>
      </w:pPr>
      <w:r>
        <w:rPr>
          <w:rFonts w:ascii="Arial;sans-serif" w:hAnsi="Arial;sans-serif"/>
          <w:b/>
          <w:color w:val="000000"/>
          <w:sz w:val="16"/>
        </w:rPr>
        <w:t>2929 Allen Pkwy, Suite 2200, Houston, TX 77019</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(Address of principal executive offices) (Zip Code)</w:t>
      </w:r>
    </w:p>
    <w:p>
      <w:pPr>
        <w:pStyle w:val="TextBody"/>
        <w:bidi w:val="0"/>
        <w:spacing w:lineRule="auto" w:line="240" w:before="120" w:after="283"/>
        <w:ind w:left="0" w:right="0" w:firstLine="360"/>
        <w:jc w:val="center"/>
        <w:rPr>
          <w:rFonts w:ascii="Arial;sans-serif" w:hAnsi="Arial;sans-serif"/>
          <w:b/>
          <w:color w:val="000000"/>
          <w:sz w:val="16"/>
        </w:rPr>
      </w:pPr>
      <w:r>
        <w:rPr>
          <w:rFonts w:ascii="Arial;sans-serif" w:hAnsi="Arial;sans-serif"/>
          <w:b/>
          <w:color w:val="000000"/>
          <w:sz w:val="16"/>
        </w:rPr>
        <w:t xml:space="preserve">(888) 211-6011 </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 xml:space="preserve">(Registrant’s telephone number, including area code) </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Not applicable </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100"/>
        <w:ind w:left="0" w:right="0" w:firstLine="360"/>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left"/>
        <w:rPr/>
      </w:pPr>
      <w:r>
        <w:rPr/>
      </w:r>
    </w:p>
    <w:tbl>
      <w:tblPr>
        <w:tblW w:w="9171" w:type="dxa"/>
        <w:jc w:val="center"/>
        <w:tblInd w:w="0" w:type="dxa"/>
        <w:tblLayout w:type="fixed"/>
        <w:tblCellMar>
          <w:top w:w="28" w:type="dxa"/>
          <w:left w:w="28" w:type="dxa"/>
          <w:bottom w:w="28" w:type="dxa"/>
          <w:right w:w="28" w:type="dxa"/>
        </w:tblCellMar>
      </w:tblPr>
      <w:tblGrid>
        <w:gridCol w:w="1187"/>
        <w:gridCol w:w="1042"/>
        <w:gridCol w:w="1055"/>
        <w:gridCol w:w="109"/>
        <w:gridCol w:w="109"/>
        <w:gridCol w:w="109"/>
        <w:gridCol w:w="524"/>
        <w:gridCol w:w="524"/>
        <w:gridCol w:w="526"/>
        <w:gridCol w:w="109"/>
        <w:gridCol w:w="109"/>
        <w:gridCol w:w="109"/>
        <w:gridCol w:w="1071"/>
        <w:gridCol w:w="1071"/>
        <w:gridCol w:w="1517"/>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09"/>
        <w:gridCol w:w="418"/>
        <w:gridCol w:w="418"/>
        <w:gridCol w:w="420"/>
        <w:gridCol w:w="109"/>
        <w:gridCol w:w="109"/>
        <w:gridCol w:w="109"/>
        <w:gridCol w:w="533"/>
        <w:gridCol w:w="533"/>
        <w:gridCol w:w="535"/>
        <w:gridCol w:w="109"/>
        <w:gridCol w:w="109"/>
        <w:gridCol w:w="109"/>
        <w:gridCol w:w="660"/>
        <w:gridCol w:w="660"/>
        <w:gridCol w:w="663"/>
        <w:gridCol w:w="109"/>
        <w:gridCol w:w="109"/>
        <w:gridCol w:w="109"/>
        <w:gridCol w:w="593"/>
        <w:gridCol w:w="593"/>
        <w:gridCol w:w="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shell company (as defined in Rule 12b-2 of the Exchange Act).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As of August 5, 2026, the registrant had outstanding 47,914,259 shares of common stock, par value $0.001 per share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QUARTERLY REPORT ON FORM 10-Q</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631"/>
        <w:gridCol w:w="554"/>
        <w:gridCol w:w="554"/>
        <w:gridCol w:w="622"/>
        <w:gridCol w:w="620"/>
        <w:gridCol w:w="620"/>
        <w:gridCol w:w="2102"/>
        <w:gridCol w:w="1983"/>
        <w:gridCol w:w="1989"/>
        <w:gridCol w:w="154"/>
        <w:gridCol w:w="154"/>
        <w:gridCol w:w="222"/>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675" w:type="dxa"/>
            <w:gridSpan w:val="9"/>
            <w:tcBorders>
              <w:bottom w:val="single" w:sz="8" w:space="0" w:color="000000"/>
            </w:tcBorders>
            <w:tcMar>
              <w:top w:w="0" w:type="dxa"/>
              <w:left w:w="0" w:type="dxa"/>
              <w:right w:w="0" w:type="dxa"/>
            </w:tcMar>
            <w:vAlign w:val="center"/>
          </w:tcPr>
          <w:p>
            <w:pPr>
              <w:pStyle w:val="TableContents"/>
              <w:bidi w:val="0"/>
              <w:spacing w:before="0" w:after="180"/>
              <w:jc w:val="left"/>
              <w:rPr/>
            </w:pPr>
            <w:r>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675" w:type="dxa"/>
            <w:gridSpan w:val="9"/>
            <w:tcBorders>
              <w:top w:val="single" w:sz="8" w:space="0" w:color="00276B"/>
            </w:tcBorders>
            <w:tcMar>
              <w:top w:w="30" w:type="dxa"/>
              <w:left w:w="0" w:type="dxa"/>
              <w:bottom w:w="0" w:type="dxa"/>
              <w:right w:w="0" w:type="dxa"/>
            </w:tcMar>
            <w:vAlign w:val="center"/>
          </w:tcPr>
          <w:p>
            <w:pPr>
              <w:pStyle w:val="TableContents"/>
              <w:bidi w:val="0"/>
              <w:spacing w:lineRule="auto" w:line="240" w:before="0" w:after="0"/>
              <w:jc w:val="left"/>
              <w:rPr/>
            </w:pPr>
            <w:hyperlink w:anchor="idf08d5c8772847918ea60a8749a96b52_73730">
              <w:r>
                <w:rPr>
                  <w:rStyle w:val="InternetLink"/>
                  <w:rFonts w:ascii="Arial;sans-serif" w:hAnsi="Arial;sans-serif"/>
                  <w:b w:val="false"/>
                  <w:color w:val="000080"/>
                  <w:sz w:val="16"/>
                  <w:u w:val="single"/>
                </w:rPr>
                <w:t xml:space="preserve">CAUTIONARY </w:t>
              </w:r>
            </w:hyperlink>
            <w:hyperlink w:anchor="idf08d5c8772847918ea60a8749a96b52_73730">
              <w:r>
                <w:rPr>
                  <w:rStyle w:val="InternetLink"/>
                  <w:rFonts w:ascii="Arial;sans-serif" w:hAnsi="Arial;sans-serif"/>
                  <w:b w:val="false"/>
                  <w:color w:val="000080"/>
                  <w:sz w:val="16"/>
                  <w:u w:val="single"/>
                </w:rPr>
                <w:t>NOTE</w:t>
              </w:r>
            </w:hyperlink>
            <w:hyperlink w:anchor="idf08d5c8772847918ea60a8749a96b52_73730">
              <w:r>
                <w:rPr>
                  <w:rStyle w:val="InternetLink"/>
                  <w:rFonts w:ascii="Arial;sans-serif" w:hAnsi="Arial;sans-serif"/>
                  <w:b w:val="false"/>
                  <w:color w:val="000080"/>
                  <w:sz w:val="16"/>
                  <w:u w:val="single"/>
                </w:rPr>
                <w:t xml:space="preserve"> REGARDING FORWARD</w:t>
              </w:r>
            </w:hyperlink>
            <w:hyperlink w:anchor="idf08d5c8772847918ea60a8749a96b52_73730">
              <w:r>
                <w:rPr>
                  <w:rStyle w:val="InternetLink"/>
                  <w:rFonts w:ascii="Arial;sans-serif" w:hAnsi="Arial;sans-serif"/>
                  <w:b w:val="false"/>
                  <w:color w:val="000080"/>
                  <w:sz w:val="16"/>
                  <w:u w:val="single"/>
                </w:rPr>
                <w:t>-</w:t>
              </w:r>
            </w:hyperlink>
            <w:hyperlink w:anchor="idf08d5c8772847918ea60a8749a96b52_73730">
              <w:r>
                <w:rPr>
                  <w:rStyle w:val="InternetLink"/>
                  <w:rFonts w:ascii="Arial;sans-serif" w:hAnsi="Arial;sans-serif"/>
                  <w:b w:val="false"/>
                  <w:color w:val="000080"/>
                  <w:sz w:val="16"/>
                  <w:u w:val="single"/>
                </w:rPr>
                <w:t>LOOKING INFORMATION</w:t>
              </w:r>
            </w:hyperlink>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20e1f3d5a734e3eabbb6aa8f57c7562_3721">
              <w:r>
                <w:rPr>
                  <w:rStyle w:val="InternetLink"/>
                  <w:rFonts w:ascii="Arial;sans-serif" w:hAnsi="Arial;sans-serif"/>
                  <w:b w:val="false"/>
                  <w:color w:val="0000FF"/>
                  <w:sz w:val="16"/>
                  <w:u w:val="single"/>
                </w:rPr>
                <w:t>1</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383">
              <w:r>
                <w:rPr>
                  <w:rStyle w:val="InternetLink"/>
                  <w:rFonts w:ascii="Arial;sans-serif" w:hAnsi="Arial;sans-serif"/>
                  <w:b w:val="false"/>
                  <w:color w:val="000080"/>
                  <w:sz w:val="16"/>
                  <w:u w:val="single"/>
                </w:rPr>
                <w:t>M</w:t>
              </w:r>
            </w:hyperlink>
            <w:hyperlink w:anchor="if20e1f3d5a734e3eabbb6aa8f57c7562_9383">
              <w:r>
                <w:rPr>
                  <w:rStyle w:val="InternetLink"/>
                  <w:rFonts w:ascii="Arial;sans-serif" w:hAnsi="Arial;sans-serif"/>
                  <w:b w:val="false"/>
                  <w:color w:val="000080"/>
                  <w:sz w:val="16"/>
                  <w:u w:val="single"/>
                </w:rPr>
                <w:t xml:space="preserve">ARKET AND INDUSTRY </w:t>
              </w:r>
            </w:hyperlink>
            <w:hyperlink w:anchor="if20e1f3d5a734e3eabbb6aa8f57c7562_9383">
              <w:r>
                <w:rPr>
                  <w:rStyle w:val="InternetLink"/>
                  <w:rFonts w:ascii="Arial;sans-serif" w:hAnsi="Arial;sans-serif"/>
                  <w:b w:val="false"/>
                  <w:color w:val="000080"/>
                  <w:sz w:val="16"/>
                  <w:u w:val="single"/>
                </w:rPr>
                <w:t>DATA</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383">
              <w:r>
                <w:rPr>
                  <w:rStyle w:val="InternetLink"/>
                  <w:rFonts w:ascii="Arial;sans-serif" w:hAnsi="Arial;sans-serif"/>
                  <w:b w:val="false"/>
                  <w:color w:val="0000FF"/>
                  <w:sz w:val="16"/>
                  <w:u w:val="single"/>
                </w:rPr>
                <w:t>1</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63">
              <w:r>
                <w:rPr>
                  <w:rStyle w:val="InternetLink"/>
                  <w:rFonts w:ascii="Arial;sans-serif" w:hAnsi="Arial;sans-serif"/>
                  <w:b w:val="false"/>
                  <w:color w:val="0000FF"/>
                  <w:sz w:val="16"/>
                  <w:u w:val="single"/>
                </w:rPr>
                <w:t>PART I. FINANCIAL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915">
              <w:r>
                <w:rPr>
                  <w:rStyle w:val="InternetLink"/>
                  <w:rFonts w:ascii="Arial;sans-serif" w:hAnsi="Arial;sans-serif"/>
                  <w:b w:val="false"/>
                  <w:color w:val="000080"/>
                  <w:sz w:val="16"/>
                  <w:u w:val="single"/>
                </w:rPr>
                <w:t>I</w:t>
              </w:r>
            </w:hyperlink>
            <w:hyperlink w:anchor="if20e1f3d5a734e3eabbb6aa8f57c7562_3915">
              <w:r>
                <w:rPr>
                  <w:rStyle w:val="InternetLink"/>
                  <w:rFonts w:ascii="Arial;sans-serif" w:hAnsi="Arial;sans-serif"/>
                  <w:b w:val="false"/>
                  <w:color w:val="000080"/>
                  <w:sz w:val="16"/>
                  <w:u w:val="single"/>
                </w:rPr>
                <w:t>TEM</w:t>
              </w:r>
            </w:hyperlink>
            <w:hyperlink w:anchor="if20e1f3d5a734e3eabbb6aa8f57c7562_3915">
              <w:r>
                <w:rPr>
                  <w:rStyle w:val="InternetLink"/>
                  <w:rFonts w:ascii="Arial;sans-serif" w:hAnsi="Arial;sans-serif"/>
                  <w:b w:val="false"/>
                  <w:color w:val="000080"/>
                  <w:sz w:val="16"/>
                  <w:u w:val="single"/>
                </w:rPr>
                <w:t xml:space="preserve"> 1.</w:t>
              </w:r>
            </w:hyperlink>
            <w:hyperlink w:anchor="if20e1f3d5a734e3eabbb6aa8f57c7562_3915">
              <w:r>
                <w:rPr>
                  <w:rStyle w:val="InternetLink"/>
                  <w:rFonts w:ascii="Arial;sans-serif" w:hAnsi="Arial;sans-serif"/>
                  <w:b w:val="false"/>
                  <w:color w:val="000080"/>
                  <w:sz w:val="16"/>
                  <w:u w:val="single"/>
                </w:rPr>
                <w:t xml:space="preserve"> </w:t>
              </w:r>
            </w:hyperlink>
            <w:hyperlink w:anchor="if20e1f3d5a734e3eabbb6aa8f57c7562_3915">
              <w:r>
                <w:rPr>
                  <w:rStyle w:val="InternetLink"/>
                  <w:rFonts w:ascii="Arial;sans-serif" w:hAnsi="Arial;sans-serif"/>
                  <w:b w:val="false"/>
                  <w:color w:val="000080"/>
                  <w:sz w:val="16"/>
                  <w:u w:val="single"/>
                </w:rPr>
                <w:t>FINANCIAL STATEME</w:t>
              </w:r>
            </w:hyperlink>
            <w:hyperlink w:anchor="if20e1f3d5a734e3eabbb6aa8f57c7562_3915">
              <w:r>
                <w:rPr>
                  <w:rStyle w:val="InternetLink"/>
                  <w:rFonts w:ascii="Arial;sans-serif" w:hAnsi="Arial;sans-serif"/>
                  <w:b w:val="false"/>
                  <w:color w:val="000080"/>
                  <w:sz w:val="16"/>
                  <w:u w:val="single"/>
                </w:rPr>
                <w:t>NTS</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1">
              <w:r>
                <w:rPr>
                  <w:rStyle w:val="InternetLink"/>
                  <w:rFonts w:ascii="Arial;sans-serif" w:hAnsi="Arial;sans-serif"/>
                  <w:b w:val="false"/>
                  <w:color w:val="0000FF"/>
                  <w:sz w:val="16"/>
                  <w:u w:val="single"/>
                </w:rPr>
                <w:t>Condensed Consolidated Statements of Operations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1">
              <w:r>
                <w:rPr>
                  <w:rStyle w:val="InternetLink"/>
                  <w:rFonts w:ascii="Arial;sans-serif" w:hAnsi="Arial;sans-serif"/>
                  <w:b w:val="false"/>
                  <w:color w:val="0000FF"/>
                  <w:sz w:val="16"/>
                  <w:u w:val="single"/>
                </w:rPr>
                <w:t>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
              <w:r>
                <w:rPr>
                  <w:rStyle w:val="InternetLink"/>
                  <w:rFonts w:ascii="Arial;sans-serif" w:hAnsi="Arial;sans-serif"/>
                  <w:b w:val="false"/>
                  <w:color w:val="0000FF"/>
                  <w:sz w:val="16"/>
                  <w:u w:val="single"/>
                </w:rPr>
                <w:t>Condensed Consolidated Statements of Comprehensive Income (Loss)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
              <w:r>
                <w:rPr>
                  <w:rStyle w:val="InternetLink"/>
                  <w:rFonts w:ascii="Arial;sans-serif" w:hAnsi="Arial;sans-serif"/>
                  <w:b w:val="false"/>
                  <w:color w:val="0000FF"/>
                  <w:sz w:val="16"/>
                  <w:u w:val="single"/>
                </w:rPr>
                <w:t>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
              <w:r>
                <w:rPr>
                  <w:rStyle w:val="InternetLink"/>
                  <w:rFonts w:ascii="Arial;sans-serif" w:hAnsi="Arial;sans-serif"/>
                  <w:b w:val="false"/>
                  <w:color w:val="0000FF"/>
                  <w:sz w:val="16"/>
                  <w:u w:val="single"/>
                </w:rPr>
                <w:t>Condensed Consolidated Balance Sheets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7">
              <w:r>
                <w:rPr>
                  <w:rStyle w:val="InternetLink"/>
                  <w:rFonts w:ascii="Arial;sans-serif" w:hAnsi="Arial;sans-serif"/>
                  <w:b w:val="false"/>
                  <w:color w:val="0000FF"/>
                  <w:sz w:val="16"/>
                  <w:u w:val="single"/>
                </w:rPr>
                <w:t>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0">
              <w:r>
                <w:rPr>
                  <w:rStyle w:val="InternetLink"/>
                  <w:rFonts w:ascii="Arial;sans-serif" w:hAnsi="Arial;sans-serif"/>
                  <w:b w:val="false"/>
                  <w:color w:val="0000FF"/>
                  <w:sz w:val="16"/>
                  <w:u w:val="single"/>
                </w:rPr>
                <w:t>Condensed Consolidated Statements of Cash Flows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0">
              <w:r>
                <w:rPr>
                  <w:rStyle w:val="InternetLink"/>
                  <w:rFonts w:ascii="Arial;sans-serif" w:hAnsi="Arial;sans-serif"/>
                  <w:b w:val="false"/>
                  <w:color w:val="0000FF"/>
                  <w:sz w:val="16"/>
                  <w:u w:val="single"/>
                </w:rPr>
                <w:t>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24">
              <w:r>
                <w:rPr>
                  <w:rStyle w:val="InternetLink"/>
                  <w:rFonts w:ascii="Arial;sans-serif" w:hAnsi="Arial;sans-serif"/>
                  <w:b w:val="false"/>
                  <w:color w:val="0000FF"/>
                  <w:sz w:val="16"/>
                  <w:u w:val="single"/>
                </w:rPr>
                <w:t>Condensed Consolidated Statements of Equity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24">
              <w:r>
                <w:rPr>
                  <w:rStyle w:val="InternetLink"/>
                  <w:rFonts w:ascii="Arial;sans-serif" w:hAnsi="Arial;sans-serif"/>
                  <w:b w:val="false"/>
                  <w:color w:val="0000FF"/>
                  <w:sz w:val="16"/>
                  <w:u w:val="single"/>
                </w:rPr>
                <w:t>6</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6">
              <w:r>
                <w:rPr>
                  <w:rStyle w:val="InternetLink"/>
                  <w:rFonts w:ascii="Arial;sans-serif" w:hAnsi="Arial;sans-serif"/>
                  <w:b w:val="false"/>
                  <w:color w:val="0000FF"/>
                  <w:sz w:val="16"/>
                  <w:u w:val="single"/>
                </w:rPr>
                <w:t>Notes to the Interim Financial Statements (Unaudited)</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20e1f3d5a734e3eabbb6aa8f57c7562_69">
              <w:r>
                <w:rPr>
                  <w:rStyle w:val="InternetLink"/>
                  <w:rFonts w:ascii="Arial;sans-serif" w:hAnsi="Arial;sans-serif"/>
                  <w:b w:val="false"/>
                  <w:color w:val="0000FF"/>
                  <w:sz w:val="16"/>
                  <w:u w:val="single"/>
                </w:rPr>
                <w:t>1. Business, Basis of Presentation, and Summary of Significant Accounting Policies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9">
              <w:r>
                <w:rPr>
                  <w:rStyle w:val="InternetLink"/>
                  <w:rFonts w:ascii="Arial;sans-serif" w:hAnsi="Arial;sans-serif"/>
                  <w:b w:val="false"/>
                  <w:color w:val="0000FF"/>
                  <w:sz w:val="16"/>
                  <w:u w:val="single"/>
                </w:rPr>
                <w:t>8</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14">
              <w:r>
                <w:rPr>
                  <w:rStyle w:val="InternetLink"/>
                  <w:rFonts w:ascii="Arial;sans-serif" w:hAnsi="Arial;sans-serif"/>
                  <w:b w:val="false"/>
                  <w:color w:val="000080"/>
                  <w:sz w:val="16"/>
                  <w:u w:val="single"/>
                </w:rPr>
                <w:t>2. Risk Management, Derivative Instruments</w:t>
              </w:r>
            </w:hyperlink>
            <w:hyperlink w:anchor="if20e1f3d5a734e3eabbb6aa8f57c7562_114">
              <w:r>
                <w:rPr>
                  <w:rStyle w:val="InternetLink"/>
                  <w:rFonts w:ascii="Arial;sans-serif" w:hAnsi="Arial;sans-serif"/>
                  <w:b w:val="false"/>
                  <w:color w:val="000080"/>
                  <w:sz w:val="16"/>
                  <w:u w:val="single"/>
                </w:rPr>
                <w:t>,</w:t>
              </w:r>
            </w:hyperlink>
            <w:hyperlink w:anchor="if20e1f3d5a734e3eabbb6aa8f57c7562_114">
              <w:r>
                <w:rPr>
                  <w:rStyle w:val="InternetLink"/>
                  <w:rFonts w:ascii="Arial;sans-serif" w:hAnsi="Arial;sans-serif"/>
                  <w:b w:val="false"/>
                  <w:color w:val="000080"/>
                  <w:sz w:val="16"/>
                  <w:u w:val="single"/>
                </w:rPr>
                <w:t xml:space="preserve"> and Hedging </w:t>
              </w:r>
            </w:hyperlink>
            <w:hyperlink w:anchor="if20e1f3d5a734e3eabbb6aa8f57c7562_114">
              <w:r>
                <w:rPr>
                  <w:rStyle w:val="InternetLink"/>
                  <w:rFonts w:ascii="Arial;sans-serif" w:hAnsi="Arial;sans-serif"/>
                  <w:b w:val="false"/>
                  <w:color w:val="000080"/>
                  <w:sz w:val="16"/>
                  <w:u w:val="single"/>
                </w:rPr>
                <w:t>Activities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14">
              <w:r>
                <w:rPr>
                  <w:rStyle w:val="InternetLink"/>
                  <w:rFonts w:ascii="Arial;sans-serif" w:hAnsi="Arial;sans-serif"/>
                  <w:b w:val="false"/>
                  <w:color w:val="0000FF"/>
                  <w:sz w:val="16"/>
                  <w:u w:val="single"/>
                </w:rPr>
                <w:t>8</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3">
              <w:r>
                <w:rPr>
                  <w:rStyle w:val="InternetLink"/>
                  <w:rFonts w:ascii="Arial;sans-serif" w:hAnsi="Arial;sans-serif"/>
                  <w:b w:val="false"/>
                  <w:color w:val="0000FF"/>
                  <w:sz w:val="16"/>
                  <w:u w:val="single"/>
                </w:rPr>
                <w:t>3. Revenue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3">
              <w:r>
                <w:rPr>
                  <w:rStyle w:val="InternetLink"/>
                  <w:rFonts w:ascii="Arial;sans-serif" w:hAnsi="Arial;sans-serif"/>
                  <w:b w:val="false"/>
                  <w:color w:val="0000FF"/>
                  <w:sz w:val="16"/>
                  <w:u w:val="single"/>
                </w:rPr>
                <w:t>11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38">
              <w:r>
                <w:rPr>
                  <w:rStyle w:val="InternetLink"/>
                  <w:rFonts w:ascii="Arial;sans-serif" w:hAnsi="Arial;sans-serif"/>
                  <w:b w:val="false"/>
                  <w:color w:val="0000FF"/>
                  <w:sz w:val="16"/>
                  <w:u w:val="single"/>
                </w:rPr>
                <w:t>4. Income Taxes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38">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47">
              <w:r>
                <w:rPr>
                  <w:rStyle w:val="InternetLink"/>
                  <w:rFonts w:ascii="Arial;sans-serif" w:hAnsi="Arial;sans-serif"/>
                  <w:b w:val="false"/>
                  <w:color w:val="0000FF"/>
                  <w:sz w:val="16"/>
                  <w:u w:val="single"/>
                </w:rPr>
                <w:t>5. Inventory</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47">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0">
              <w:r>
                <w:rPr>
                  <w:rStyle w:val="InternetLink"/>
                  <w:rFonts w:ascii="Arial;sans-serif" w:hAnsi="Arial;sans-serif"/>
                  <w:b w:val="false"/>
                  <w:color w:val="0000FF"/>
                  <w:sz w:val="16"/>
                  <w:u w:val="single"/>
                </w:rPr>
                <w:t>6. Nuclear Decommissioning Trust Funds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0">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3">
              <w:r>
                <w:rPr>
                  <w:rStyle w:val="InternetLink"/>
                  <w:rFonts w:ascii="Arial;sans-serif" w:hAnsi="Arial;sans-serif"/>
                  <w:b w:val="false"/>
                  <w:color w:val="0000FF"/>
                  <w:sz w:val="16"/>
                  <w:u w:val="single"/>
                </w:rPr>
                <w:t>7. Property, Plant and Equipment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3">
              <w:r>
                <w:rPr>
                  <w:rStyle w:val="InternetLink"/>
                  <w:rFonts w:ascii="Arial;sans-serif" w:hAnsi="Arial;sans-serif"/>
                  <w:b w:val="false"/>
                  <w:color w:val="0000FF"/>
                  <w:sz w:val="16"/>
                  <w:u w:val="single"/>
                </w:rPr>
                <w:t>13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6">
              <w:r>
                <w:rPr>
                  <w:rStyle w:val="InternetLink"/>
                  <w:rFonts w:ascii="Arial;sans-serif" w:hAnsi="Arial;sans-serif"/>
                  <w:b w:val="false"/>
                  <w:color w:val="0000FF"/>
                  <w:sz w:val="16"/>
                  <w:u w:val="single"/>
                </w:rPr>
                <w:t>8. Asset Retirement Obligations and Accrued Environmental Costs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6">
              <w:r>
                <w:rPr>
                  <w:rStyle w:val="InternetLink"/>
                  <w:rFonts w:ascii="Arial;sans-serif" w:hAnsi="Arial;sans-serif"/>
                  <w:b w:val="false"/>
                  <w:color w:val="0000FF"/>
                  <w:sz w:val="16"/>
                  <w:u w:val="single"/>
                </w:rPr>
                <w:t>14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62">
              <w:r>
                <w:rPr>
                  <w:rStyle w:val="InternetLink"/>
                  <w:rFonts w:ascii="Arial;sans-serif" w:hAnsi="Arial;sans-serif"/>
                  <w:b w:val="false"/>
                  <w:color w:val="0000FF"/>
                  <w:sz w:val="16"/>
                  <w:u w:val="single"/>
                </w:rPr>
                <w:t>9. Commitments and Contingencies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62">
              <w:r>
                <w:rPr>
                  <w:rStyle w:val="InternetLink"/>
                  <w:rFonts w:ascii="Arial;sans-serif" w:hAnsi="Arial;sans-serif"/>
                  <w:b w:val="false"/>
                  <w:color w:val="0000FF"/>
                  <w:sz w:val="16"/>
                  <w:u w:val="single"/>
                </w:rPr>
                <w:t>15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80">
              <w:r>
                <w:rPr>
                  <w:rStyle w:val="InternetLink"/>
                  <w:rFonts w:ascii="Arial;sans-serif" w:hAnsi="Arial;sans-serif"/>
                  <w:b w:val="false"/>
                  <w:color w:val="0000FF"/>
                  <w:sz w:val="16"/>
                  <w:u w:val="single"/>
                </w:rPr>
                <w:t>10. Long-Term Debt and Other Credit Facilities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80">
              <w:r>
                <w:rPr>
                  <w:rStyle w:val="InternetLink"/>
                  <w:rFonts w:ascii="Arial;sans-serif" w:hAnsi="Arial;sans-serif"/>
                  <w:b w:val="false"/>
                  <w:color w:val="0000FF"/>
                  <w:sz w:val="16"/>
                  <w:u w:val="single"/>
                </w:rPr>
                <w:t>22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13">
              <w:r>
                <w:rPr>
                  <w:rStyle w:val="InternetLink"/>
                  <w:rFonts w:ascii="Arial;sans-serif" w:hAnsi="Arial;sans-serif"/>
                  <w:b w:val="false"/>
                  <w:color w:val="0000FF"/>
                  <w:sz w:val="16"/>
                  <w:u w:val="single"/>
                </w:rPr>
                <w:t>11. Fair Value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13">
              <w:r>
                <w:rPr>
                  <w:rStyle w:val="InternetLink"/>
                  <w:rFonts w:ascii="Arial;sans-serif" w:hAnsi="Arial;sans-serif"/>
                  <w:b w:val="false"/>
                  <w:color w:val="0000FF"/>
                  <w:sz w:val="16"/>
                  <w:u w:val="single"/>
                </w:rPr>
                <w:t>23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2">
              <w:r>
                <w:rPr>
                  <w:rStyle w:val="InternetLink"/>
                  <w:rFonts w:ascii="Arial;sans-serif" w:hAnsi="Arial;sans-serif"/>
                  <w:b w:val="false"/>
                  <w:color w:val="0000FF"/>
                  <w:sz w:val="16"/>
                  <w:u w:val="single"/>
                </w:rPr>
                <w:t>12. Postretirement Benefit Obligations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2">
              <w:r>
                <w:rPr>
                  <w:rStyle w:val="InternetLink"/>
                  <w:rFonts w:ascii="Arial;sans-serif" w:hAnsi="Arial;sans-serif"/>
                  <w:b w:val="false"/>
                  <w:color w:val="0000FF"/>
                  <w:sz w:val="16"/>
                  <w:u w:val="single"/>
                </w:rPr>
                <w:t>25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32">
              <w:r>
                <w:rPr>
                  <w:rStyle w:val="InternetLink"/>
                  <w:rFonts w:ascii="Arial;sans-serif" w:hAnsi="Arial;sans-serif"/>
                  <w:b w:val="false"/>
                  <w:color w:val="0000FF"/>
                  <w:sz w:val="16"/>
                  <w:u w:val="single"/>
                </w:rPr>
                <w:t>13. Stock-Based Compensation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32">
              <w:r>
                <w:rPr>
                  <w:rStyle w:val="InternetLink"/>
                  <w:rFonts w:ascii="Arial;sans-serif" w:hAnsi="Arial;sans-serif"/>
                  <w:b w:val="false"/>
                  <w:color w:val="0000FF"/>
                  <w:sz w:val="16"/>
                  <w:u w:val="single"/>
                </w:rPr>
                <w:t>25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8">
              <w:r>
                <w:rPr>
                  <w:rStyle w:val="InternetLink"/>
                  <w:rFonts w:ascii="Arial;sans-serif" w:hAnsi="Arial;sans-serif"/>
                  <w:b w:val="false"/>
                  <w:color w:val="0000FF"/>
                  <w:sz w:val="16"/>
                  <w:u w:val="single"/>
                </w:rPr>
                <w:t>14. Earnings Per Share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8">
              <w:r>
                <w:rPr>
                  <w:rStyle w:val="InternetLink"/>
                  <w:rFonts w:ascii="Arial;sans-serif" w:hAnsi="Arial;sans-serif"/>
                  <w:b w:val="false"/>
                  <w:color w:val="0000FF"/>
                  <w:sz w:val="16"/>
                  <w:u w:val="single"/>
                </w:rPr>
                <w:t>27</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13">
              <w:r>
                <w:rPr>
                  <w:rStyle w:val="InternetLink"/>
                  <w:rFonts w:ascii="Arial;sans-serif" w:hAnsi="Arial;sans-serif"/>
                  <w:b w:val="false"/>
                  <w:color w:val="0000FF"/>
                  <w:sz w:val="16"/>
                  <w:u w:val="single"/>
                </w:rPr>
                <w:t>15. Stockholders' Equity</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13">
              <w:r>
                <w:rPr>
                  <w:rStyle w:val="InternetLink"/>
                  <w:rFonts w:ascii="Arial;sans-serif" w:hAnsi="Arial;sans-serif"/>
                  <w:b w:val="false"/>
                  <w:color w:val="0000FF"/>
                  <w:sz w:val="16"/>
                  <w:u w:val="single"/>
                </w:rPr>
                <w:t>27</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34">
              <w:r>
                <w:rPr>
                  <w:rStyle w:val="InternetLink"/>
                  <w:rFonts w:ascii="Arial;sans-serif" w:hAnsi="Arial;sans-serif"/>
                  <w:b w:val="false"/>
                  <w:color w:val="0000FF"/>
                  <w:sz w:val="16"/>
                  <w:u w:val="single"/>
                </w:rPr>
                <w:t>16. Supplemental Cash Flow Information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34">
              <w:r>
                <w:rPr>
                  <w:rStyle w:val="InternetLink"/>
                  <w:rFonts w:ascii="Arial;sans-serif" w:hAnsi="Arial;sans-serif"/>
                  <w:b w:val="false"/>
                  <w:color w:val="0000FF"/>
                  <w:sz w:val="16"/>
                  <w:u w:val="single"/>
                </w:rPr>
                <w:t>29</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9">
              <w:r>
                <w:rPr>
                  <w:rStyle w:val="InternetLink"/>
                  <w:rFonts w:ascii="Arial;sans-serif" w:hAnsi="Arial;sans-serif"/>
                  <w:b w:val="false"/>
                  <w:color w:val="0000FF"/>
                  <w:sz w:val="16"/>
                  <w:u w:val="single"/>
                </w:rPr>
                <w:t>17. Acquisitions and Divestitures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9">
              <w:r>
                <w:rPr>
                  <w:rStyle w:val="InternetLink"/>
                  <w:rFonts w:ascii="Arial;sans-serif" w:hAnsi="Arial;sans-serif"/>
                  <w:b w:val="false"/>
                  <w:color w:val="0000FF"/>
                  <w:sz w:val="16"/>
                  <w:u w:val="single"/>
                </w:rPr>
                <w:t>29</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2">
              <w:r>
                <w:rPr>
                  <w:rStyle w:val="InternetLink"/>
                  <w:rFonts w:ascii="Arial;sans-serif" w:hAnsi="Arial;sans-serif"/>
                  <w:b w:val="false"/>
                  <w:color w:val="000080"/>
                  <w:sz w:val="16"/>
                  <w:u w:val="single"/>
                </w:rPr>
                <w:t>18. Seg</w:t>
              </w:r>
            </w:hyperlink>
            <w:hyperlink w:anchor="if20e1f3d5a734e3eabbb6aa8f57c7562_252">
              <w:r>
                <w:rPr>
                  <w:rStyle w:val="InternetLink"/>
                  <w:rFonts w:ascii="Arial;sans-serif" w:hAnsi="Arial;sans-serif"/>
                  <w:b w:val="false"/>
                  <w:color w:val="000080"/>
                  <w:sz w:val="16"/>
                  <w:u w:val="single"/>
                </w:rPr>
                <w:t>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2">
              <w:r>
                <w:rPr>
                  <w:rStyle w:val="InternetLink"/>
                  <w:rFonts w:ascii="Arial;sans-serif" w:hAnsi="Arial;sans-serif"/>
                  <w:b w:val="false"/>
                  <w:color w:val="0000FF"/>
                  <w:sz w:val="16"/>
                  <w:u w:val="single"/>
                </w:rPr>
                <w:t>31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8">
              <w:r>
                <w:rPr>
                  <w:rStyle w:val="InternetLink"/>
                  <w:rFonts w:ascii="Arial;sans-serif" w:hAnsi="Arial;sans-serif"/>
                  <w:b w:val="false"/>
                  <w:color w:val="000080"/>
                  <w:sz w:val="16"/>
                  <w:u w:val="single"/>
                </w:rPr>
                <w:t>I</w:t>
              </w:r>
            </w:hyperlink>
            <w:hyperlink w:anchor="if20e1f3d5a734e3eabbb6aa8f57c7562_258">
              <w:r>
                <w:rPr>
                  <w:rStyle w:val="InternetLink"/>
                  <w:rFonts w:ascii="Arial;sans-serif" w:hAnsi="Arial;sans-serif"/>
                  <w:b w:val="false"/>
                  <w:color w:val="000080"/>
                  <w:sz w:val="16"/>
                  <w:u w:val="single"/>
                </w:rPr>
                <w:t xml:space="preserve">TEM </w:t>
              </w:r>
            </w:hyperlink>
            <w:hyperlink w:anchor="if20e1f3d5a734e3eabbb6aa8f57c7562_258">
              <w:r>
                <w:rPr>
                  <w:rStyle w:val="InternetLink"/>
                  <w:rFonts w:ascii="Arial;sans-serif" w:hAnsi="Arial;sans-serif"/>
                  <w:b w:val="false"/>
                  <w:color w:val="000080"/>
                  <w:sz w:val="16"/>
                  <w:u w:val="single"/>
                </w:rPr>
                <w:t>2.</w:t>
              </w:r>
            </w:hyperlink>
            <w:hyperlink w:anchor="if20e1f3d5a734e3eabbb6aa8f57c7562_258">
              <w:r>
                <w:rPr>
                  <w:rStyle w:val="InternetLink"/>
                  <w:rFonts w:ascii="Arial;sans-serif" w:hAnsi="Arial;sans-serif"/>
                  <w:b w:val="false"/>
                  <w:color w:val="000080"/>
                  <w:sz w:val="16"/>
                  <w:u w:val="single"/>
                </w:rPr>
                <w:t xml:space="preserve"> </w:t>
              </w:r>
            </w:hyperlink>
            <w:hyperlink w:anchor="if20e1f3d5a734e3eabbb6aa8f57c7562_258">
              <w:r>
                <w:rPr>
                  <w:rStyle w:val="InternetLink"/>
                  <w:rFonts w:ascii="Arial;sans-serif" w:hAnsi="Arial;sans-serif"/>
                  <w:b w:val="false"/>
                  <w:color w:val="000080"/>
                  <w:sz w:val="16"/>
                  <w:u w:val="single"/>
                </w:rPr>
                <w:t>MANAGEMENT</w:t>
              </w:r>
            </w:hyperlink>
            <w:hyperlink w:anchor="if20e1f3d5a734e3eabbb6aa8f57c7562_258">
              <w:r>
                <w:rPr>
                  <w:rStyle w:val="InternetLink"/>
                  <w:rFonts w:ascii="Arial;sans-serif" w:hAnsi="Arial;sans-serif"/>
                  <w:b w:val="false"/>
                  <w:color w:val="000080"/>
                  <w:sz w:val="16"/>
                  <w:u w:val="single"/>
                </w:rPr>
                <w:t>’</w:t>
              </w:r>
            </w:hyperlink>
            <w:hyperlink w:anchor="if20e1f3d5a734e3eabbb6aa8f57c7562_258">
              <w:r>
                <w:rPr>
                  <w:rStyle w:val="InternetLink"/>
                  <w:rFonts w:ascii="Arial;sans-serif" w:hAnsi="Arial;sans-serif"/>
                  <w:b w:val="false"/>
                  <w:color w:val="000080"/>
                  <w:sz w:val="16"/>
                  <w:u w:val="single"/>
                </w:rPr>
                <w:t>S DISCUSSION</w:t>
              </w:r>
            </w:hyperlink>
            <w:hyperlink w:anchor="if20e1f3d5a734e3eabbb6aa8f57c7562_258">
              <w:r>
                <w:rPr>
                  <w:rStyle w:val="InternetLink"/>
                  <w:rFonts w:ascii="Arial;sans-serif" w:hAnsi="Arial;sans-serif"/>
                  <w:b w:val="false"/>
                  <w:color w:val="000080"/>
                  <w:sz w:val="16"/>
                  <w:u w:val="single"/>
                </w:rPr>
                <w:t xml:space="preserve"> AND ANALYSIS OF FINANCIAL CONDITIO</w:t>
              </w:r>
            </w:hyperlink>
            <w:hyperlink w:anchor="if20e1f3d5a734e3eabbb6aa8f57c7562_258">
              <w:r>
                <w:rPr>
                  <w:rStyle w:val="InternetLink"/>
                  <w:rFonts w:ascii="Arial;sans-serif" w:hAnsi="Arial;sans-serif"/>
                  <w:b w:val="false"/>
                  <w:color w:val="000080"/>
                  <w:sz w:val="16"/>
                  <w:u w:val="single"/>
                </w:rPr>
                <w:t>N A</w:t>
              </w:r>
            </w:hyperlink>
            <w:hyperlink w:anchor="if20e1f3d5a734e3eabbb6aa8f57c7562_258">
              <w:r>
                <w:rPr>
                  <w:rStyle w:val="InternetLink"/>
                  <w:rFonts w:ascii="Arial;sans-serif" w:hAnsi="Arial;sans-serif"/>
                  <w:b w:val="false"/>
                  <w:color w:val="000080"/>
                  <w:sz w:val="16"/>
                  <w:u w:val="single"/>
                </w:rPr>
                <w:t>ND RESULTS OF OPERATION</w:t>
              </w:r>
            </w:hyperlink>
            <w:hyperlink w:anchor="if20e1f3d5a734e3eabbb6aa8f57c7562_258">
              <w:r>
                <w:rPr>
                  <w:rStyle w:val="InternetLink"/>
                  <w:rFonts w:ascii="Arial;sans-serif" w:hAnsi="Arial;sans-serif"/>
                  <w:b w:val="false"/>
                  <w:color w:val="000080"/>
                  <w:sz w:val="16"/>
                  <w:u w:val="single"/>
                </w:rPr>
                <w:t>S</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84">
              <w:r>
                <w:rPr>
                  <w:rStyle w:val="InternetLink"/>
                  <w:rFonts w:ascii="Arial;sans-serif" w:hAnsi="Arial;sans-serif"/>
                  <w:b w:val="false"/>
                  <w:color w:val="000080"/>
                  <w:sz w:val="16"/>
                  <w:u w:val="single"/>
                </w:rPr>
                <w:t>R</w:t>
              </w:r>
            </w:hyperlink>
            <w:hyperlink w:anchor="if20e1f3d5a734e3eabbb6aa8f57c7562_3384">
              <w:r>
                <w:rPr>
                  <w:rStyle w:val="InternetLink"/>
                  <w:rFonts w:ascii="Arial;sans-serif" w:hAnsi="Arial;sans-serif"/>
                  <w:b w:val="false"/>
                  <w:color w:val="000080"/>
                  <w:sz w:val="16"/>
                  <w:u w:val="single"/>
                </w:rPr>
                <w:t>ece</w:t>
              </w:r>
            </w:hyperlink>
            <w:hyperlink w:anchor="if20e1f3d5a734e3eabbb6aa8f57c7562_3384">
              <w:r>
                <w:rPr>
                  <w:rStyle w:val="InternetLink"/>
                  <w:rFonts w:ascii="Arial;sans-serif" w:hAnsi="Arial;sans-serif"/>
                  <w:b w:val="false"/>
                  <w:color w:val="000080"/>
                  <w:sz w:val="16"/>
                  <w:u w:val="single"/>
                </w:rPr>
                <w:t>nt Deve</w:t>
              </w:r>
            </w:hyperlink>
            <w:hyperlink w:anchor="if20e1f3d5a734e3eabbb6aa8f57c7562_3384">
              <w:r>
                <w:rPr>
                  <w:rStyle w:val="InternetLink"/>
                  <w:rFonts w:ascii="Arial;sans-serif" w:hAnsi="Arial;sans-serif"/>
                  <w:b w:val="false"/>
                  <w:color w:val="000080"/>
                  <w:sz w:val="16"/>
                  <w:u w:val="single"/>
                </w:rPr>
                <w:t>lopment</w:t>
              </w:r>
            </w:hyperlink>
            <w:r>
              <w:rPr>
                <w:rFonts w:ascii="Arial;sans-serif" w:hAnsi="Arial;sans-serif"/>
                <w:b w:val="false"/>
                <w:color w:val="0E32E1"/>
                <w:sz w:val="16"/>
                <w:u w:val="single"/>
              </w:rPr>
              <w:t>s</w:t>
            </w:r>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84">
              <w:r>
                <w:rPr>
                  <w:rStyle w:val="InternetLink"/>
                  <w:rFonts w:ascii="Arial;sans-serif" w:hAnsi="Arial;sans-serif"/>
                  <w:b w:val="false"/>
                  <w:color w:val="0E32E1"/>
                  <w:sz w:val="16"/>
                  <w:u w:val="single"/>
                </w:rPr>
                <w:t>33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79">
              <w:r>
                <w:rPr>
                  <w:rStyle w:val="InternetLink"/>
                  <w:rFonts w:ascii="Arial;sans-serif" w:hAnsi="Arial;sans-serif"/>
                  <w:b w:val="false"/>
                  <w:color w:val="0000FF"/>
                  <w:sz w:val="16"/>
                  <w:u w:val="single"/>
                </w:rPr>
                <w:t>Factors Affecting Our Financial Condition and Results of Operations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79">
              <w:r>
                <w:rPr>
                  <w:rStyle w:val="InternetLink"/>
                  <w:rFonts w:ascii="Arial;sans-serif" w:hAnsi="Arial;sans-serif"/>
                  <w:b w:val="false"/>
                  <w:color w:val="0E32E1"/>
                  <w:sz w:val="16"/>
                  <w:u w:val="single"/>
                </w:rPr>
                <w:t>33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12">
              <w:r>
                <w:rPr>
                  <w:rStyle w:val="InternetLink"/>
                  <w:rFonts w:ascii="Arial;sans-serif" w:hAnsi="Arial;sans-serif"/>
                  <w:b w:val="false"/>
                  <w:color w:val="0000FF"/>
                  <w:sz w:val="16"/>
                  <w:u w:val="single"/>
                </w:rPr>
                <w:t>Results of Operations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12">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3">
              <w:r>
                <w:rPr>
                  <w:rStyle w:val="InternetLink"/>
                  <w:rFonts w:ascii="Arial;sans-serif" w:hAnsi="Arial;sans-serif"/>
                  <w:b w:val="false"/>
                  <w:color w:val="0000FF"/>
                  <w:sz w:val="16"/>
                  <w:u w:val="single"/>
                </w:rPr>
                <w:t>Liquidity and Capital Resources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3">
              <w:r>
                <w:rPr>
                  <w:rStyle w:val="InternetLink"/>
                  <w:rFonts w:ascii="Arial;sans-serif" w:hAnsi="Arial;sans-serif"/>
                  <w:b w:val="false"/>
                  <w:color w:val="0E32E1"/>
                  <w:sz w:val="16"/>
                  <w:u w:val="single"/>
                </w:rPr>
                <w:t>38</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51">
              <w:r>
                <w:rPr>
                  <w:rStyle w:val="InternetLink"/>
                  <w:rFonts w:ascii="Arial;sans-serif" w:hAnsi="Arial;sans-serif"/>
                  <w:b w:val="false"/>
                  <w:color w:val="0000FF"/>
                  <w:sz w:val="16"/>
                  <w:u w:val="single"/>
                </w:rPr>
                <w:t>Cash Flow Activities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51">
              <w:r>
                <w:rPr>
                  <w:rStyle w:val="InternetLink"/>
                  <w:rFonts w:ascii="Arial;sans-serif" w:hAnsi="Arial;sans-serif"/>
                  <w:b w:val="false"/>
                  <w:color w:val="0000FF"/>
                  <w:sz w:val="16"/>
                  <w:u w:val="single"/>
                </w:rPr>
                <w:t>39</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707">
              <w:r>
                <w:rPr>
                  <w:rStyle w:val="InternetLink"/>
                  <w:rFonts w:ascii="Arial;sans-serif" w:hAnsi="Arial;sans-serif"/>
                  <w:b w:val="false"/>
                  <w:color w:val="0000FF"/>
                  <w:sz w:val="16"/>
                  <w:u w:val="single"/>
                </w:rPr>
                <w:t>Contractual Obligations and Commitments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707">
              <w:r>
                <w:rPr>
                  <w:rStyle w:val="InternetLink"/>
                  <w:rFonts w:ascii="Arial;sans-serif" w:hAnsi="Arial;sans-serif"/>
                  <w:b w:val="false"/>
                  <w:color w:val="0000FF"/>
                  <w:sz w:val="16"/>
                  <w:u w:val="single"/>
                </w:rPr>
                <w:t>39</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60">
              <w:r>
                <w:rPr>
                  <w:rStyle w:val="InternetLink"/>
                  <w:rFonts w:ascii="Arial;sans-serif" w:hAnsi="Arial;sans-serif"/>
                  <w:b w:val="false"/>
                  <w:color w:val="0000FF"/>
                  <w:sz w:val="16"/>
                  <w:u w:val="single"/>
                </w:rPr>
                <w:t>Non-GAAP Financial Measure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60">
              <w:r>
                <w:rPr>
                  <w:rStyle w:val="InternetLink"/>
                  <w:rFonts w:ascii="Arial;sans-serif" w:hAnsi="Arial;sans-serif"/>
                  <w:b w:val="false"/>
                  <w:color w:val="0000FF"/>
                  <w:sz w:val="16"/>
                  <w:u w:val="single"/>
                </w:rPr>
                <w:t>40</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231">
              <w:r>
                <w:rPr>
                  <w:rStyle w:val="InternetLink"/>
                  <w:rFonts w:ascii="Arial;sans-serif" w:hAnsi="Arial;sans-serif"/>
                  <w:b w:val="false"/>
                  <w:color w:val="0000FF"/>
                  <w:sz w:val="16"/>
                  <w:u w:val="single"/>
                </w:rPr>
                <w:t>Critical Accounting Estimates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231">
              <w:r>
                <w:rPr>
                  <w:rStyle w:val="InternetLink"/>
                  <w:rFonts w:ascii="Arial;sans-serif" w:hAnsi="Arial;sans-serif"/>
                  <w:b w:val="false"/>
                  <w:color w:val="0000FF"/>
                  <w:sz w:val="16"/>
                  <w:u w:val="single"/>
                </w:rPr>
                <w:t>41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8724">
              <w:r>
                <w:rPr>
                  <w:rStyle w:val="InternetLink"/>
                  <w:rFonts w:ascii="Arial;sans-serif" w:hAnsi="Arial;sans-serif"/>
                  <w:b w:val="false"/>
                  <w:color w:val="000080"/>
                  <w:sz w:val="16"/>
                  <w:u w:val="single"/>
                </w:rPr>
                <w:t>ITEM</w:t>
              </w:r>
            </w:hyperlink>
            <w:hyperlink w:anchor="if20e1f3d5a734e3eabbb6aa8f57c7562_8724">
              <w:r>
                <w:rPr>
                  <w:rStyle w:val="InternetLink"/>
                  <w:rFonts w:ascii="Arial;sans-serif" w:hAnsi="Arial;sans-serif"/>
                  <w:b w:val="false"/>
                  <w:color w:val="000080"/>
                  <w:sz w:val="16"/>
                  <w:u w:val="single"/>
                </w:rPr>
                <w:t xml:space="preserve"> 3. </w:t>
              </w:r>
            </w:hyperlink>
            <w:hyperlink w:anchor="if20e1f3d5a734e3eabbb6aa8f57c7562_8724">
              <w:r>
                <w:rPr>
                  <w:rStyle w:val="InternetLink"/>
                  <w:rFonts w:ascii="Arial;sans-serif" w:hAnsi="Arial;sans-serif"/>
                  <w:b w:val="false"/>
                  <w:color w:val="000080"/>
                  <w:sz w:val="16"/>
                  <w:u w:val="single"/>
                </w:rPr>
                <w:t>QUA</w:t>
              </w:r>
            </w:hyperlink>
            <w:hyperlink w:anchor="if20e1f3d5a734e3eabbb6aa8f57c7562_8724">
              <w:r>
                <w:rPr>
                  <w:rStyle w:val="InternetLink"/>
                  <w:rFonts w:ascii="Arial;sans-serif" w:hAnsi="Arial;sans-serif"/>
                  <w:b w:val="false"/>
                  <w:color w:val="000080"/>
                  <w:sz w:val="16"/>
                  <w:u w:val="single"/>
                </w:rPr>
                <w:t>NTITATIVE AND QUALITATIVE DISCLO</w:t>
              </w:r>
            </w:hyperlink>
            <w:hyperlink w:anchor="if20e1f3d5a734e3eabbb6aa8f57c7562_8724">
              <w:r>
                <w:rPr>
                  <w:rStyle w:val="InternetLink"/>
                  <w:rFonts w:ascii="Arial;sans-serif" w:hAnsi="Arial;sans-serif"/>
                  <w:b w:val="false"/>
                  <w:color w:val="000080"/>
                  <w:sz w:val="16"/>
                  <w:u w:val="single"/>
                </w:rPr>
                <w:t>SURES ABOUT MARKET RISK</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8724">
              <w:r>
                <w:rPr>
                  <w:rStyle w:val="InternetLink"/>
                  <w:rFonts w:ascii="Arial;sans-serif" w:hAnsi="Arial;sans-serif"/>
                  <w:b w:val="false"/>
                  <w:color w:val="0000FF"/>
                  <w:sz w:val="16"/>
                  <w:u w:val="single"/>
                </w:rPr>
                <w:t>41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f82f200d17434a9b8b42cd0b95952c_5906">
              <w:r>
                <w:rPr>
                  <w:rStyle w:val="InternetLink"/>
                  <w:rFonts w:ascii="Arial;sans-serif" w:hAnsi="Arial;sans-serif"/>
                  <w:b w:val="false"/>
                  <w:color w:val="0000FF"/>
                  <w:sz w:val="16"/>
                  <w:u w:val="single"/>
                </w:rPr>
                <w:t>ITEM 4. CONTROLS AND PROCEDURES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45">
              <w:r>
                <w:rPr>
                  <w:rStyle w:val="InternetLink"/>
                  <w:rFonts w:ascii="Arial;sans-serif" w:hAnsi="Arial;sans-serif"/>
                  <w:b w:val="false"/>
                  <w:color w:val="0000FF"/>
                  <w:sz w:val="16"/>
                  <w:u w:val="single"/>
                </w:rPr>
                <w:t>41</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8344">
              <w:r>
                <w:rPr>
                  <w:rStyle w:val="InternetLink"/>
                  <w:rFonts w:ascii="Arial;sans-serif" w:hAnsi="Arial;sans-serif"/>
                  <w:b w:val="false"/>
                  <w:color w:val="000080"/>
                  <w:sz w:val="16"/>
                  <w:u w:val="single"/>
                </w:rPr>
                <w:t>P</w:t>
              </w:r>
            </w:hyperlink>
            <w:hyperlink w:anchor="if20e1f3d5a734e3eabbb6aa8f57c7562_8344">
              <w:r>
                <w:rPr>
                  <w:rStyle w:val="InternetLink"/>
                  <w:rFonts w:ascii="Arial;sans-serif" w:hAnsi="Arial;sans-serif"/>
                  <w:b w:val="false"/>
                  <w:color w:val="000080"/>
                  <w:sz w:val="16"/>
                  <w:u w:val="single"/>
                </w:rPr>
                <w:t>ART</w:t>
              </w:r>
            </w:hyperlink>
            <w:hyperlink w:anchor="if20e1f3d5a734e3eabbb6aa8f57c7562_8344">
              <w:r>
                <w:rPr>
                  <w:rStyle w:val="InternetLink"/>
                  <w:rFonts w:ascii="Arial;sans-serif" w:hAnsi="Arial;sans-serif"/>
                  <w:b w:val="false"/>
                  <w:color w:val="000080"/>
                  <w:sz w:val="16"/>
                  <w:u w:val="single"/>
                </w:rPr>
                <w:t xml:space="preserve"> II. OTHER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25">
              <w:r>
                <w:rPr>
                  <w:rStyle w:val="InternetLink"/>
                  <w:rFonts w:ascii="Arial;sans-serif" w:hAnsi="Arial;sans-serif"/>
                  <w:b w:val="false"/>
                  <w:color w:val="000080"/>
                  <w:sz w:val="16"/>
                  <w:u w:val="single"/>
                </w:rPr>
                <w:t>IT</w:t>
              </w:r>
            </w:hyperlink>
            <w:hyperlink w:anchor="if20e1f3d5a734e3eabbb6aa8f57c7562_5425">
              <w:r>
                <w:rPr>
                  <w:rStyle w:val="InternetLink"/>
                  <w:rFonts w:ascii="Arial;sans-serif" w:hAnsi="Arial;sans-serif"/>
                  <w:b w:val="false"/>
                  <w:color w:val="000080"/>
                  <w:sz w:val="16"/>
                  <w:u w:val="single"/>
                </w:rPr>
                <w:t>EM</w:t>
              </w:r>
            </w:hyperlink>
            <w:hyperlink w:anchor="if20e1f3d5a734e3eabbb6aa8f57c7562_5425">
              <w:r>
                <w:rPr>
                  <w:rStyle w:val="InternetLink"/>
                  <w:rFonts w:ascii="Arial;sans-serif" w:hAnsi="Arial;sans-serif"/>
                  <w:b w:val="false"/>
                  <w:color w:val="000080"/>
                  <w:sz w:val="16"/>
                  <w:u w:val="single"/>
                </w:rPr>
                <w:t xml:space="preserve"> 1. </w:t>
              </w:r>
            </w:hyperlink>
            <w:hyperlink w:anchor="if20e1f3d5a734e3eabbb6aa8f57c7562_5425">
              <w:r>
                <w:rPr>
                  <w:rStyle w:val="InternetLink"/>
                  <w:rFonts w:ascii="Arial;sans-serif" w:hAnsi="Arial;sans-serif"/>
                  <w:b w:val="false"/>
                  <w:color w:val="000080"/>
                  <w:sz w:val="16"/>
                  <w:u w:val="single"/>
                </w:rPr>
                <w:t>L</w:t>
              </w:r>
            </w:hyperlink>
            <w:hyperlink w:anchor="if20e1f3d5a734e3eabbb6aa8f57c7562_5425">
              <w:r>
                <w:rPr>
                  <w:rStyle w:val="InternetLink"/>
                  <w:rFonts w:ascii="Arial;sans-serif" w:hAnsi="Arial;sans-serif"/>
                  <w:b w:val="false"/>
                  <w:color w:val="000080"/>
                  <w:sz w:val="16"/>
                  <w:u w:val="single"/>
                </w:rPr>
                <w:t>EGAL PROCEEDINGS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25">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190">
              <w:r>
                <w:rPr>
                  <w:rStyle w:val="InternetLink"/>
                  <w:rFonts w:ascii="Arial;sans-serif" w:hAnsi="Arial;sans-serif"/>
                  <w:b w:val="false"/>
                  <w:color w:val="000080"/>
                  <w:sz w:val="16"/>
                  <w:u w:val="single"/>
                </w:rPr>
                <w:t>I</w:t>
              </w:r>
            </w:hyperlink>
            <w:hyperlink w:anchor="if20e1f3d5a734e3eabbb6aa8f57c7562_9190">
              <w:r>
                <w:rPr>
                  <w:rStyle w:val="InternetLink"/>
                  <w:rFonts w:ascii="Arial;sans-serif" w:hAnsi="Arial;sans-serif"/>
                  <w:b w:val="false"/>
                  <w:color w:val="000080"/>
                  <w:sz w:val="16"/>
                  <w:u w:val="single"/>
                </w:rPr>
                <w:t>TEM</w:t>
              </w:r>
            </w:hyperlink>
            <w:hyperlink w:anchor="if20e1f3d5a734e3eabbb6aa8f57c7562_9190">
              <w:r>
                <w:rPr>
                  <w:rStyle w:val="InternetLink"/>
                  <w:rFonts w:ascii="Arial;sans-serif" w:hAnsi="Arial;sans-serif"/>
                  <w:b w:val="false"/>
                  <w:color w:val="000080"/>
                  <w:sz w:val="16"/>
                  <w:u w:val="single"/>
                </w:rPr>
                <w:t xml:space="preserve"> 1A. </w:t>
              </w:r>
            </w:hyperlink>
            <w:hyperlink w:anchor="if20e1f3d5a734e3eabbb6aa8f57c7562_9190">
              <w:r>
                <w:rPr>
                  <w:rStyle w:val="InternetLink"/>
                  <w:rFonts w:ascii="Arial;sans-serif" w:hAnsi="Arial;sans-serif"/>
                  <w:b w:val="false"/>
                  <w:color w:val="000080"/>
                  <w:sz w:val="16"/>
                  <w:u w:val="single"/>
                </w:rPr>
                <w:t>R</w:t>
              </w:r>
            </w:hyperlink>
            <w:hyperlink w:anchor="if20e1f3d5a734e3eabbb6aa8f57c7562_9190">
              <w:r>
                <w:rPr>
                  <w:rStyle w:val="InternetLink"/>
                  <w:rFonts w:ascii="Arial;sans-serif" w:hAnsi="Arial;sans-serif"/>
                  <w:b w:val="false"/>
                  <w:color w:val="000080"/>
                  <w:sz w:val="16"/>
                  <w:u w:val="single"/>
                </w:rPr>
                <w:t>ISK FACTORS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190">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441">
              <w:r>
                <w:rPr>
                  <w:rStyle w:val="InternetLink"/>
                  <w:rFonts w:ascii="Arial;sans-serif" w:hAnsi="Arial;sans-serif"/>
                  <w:b w:val="false"/>
                  <w:color w:val="0000FF"/>
                  <w:sz w:val="16"/>
                  <w:u w:val="single"/>
                </w:rPr>
                <w:t>ITEM 2. UNREGISTERED SALES OF EQUITY SECURITIES AND USE OF PROCEEDS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441">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199">
              <w:r>
                <w:rPr>
                  <w:rStyle w:val="InternetLink"/>
                  <w:rFonts w:ascii="Arial;sans-serif" w:hAnsi="Arial;sans-serif"/>
                  <w:b w:val="false"/>
                  <w:color w:val="000080"/>
                  <w:sz w:val="16"/>
                  <w:u w:val="single"/>
                </w:rPr>
                <w:t>ITEM</w:t>
              </w:r>
            </w:hyperlink>
            <w:hyperlink w:anchor="if20e1f3d5a734e3eabbb6aa8f57c7562_9199">
              <w:r>
                <w:rPr>
                  <w:rStyle w:val="InternetLink"/>
                  <w:rFonts w:ascii="Arial;sans-serif" w:hAnsi="Arial;sans-serif"/>
                  <w:b w:val="false"/>
                  <w:color w:val="000080"/>
                  <w:sz w:val="16"/>
                  <w:u w:val="single"/>
                </w:rPr>
                <w:t xml:space="preserve"> 3. </w:t>
              </w:r>
            </w:hyperlink>
            <w:hyperlink w:anchor="if20e1f3d5a734e3eabbb6aa8f57c7562_9199">
              <w:r>
                <w:rPr>
                  <w:rStyle w:val="InternetLink"/>
                  <w:rFonts w:ascii="Arial;sans-serif" w:hAnsi="Arial;sans-serif"/>
                  <w:b w:val="false"/>
                  <w:color w:val="000080"/>
                  <w:sz w:val="16"/>
                  <w:u w:val="single"/>
                </w:rPr>
                <w:t>D</w:t>
              </w:r>
            </w:hyperlink>
            <w:hyperlink w:anchor="if20e1f3d5a734e3eabbb6aa8f57c7562_9199">
              <w:r>
                <w:rPr>
                  <w:rStyle w:val="InternetLink"/>
                  <w:rFonts w:ascii="Arial;sans-serif" w:hAnsi="Arial;sans-serif"/>
                  <w:b w:val="false"/>
                  <w:color w:val="000080"/>
                  <w:sz w:val="16"/>
                  <w:u w:val="single"/>
                </w:rPr>
                <w:t>EF</w:t>
              </w:r>
            </w:hyperlink>
            <w:hyperlink w:anchor="if20e1f3d5a734e3eabbb6aa8f57c7562_9199">
              <w:r>
                <w:rPr>
                  <w:rStyle w:val="InternetLink"/>
                  <w:rFonts w:ascii="Arial;sans-serif" w:hAnsi="Arial;sans-serif"/>
                  <w:b w:val="false"/>
                  <w:color w:val="000080"/>
                  <w:sz w:val="16"/>
                  <w:u w:val="single"/>
                </w:rPr>
                <w:t>AULTS UPON SENIOR SECURITI</w:t>
              </w:r>
            </w:hyperlink>
            <w:hyperlink w:anchor="if20e1f3d5a734e3eabbb6aa8f57c7562_9199">
              <w:r>
                <w:rPr>
                  <w:rStyle w:val="InternetLink"/>
                  <w:rFonts w:ascii="Arial;sans-serif" w:hAnsi="Arial;sans-serif"/>
                  <w:b w:val="false"/>
                  <w:color w:val="000080"/>
                  <w:sz w:val="16"/>
                  <w:u w:val="single"/>
                </w:rPr>
                <w:t>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199">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29e02ee5b44422289f62612912cfb6f_304">
              <w:r>
                <w:rPr>
                  <w:rStyle w:val="InternetLink"/>
                  <w:rFonts w:ascii="Arial;sans-serif" w:hAnsi="Arial;sans-serif"/>
                  <w:b w:val="false"/>
                  <w:color w:val="000080"/>
                  <w:sz w:val="16"/>
                  <w:u w:val="single"/>
                </w:rPr>
                <w:t>I</w:t>
              </w:r>
            </w:hyperlink>
            <w:hyperlink w:anchor="i029e02ee5b44422289f62612912cfb6f_304">
              <w:r>
                <w:rPr>
                  <w:rStyle w:val="InternetLink"/>
                  <w:rFonts w:ascii="Arial;sans-serif" w:hAnsi="Arial;sans-serif"/>
                  <w:b w:val="false"/>
                  <w:color w:val="000080"/>
                  <w:sz w:val="16"/>
                  <w:u w:val="single"/>
                </w:rPr>
                <w:t>TEM</w:t>
              </w:r>
            </w:hyperlink>
            <w:hyperlink w:anchor="i029e02ee5b44422289f62612912cfb6f_304">
              <w:r>
                <w:rPr>
                  <w:rStyle w:val="InternetLink"/>
                  <w:rFonts w:ascii="Arial;sans-serif" w:hAnsi="Arial;sans-serif"/>
                  <w:b w:val="false"/>
                  <w:color w:val="000080"/>
                  <w:sz w:val="16"/>
                  <w:u w:val="single"/>
                </w:rPr>
                <w:t xml:space="preserve"> 4. </w:t>
              </w:r>
            </w:hyperlink>
            <w:hyperlink w:anchor="i029e02ee5b44422289f62612912cfb6f_304">
              <w:r>
                <w:rPr>
                  <w:rStyle w:val="InternetLink"/>
                  <w:rFonts w:ascii="Arial;sans-serif" w:hAnsi="Arial;sans-serif"/>
                  <w:b w:val="false"/>
                  <w:color w:val="000080"/>
                  <w:sz w:val="16"/>
                  <w:u w:val="single"/>
                </w:rPr>
                <w:t>MINE S</w:t>
              </w:r>
            </w:hyperlink>
            <w:hyperlink w:anchor="i029e02ee5b44422289f62612912cfb6f_304">
              <w:r>
                <w:rPr>
                  <w:rStyle w:val="InternetLink"/>
                  <w:rFonts w:ascii="Arial;sans-serif" w:hAnsi="Arial;sans-serif"/>
                  <w:b w:val="false"/>
                  <w:color w:val="000080"/>
                  <w:sz w:val="16"/>
                  <w:u w:val="single"/>
                </w:rPr>
                <w:t>AF</w:t>
              </w:r>
            </w:hyperlink>
            <w:hyperlink w:anchor="i029e02ee5b44422289f62612912cfb6f_304">
              <w:r>
                <w:rPr>
                  <w:rStyle w:val="InternetLink"/>
                  <w:rFonts w:ascii="Arial;sans-serif" w:hAnsi="Arial;sans-serif"/>
                  <w:b w:val="false"/>
                  <w:color w:val="000080"/>
                  <w:sz w:val="16"/>
                  <w:u w:val="single"/>
                </w:rPr>
                <w:t>ET</w:t>
              </w:r>
            </w:hyperlink>
            <w:hyperlink w:anchor="i029e02ee5b44422289f62612912cfb6f_304">
              <w:r>
                <w:rPr>
                  <w:rStyle w:val="InternetLink"/>
                  <w:rFonts w:ascii="Arial;sans-serif" w:hAnsi="Arial;sans-serif"/>
                  <w:b w:val="false"/>
                  <w:color w:val="000080"/>
                  <w:sz w:val="16"/>
                  <w:u w:val="single"/>
                </w:rPr>
                <w:t>Y DISCLOSURES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29">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46">
              <w:r>
                <w:rPr>
                  <w:rStyle w:val="InternetLink"/>
                  <w:rFonts w:ascii="Arial;sans-serif" w:hAnsi="Arial;sans-serif"/>
                  <w:b w:val="false"/>
                  <w:color w:val="000080"/>
                  <w:sz w:val="16"/>
                  <w:u w:val="single"/>
                </w:rPr>
                <w:t>I</w:t>
              </w:r>
            </w:hyperlink>
            <w:hyperlink w:anchor="if20e1f3d5a734e3eabbb6aa8f57c7562_5546">
              <w:r>
                <w:rPr>
                  <w:rStyle w:val="InternetLink"/>
                  <w:rFonts w:ascii="Arial;sans-serif" w:hAnsi="Arial;sans-serif"/>
                  <w:b w:val="false"/>
                  <w:color w:val="000080"/>
                  <w:sz w:val="16"/>
                  <w:u w:val="single"/>
                </w:rPr>
                <w:t>TEM</w:t>
              </w:r>
            </w:hyperlink>
            <w:hyperlink w:anchor="if20e1f3d5a734e3eabbb6aa8f57c7562_5546">
              <w:r>
                <w:rPr>
                  <w:rStyle w:val="InternetLink"/>
                  <w:rFonts w:ascii="Arial;sans-serif" w:hAnsi="Arial;sans-serif"/>
                  <w:b w:val="false"/>
                  <w:color w:val="000080"/>
                  <w:sz w:val="16"/>
                  <w:u w:val="single"/>
                </w:rPr>
                <w:t xml:space="preserve"> 5. </w:t>
              </w:r>
            </w:hyperlink>
            <w:hyperlink w:anchor="if20e1f3d5a734e3eabbb6aa8f57c7562_5546">
              <w:r>
                <w:rPr>
                  <w:rStyle w:val="InternetLink"/>
                  <w:rFonts w:ascii="Arial;sans-serif" w:hAnsi="Arial;sans-serif"/>
                  <w:b w:val="false"/>
                  <w:color w:val="000080"/>
                  <w:sz w:val="16"/>
                  <w:u w:val="single"/>
                </w:rPr>
                <w:t>O</w:t>
              </w:r>
            </w:hyperlink>
            <w:hyperlink w:anchor="if20e1f3d5a734e3eabbb6aa8f57c7562_5546">
              <w:r>
                <w:rPr>
                  <w:rStyle w:val="InternetLink"/>
                  <w:rFonts w:ascii="Arial;sans-serif" w:hAnsi="Arial;sans-serif"/>
                  <w:b w:val="false"/>
                  <w:color w:val="000080"/>
                  <w:sz w:val="16"/>
                  <w:u w:val="single"/>
                </w:rPr>
                <w:t>THER IN</w:t>
              </w:r>
            </w:hyperlink>
            <w:hyperlink w:anchor="if20e1f3d5a734e3eabbb6aa8f57c7562_5546">
              <w:r>
                <w:rPr>
                  <w:rStyle w:val="InternetLink"/>
                  <w:rFonts w:ascii="Arial;sans-serif" w:hAnsi="Arial;sans-serif"/>
                  <w:b w:val="false"/>
                  <w:color w:val="000080"/>
                  <w:sz w:val="16"/>
                  <w:u w:val="single"/>
                </w:rPr>
                <w:t>FORMATION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46">
              <w:r>
                <w:rPr>
                  <w:rStyle w:val="InternetLink"/>
                  <w:rFonts w:ascii="Arial;sans-serif" w:hAnsi="Arial;sans-serif"/>
                  <w:b w:val="false"/>
                  <w:color w:val="0000FF"/>
                  <w:sz w:val="16"/>
                  <w:u w:val="single"/>
                </w:rPr>
                <w:t>42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850">
              <w:r>
                <w:rPr>
                  <w:rStyle w:val="InternetLink"/>
                  <w:rFonts w:ascii="Arial;sans-serif" w:hAnsi="Arial;sans-serif"/>
                  <w:b w:val="false"/>
                  <w:color w:val="000080"/>
                  <w:sz w:val="16"/>
                  <w:u w:val="single"/>
                </w:rPr>
                <w:t>I</w:t>
              </w:r>
            </w:hyperlink>
            <w:hyperlink w:anchor="if20e1f3d5a734e3eabbb6aa8f57c7562_3850">
              <w:r>
                <w:rPr>
                  <w:rStyle w:val="InternetLink"/>
                  <w:rFonts w:ascii="Arial;sans-serif" w:hAnsi="Arial;sans-serif"/>
                  <w:b w:val="false"/>
                  <w:color w:val="000080"/>
                  <w:sz w:val="16"/>
                  <w:u w:val="single"/>
                </w:rPr>
                <w:t>TEM</w:t>
              </w:r>
            </w:hyperlink>
            <w:hyperlink w:anchor="if20e1f3d5a734e3eabbb6aa8f57c7562_3850">
              <w:r>
                <w:rPr>
                  <w:rStyle w:val="InternetLink"/>
                  <w:rFonts w:ascii="Arial;sans-serif" w:hAnsi="Arial;sans-serif"/>
                  <w:b w:val="false"/>
                  <w:color w:val="000080"/>
                  <w:sz w:val="16"/>
                  <w:u w:val="single"/>
                </w:rPr>
                <w:t xml:space="preserve"> 6. </w:t>
              </w:r>
            </w:hyperlink>
            <w:hyperlink w:anchor="if20e1f3d5a734e3eabbb6aa8f57c7562_3850">
              <w:r>
                <w:rPr>
                  <w:rStyle w:val="InternetLink"/>
                  <w:rFonts w:ascii="Arial;sans-serif" w:hAnsi="Arial;sans-serif"/>
                  <w:b w:val="false"/>
                  <w:color w:val="000080"/>
                  <w:sz w:val="16"/>
                  <w:u w:val="single"/>
                </w:rPr>
                <w:t>EXHIBITS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50">
              <w:r>
                <w:rPr>
                  <w:rStyle w:val="InternetLink"/>
                  <w:rFonts w:ascii="Arial;sans-serif" w:hAnsi="Arial;sans-serif"/>
                  <w:b w:val="false"/>
                  <w:color w:val="0000FF"/>
                  <w:sz w:val="16"/>
                  <w:u w:val="single"/>
                </w:rPr>
                <w:t>43</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820191e5a5e4caaab6e50f6b441fcd8_202745">
              <w:r>
                <w:rPr>
                  <w:rStyle w:val="InternetLink"/>
                  <w:rFonts w:ascii="Arial;sans-serif" w:hAnsi="Arial;sans-serif"/>
                  <w:b w:val="false"/>
                  <w:color w:val="000080"/>
                  <w:sz w:val="16"/>
                  <w:u w:val="single"/>
                </w:rPr>
                <w:t>G</w:t>
              </w:r>
            </w:hyperlink>
            <w:hyperlink w:anchor="i3820191e5a5e4caaab6e50f6b441fcd8_202745">
              <w:r>
                <w:rPr>
                  <w:rStyle w:val="InternetLink"/>
                  <w:rFonts w:ascii="Arial;sans-serif" w:hAnsi="Arial;sans-serif"/>
                  <w:b w:val="false"/>
                  <w:color w:val="000080"/>
                  <w:sz w:val="16"/>
                  <w:u w:val="single"/>
                </w:rPr>
                <w:t>LOSSAR</w:t>
              </w:r>
            </w:hyperlink>
            <w:hyperlink w:anchor="i3820191e5a5e4caaab6e50f6b441fcd8_202745">
              <w:r>
                <w:rPr>
                  <w:rStyle w:val="InternetLink"/>
                  <w:rFonts w:ascii="Arial;sans-serif" w:hAnsi="Arial;sans-serif"/>
                  <w:b w:val="false"/>
                  <w:color w:val="000080"/>
                  <w:sz w:val="16"/>
                  <w:u w:val="single"/>
                </w:rPr>
                <w:t>Y</w:t>
              </w:r>
            </w:hyperlink>
            <w:hyperlink w:anchor="i3820191e5a5e4caaab6e50f6b441fcd8_202745">
              <w:r>
                <w:rPr>
                  <w:rStyle w:val="InternetLink"/>
                  <w:rFonts w:ascii="Arial;sans-serif" w:hAnsi="Arial;sans-serif"/>
                  <w:b w:val="false"/>
                  <w:color w:val="000080"/>
                  <w:sz w:val="16"/>
                  <w:u w:val="single"/>
                </w:rPr>
                <w:t xml:space="preserve"> OF TERMS</w:t>
              </w:r>
            </w:hyperlink>
            <w:hyperlink w:anchor="i3820191e5a5e4caaab6e50f6b441fcd8_202745">
              <w:r>
                <w:rPr>
                  <w:rStyle w:val="InternetLink"/>
                  <w:rFonts w:ascii="Arial;sans-serif" w:hAnsi="Arial;sans-serif"/>
                  <w:b w:val="false"/>
                  <w:color w:val="000080"/>
                  <w:sz w:val="16"/>
                  <w:u w:val="single"/>
                </w:rPr>
                <w:t xml:space="preserve"> AND</w:t>
              </w:r>
            </w:hyperlink>
            <w:hyperlink w:anchor="i3820191e5a5e4caaab6e50f6b441fcd8_202745">
              <w:r>
                <w:rPr>
                  <w:rStyle w:val="InternetLink"/>
                  <w:rFonts w:ascii="Arial;sans-serif" w:hAnsi="Arial;sans-serif"/>
                  <w:b w:val="false"/>
                  <w:color w:val="000080"/>
                  <w:sz w:val="16"/>
                  <w:u w:val="single"/>
                </w:rPr>
                <w:t xml:space="preserve"> </w:t>
              </w:r>
            </w:hyperlink>
            <w:hyperlink w:anchor="i3820191e5a5e4caaab6e50f6b441fcd8_202745">
              <w:r>
                <w:rPr>
                  <w:rStyle w:val="InternetLink"/>
                  <w:rFonts w:ascii="Arial;sans-serif" w:hAnsi="Arial;sans-serif"/>
                  <w:b w:val="false"/>
                  <w:color w:val="000080"/>
                  <w:sz w:val="16"/>
                  <w:u w:val="single"/>
                </w:rPr>
                <w:t>ABBREVIA</w:t>
              </w:r>
            </w:hyperlink>
            <w:hyperlink w:anchor="i3820191e5a5e4caaab6e50f6b441fcd8_202745">
              <w:r>
                <w:rPr>
                  <w:rStyle w:val="InternetLink"/>
                  <w:rFonts w:ascii="Arial;sans-serif" w:hAnsi="Arial;sans-serif"/>
                  <w:b w:val="false"/>
                  <w:color w:val="000080"/>
                  <w:sz w:val="16"/>
                  <w:u w:val="single"/>
                </w:rPr>
                <w:t>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1">
              <w:r>
                <w:rPr>
                  <w:rStyle w:val="InternetLink"/>
                  <w:rFonts w:ascii="Arial;sans-serif" w:hAnsi="Arial;sans-serif"/>
                  <w:b w:val="false"/>
                  <w:color w:val="0000FF"/>
                  <w:sz w:val="16"/>
                  <w:u w:val="single"/>
                </w:rPr>
                <w:t>44</w:t>
              </w:r>
            </w:hyperlink>
          </w:p>
        </w:tc>
      </w:tr>
      <w:tr>
        <w:trPr/>
        <w:tc>
          <w:tcPr>
            <w:tcW w:w="96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f20e1f3d5a734e3eabbb6aa8f57c7562_30786325586996">
              <w:r>
                <w:rPr>
                  <w:rStyle w:val="InternetLink"/>
                  <w:rFonts w:ascii="Arial;sans-serif" w:hAnsi="Arial;sans-serif"/>
                  <w:b w:val="false"/>
                  <w:color w:val="000080"/>
                  <w:sz w:val="16"/>
                  <w:u w:val="single"/>
                </w:rPr>
                <w:t>SIGN</w:t>
              </w:r>
            </w:hyperlink>
            <w:hyperlink w:anchor="if20e1f3d5a734e3eabbb6aa8f57c7562_30786325586996">
              <w:r>
                <w:rPr>
                  <w:rStyle w:val="InternetLink"/>
                  <w:rFonts w:ascii="Arial;sans-serif" w:hAnsi="Arial;sans-serif"/>
                  <w:b w:val="false"/>
                  <w:color w:val="000080"/>
                  <w:sz w:val="16"/>
                  <w:u w:val="single"/>
                </w:rPr>
                <w:t>ATURES</w:t>
              </w:r>
            </w:hyperlink>
          </w:p>
        </w:tc>
        <w:tc>
          <w:tcPr>
            <w:tcW w:w="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f20e1f3d5a734e3eabbb6aa8f57c7562_30786325586996">
              <w:r>
                <w:rPr>
                  <w:rStyle w:val="InternetLink"/>
                  <w:rFonts w:ascii="Arial;sans-serif" w:hAnsi="Arial;sans-serif"/>
                  <w:b w:val="false"/>
                  <w:color w:val="0000FF"/>
                  <w:sz w:val="16"/>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bookmarkStart w:id="0" w:name="idf08d5c8772847918ea60a8749a96b52_73730"/>
      <w:bookmarkEnd w:id="0"/>
      <w:r>
        <w:rPr>
          <w:rFonts w:ascii="Arial;sans-serif" w:hAnsi="Arial;sans-serif"/>
          <w:b/>
          <w:color w:val="000000"/>
          <w:sz w:val="18"/>
        </w:rPr>
        <w:t>CAUTIONARY NOTE REGARDING FORWARD-LOOKING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This Quarterly Report on Form 10-Q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risks, uncertainties, and other factors that could cause actual results to differ materially from the forward-looking statements made by us include those discussed in this Report, including but not limited to “Item 1A. Risk Factors” in this Report and our most recent Annual Report on Form 10-K for the year ended December 31, 2025 (“2025 Annual Report”), as updated by our Quarterly Report on Form 10-Q for the three months ended March 31, 2026 (“Q1 2026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MARKET AND INDUSTRY DATA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of this Report and our 2025 Annual Report, as updated by our Q1 2026 Quarterly Report. These and other factors could cause results to differ materially from those expressed in the estimates made by third parties and by us. Accordingly, you are cautioned not to place undue reliance on such market and industry data or any other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w:t>
      </w:r>
      <w:bookmarkStart w:id="1" w:name="ib79423336b454da184714a9aed1bb7d2_92"/>
      <w:bookmarkEnd w:id="1"/>
      <w:r>
        <w:rPr>
          <w:rFonts w:ascii="Arial;sans-serif" w:hAnsi="Arial;sans-serif"/>
          <w:b/>
          <w:color w:val="000000"/>
          <w:sz w:val="18"/>
        </w:rPr>
        <w:t xml:space="preserve">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2041"/>
        <w:gridCol w:w="1442"/>
        <w:gridCol w:w="1458"/>
        <w:gridCol w:w="109"/>
        <w:gridCol w:w="109"/>
        <w:gridCol w:w="109"/>
        <w:gridCol w:w="227"/>
        <w:gridCol w:w="599"/>
        <w:gridCol w:w="126"/>
        <w:gridCol w:w="126"/>
        <w:gridCol w:w="126"/>
        <w:gridCol w:w="126"/>
        <w:gridCol w:w="227"/>
        <w:gridCol w:w="540"/>
        <w:gridCol w:w="126"/>
        <w:gridCol w:w="109"/>
        <w:gridCol w:w="109"/>
        <w:gridCol w:w="109"/>
        <w:gridCol w:w="206"/>
        <w:gridCol w:w="587"/>
        <w:gridCol w:w="114"/>
        <w:gridCol w:w="114"/>
        <w:gridCol w:w="114"/>
        <w:gridCol w:w="114"/>
        <w:gridCol w:w="206"/>
        <w:gridCol w:w="543"/>
        <w:gridCol w:w="114"/>
        <w:gridCol w:w="109"/>
        <w:gridCol w:w="166"/>
      </w:tblGrid>
      <w:tr>
        <w:trPr/>
        <w:tc>
          <w:tcPr>
            <w:tcW w:w="20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1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1,876</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$(70), $(16), $(69) and $(27))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45,904 </w:t>
            </w:r>
          </w:p>
        </w:tc>
        <w:tc>
          <w:tcPr>
            <w:tcW w:w="1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47,905 </w:t>
            </w:r>
          </w:p>
        </w:tc>
        <w:tc>
          <w:tcPr>
            <w:tcW w:w="1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45,759 </w:t>
            </w:r>
          </w:p>
        </w:tc>
        <w:tc>
          <w:tcPr>
            <w:tcW w:w="11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1654"/>
        <w:gridCol w:w="1446"/>
        <w:gridCol w:w="1447"/>
        <w:gridCol w:w="109"/>
        <w:gridCol w:w="109"/>
        <w:gridCol w:w="109"/>
        <w:gridCol w:w="283"/>
        <w:gridCol w:w="582"/>
        <w:gridCol w:w="157"/>
        <w:gridCol w:w="157"/>
        <w:gridCol w:w="157"/>
        <w:gridCol w:w="157"/>
        <w:gridCol w:w="283"/>
        <w:gridCol w:w="501"/>
        <w:gridCol w:w="157"/>
        <w:gridCol w:w="109"/>
        <w:gridCol w:w="109"/>
        <w:gridCol w:w="109"/>
        <w:gridCol w:w="247"/>
        <w:gridCol w:w="506"/>
        <w:gridCol w:w="137"/>
        <w:gridCol w:w="137"/>
        <w:gridCol w:w="137"/>
        <w:gridCol w:w="137"/>
        <w:gridCol w:w="247"/>
        <w:gridCol w:w="506"/>
        <w:gridCol w:w="137"/>
        <w:gridCol w:w="109"/>
        <w:gridCol w:w="109"/>
        <w:gridCol w:w="161"/>
      </w:tblGrid>
      <w:tr>
        <w:trPr/>
        <w:tc>
          <w:tcPr>
            <w:tcW w:w="165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ind w:left="0" w:right="0" w:hanging="90"/>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(Loss)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arising during the period,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from AOCI,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7"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(93)</w:t>
            </w:r>
          </w:p>
        </w:tc>
        <w:tc>
          <w:tcPr>
            <w:tcW w:w="1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73</w:t>
            </w:r>
            <w:r>
              <w:rPr>
                <w:color w:val="000000"/>
              </w:rPr>
              <w:t> </w:t>
            </w:r>
          </w:p>
        </w:tc>
        <w:tc>
          <w:tcPr>
            <w:tcW w:w="1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w:t>
            </w:r>
          </w:p>
        </w:tc>
        <w:tc>
          <w:tcPr>
            <w:tcW w:w="1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w:t>
            </w:r>
          </w:p>
        </w:tc>
        <w:tc>
          <w:tcPr>
            <w:tcW w:w="1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8488" w:type="dxa"/>
        <w:jc w:val="left"/>
        <w:tblInd w:w="0" w:type="dxa"/>
        <w:tblLayout w:type="fixed"/>
        <w:tblCellMar>
          <w:top w:w="28" w:type="dxa"/>
          <w:left w:w="28" w:type="dxa"/>
          <w:bottom w:w="28" w:type="dxa"/>
          <w:right w:w="28" w:type="dxa"/>
        </w:tblCellMar>
      </w:tblPr>
      <w:tblGrid>
        <w:gridCol w:w="1896"/>
        <w:gridCol w:w="1667"/>
        <w:gridCol w:w="1686"/>
        <w:gridCol w:w="109"/>
        <w:gridCol w:w="109"/>
        <w:gridCol w:w="109"/>
        <w:gridCol w:w="196"/>
        <w:gridCol w:w="661"/>
        <w:gridCol w:w="109"/>
        <w:gridCol w:w="109"/>
        <w:gridCol w:w="109"/>
        <w:gridCol w:w="109"/>
        <w:gridCol w:w="314"/>
        <w:gridCol w:w="1059"/>
        <w:gridCol w:w="246"/>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 (Note 16)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(Notes 6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15,068</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 (Notes 10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liabilities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1,316</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(Notes 10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 (Note 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contract liabilities (Note 17)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13,429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9,812</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(a)47,900,355 and 45,687,828 shares issued and outstanding as of June 30, 2026 and December 31, 2025, respectively.</w:t>
      </w:r>
    </w:p>
    <w:p>
      <w:pPr>
        <w:pStyle w:val="TextBody"/>
        <w:bidi w:val="0"/>
        <w:spacing w:before="0" w:after="0"/>
        <w:ind w:left="0" w:right="0" w:firstLine="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9944" w:type="dxa"/>
        <w:jc w:val="left"/>
        <w:tblInd w:w="0" w:type="dxa"/>
        <w:tblLayout w:type="fixed"/>
        <w:tblCellMar>
          <w:top w:w="28" w:type="dxa"/>
          <w:left w:w="28" w:type="dxa"/>
          <w:bottom w:w="28" w:type="dxa"/>
          <w:right w:w="28" w:type="dxa"/>
        </w:tblCellMar>
      </w:tblPr>
      <w:tblGrid>
        <w:gridCol w:w="2569"/>
        <w:gridCol w:w="2257"/>
        <w:gridCol w:w="2283"/>
        <w:gridCol w:w="109"/>
        <w:gridCol w:w="109"/>
        <w:gridCol w:w="109"/>
        <w:gridCol w:w="243"/>
        <w:gridCol w:w="542"/>
        <w:gridCol w:w="135"/>
        <w:gridCol w:w="135"/>
        <w:gridCol w:w="135"/>
        <w:gridCol w:w="135"/>
        <w:gridCol w:w="243"/>
        <w:gridCol w:w="542"/>
        <w:gridCol w:w="135"/>
        <w:gridCol w:w="109"/>
        <w:gridCol w:w="154"/>
      </w:tblGrid>
      <w:tr>
        <w:trPr/>
        <w:tc>
          <w:tcPr>
            <w:tcW w:w="256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stock-based awards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Cornerstone Acquisition, net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(2,824)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payments related to net-settled stock-based awards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Note 16 for supplemental cash flow information.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EQUITY (UNAUDITED)</w:t>
      </w:r>
    </w:p>
    <w:tbl>
      <w:tblPr>
        <w:tblW w:w="10205" w:type="dxa"/>
        <w:jc w:val="left"/>
        <w:tblInd w:w="0" w:type="dxa"/>
        <w:tblLayout w:type="fixed"/>
        <w:tblCellMar>
          <w:top w:w="28" w:type="dxa"/>
          <w:left w:w="28" w:type="dxa"/>
          <w:bottom w:w="28" w:type="dxa"/>
          <w:right w:w="28" w:type="dxa"/>
        </w:tblCellMar>
      </w:tblPr>
      <w:tblGrid>
        <w:gridCol w:w="824"/>
        <w:gridCol w:w="279"/>
        <w:gridCol w:w="228"/>
        <w:gridCol w:w="109"/>
        <w:gridCol w:w="109"/>
        <w:gridCol w:w="109"/>
        <w:gridCol w:w="392"/>
        <w:gridCol w:w="295"/>
        <w:gridCol w:w="296"/>
        <w:gridCol w:w="109"/>
        <w:gridCol w:w="109"/>
        <w:gridCol w:w="109"/>
        <w:gridCol w:w="217"/>
        <w:gridCol w:w="634"/>
        <w:gridCol w:w="122"/>
        <w:gridCol w:w="109"/>
        <w:gridCol w:w="109"/>
        <w:gridCol w:w="109"/>
        <w:gridCol w:w="318"/>
        <w:gridCol w:w="711"/>
        <w:gridCol w:w="178"/>
        <w:gridCol w:w="109"/>
        <w:gridCol w:w="109"/>
        <w:gridCol w:w="109"/>
        <w:gridCol w:w="196"/>
        <w:gridCol w:w="348"/>
        <w:gridCol w:w="109"/>
        <w:gridCol w:w="109"/>
        <w:gridCol w:w="109"/>
        <w:gridCol w:w="109"/>
        <w:gridCol w:w="224"/>
        <w:gridCol w:w="464"/>
        <w:gridCol w:w="125"/>
        <w:gridCol w:w="109"/>
        <w:gridCol w:w="109"/>
        <w:gridCol w:w="109"/>
        <w:gridCol w:w="280"/>
        <w:gridCol w:w="581"/>
        <w:gridCol w:w="156"/>
        <w:gridCol w:w="109"/>
        <w:gridCol w:w="109"/>
        <w:gridCol w:w="109"/>
        <w:gridCol w:w="197"/>
        <w:gridCol w:w="575"/>
        <w:gridCol w:w="167"/>
      </w:tblGrid>
      <w:tr>
        <w:trPr/>
        <w:tc>
          <w:tcPr>
            <w:tcW w:w="8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Common stock shares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 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45,688</w:t>
            </w:r>
            <w:r>
              <w:rPr>
                <w:color w:val="000000"/>
              </w:rPr>
              <w:t> </w:t>
            </w:r>
          </w:p>
        </w:tc>
        <w:tc>
          <w:tcPr>
            <w:tcW w:w="2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1,709</w:t>
            </w:r>
            <w:r>
              <w:rPr>
                <w:color w:val="000000"/>
              </w:rPr>
              <w:t> </w:t>
            </w:r>
          </w:p>
        </w:tc>
        <w:tc>
          <w:tcPr>
            <w:tcW w:w="1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(612)</w:t>
            </w:r>
          </w:p>
        </w:tc>
        <w:tc>
          <w:tcPr>
            <w:tcW w:w="17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1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7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45,395</w:t>
            </w:r>
            <w:r>
              <w:rPr>
                <w:color w:val="000000"/>
              </w:rPr>
              <w:t> </w:t>
            </w:r>
          </w:p>
        </w:tc>
        <w:tc>
          <w:tcPr>
            <w:tcW w:w="2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1,722</w:t>
            </w:r>
            <w:r>
              <w:rPr>
                <w:color w:val="000000"/>
              </w:rPr>
              <w:t> </w:t>
            </w:r>
          </w:p>
        </w:tc>
        <w:tc>
          <w:tcPr>
            <w:tcW w:w="1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w:t>
            </w:r>
          </w:p>
        </w:tc>
        <w:tc>
          <w:tcPr>
            <w:tcW w:w="17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w:t>
            </w:r>
            <w:r>
              <w:rPr>
                <w:color w:val="000000"/>
              </w:rPr>
              <w:t> </w:t>
            </w:r>
          </w:p>
        </w:tc>
        <w:tc>
          <w:tcPr>
            <w:tcW w:w="1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7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in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47,900</w:t>
            </w:r>
            <w:r>
              <w:rPr>
                <w:color w:val="000000"/>
              </w:rPr>
              <w:t> </w:t>
            </w:r>
          </w:p>
        </w:tc>
        <w:tc>
          <w:tcPr>
            <w:tcW w:w="2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2,533</w:t>
            </w:r>
            <w:r>
              <w:rPr>
                <w:color w:val="000000"/>
              </w:rPr>
              <w:t> </w:t>
            </w:r>
          </w:p>
        </w:tc>
        <w:tc>
          <w:tcPr>
            <w:tcW w:w="1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(905)</w:t>
            </w:r>
          </w:p>
        </w:tc>
        <w:tc>
          <w:tcPr>
            <w:tcW w:w="17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w:t>
            </w:r>
            <w:r>
              <w:rPr>
                <w:color w:val="000000"/>
              </w:rPr>
              <w:t> </w:t>
            </w:r>
          </w:p>
        </w:tc>
        <w:tc>
          <w:tcPr>
            <w:tcW w:w="16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(a)Shares in thousands.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EQUITY (UNAUDITED)</w:t>
      </w:r>
    </w:p>
    <w:tbl>
      <w:tblPr>
        <w:tblW w:w="10205" w:type="dxa"/>
        <w:jc w:val="left"/>
        <w:tblInd w:w="0" w:type="dxa"/>
        <w:tblLayout w:type="fixed"/>
        <w:tblCellMar>
          <w:top w:w="28" w:type="dxa"/>
          <w:left w:w="28" w:type="dxa"/>
          <w:bottom w:w="28" w:type="dxa"/>
          <w:right w:w="28" w:type="dxa"/>
        </w:tblCellMar>
      </w:tblPr>
      <w:tblGrid>
        <w:gridCol w:w="850"/>
        <w:gridCol w:w="392"/>
        <w:gridCol w:w="354"/>
        <w:gridCol w:w="109"/>
        <w:gridCol w:w="109"/>
        <w:gridCol w:w="109"/>
        <w:gridCol w:w="451"/>
        <w:gridCol w:w="374"/>
        <w:gridCol w:w="375"/>
        <w:gridCol w:w="109"/>
        <w:gridCol w:w="109"/>
        <w:gridCol w:w="109"/>
        <w:gridCol w:w="269"/>
        <w:gridCol w:w="784"/>
        <w:gridCol w:w="151"/>
        <w:gridCol w:w="109"/>
        <w:gridCol w:w="109"/>
        <w:gridCol w:w="109"/>
        <w:gridCol w:w="391"/>
        <w:gridCol w:w="872"/>
        <w:gridCol w:w="219"/>
        <w:gridCol w:w="109"/>
        <w:gridCol w:w="109"/>
        <w:gridCol w:w="109"/>
        <w:gridCol w:w="196"/>
        <w:gridCol w:w="360"/>
        <w:gridCol w:w="109"/>
        <w:gridCol w:w="109"/>
        <w:gridCol w:w="109"/>
        <w:gridCol w:w="109"/>
        <w:gridCol w:w="249"/>
        <w:gridCol w:w="517"/>
        <w:gridCol w:w="140"/>
        <w:gridCol w:w="109"/>
        <w:gridCol w:w="109"/>
        <w:gridCol w:w="109"/>
        <w:gridCol w:w="109"/>
        <w:gridCol w:w="109"/>
        <w:gridCol w:w="205"/>
        <w:gridCol w:w="598"/>
        <w:gridCol w:w="169"/>
      </w:tblGrid>
      <w:tr>
        <w:trPr/>
        <w:tc>
          <w:tcPr>
            <w:tcW w:w="8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Common stock shares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59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45,962</w:t>
            </w:r>
            <w:r>
              <w:rPr>
                <w:color w:val="000000"/>
              </w:rPr>
              <w:t> </w:t>
            </w:r>
          </w:p>
        </w:tc>
        <w:tc>
          <w:tcPr>
            <w:tcW w:w="3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w:t>
            </w:r>
            <w:r>
              <w:rPr>
                <w:color w:val="000000"/>
              </w:rPr>
              <w:t> </w:t>
            </w:r>
          </w:p>
        </w:tc>
        <w:tc>
          <w:tcPr>
            <w:tcW w:w="15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(326)</w:t>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6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45,510</w:t>
            </w:r>
            <w:r>
              <w:rPr>
                <w:color w:val="000000"/>
              </w:rPr>
              <w:t> </w:t>
            </w:r>
          </w:p>
        </w:tc>
        <w:tc>
          <w:tcPr>
            <w:tcW w:w="3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1,718</w:t>
            </w:r>
            <w:r>
              <w:rPr>
                <w:color w:val="000000"/>
              </w:rPr>
              <w:t> </w:t>
            </w:r>
          </w:p>
        </w:tc>
        <w:tc>
          <w:tcPr>
            <w:tcW w:w="15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(528)</w:t>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1,180</w:t>
            </w:r>
            <w:r>
              <w:rPr>
                <w:color w:val="000000"/>
              </w:rPr>
              <w:t> </w:t>
            </w:r>
          </w:p>
        </w:tc>
        <w:tc>
          <w:tcPr>
            <w:tcW w:w="16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45,659</w:t>
            </w:r>
            <w:r>
              <w:rPr>
                <w:color w:val="000000"/>
              </w:rPr>
              <w:t> </w:t>
            </w:r>
          </w:p>
        </w:tc>
        <w:tc>
          <w:tcPr>
            <w:tcW w:w="37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1,711</w:t>
            </w:r>
            <w:r>
              <w:rPr>
                <w:color w:val="000000"/>
              </w:rPr>
              <w:t> </w:t>
            </w:r>
          </w:p>
        </w:tc>
        <w:tc>
          <w:tcPr>
            <w:tcW w:w="1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(456)</w:t>
            </w:r>
          </w:p>
        </w:tc>
        <w:tc>
          <w:tcPr>
            <w:tcW w:w="21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1,246</w:t>
            </w:r>
            <w:r>
              <w:rPr>
                <w:color w:val="000000"/>
              </w:rPr>
              <w:t> </w:t>
            </w:r>
          </w:p>
        </w:tc>
        <w:tc>
          <w:tcPr>
            <w:tcW w:w="1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(a)Shares in thousands.</w:t>
      </w:r>
    </w:p>
    <w:p>
      <w:pPr>
        <w:pStyle w:val="TextBody"/>
        <w:bidi w:val="0"/>
        <w:spacing w:before="0" w:after="0"/>
        <w:ind w:left="0" w:right="0" w:firstLine="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NOTES TO THE INTERIM FINANCIAL STATEMENTS (UNAUDITED)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Capitalized terms and abbreviations appearing in these Notes to the Interim Financial Statements are defined in the glossary. Dollars are in millions, unless otherwise noted.</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Organization and Operations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15.7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Indiana, and Montana.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These Interim Financial Statements, which are prepared in accordance with GAAP and pursuant to the rules and regulations of the U.S. Securities and Exchange Commission (the “SEC”) for Quarterly Reports on Form 10-Q, include: (i) the accounts of all controlled subsidiaries, including variable interest entities for which we are the primary beneficiary; (ii) elimination adjustments for intercompany transactions between controlled subsidiaries; (iii) any undivided interests in jointly owned facilities consolidated on a proportionate basis; and (iv) 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These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pStyle w:val="TextBody"/>
        <w:bidi w:val="0"/>
        <w:spacing w:lineRule="auto" w:line="288" w:before="0" w:after="180"/>
        <w:ind w:left="0" w:right="0" w:firstLine="360"/>
        <w:jc w:val="left"/>
        <w:rPr/>
      </w:pPr>
      <w:r>
        <w:rPr>
          <w:rFonts w:ascii="Arial;sans-serif" w:hAnsi="Arial;sans-serif"/>
          <w:b w:val="false"/>
          <w:i/>
          <w:color w:val="000000"/>
          <w:sz w:val="18"/>
        </w:rPr>
        <w:t>Reclassifications.</w:t>
      </w:r>
      <w:r>
        <w:rPr>
          <w:color w:val="000000"/>
        </w:rPr>
        <w:t xml:space="preserve"> </w:t>
      </w:r>
      <w:r>
        <w:rPr>
          <w:rFonts w:ascii="Arial;sans-serif" w:hAnsi="Arial;sans-serif"/>
          <w:b w:val="false"/>
          <w:color w:val="000000"/>
          <w:sz w:val="18"/>
        </w:rPr>
        <w:t xml:space="preserve">Certain amounts in the prior period financial statements were reclassified to conform to the current period’s presentation. The reclassifications did not affect operating income, net income, total assets, total liabilities, net equity, or cash flows. </w:t>
      </w:r>
    </w:p>
    <w:p>
      <w:pPr>
        <w:pStyle w:val="TextBody"/>
        <w:bidi w:val="0"/>
        <w:spacing w:lineRule="auto" w:line="288" w:before="0" w:after="180"/>
        <w:ind w:left="0" w:right="0" w:firstLine="360"/>
        <w:jc w:val="left"/>
        <w:rPr/>
      </w:pPr>
      <w:r>
        <w:rPr>
          <w:rFonts w:ascii="Arial;sans-serif" w:hAnsi="Arial;sans-serif"/>
          <w:b w:val="false"/>
          <w:i/>
          <w:color w:val="000000"/>
          <w:sz w:val="18"/>
        </w:rPr>
        <w:t>Use of Estimates.</w:t>
      </w:r>
      <w:r>
        <w:rPr>
          <w:color w:val="000000"/>
        </w:rPr>
        <w:t xml:space="preserve"> </w:t>
      </w:r>
      <w:r>
        <w:rPr>
          <w:rFonts w:ascii="Arial;sans-serif" w:hAnsi="Arial;sans-serif"/>
          <w:b w:val="false"/>
          <w:color w:val="000000"/>
          <w:sz w:val="18"/>
        </w:rPr>
        <w:t>The preparation of financial statements in conformity with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Summary of Significant Accounting Policies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 to the Annual Financial Statements for additional information on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Risk Management,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Risk Management Objectives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Board of Directors, including the risk committee, and management have established procedures to monitor, measure, and manage hedging activities and credit risk in accordance with the risk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pStyle w:val="TextBody"/>
        <w:bidi w:val="0"/>
        <w:spacing w:lineRule="auto" w:line="288" w:before="0" w:after="180"/>
        <w:ind w:left="0" w:right="0" w:firstLine="360"/>
        <w:jc w:val="left"/>
        <w:rPr/>
      </w:pPr>
      <w:r>
        <w:rPr>
          <w:rFonts w:ascii="Arial;sans-serif" w:hAnsi="Arial;sans-serif"/>
          <w:b w:val="false"/>
          <w:i/>
          <w:color w:val="000000"/>
          <w:sz w:val="18"/>
        </w:rPr>
        <w:t>Market and Commodity Price Risk.</w:t>
      </w:r>
      <w:r>
        <w:rPr>
          <w:color w:val="000000"/>
        </w:rPr>
        <w:t xml:space="preserve"> </w:t>
      </w:r>
      <w:r>
        <w:rPr>
          <w:rFonts w:ascii="Arial;sans-serif" w:hAnsi="Arial;sans-serif"/>
          <w:b w:val="false"/>
          <w:color w:val="000000"/>
          <w:sz w:val="18"/>
        </w:rPr>
        <w:t>Volatility in the wholesale power markets provides uncertainty in the future earnings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Open commodity purchase (sales) derivatives range in maturity through 2033. The net notional volumes of commodity derivatives were:</w:t>
      </w:r>
    </w:p>
    <w:tbl>
      <w:tblPr>
        <w:tblW w:w="5664"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525"/>
        <w:gridCol w:w="526"/>
        <w:gridCol w:w="271"/>
        <w:gridCol w:w="109"/>
        <w:gridCol w:w="109"/>
        <w:gridCol w:w="109"/>
        <w:gridCol w:w="525"/>
        <w:gridCol w:w="526"/>
        <w:gridCol w:w="522"/>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June 30, </w:t>
            </w:r>
          </w:p>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December 31, </w:t>
            </w:r>
          </w:p>
          <w:p>
            <w:pPr>
              <w:pStyle w:val="TableContents"/>
              <w:bidi w:val="0"/>
              <w:spacing w:lineRule="auto" w:line="240" w:before="0" w:after="0"/>
              <w:jc w:val="center"/>
              <w:rPr/>
            </w:pPr>
            <w:r>
              <w:rPr>
                <w:rFonts w:ascii="Arial;sans-serif" w:hAnsi="Arial;sans-serif"/>
                <w:b/>
                <w:color w:val="000000"/>
                <w:sz w:val="16"/>
              </w:rPr>
              <w:t xml:space="preserve">2025 </w:t>
            </w:r>
            <w:r>
              <w:rPr>
                <w:rFonts w:ascii="Arial;sans-serif" w:hAnsi="Arial;sans-serif"/>
                <w:b/>
                <w:color w:val="000000"/>
                <w:sz w:val="10"/>
              </w:rPr>
              <w:t>(a)</w:t>
            </w:r>
          </w:p>
        </w:tc>
      </w:tr>
      <w:tr>
        <w:trPr/>
        <w:tc>
          <w:tcPr>
            <w:tcW w:w="211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(87,190,322)</w:t>
            </w:r>
          </w:p>
        </w:tc>
        <w:tc>
          <w:tcPr>
            <w:tcW w:w="2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(59,634,723)</w:t>
            </w:r>
          </w:p>
        </w:tc>
        <w:tc>
          <w:tcPr>
            <w:tcW w:w="5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311,022,216 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169,209,022 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Emission allowances (tons)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158,000 </w:t>
            </w:r>
          </w:p>
        </w:tc>
        <w:tc>
          <w:tcPr>
            <w:tcW w:w="27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(a)The volumes may be different than the contractual volumes, as the probability that option contracts will be exercised is considered in the volumes displayed.</w:t>
      </w:r>
    </w:p>
    <w:p>
      <w:pPr>
        <w:pStyle w:val="TextBody"/>
        <w:bidi w:val="0"/>
        <w:spacing w:lineRule="auto" w:line="288" w:before="0" w:after="180"/>
        <w:ind w:left="0" w:right="0" w:firstLine="360"/>
        <w:jc w:val="left"/>
        <w:rPr/>
      </w:pPr>
      <w:bookmarkStart w:id="2" w:name="i748737f89406458dba2aa04e529db9a9_28625"/>
      <w:bookmarkEnd w:id="2"/>
      <w:r>
        <w:rPr>
          <w:rFonts w:ascii="Arial;sans-serif" w:hAnsi="Arial;sans-serif"/>
          <w:b w:val="false"/>
          <w:i/>
          <w:color w:val="000000"/>
          <w:sz w:val="18"/>
        </w:rPr>
        <w:t>Interest Rate Risk.</w:t>
      </w:r>
      <w:r>
        <w:rPr>
          <w:color w:val="000000"/>
        </w:rPr>
        <w:t xml:space="preserve"> </w:t>
      </w:r>
      <w:r>
        <w:rPr>
          <w:rFonts w:ascii="Arial;sans-serif" w:hAnsi="Arial;sans-serif"/>
          <w:b w:val="false"/>
          <w:color w:val="000000"/>
          <w:sz w:val="18"/>
        </w:rPr>
        <w:t xml:space="preserve">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Open interest rate derivatives range in maturity through 2029. The net notional volumes of open interest rate derivatives were:</w:t>
      </w:r>
    </w:p>
    <w:tbl>
      <w:tblPr>
        <w:tblW w:w="4493"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206"/>
        <w:gridCol w:w="444"/>
        <w:gridCol w:w="115"/>
        <w:gridCol w:w="109"/>
        <w:gridCol w:w="109"/>
        <w:gridCol w:w="109"/>
        <w:gridCol w:w="308"/>
        <w:gridCol w:w="663"/>
        <w:gridCol w:w="24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8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rate (in millions)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3" w:name="ibc713f1061b443f2b82d06c36e945af3_2-1-1-"/>
            <w:bookmarkEnd w:id="3"/>
            <w:r>
              <w:rPr>
                <w:rFonts w:ascii="Arial;sans-serif" w:hAnsi="Arial;sans-serif"/>
                <w:b w:val="false"/>
                <w:color w:val="000000"/>
                <w:sz w:val="16"/>
              </w:rPr>
              <w:t>990 </w:t>
            </w:r>
          </w:p>
        </w:tc>
        <w:tc>
          <w:tcPr>
            <w:tcW w:w="11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2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Credit risk, which is the risk of financial loss if a customer, counterparty, or financial institution is unable to perform or pay amounts due, is 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June 30, 2026 and December 31,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Talen’s aggregate credit exposure, which excludes the effects of netting arrangements, cash collateral, LCs, and any allowances for doubtful collections, was $1.3 billion and its credit exposure including such netting effects was $60 million. Excluding ISO and RTO counterparties, whose accounts receivable settlements and congestion products are subject to applicable market controls, the ten largest single net credit exposures account for 84% of Talen’s total net credit exposure, which primarily relate to entities with investment grade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Derivative Instrument Presentation </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Balance Sheets Presentation. </w:t>
      </w:r>
      <w:r>
        <w:rPr>
          <w:rFonts w:ascii="Arial;sans-serif" w:hAnsi="Arial;sans-serif"/>
          <w:b w:val="false"/>
          <w:color w:val="000000"/>
          <w:sz w:val="18"/>
        </w:rPr>
        <w:t>The fair value of derivative instruments presented within assets and liabilities on the Consolidated Balance Sheets were:</w:t>
      </w:r>
    </w:p>
    <w:tbl>
      <w:tblPr>
        <w:tblW w:w="7797" w:type="dxa"/>
        <w:jc w:val="left"/>
        <w:tblInd w:w="0" w:type="dxa"/>
        <w:tblLayout w:type="fixed"/>
        <w:tblCellMar>
          <w:top w:w="28" w:type="dxa"/>
          <w:left w:w="28" w:type="dxa"/>
          <w:bottom w:w="28" w:type="dxa"/>
          <w:right w:w="28" w:type="dxa"/>
        </w:tblCellMar>
      </w:tblPr>
      <w:tblGrid>
        <w:gridCol w:w="1205"/>
        <w:gridCol w:w="1059"/>
        <w:gridCol w:w="1066"/>
        <w:gridCol w:w="109"/>
        <w:gridCol w:w="109"/>
        <w:gridCol w:w="109"/>
        <w:gridCol w:w="196"/>
        <w:gridCol w:w="421"/>
        <w:gridCol w:w="109"/>
        <w:gridCol w:w="109"/>
        <w:gridCol w:w="109"/>
        <w:gridCol w:w="109"/>
        <w:gridCol w:w="230"/>
        <w:gridCol w:w="512"/>
        <w:gridCol w:w="129"/>
        <w:gridCol w:w="109"/>
        <w:gridCol w:w="109"/>
        <w:gridCol w:w="109"/>
        <w:gridCol w:w="199"/>
        <w:gridCol w:w="336"/>
        <w:gridCol w:w="111"/>
        <w:gridCol w:w="109"/>
        <w:gridCol w:w="109"/>
        <w:gridCol w:w="109"/>
        <w:gridCol w:w="257"/>
        <w:gridCol w:w="455"/>
        <w:gridCol w:w="20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573</w:t>
            </w:r>
            <w:r>
              <w:rPr>
                <w:color w:val="000000"/>
              </w:rPr>
              <w:t>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Changes in the fair value and realized settlements on interest rate derivative instruments are presented as “Interest expense and other finance charges” on the Consolidated Statements of Operations. See Note 11 for additional information on fair value of commodity and interest rate derivatives. </w:t>
      </w:r>
    </w:p>
    <w:p>
      <w:pPr>
        <w:pStyle w:val="TextBody"/>
        <w:bidi w:val="0"/>
        <w:spacing w:lineRule="auto" w:line="288" w:before="0" w:after="180"/>
        <w:ind w:left="0" w:right="0" w:firstLine="360"/>
        <w:jc w:val="left"/>
        <w:rPr/>
      </w:pPr>
      <w:r>
        <w:rPr>
          <w:rFonts w:ascii="Arial;sans-serif" w:hAnsi="Arial;sans-serif"/>
          <w:b w:val="false"/>
          <w:i/>
          <w:color w:val="000000"/>
          <w:sz w:val="18"/>
        </w:rPr>
        <w:t>Effect of Netting.</w:t>
      </w:r>
      <w:r>
        <w:rPr>
          <w:color w:val="000000"/>
        </w:rPr>
        <w:t xml:space="preserve"> </w:t>
      </w:r>
      <w:r>
        <w:rPr>
          <w:rFonts w:ascii="Arial;sans-serif" w:hAnsi="Arial;sans-serif"/>
          <w:b w:val="false"/>
          <w:color w:val="000000"/>
          <w:sz w:val="18"/>
        </w:rPr>
        <w:t xml:space="preserve">Generally, the right of setoff within master netting arrangements permits the fair value of derivative assets to be offset with derivative liabilities. As an election, derivative assets and derivative liabilities are presented on the Consolidated Balance Sheets with the effect of such permitted netting as of June 30, 2026 and December 31, 2025.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net amounts of “Derivative instruments” presented as assets and liabilities on the Consolidated Balance Sheets considering the effect of permitted netting and where cash collateral is pledged in accordance with the underlying agreement were:</w:t>
      </w:r>
    </w:p>
    <w:tbl>
      <w:tblPr>
        <w:tblW w:w="10205" w:type="dxa"/>
        <w:jc w:val="left"/>
        <w:tblInd w:w="0" w:type="dxa"/>
        <w:tblLayout w:type="fixed"/>
        <w:tblCellMar>
          <w:top w:w="28" w:type="dxa"/>
          <w:left w:w="28" w:type="dxa"/>
          <w:bottom w:w="28" w:type="dxa"/>
          <w:right w:w="28" w:type="dxa"/>
        </w:tblCellMar>
      </w:tblPr>
      <w:tblGrid>
        <w:gridCol w:w="501"/>
        <w:gridCol w:w="411"/>
        <w:gridCol w:w="334"/>
        <w:gridCol w:w="109"/>
        <w:gridCol w:w="109"/>
        <w:gridCol w:w="109"/>
        <w:gridCol w:w="393"/>
        <w:gridCol w:w="1117"/>
        <w:gridCol w:w="220"/>
        <w:gridCol w:w="109"/>
        <w:gridCol w:w="109"/>
        <w:gridCol w:w="109"/>
        <w:gridCol w:w="280"/>
        <w:gridCol w:w="679"/>
        <w:gridCol w:w="155"/>
        <w:gridCol w:w="109"/>
        <w:gridCol w:w="109"/>
        <w:gridCol w:w="109"/>
        <w:gridCol w:w="109"/>
        <w:gridCol w:w="109"/>
        <w:gridCol w:w="438"/>
        <w:gridCol w:w="943"/>
        <w:gridCol w:w="245"/>
        <w:gridCol w:w="109"/>
        <w:gridCol w:w="109"/>
        <w:gridCol w:w="109"/>
        <w:gridCol w:w="435"/>
        <w:gridCol w:w="905"/>
        <w:gridCol w:w="246"/>
        <w:gridCol w:w="109"/>
        <w:gridCol w:w="109"/>
        <w:gridCol w:w="109"/>
        <w:gridCol w:w="263"/>
        <w:gridCol w:w="567"/>
        <w:gridCol w:w="220"/>
      </w:tblGrid>
      <w:tr>
        <w:trPr/>
        <w:tc>
          <w:tcPr>
            <w:tcW w:w="5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Eligible for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Collateral (Posted)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Amounts</w:t>
            </w:r>
          </w:p>
        </w:tc>
      </w:tr>
      <w:tr>
        <w:trPr/>
        <w:tc>
          <w:tcPr>
            <w:tcW w:w="12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2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w:t>
            </w:r>
          </w:p>
        </w:tc>
        <w:tc>
          <w:tcPr>
            <w:tcW w:w="1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2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pPr>
      <w:r>
        <w:rPr>
          <w:rFonts w:ascii="Arial;sans-serif" w:hAnsi="Arial;sans-serif"/>
          <w:b w:val="false"/>
          <w:i/>
          <w:color w:val="000000"/>
          <w:sz w:val="18"/>
        </w:rPr>
        <w:t>Statements of Operations Presentation.</w:t>
      </w:r>
      <w:r>
        <w:rPr>
          <w:color w:val="000000"/>
        </w:rPr>
        <w:t xml:space="preserve"> </w:t>
      </w:r>
      <w:r>
        <w:rPr>
          <w:rFonts w:ascii="Arial;sans-serif" w:hAnsi="Arial;sans-serif"/>
          <w:b w:val="false"/>
          <w:color w:val="000000"/>
          <w:sz w:val="18"/>
        </w:rPr>
        <w:t>The location and pre-tax effect of “Derivative instruments” presented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1680"/>
        <w:gridCol w:w="1475"/>
        <w:gridCol w:w="1479"/>
        <w:gridCol w:w="109"/>
        <w:gridCol w:w="109"/>
        <w:gridCol w:w="109"/>
        <w:gridCol w:w="300"/>
        <w:gridCol w:w="506"/>
        <w:gridCol w:w="166"/>
        <w:gridCol w:w="166"/>
        <w:gridCol w:w="166"/>
        <w:gridCol w:w="166"/>
        <w:gridCol w:w="300"/>
        <w:gridCol w:w="506"/>
        <w:gridCol w:w="166"/>
        <w:gridCol w:w="109"/>
        <w:gridCol w:w="109"/>
        <w:gridCol w:w="109"/>
        <w:gridCol w:w="245"/>
        <w:gridCol w:w="617"/>
        <w:gridCol w:w="136"/>
        <w:gridCol w:w="136"/>
        <w:gridCol w:w="136"/>
        <w:gridCol w:w="136"/>
        <w:gridCol w:w="245"/>
        <w:gridCol w:w="415"/>
        <w:gridCol w:w="136"/>
        <w:gridCol w:w="109"/>
        <w:gridCol w:w="16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gain (loss) on 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revenues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Fuel and energy purchases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expenses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and unrealized gain (loss) on 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(a)Does not include those derivative instruments that settle through physical delivery.</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“Unrealized gain (loss) on derivative instruments”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bookmarkStart w:id="4" w:name="i9e3298016d844619a9a61108f10328ee_2607"/>
      <w:bookmarkStart w:id="5" w:name="i9e3298016d844619a9a61108f10328ee_2606"/>
      <w:bookmarkEnd w:id="4"/>
      <w:bookmarkEnd w:id="5"/>
      <w:r>
        <w:rPr>
          <w:rFonts w:ascii="Arial;sans-serif" w:hAnsi="Arial;sans-serif"/>
          <w:b/>
          <w:color w:val="000000"/>
          <w:sz w:val="18"/>
        </w:rPr>
        <w:t>3. Revenue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components of operating revenues for the periods were: </w:t>
      </w:r>
    </w:p>
    <w:tbl>
      <w:tblPr>
        <w:tblW w:w="10205" w:type="dxa"/>
        <w:jc w:val="left"/>
        <w:tblInd w:w="0" w:type="dxa"/>
        <w:tblLayout w:type="fixed"/>
        <w:tblCellMar>
          <w:top w:w="28" w:type="dxa"/>
          <w:left w:w="28" w:type="dxa"/>
          <w:bottom w:w="28" w:type="dxa"/>
          <w:right w:w="28" w:type="dxa"/>
        </w:tblCellMar>
      </w:tblPr>
      <w:tblGrid>
        <w:gridCol w:w="1639"/>
        <w:gridCol w:w="1441"/>
        <w:gridCol w:w="1446"/>
        <w:gridCol w:w="109"/>
        <w:gridCol w:w="109"/>
        <w:gridCol w:w="109"/>
        <w:gridCol w:w="272"/>
        <w:gridCol w:w="606"/>
        <w:gridCol w:w="150"/>
        <w:gridCol w:w="150"/>
        <w:gridCol w:w="150"/>
        <w:gridCol w:w="150"/>
        <w:gridCol w:w="272"/>
        <w:gridCol w:w="606"/>
        <w:gridCol w:w="150"/>
        <w:gridCol w:w="109"/>
        <w:gridCol w:w="109"/>
        <w:gridCol w:w="109"/>
        <w:gridCol w:w="211"/>
        <w:gridCol w:w="617"/>
        <w:gridCol w:w="117"/>
        <w:gridCol w:w="117"/>
        <w:gridCol w:w="117"/>
        <w:gridCol w:w="117"/>
        <w:gridCol w:w="211"/>
        <w:gridCol w:w="617"/>
        <w:gridCol w:w="117"/>
        <w:gridCol w:w="109"/>
        <w:gridCol w:w="169"/>
      </w:tblGrid>
      <w:tr>
        <w:trPr/>
        <w:tc>
          <w:tcPr>
            <w:tcW w:w="163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 and ancillary services, ISO/RTO</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Physical electricity sales, bilateral contracts, 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4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45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1,876</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1,020</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Accounts Receivable</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Accounts receivable” presented on the Consolidated Balance Sheets were: </w:t>
      </w:r>
    </w:p>
    <w:tbl>
      <w:tblPr>
        <w:tblW w:w="4988" w:type="dxa"/>
        <w:jc w:val="left"/>
        <w:tblInd w:w="0" w:type="dxa"/>
        <w:tblLayout w:type="fixed"/>
        <w:tblCellMar>
          <w:top w:w="28" w:type="dxa"/>
          <w:left w:w="28" w:type="dxa"/>
          <w:bottom w:w="28" w:type="dxa"/>
          <w:right w:w="28" w:type="dxa"/>
        </w:tblCellMar>
      </w:tblPr>
      <w:tblGrid>
        <w:gridCol w:w="852"/>
        <w:gridCol w:w="749"/>
        <w:gridCol w:w="754"/>
        <w:gridCol w:w="109"/>
        <w:gridCol w:w="109"/>
        <w:gridCol w:w="109"/>
        <w:gridCol w:w="202"/>
        <w:gridCol w:w="450"/>
        <w:gridCol w:w="112"/>
        <w:gridCol w:w="109"/>
        <w:gridCol w:w="109"/>
        <w:gridCol w:w="109"/>
        <w:gridCol w:w="302"/>
        <w:gridCol w:w="673"/>
        <w:gridCol w:w="24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3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w:t>
            </w:r>
            <w:r>
              <w:rPr>
                <w:color w:val="000000"/>
              </w:rPr>
              <w:t> </w:t>
            </w:r>
          </w:p>
        </w:tc>
        <w:tc>
          <w:tcPr>
            <w:tcW w:w="1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six months ended June 30, 2026 and 2025, there were no significant changes in accounts receivable other than normal receivable recognition and collection transactions. See Note 2 for additional information on Talen’s credit risk on the carrying value of its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Future Performance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Talen’s estimated future fixed fee performance obligations primarily include capacity volumes awarded, net of capacity repurchases by the Company, through PJM BRAs and incremental PJM capacity auctions, and components of capacity contracts with customers for which consideration is fixed and determinable. See Note 9 for additional information on the PJM BRAs.</w:t>
      </w:r>
    </w:p>
    <w:p>
      <w:pPr>
        <w:pStyle w:val="TextBody"/>
        <w:bidi w:val="0"/>
        <w:spacing w:lineRule="auto" w:line="288" w:before="0" w:after="0"/>
        <w:ind w:left="0" w:right="0" w:firstLine="360"/>
        <w:jc w:val="left"/>
        <w:rPr/>
      </w:pPr>
      <w:r>
        <w:rPr>
          <w:rFonts w:ascii="Arial;sans-serif" w:hAnsi="Arial;sans-serif"/>
          <w:b w:val="false"/>
          <w:color w:val="000000"/>
          <w:sz w:val="18"/>
        </w:rPr>
        <w:t>Future performance obligations that were unsatisfied or partially unsatisfied were: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79"/>
        <w:gridCol w:w="669"/>
        <w:gridCol w:w="671"/>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96"/>
        <w:gridCol w:w="346"/>
        <w:gridCol w:w="109"/>
        <w:gridCol w:w="109"/>
        <w:gridCol w:w="109"/>
        <w:gridCol w:w="109"/>
        <w:gridCol w:w="261"/>
        <w:gridCol w:w="581"/>
        <w:gridCol w:w="146"/>
        <w:gridCol w:w="109"/>
        <w:gridCol w:w="109"/>
        <w:gridCol w:w="109"/>
        <w:gridCol w:w="196"/>
        <w:gridCol w:w="571"/>
        <w:gridCol w:w="157"/>
      </w:tblGrid>
      <w:tr>
        <w:trPr/>
        <w:tc>
          <w:tcPr>
            <w:tcW w:w="77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Thereafter </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capacity revenues as of 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2028/2029 PJM Capacity Year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expected 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1,273</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3,993</w:t>
            </w:r>
            <w:r>
              <w:rPr>
                <w:color w:val="000000"/>
              </w:rPr>
              <w:t> </w:t>
            </w:r>
          </w:p>
        </w:tc>
        <w:tc>
          <w:tcPr>
            <w:tcW w:w="1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(a)Estimated for the period from July 1, 2026 through December 31, 2026.</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(b)PJM capacity revenues are estimated for the period from June 1, 2028 through May 31, 2029 based on the result of the 2028/2029 PJM BRA held in July 2026. Talen cleared 10,180 MWs at a price of $325.00/MWd for the MAAC, PPL, and RTO locational deliverability areas. PJM BRAs have not yet occurred for periods after the 2028/2029 PJM Capacity Year.</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(c)Contractual maturities through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6" w:name="i05ff0de6c0384c069ab15ce90ca57fcb_1689"/>
      <w:bookmarkEnd w:id="6"/>
      <w:r>
        <w:rPr>
          <w:rFonts w:ascii="Arial;sans-serif" w:hAnsi="Arial;sans-serif"/>
          <w:b/>
          <w:i/>
          <w:color w:val="000000"/>
          <w:sz w:val="18"/>
        </w:rPr>
        <w:t>Effective Tax Rate Reconciliations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reconciliations of the effective tax rate for the periods were:</w:t>
      </w:r>
    </w:p>
    <w:tbl>
      <w:tblPr>
        <w:tblW w:w="10205" w:type="dxa"/>
        <w:jc w:val="left"/>
        <w:tblInd w:w="0" w:type="dxa"/>
        <w:tblLayout w:type="fixed"/>
        <w:tblCellMar>
          <w:top w:w="28" w:type="dxa"/>
          <w:left w:w="28" w:type="dxa"/>
          <w:bottom w:w="28" w:type="dxa"/>
          <w:right w:w="28" w:type="dxa"/>
        </w:tblCellMar>
      </w:tblPr>
      <w:tblGrid>
        <w:gridCol w:w="1904"/>
        <w:gridCol w:w="1555"/>
        <w:gridCol w:w="1566"/>
        <w:gridCol w:w="109"/>
        <w:gridCol w:w="109"/>
        <w:gridCol w:w="109"/>
        <w:gridCol w:w="217"/>
        <w:gridCol w:w="532"/>
        <w:gridCol w:w="283"/>
        <w:gridCol w:w="120"/>
        <w:gridCol w:w="120"/>
        <w:gridCol w:w="120"/>
        <w:gridCol w:w="217"/>
        <w:gridCol w:w="432"/>
        <w:gridCol w:w="283"/>
        <w:gridCol w:w="109"/>
        <w:gridCol w:w="109"/>
        <w:gridCol w:w="109"/>
        <w:gridCol w:w="209"/>
        <w:gridCol w:w="417"/>
        <w:gridCol w:w="273"/>
        <w:gridCol w:w="116"/>
        <w:gridCol w:w="116"/>
        <w:gridCol w:w="116"/>
        <w:gridCol w:w="209"/>
        <w:gridCol w:w="417"/>
        <w:gridCol w:w="329"/>
      </w:tblGrid>
      <w:tr>
        <w:trPr/>
        <w:tc>
          <w:tcPr>
            <w:tcW w:w="190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8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28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27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32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Income tax benefit (expense) computed at the federal income tax statutory tax rate of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tax benefit (expense) due to:</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Permanent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state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benefit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tax benefit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5. Inventory</w:t>
      </w:r>
    </w:p>
    <w:tbl>
      <w:tblPr>
        <w:tblW w:w="5407" w:type="dxa"/>
        <w:jc w:val="left"/>
        <w:tblInd w:w="0" w:type="dxa"/>
        <w:tblLayout w:type="fixed"/>
        <w:tblCellMar>
          <w:top w:w="28" w:type="dxa"/>
          <w:left w:w="28" w:type="dxa"/>
          <w:bottom w:w="28" w:type="dxa"/>
          <w:right w:w="28" w:type="dxa"/>
        </w:tblCellMar>
      </w:tblPr>
      <w:tblGrid>
        <w:gridCol w:w="1000"/>
        <w:gridCol w:w="876"/>
        <w:gridCol w:w="898"/>
        <w:gridCol w:w="109"/>
        <w:gridCol w:w="109"/>
        <w:gridCol w:w="109"/>
        <w:gridCol w:w="202"/>
        <w:gridCol w:w="450"/>
        <w:gridCol w:w="112"/>
        <w:gridCol w:w="109"/>
        <w:gridCol w:w="109"/>
        <w:gridCol w:w="109"/>
        <w:gridCol w:w="302"/>
        <w:gridCol w:w="673"/>
        <w:gridCol w:w="240"/>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inventory for 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6. Nuclear Decommissioning Trust Funds</w:t>
      </w:r>
    </w:p>
    <w:tbl>
      <w:tblPr>
        <w:tblW w:w="11080" w:type="dxa"/>
        <w:jc w:val="left"/>
        <w:tblInd w:w="0" w:type="dxa"/>
        <w:tblLayout w:type="fixed"/>
        <w:tblCellMar>
          <w:top w:w="28" w:type="dxa"/>
          <w:left w:w="28" w:type="dxa"/>
          <w:bottom w:w="28" w:type="dxa"/>
          <w:right w:w="28" w:type="dxa"/>
        </w:tblCellMar>
      </w:tblPr>
      <w:tblGrid>
        <w:gridCol w:w="417"/>
        <w:gridCol w:w="301"/>
        <w:gridCol w:w="303"/>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09"/>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(payables),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1,195</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1,176</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1,900</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11 for additional information on the NDT fair value. There were no available-for-sale debt securities with credit losses as of June 30, 2026 and December 31,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June 30, 2026 was:</w:t>
      </w:r>
    </w:p>
    <w:tbl>
      <w:tblPr>
        <w:tblW w:w="6593" w:type="dxa"/>
        <w:jc w:val="left"/>
        <w:tblInd w:w="0" w:type="dxa"/>
        <w:tblLayout w:type="fixed"/>
        <w:tblCellMar>
          <w:top w:w="28" w:type="dxa"/>
          <w:left w:w="28" w:type="dxa"/>
          <w:bottom w:w="28" w:type="dxa"/>
          <w:right w:w="28" w:type="dxa"/>
        </w:tblCellMar>
      </w:tblPr>
      <w:tblGrid>
        <w:gridCol w:w="1249"/>
        <w:gridCol w:w="1096"/>
        <w:gridCol w:w="1104"/>
        <w:gridCol w:w="109"/>
        <w:gridCol w:w="109"/>
        <w:gridCol w:w="109"/>
        <w:gridCol w:w="234"/>
        <w:gridCol w:w="521"/>
        <w:gridCol w:w="130"/>
        <w:gridCol w:w="109"/>
        <w:gridCol w:w="109"/>
        <w:gridCol w:w="109"/>
        <w:gridCol w:w="518"/>
        <w:gridCol w:w="677"/>
        <w:gridCol w:w="410"/>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34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in unrealized loss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the aggregate fair value of debt securities whose carrying value was below the purchase price for a duration of one year or longer was $115 million and the unrealized losses related to such securities were non-material.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color w:val="000000"/>
          <w:sz w:val="18"/>
        </w:rPr>
        <w:t>The contractual maturities for available-for-sale debt securities presented on the Consolidated Balance Sheets were:</w:t>
      </w:r>
      <w:r>
        <w:rPr>
          <w:color w:val="000000"/>
        </w:rPr>
        <w:t xml:space="preserve"> </w:t>
      </w:r>
    </w:p>
    <w:tbl>
      <w:tblPr>
        <w:tblW w:w="5153"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202"/>
        <w:gridCol w:w="450"/>
        <w:gridCol w:w="112"/>
        <w:gridCol w:w="109"/>
        <w:gridCol w:w="109"/>
        <w:gridCol w:w="109"/>
        <w:gridCol w:w="302"/>
        <w:gridCol w:w="673"/>
        <w:gridCol w:w="24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two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thereafter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sales proceeds, gains, and losses for available-for-sale debt securities for the periods were:</w:t>
      </w:r>
    </w:p>
    <w:tbl>
      <w:tblPr>
        <w:tblW w:w="9055" w:type="dxa"/>
        <w:jc w:val="left"/>
        <w:tblInd w:w="0" w:type="dxa"/>
        <w:tblLayout w:type="fixed"/>
        <w:tblCellMar>
          <w:top w:w="28" w:type="dxa"/>
          <w:left w:w="28" w:type="dxa"/>
          <w:bottom w:w="28" w:type="dxa"/>
          <w:right w:w="28" w:type="dxa"/>
        </w:tblCellMar>
      </w:tblPr>
      <w:tblGrid>
        <w:gridCol w:w="1221"/>
        <w:gridCol w:w="1073"/>
        <w:gridCol w:w="1080"/>
        <w:gridCol w:w="109"/>
        <w:gridCol w:w="109"/>
        <w:gridCol w:w="109"/>
        <w:gridCol w:w="292"/>
        <w:gridCol w:w="494"/>
        <w:gridCol w:w="162"/>
        <w:gridCol w:w="162"/>
        <w:gridCol w:w="162"/>
        <w:gridCol w:w="162"/>
        <w:gridCol w:w="292"/>
        <w:gridCol w:w="628"/>
        <w:gridCol w:w="162"/>
        <w:gridCol w:w="109"/>
        <w:gridCol w:w="109"/>
        <w:gridCol w:w="109"/>
        <w:gridCol w:w="230"/>
        <w:gridCol w:w="495"/>
        <w:gridCol w:w="128"/>
        <w:gridCol w:w="128"/>
        <w:gridCol w:w="128"/>
        <w:gridCol w:w="128"/>
        <w:gridCol w:w="230"/>
        <w:gridCol w:w="653"/>
        <w:gridCol w:w="128"/>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proceeds of NDT funds investments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6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6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(a)Sales proceeds are used to pay income taxes and trust management fees. Remaining proceeds are reinvested in the NDT.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net unrealized gains and losses recognized associated with equity securities still held at the end of the reporting periods were:</w:t>
      </w:r>
    </w:p>
    <w:tbl>
      <w:tblPr>
        <w:tblW w:w="8918" w:type="dxa"/>
        <w:jc w:val="left"/>
        <w:tblInd w:w="0" w:type="dxa"/>
        <w:tblLayout w:type="fixed"/>
        <w:tblCellMar>
          <w:top w:w="28" w:type="dxa"/>
          <w:left w:w="28" w:type="dxa"/>
          <w:bottom w:w="28" w:type="dxa"/>
          <w:right w:w="28" w:type="dxa"/>
        </w:tblCellMar>
      </w:tblPr>
      <w:tblGrid>
        <w:gridCol w:w="1172"/>
        <w:gridCol w:w="1030"/>
        <w:gridCol w:w="1038"/>
        <w:gridCol w:w="109"/>
        <w:gridCol w:w="109"/>
        <w:gridCol w:w="109"/>
        <w:gridCol w:w="292"/>
        <w:gridCol w:w="628"/>
        <w:gridCol w:w="162"/>
        <w:gridCol w:w="162"/>
        <w:gridCol w:w="162"/>
        <w:gridCol w:w="162"/>
        <w:gridCol w:w="292"/>
        <w:gridCol w:w="494"/>
        <w:gridCol w:w="162"/>
        <w:gridCol w:w="109"/>
        <w:gridCol w:w="109"/>
        <w:gridCol w:w="109"/>
        <w:gridCol w:w="275"/>
        <w:gridCol w:w="465"/>
        <w:gridCol w:w="153"/>
        <w:gridCol w:w="153"/>
        <w:gridCol w:w="153"/>
        <w:gridCol w:w="153"/>
        <w:gridCol w:w="275"/>
        <w:gridCol w:w="465"/>
        <w:gridCol w:w="153"/>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24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 unrealized gains (losses)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6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7. Property, Plant and Equipment</w:t>
      </w:r>
    </w:p>
    <w:tbl>
      <w:tblPr>
        <w:tblW w:w="10282" w:type="dxa"/>
        <w:jc w:val="left"/>
        <w:tblInd w:w="0" w:type="dxa"/>
        <w:tblLayout w:type="fixed"/>
        <w:tblCellMar>
          <w:top w:w="28" w:type="dxa"/>
          <w:left w:w="28" w:type="dxa"/>
          <w:bottom w:w="28" w:type="dxa"/>
          <w:right w:w="28" w:type="dxa"/>
        </w:tblCellMar>
      </w:tblPr>
      <w:tblGrid>
        <w:gridCol w:w="486"/>
        <w:gridCol w:w="282"/>
        <w:gridCol w:w="283"/>
        <w:gridCol w:w="109"/>
        <w:gridCol w:w="109"/>
        <w:gridCol w:w="109"/>
        <w:gridCol w:w="300"/>
        <w:gridCol w:w="300"/>
        <w:gridCol w:w="301"/>
        <w:gridCol w:w="109"/>
        <w:gridCol w:w="109"/>
        <w:gridCol w:w="109"/>
        <w:gridCol w:w="196"/>
        <w:gridCol w:w="661"/>
        <w:gridCol w:w="109"/>
        <w:gridCol w:w="109"/>
        <w:gridCol w:w="109"/>
        <w:gridCol w:w="109"/>
        <w:gridCol w:w="305"/>
        <w:gridCol w:w="680"/>
        <w:gridCol w:w="171"/>
        <w:gridCol w:w="109"/>
        <w:gridCol w:w="109"/>
        <w:gridCol w:w="109"/>
        <w:gridCol w:w="196"/>
        <w:gridCol w:w="661"/>
        <w:gridCol w:w="109"/>
        <w:gridCol w:w="109"/>
        <w:gridCol w:w="109"/>
        <w:gridCol w:w="109"/>
        <w:gridCol w:w="196"/>
        <w:gridCol w:w="571"/>
        <w:gridCol w:w="109"/>
        <w:gridCol w:w="109"/>
        <w:gridCol w:w="109"/>
        <w:gridCol w:w="109"/>
        <w:gridCol w:w="305"/>
        <w:gridCol w:w="680"/>
        <w:gridCol w:w="171"/>
        <w:gridCol w:w="109"/>
        <w:gridCol w:w="109"/>
        <w:gridCol w:w="109"/>
        <w:gridCol w:w="196"/>
        <w:gridCol w:w="571"/>
        <w:gridCol w:w="154"/>
      </w:tblGrid>
      <w:tr>
        <w:trPr/>
        <w:tc>
          <w:tcPr>
            <w:tcW w:w="4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105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7,041 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pPr>
      <w:r>
        <w:rPr>
          <w:rFonts w:ascii="Arial;sans-serif" w:hAnsi="Arial;sans-serif"/>
          <w:b w:val="false"/>
          <w:color w:val="000000"/>
          <w:sz w:val="18"/>
        </w:rPr>
        <w:t>The components of “Depreciation, amortization and accretion</w:t>
      </w:r>
      <w:r>
        <w:rPr>
          <w:color w:val="000000"/>
        </w:rPr>
        <w:t xml:space="preserve">” </w:t>
      </w:r>
      <w:r>
        <w:rPr>
          <w:rFonts w:ascii="Arial;sans-serif" w:hAnsi="Arial;sans-serif"/>
          <w:b w:val="false"/>
          <w:color w:val="000000"/>
          <w:sz w:val="18"/>
        </w:rPr>
        <w:t>presented on the Consolidated Statements of Operations for the periods were: </w:t>
      </w:r>
    </w:p>
    <w:tbl>
      <w:tblPr>
        <w:tblW w:w="9021" w:type="dxa"/>
        <w:jc w:val="left"/>
        <w:tblInd w:w="0" w:type="dxa"/>
        <w:tblLayout w:type="fixed"/>
        <w:tblCellMar>
          <w:top w:w="28" w:type="dxa"/>
          <w:left w:w="28" w:type="dxa"/>
          <w:bottom w:w="28" w:type="dxa"/>
          <w:right w:w="28" w:type="dxa"/>
        </w:tblCellMar>
      </w:tblPr>
      <w:tblGrid>
        <w:gridCol w:w="1211"/>
        <w:gridCol w:w="1065"/>
        <w:gridCol w:w="1068"/>
        <w:gridCol w:w="109"/>
        <w:gridCol w:w="109"/>
        <w:gridCol w:w="109"/>
        <w:gridCol w:w="287"/>
        <w:gridCol w:w="639"/>
        <w:gridCol w:w="159"/>
        <w:gridCol w:w="159"/>
        <w:gridCol w:w="159"/>
        <w:gridCol w:w="159"/>
        <w:gridCol w:w="287"/>
        <w:gridCol w:w="507"/>
        <w:gridCol w:w="159"/>
        <w:gridCol w:w="109"/>
        <w:gridCol w:w="109"/>
        <w:gridCol w:w="109"/>
        <w:gridCol w:w="243"/>
        <w:gridCol w:w="542"/>
        <w:gridCol w:w="135"/>
        <w:gridCol w:w="135"/>
        <w:gridCol w:w="135"/>
        <w:gridCol w:w="135"/>
        <w:gridCol w:w="243"/>
        <w:gridCol w:w="542"/>
        <w:gridCol w:w="135"/>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expense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Accretion expense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(a)Electric generation and other property and equipment.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(b)Intangible assets and capitalized software.</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(c)ARO and accrued environmental cost accretion. See Note 8 for additional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cost of nuclear fuel and the amortization of nuclear fuel intangible assets are presented as “Nuclear fuel amortization”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8. Asset Retirement Obligations and Accrued Environmental Costs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Certain subsidiaries of the Company have legal retirement obligations for the decommissioning and environmental remediation costs associated with our current and former generation sites.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 may be required to revise or recognize new AROs as a result of regulatory changes by the NRC, the EPA, Montana Department of Environmental Quality (the “MDEQ”) or other regulatory entities. Additionally, revisions may result from scope of work amendments to remediation activities as well as changes to remediation costs and other assumptions. If the assumptions underlying any ARO estimates do not materialize as expected, actual cash expenditures and costs could be materially different than currently estimated.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the fair values of certain conditional AROs as a result of the EPA CCR Rule cannot be determined. See Note 9 for additional information on a recent EPA proposal to rescind certain provisions of the EPA CCR Rule.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carrying value of AROs and accrued environmental costs were:</w:t>
      </w:r>
    </w:p>
    <w:tbl>
      <w:tblPr>
        <w:tblW w:w="9293" w:type="dxa"/>
        <w:jc w:val="left"/>
        <w:tblInd w:w="0" w:type="dxa"/>
        <w:tblLayout w:type="fixed"/>
        <w:tblCellMar>
          <w:top w:w="28" w:type="dxa"/>
          <w:left w:w="28" w:type="dxa"/>
          <w:bottom w:w="28" w:type="dxa"/>
          <w:right w:w="28" w:type="dxa"/>
        </w:tblCellMar>
      </w:tblPr>
      <w:tblGrid>
        <w:gridCol w:w="2416"/>
        <w:gridCol w:w="2119"/>
        <w:gridCol w:w="2125"/>
        <w:gridCol w:w="109"/>
        <w:gridCol w:w="109"/>
        <w:gridCol w:w="109"/>
        <w:gridCol w:w="202"/>
        <w:gridCol w:w="450"/>
        <w:gridCol w:w="112"/>
        <w:gridCol w:w="109"/>
        <w:gridCol w:w="109"/>
        <w:gridCol w:w="109"/>
        <w:gridCol w:w="302"/>
        <w:gridCol w:w="673"/>
        <w:gridCol w:w="240"/>
      </w:tblGrid>
      <w:tr>
        <w:trPr/>
        <w:tc>
          <w:tcPr>
            <w:tcW w:w="241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6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environmental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asset retirement obligations and accrued environmental costs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w:t>
            </w:r>
            <w:r>
              <w:rPr>
                <w:color w:val="000000"/>
              </w:rPr>
              <w:t>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asset retirement obligations and accrued environmental costs due within one year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Asset retirement obligations and accrued environmental costs due after one year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494</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(a)Presented as “Other current liabilities” on the Consolidated Balance Sheets.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changes of the ARO carrying value during the period were: </w:t>
      </w:r>
    </w:p>
    <w:tbl>
      <w:tblPr>
        <w:tblW w:w="4901"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196"/>
        <w:gridCol w:w="436"/>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January 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 and (or) settlement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incurred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Carrying value, June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disaggregation of ARO carrying values on the Consolidated Balance Sheets was:</w:t>
      </w:r>
    </w:p>
    <w:tbl>
      <w:tblPr>
        <w:tblW w:w="3937"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02"/>
        <w:gridCol w:w="450"/>
        <w:gridCol w:w="112"/>
        <w:gridCol w:w="109"/>
        <w:gridCol w:w="109"/>
        <w:gridCol w:w="109"/>
        <w:gridCol w:w="302"/>
        <w:gridCol w:w="673"/>
        <w:gridCol w:w="240"/>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Non-nuclear</w:t>
            </w:r>
            <w:r>
              <w:rPr>
                <w:color w:val="000000"/>
              </w:rPr>
              <w:t xml:space="preserv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Carrying value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531</w:t>
            </w:r>
            <w:r>
              <w:rPr>
                <w:color w:val="000000"/>
              </w:rPr>
              <w:t> </w:t>
            </w:r>
          </w:p>
        </w:tc>
        <w:tc>
          <w:tcPr>
            <w:tcW w:w="1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(a)Obligations are expected to be settled with available funds in the NDT at the time of decommissioning. See Note 6 for additional information on the NDT.</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(b)Certain obligations are: (i) partially supported by surety bonds, some of which have been collateralized with LCs; or (ii) partially prefunded under phased installment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7" w:name="i2203640119624dabbd0c4e13857b58b7_72635"/>
      <w:bookmarkEnd w:id="7"/>
      <w:r>
        <w:rPr>
          <w:rFonts w:ascii="Arial;sans-serif" w:hAnsi="Arial;sans-serif"/>
          <w:b/>
          <w:i/>
          <w:color w:val="000000"/>
          <w:sz w:val="18"/>
        </w:rPr>
        <w:t>Legal Matters</w:t>
      </w:r>
    </w:p>
    <w:p>
      <w:pPr>
        <w:pStyle w:val="TextBody"/>
        <w:bidi w:val="0"/>
        <w:spacing w:lineRule="auto" w:line="288" w:before="0" w:after="180"/>
        <w:ind w:left="0" w:right="0" w:firstLine="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Spent Nuclear Fuel Litigation. </w:t>
      </w:r>
      <w:r>
        <w:rPr>
          <w:rFonts w:ascii="Arial;sans-serif" w:hAnsi="Arial;sans-serif"/>
          <w:b w:val="false"/>
          <w:color w:val="000000"/>
          <w:sz w:val="18"/>
        </w:rPr>
        <w:t>Federal law currently requires the U.S. government to provide for the permanent disposal of commercial spent nuclear fuel (“SNF”), but 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2026, the Company reached an agreement with the DOE for a reimbursement of $5 million (reflecting Talen’s 90% share) related to the 2025 period. As the settlement agreement expired at the end of 2025, we are currently in the process of seeking an extension through 2028; however, we cannot be certain that such extension will be executed on similar terms or at all.</w:t>
      </w:r>
    </w:p>
    <w:p>
      <w:pPr>
        <w:pStyle w:val="TextBody"/>
        <w:bidi w:val="0"/>
        <w:spacing w:lineRule="auto" w:line="288" w:before="0" w:after="180"/>
        <w:ind w:left="0" w:right="0" w:firstLine="360"/>
        <w:jc w:val="left"/>
        <w:rPr/>
      </w:pPr>
      <w:r>
        <w:rPr>
          <w:rFonts w:ascii="Arial;sans-serif" w:hAnsi="Arial;sans-serif"/>
          <w:b w:val="false"/>
          <w:i/>
          <w:color w:val="000000"/>
          <w:sz w:val="18"/>
        </w:rPr>
        <w:t>Winter Storm Uri Lawsuits.</w:t>
      </w:r>
      <w:r>
        <w:rPr>
          <w:color w:val="000000"/>
        </w:rPr>
        <w:t xml:space="preserve"> </w:t>
      </w:r>
      <w:r>
        <w:rPr>
          <w:rFonts w:ascii="Arial;sans-serif" w:hAnsi="Arial;sans-serif"/>
          <w:b w:val="false"/>
          <w:color w:val="000000"/>
          <w:sz w:val="18"/>
        </w:rPr>
        <w:t>In connection with the sale of Talen’s generating facilities in Texas in May 2024, the Company retained certain potential liabilities relating to claims filed from 2021 onward against its former Texas subsidiaries seeking unspecified damages for alleged losses caused by the defendants’ failure to provide sufficient power to the grid during Winter Storm Uri. The claims also allege similar liability against numerous other power market participants. These cases were transferred to a single multi-district litigation (MDL) court. In January 2023, the MDL court ruled on various motions to dismiss, but denied the motions to dismiss filed by the generator defendants. In December 2023, the Texas First Court of Appeals granted a mandamus petition and instructed the MDL court to grant the motions to dismiss filed by the generator defendants. In early 2025, the plaintiffs filed for mandamus relief in the Texas Supreme Court seeking to overturn the Texas First Court of Appeals. In March 2026, the Texas Supreme Court denied the plaintiffs’ requests. While Talen expects the dismissal ruling to be applied broadly to all Uri cases against Talen’s former subsidiaries, the cases remain pending at this time. If the cases are not dismissed, Talen’s maximum potential damages for claims filed prior to the restructuring are expressly limited by Talen’s plan of reorganization to payments from Talen’s insurers. However, claims filed after the restructuring by plaintiffs who did not receive effective notice of the restructuring, if any, may not be subject to the limitations in the plan. Talen cannot predict the effect of an adverse outcome for any such claims.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Annual Financial Statements for certain other active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Regulatory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the FERC; the DOE; the NRC; the North American Energy Reliability Corporation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PJM Capacity Market Reform.</w:t>
      </w:r>
      <w:r>
        <w:rPr>
          <w:color w:val="000000"/>
        </w:rPr>
        <w:t xml:space="preserve"> </w:t>
      </w:r>
      <w:r>
        <w:rPr>
          <w:rFonts w:ascii="Arial;sans-serif" w:hAnsi="Arial;sans-serif"/>
          <w:b w:val="false"/>
          <w:color w:val="000000"/>
          <w:sz w:val="18"/>
        </w:rPr>
        <w:t>In June 2023, the FERC accepted a request by PJM to delay certain PJM Base Residual Auctions in order for PJM to propose market reforms. In early 2024, the FERC accepted portions of PJM’s proposed market changes and PJM scheduled certain PJM BRAs on a delayed basis. In September 2024, the Sierra Club and other organizations filed a complaint at the FERC challenging PJM’s rules establishing must-offer exceptions for PJM BRA participation by RMR resources.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w:t>
      </w:r>
      <w:r>
        <w:rPr>
          <w:rFonts w:ascii="Arial;sans-serif" w:hAnsi="Arial;sans-serif"/>
          <w:b w:val="false"/>
          <w:color w:val="000000"/>
          <w:sz w:val="18"/>
          <w:shd w:fill="FFFFFF" w:val="clear"/>
        </w:rPr>
        <w:t xml:space="preserve">ent of RMR resources. As a result, in October 2024, PJM formally requested, which the FERC approved, six-month delays to the scheduled PJM BRAs for the 2028/2029 and 2029/2030 PJM Capacity Years to June 2026 and December 2026, respectively. </w:t>
      </w:r>
      <w:r>
        <w:rPr>
          <w:rFonts w:ascii="Arial;sans-serif" w:hAnsi="Arial;sans-serif"/>
          <w:b w:val="false"/>
          <w:color w:val="000000"/>
          <w:sz w:val="18"/>
        </w:rPr>
        <w:t>The 2028/2029 PJM BRA was held in July 2026.</w:t>
      </w:r>
      <w:r>
        <w:rPr>
          <w:color w:val="000000"/>
          <w:shd w:fill="FFFFFF" w:val="clear"/>
        </w:rPr>
        <w:t xml:space="preserve"> </w:t>
      </w:r>
      <w:r>
        <w:rPr>
          <w:rFonts w:ascii="Arial;sans-serif" w:hAnsi="Arial;sans-serif"/>
          <w:b w:val="false"/>
          <w:color w:val="000000"/>
          <w:sz w:val="18"/>
          <w:shd w:fill="FFFFFF" w:val="clear"/>
        </w:rPr>
        <w:t>Currently, the auction for the 2030/2031 PJM Capacity Year in May 2027 is scheduled on a non-delayed basis. Talen can provide no assurance that these or any scheduled PJM BRAs will be held on such dates or at all.</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PJM Capacity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were adopted for the 2026/2027 and 2027/2028 PJM Capacity Years.</w:t>
      </w:r>
    </w:p>
    <w:p>
      <w:pPr>
        <w:pStyle w:val="TextBody"/>
        <w:bidi w:val="0"/>
        <w:spacing w:lineRule="auto" w:line="288" w:before="0" w:after="180"/>
        <w:ind w:left="0" w:right="0" w:firstLine="360"/>
        <w:jc w:val="left"/>
        <w:rPr/>
      </w:pPr>
      <w:r>
        <w:rPr>
          <w:rFonts w:ascii="Arial;sans-serif" w:hAnsi="Arial;sans-serif"/>
          <w:b w:val="false"/>
          <w:color w:val="000000"/>
          <w:sz w:val="18"/>
        </w:rPr>
        <w:t>In December 2024, the Pennsylvania Governor filed a complaint against PJM at the FERC to address alleged elevated costs to consumers from the PJM capacity market in the 2026/2027 and 2027/2028 PJM Capacity Years and proposed, among other things, a lower capacity price cap. As a result of a subsequent agreement between the Commonwealth of Pennsylvania and PJM that resolved the Governor’s complaint, the Governor withdrew the complaint in February 2025. In April 2025, the FERC accepted PJM’s proposals reflecting its agreement with the Com</w:t>
      </w:r>
      <w:r>
        <w:rPr>
          <w:rFonts w:ascii="Arial;sans-serif" w:hAnsi="Arial;sans-serif"/>
          <w:b w:val="false"/>
          <w:color w:val="000000"/>
          <w:sz w:val="18"/>
          <w:shd w:fill="FFFFFF" w:val="clear"/>
        </w:rPr>
        <w:t>monwealth of Pennsylvania. As a result, the PJM BRA imposed a price collar with an approximate minimum and maximum price of $175/MWd and $325/MWd, respectively, which was effective for the 2026/2027 and 2027/2028 PJM BRAs. In April 2026, the FERC approved the extension of the same price collar framework for the 2028/2029 and 2029/2030 PJM Capacity Years.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pStyle w:val="TextBody"/>
        <w:bidi w:val="0"/>
        <w:spacing w:lineRule="auto" w:line="288" w:before="0" w:after="180"/>
        <w:ind w:left="0" w:right="0" w:firstLine="360"/>
        <w:jc w:val="left"/>
        <w:rPr/>
      </w:pPr>
      <w:r>
        <w:rPr>
          <w:rFonts w:ascii="Arial;sans-serif" w:hAnsi="Arial;sans-serif"/>
          <w:b w:val="false"/>
          <w:i/>
          <w:color w:val="000000"/>
          <w:sz w:val="18"/>
        </w:rPr>
        <w:t>Brandon Shores and H.A. Wagner RMR Agreements.</w:t>
      </w:r>
      <w:r>
        <w:rPr>
          <w:color w:val="000000"/>
        </w:rPr>
        <w:t xml:space="preserve"> </w:t>
      </w:r>
      <w:r>
        <w:rPr>
          <w:rFonts w:ascii="Arial;sans-serif" w:hAnsi="Arial;sans-serif"/>
          <w:b w:val="false"/>
          <w:color w:val="000000"/>
          <w:sz w:val="18"/>
        </w:rPr>
        <w:t>In May 2025, the FERC approved each of the Brandon Shores and H.A. Wagner RMR agreements, under which: (i) Talen will operate the generation facilities in accordance with such arrangements from June 1, 2025 through May 31, 2029, or until such time as the necessary third-party transmission upgrades are placed into service; (ii) Brandon Shores will earn annual fixed-cost payments of $145 million ($312/MWd), inclusive of a $5 million per year unit performance “hold back;” (iii) H.A. Wagner will earn annual fixed-cost payments of $35 million ($137/MWd), inclusive of a $2.5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Talen has intervened in that proceeding and plans to participate.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May 2026, PJM formally requested extension of the RMR agreements through May 31, 2031. The extension RMR agreements were filed with the FERC in June 2026 and allow for an increase of annual fixed-cost payments to account for cost-of-living adjustments to wages and additional project investments. The Maryland Office of People's Counsel and the Independent Market Monitor filed protests, and the FERC is expected to make a decision by mid-September.</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Interconnection of Large Loads. </w:t>
      </w:r>
      <w:r>
        <w:rPr>
          <w:rFonts w:ascii="Arial;sans-serif" w:hAnsi="Arial;sans-serif"/>
          <w:b w:val="false"/>
          <w:color w:val="000000"/>
          <w:sz w:val="18"/>
        </w:rPr>
        <w:t>In October 2025, DOE directed the FERC to consider reforms to expedite and facilitate how large loads interconnect to the interstate transmission system. DOE stated that the Federal Power Act permits the FERC to exert jurisdiction over load interconnections even though it has not historically done so. DOE provided a draft advance notice of proposed rulemaking (“ANOPR”) and directed the FERC to initiate rulemaking procedures. In November 2025, the FERC requested public comment on the ANOPR, and the Company provided comments. DOE directed the FERC to take final action by the end of April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August 2025, PJM began an accelerated process known as a Critical Issue Fast Path (“CIFP”) process with stakeholders to address how to integrate large load customers quickly and reliably. The CIFP stakeholders represented a wide range of views about resource allocations, costs, and how the addition of large loads like data centers to PJM should be managed in the context of the capacity market. The Company was an active participant in the CIFP process and submitted a joint proposal amongst itself, Constellation, Calpine, Amazon, Microsoft, and Google representing the group’s collective views on the best approach to large load additions. Neither the joint proposal nor any of the other proposals submitted received broad stakeholder support during voting. Nevertheless, PJM had planned to make a filing at the FERC in January 2026 containing PJM’s ultimate proposal to be in place for the 2028/2029 PJM BRA.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December 2025, however, the FERC issued an order in a show cause proceeding on large loads co-located with generation. The FERC directed PJM to submit an informational report containing, among other items, all of the CIFP proposals. The FERC also found that the PJM tariff was unjust and unreasonable as to the interconnection of co-located loads. The FERC requested tariff revisions be submitted over the next 30-60 days and established a hearing schedule, which began in February 2026, to establish rates, terms, and conditions of several new transmission services.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January 2026, the National Energy Dominance Council (“NEDC”) and the Governors from each of the 13 states in PJM issued a “Statement of Principles” for PJM. Among other things, the statement calls for PJM to conduct a reliability backstop auction for new baseload capacity with 15-year contracts by September 2026. It also urged PJM to extend the existing price collar for the next two BRAs. Hours after the NEDC/Governors’ principles were released, the PJM Board of Managers issued a Board Decisional Letter — the final step in the Large Load Addition CIFP process. The Board’s Decisional Letter adopted specific elements of various proposals, including load forecasting improvements, voluntary bring your own generation paired with an expedited interconnection track, a holistic review in the coming year of investment incentives in PJM’s markets, and immediate initiation of a reliability backstop procurement.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May 2026, PJM published a report examining the causes of the growing capacity shortfall and initiated the holistic market review called for by the PJM Board. PJM is holding a series of meetings to discuss proposed pathways with stakeholders. As with the other PJM stakeholder processes, the Company is participating.</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June 2026, the FERC issued tailored FPA Section 206 Show Cause Orders to each of the RTO/ISOs, including PJM in lieu of a nation-wide rulemaking. Each order asked the RTO to explain or revise its tariff in five key areas: (i) large load interconnection process; (ii) cost allocation; (iii) providing new transmission services for flexible large loads; (iv) behind the meter generation and co-located loads; and (v) developing a process to study generating facilities that serve electrically proximate and co-located loads. PJM has 60 days to respond. Additionally, the order gave PJM 30 days to submit an informational report describing how PJM intends to ensure that adequate generation will be available to serve existing and new large loads.</w:t>
      </w:r>
    </w:p>
    <w:p>
      <w:pPr>
        <w:pStyle w:val="TextBody"/>
        <w:bidi w:val="0"/>
        <w:spacing w:lineRule="auto" w:line="288" w:before="0" w:after="180"/>
        <w:ind w:left="0" w:right="0" w:firstLine="360"/>
        <w:jc w:val="left"/>
        <w:rPr/>
      </w:pPr>
      <w:r>
        <w:rPr>
          <w:rFonts w:ascii="Arial;sans-serif" w:hAnsi="Arial;sans-serif"/>
          <w:b w:val="false"/>
          <w:i/>
          <w:color w:val="000000"/>
          <w:sz w:val="18"/>
        </w:rPr>
        <w:t>PJM Reliability Backstop Procurement.</w:t>
      </w:r>
      <w:r>
        <w:rPr>
          <w:color w:val="000000"/>
        </w:rPr>
        <w:t xml:space="preserve"> </w:t>
      </w:r>
      <w:r>
        <w:rPr>
          <w:rFonts w:ascii="Arial;sans-serif" w:hAnsi="Arial;sans-serif"/>
          <w:b w:val="false"/>
          <w:color w:val="000000"/>
          <w:sz w:val="18"/>
        </w:rPr>
        <w:t>In February 2026, PJM launched a series of workshops to develop a proposal for a reliability backstop procurement, a one-time, transitional procurement of capacity to begin to address the expected future load growth in the PJM region. As with the CIFP process, the Company is actively participating and presented a joint proposal with a cross-sector coalition. In April 2026, PJM staff presented its initial proposal for a two-phase reliability backstop procurement. The first phase, which would run from September 2026 to March 2027, entailed PJM acting as a “matchmaker” for bilateral contracts; the second phase, which would not commence until March 2027, was a centralized procurement. Additional workshops to receive feedback on the proposal and receive alternative proposals were held in May and June 2026. At the end of the process, PJM stakeholders approved an alternative proposed by the Joint Electric Distribution Companies with the Data Center Coalition. This alternative proposal included a backstop procurement based on a voluntary “registry-based subscription model” rather than forecasted demand and a $555/MWd cap. On July 31, 2026, PJM filed its final version of the reliability backstop procurement with the FERC. The final version of the procurement included a one-time pay-as-bid auction based on the recent 2028/2029 base residual auction shortfall of 6.8 GW. The proposal calls for capacity contracts for 15 years with the auction starting in September 2026 with new capacity to go online by 2032. In addition, it contains a maximum bid price that is capped at the volume-weighted average of levelized costs of all selected offers, with that value set at $555/MWd. The proposal is now pending at the FERC.</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PJM also plans to file an “Interim Resource Adequacy Service” proposal, that is designed to address how new data center load connects to the grid.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bookmarkStart w:id="8" w:name="id5871a4d6ffe467e9245f20d028560c6_207392"/>
      <w:bookmarkEnd w:id="8"/>
      <w:r>
        <w:rPr>
          <w:rFonts w:ascii="Arial;sans-serif" w:hAnsi="Arial;sans-serif"/>
          <w:b/>
          <w:i/>
          <w:color w:val="000000"/>
          <w:sz w:val="18"/>
        </w:rPr>
        <w:t>Environmental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for many of these regulations and policies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pStyle w:val="TextBody"/>
        <w:bidi w:val="0"/>
        <w:spacing w:lineRule="auto" w:line="288" w:before="0" w:after="180"/>
        <w:ind w:left="0" w:right="0" w:firstLine="360"/>
        <w:jc w:val="left"/>
        <w:rPr/>
      </w:pPr>
      <w:r>
        <w:rPr>
          <w:rFonts w:ascii="Arial;sans-serif" w:hAnsi="Arial;sans-serif"/>
          <w:b w:val="false"/>
          <w:i/>
          <w:color w:val="000000"/>
          <w:sz w:val="18"/>
        </w:rPr>
        <w:t>EPA CSAPR and Nitrogen Oxides (“NOx”) Requirements.</w:t>
      </w:r>
      <w:r>
        <w:rPr>
          <w:color w:val="000000"/>
        </w:rPr>
        <w:t xml:space="preserve"> </w:t>
      </w:r>
      <w:r>
        <w:rPr>
          <w:rFonts w:ascii="Arial;sans-serif" w:hAnsi="Arial;sans-serif"/>
          <w:b w:val="false"/>
          <w:color w:val="000000"/>
          <w:sz w:val="18"/>
        </w:rPr>
        <w:t>Coal-fired generation facilities, including those in which Talen has ownership, have been the 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and Pennsylvania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w:t>
      </w:r>
      <w:r>
        <w:rPr>
          <w:color w:val="000000"/>
          <w:shd w:fill="FFFFFF" w:val="clear"/>
        </w:rPr>
        <w:t xml:space="preserve"> </w:t>
      </w:r>
      <w:r>
        <w:rPr>
          <w:rFonts w:ascii="Arial;sans-serif" w:hAnsi="Arial;sans-serif"/>
          <w:b w:val="false"/>
          <w:color w:val="000000"/>
          <w:sz w:val="18"/>
          <w:shd w:fill="FFFFFF" w:val="clear"/>
        </w:rPr>
        <w:t>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January 2026, the EPA proposed Phase 1 of its reconsideration of the Good Neighbor Plan. In its proposal, the EPA proposes to approve state implementation plan submissions governing interstate emissions from eight states (Alabama, Arizona, Kentucky, Minnesota, Mississippi, Nevada, New Mexico, and Tennessee). If finalized, these states would no longer be subject to Good Neighbor Plan requirements. Although Talen does not operate in any of the states identified in the proposed rule, the EPA in its proposal states that it intends to undertake a separate action to address interstate transport obligations for the remaining states covered under the Good Neighbor Plan. The comment period on the proposal ended in March 2026. </w:t>
      </w:r>
    </w:p>
    <w:p>
      <w:pPr>
        <w:pStyle w:val="TextBody"/>
        <w:bidi w:val="0"/>
        <w:spacing w:before="0" w:after="0"/>
        <w:jc w:val="left"/>
        <w:rPr/>
      </w:pPr>
      <w:r>
        <w:rPr/>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EPA MATS Rule. </w:t>
      </w:r>
      <w:r>
        <w:rPr>
          <w:rFonts w:ascii="Arial;sans-serif" w:hAnsi="Arial;sans-serif"/>
          <w:b w:val="false"/>
          <w:color w:val="000000"/>
          <w:sz w:val="18"/>
        </w:rPr>
        <w:t>In May 2024, the EPA published a rule that requires coal-fired generation facilities to reduce particulate matter emissions by the middle of 2027 (or 2028, if an extension is approved) (the “2024 EPA MATS Rule”). Challenges to the 2024 EPA MATS Rule were filed in the D.C. Circuit Court of Appeals, including by Talen and 23 states. The appeal on the merits of the 2024 rule remains pending in the D.C. Circuit Court of Appeals, but the litigation has been held in abeyance since February 2025, while the EPA reconsidered the rule. In February 2026, the EPA completed its reconsideration and issued a final rule repealing the lower particulate matter standards set in the 2024 amendments and reverting to particulate matter standards promulgated in the 2012 EPA MATS Rule (the “MATS Repeal Rule”). In March 2026, environmental groups challenged the MATS Repeal Rule in the D.C. Circuit Court of Appeals. Talen filed a motion to intervene in the MATS Repeal Rule litigation in April 2026, which remains pending. The D.C. Circuit Court of Appeals issued an order holding the challenge to the 2024 EPA MATS Rule in abeyance until the litigation over EPA’s MATS Repeal Rule is fully resolved. In April 2026, environmental groups challenging the MATS Repeal Rule also filed an administrative petition requesting that the EPA reconsider the final rule. The petitioners filed a motion requesting that the D.C. Circuit Court of Appeals hold litigation over the MATS Repeal Rule in abeyance for six months to allow the EPA to act on their petition for reconsideration. The motion to hold the case in abeyance remains pending in the D.C. Circuit Court of Appeals. No assurance can be provided as to whether the MATS Repeal Rule will survive judicial challenge and when such challenges will be resolved. Colstrip was not expected to meet the 2024 particulate matter standard without substantial upgrades to its control equipment. As a result, if the MATS Repeal Rule is vacated by a court or reconsidered by the EPA in the future, Talen Montana and the other Colstrip co-owners may face the decision either to invest in new cost-prohibitive control equipment or retire the Colstrip facility. Such a decision must be evaluated in conjunction with other compliance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April 2025, President Trump granted Colstrip a two-year exemption from compliance obligations of the 2024 EPA MATS Rule via Section 112(i)(4) of the Clean Air Act.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Plaintiffs filed a motion asking the court to reconsider its decision to hold the case in abeyance. The U.S. District Court for D.C. denied that motion in November 2025. The D.C. Circuit Court of Appeals granted the EPA’s motion for an abeyance and Talen’s motion to intervene in October 2025. In March 2026, both the U.S. District Court for D.C. and the D.C. Circuit Court of Appeals granted plaintiffs’ motions to hold the case in abeyance until the litigation over the EPA’s MATS Repeal Rule is fully resolved. The Company could be forced to make operating decisions about the future of Colstrip before clarity is obtained on legal challenges regarding the MATS Repeal Rule and the presidential exemption litigation.</w:t>
      </w:r>
    </w:p>
    <w:p>
      <w:pPr>
        <w:pStyle w:val="TextBody"/>
        <w:bidi w:val="0"/>
        <w:spacing w:lineRule="auto" w:line="288" w:before="0" w:after="180"/>
        <w:ind w:left="0" w:right="0" w:firstLine="360"/>
        <w:jc w:val="left"/>
        <w:rPr/>
      </w:pPr>
      <w:r>
        <w:rPr>
          <w:rFonts w:ascii="Arial;sans-serif" w:hAnsi="Arial;sans-serif"/>
          <w:b w:val="false"/>
          <w:i/>
          <w:color w:val="000000"/>
          <w:sz w:val="18"/>
        </w:rPr>
        <w:t>EPA GHG Rule.</w:t>
      </w:r>
      <w:r>
        <w:rPr>
          <w:color w:val="000000"/>
        </w:rPr>
        <w:t xml:space="preserve"> </w:t>
      </w:r>
      <w:r>
        <w:rPr>
          <w:rFonts w:ascii="Arial;sans-serif" w:hAnsi="Arial;sans-serif"/>
          <w:b w:val="false"/>
          <w:color w:val="000000"/>
          <w:sz w:val="18"/>
        </w:rPr>
        <w:t>In May 2024, the EPA published a rule that establishes carbon dioxide limits for new electric generating units (“EGUs”) and greenhouse 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public comment period on the proposal expired in August 2025. No assurance can be provided as to whether the rule will be finalized and whether a final rule will survive judicial challenge.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GHG Endangerment Finding. </w:t>
      </w:r>
      <w:r>
        <w:rPr>
          <w:rFonts w:ascii="Arial;sans-serif" w:hAnsi="Arial;sans-serif"/>
          <w:b w:val="false"/>
          <w:color w:val="000000"/>
          <w:sz w:val="18"/>
        </w:rPr>
        <w:t>In February 2026, the EPA issued a final rule rescinding its 2009 finding that GHG emissions endanger public health and welfare and repealing all GHG emissions standards for light-, medium-, and heavy-duty vehicles and engines. The EPA made the 2009 endangerment finding in order to promulgate GHG emission standards for new motor vehicles under Section 202(a) of the Clean Air Act and has subsequently relied on this finding as a basis to regulate other sources of GHGs. In the final rule, the EPA states it must rescind the endangerment finding because it lacks the statutory authority to regulate GHG emissions from vehicles in response to global climate changes concerns. The EPA does not explicitly state how the rescission impacts its authority to regulate GHG emissions from stationary sources. However, the final rule acknowledges that the EPA has relied on the endangerment finding “to extend the GHG regulatory program to new and existing stationary source performance standards and guidelines for power plants under CAA section 111.” Citizen groups, states, municipalities and cities have challenged the final rule in the D.C. Circuit Court of Appeals. In May 2026, a citizen group representing 18 youth plaintiffs filed a motion requesting that the D.C. Circuit Court of Appeals stay the final rule pending the court’s review. The D.C. Circuit Court of Appeals has not yet ruled on the stay motion. Environmental groups, a coalition of state and local governments, a labor union, and a zero-emission vehicle advocacy group also filed four separate petitions for administrative reconsideration with the EPA. In June 2026, the petitioners notified the EPA that they intended to sue the agency to compel action on their administrative petitions for reconsideration. No assurance can be provided as to whether the rule will survive judicial challenge or administrative reconsideration.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NSPS for Stationary Combustion Turbines. </w:t>
      </w:r>
      <w:r>
        <w:rPr>
          <w:rFonts w:ascii="Arial;sans-serif" w:hAnsi="Arial;sans-serif"/>
          <w:b w:val="false"/>
          <w:color w:val="000000"/>
          <w:sz w:val="18"/>
        </w:rPr>
        <w:t>In January 2026, the EPA finalized a rule revising new source performance standards (“NSPS”) for stationary combustion turbines. The final rule establishes NOx emission standards for various combustion turbine sizes, retains existing SO</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standards and establishes design efficiency subcategories and utilization requirements. The final rule applies to combustion turbines that commenced construction, modification, or reconstruction after December 13, 2024. As a result, the rule could impact certain, newer generating assets of the Company or development projects. In March 2026, environmental groups challenged the final rule in the D.C. Circuit Court of Appeals and separately filed with the EPA a petition for administrative reconsideration. In May 2026, petitioners requested that the D.C. Circuit Court of Appeals hold the case in abeyance to provide the EPA additional time to take action on their pending reconsideration petition. Talen is a member of an ad hoc industry coalition that filed a motion to intervene in the case in April 2026. The D.C. Circuit Court of Appeals granted the coalition’s motion to intervene in May 2026, and the EPA’s motion to hold the case in abeyance in July 2026. No assurance can be provided as to when the challenges to the final NSPS will be resolved or whether such challenges will be resolved in the Company’s favor.</w:t>
      </w:r>
    </w:p>
    <w:p>
      <w:pPr>
        <w:pStyle w:val="TextBody"/>
        <w:bidi w:val="0"/>
        <w:spacing w:lineRule="auto" w:line="288" w:before="0" w:after="180"/>
        <w:ind w:left="0" w:right="0" w:firstLine="360"/>
        <w:jc w:val="left"/>
        <w:rPr/>
      </w:pPr>
      <w:r>
        <w:rPr>
          <w:rFonts w:ascii="Arial;sans-serif" w:hAnsi="Arial;sans-serif"/>
          <w:b w:val="false"/>
          <w:i/>
          <w:color w:val="000000"/>
          <w:sz w:val="18"/>
        </w:rPr>
        <w:t>Pennsylvania RGGI.</w:t>
      </w:r>
      <w:r>
        <w:rPr>
          <w:color w:val="000000"/>
        </w:rPr>
        <w:t xml:space="preserve"> </w:t>
      </w:r>
      <w:r>
        <w:rPr>
          <w:rFonts w:ascii="Arial;sans-serif" w:hAnsi="Arial;sans-serif"/>
          <w:b w:val="false"/>
          <w:color w:val="000000"/>
          <w:sz w:val="18"/>
        </w:rPr>
        <w:t xml:space="preserve">In October 2019, the then-Governor of Pennsylvania signed an executive order directing the Pennsylvania Department of 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In November 2025, the Pennsylvania legislature passed a budget that included provisions requiring Pennsylvania to withdraw from RGGI. As a result, the PADEP filed an application to the Pennsylvania Supreme Court requesting to discontinue its appeal. The Pennsylvania Supreme Court granted the application and dismissed the case in January 2026. </w:t>
      </w:r>
    </w:p>
    <w:p>
      <w:pPr>
        <w:pStyle w:val="TextBody"/>
        <w:bidi w:val="0"/>
        <w:spacing w:lineRule="auto" w:line="288" w:before="0" w:after="180"/>
        <w:ind w:left="0" w:right="0" w:firstLine="360"/>
        <w:jc w:val="left"/>
        <w:rPr/>
      </w:pPr>
      <w:r>
        <w:rPr>
          <w:rFonts w:ascii="Arial;sans-serif" w:hAnsi="Arial;sans-serif"/>
          <w:b w:val="false"/>
          <w:i/>
          <w:color w:val="000000"/>
          <w:sz w:val="18"/>
        </w:rPr>
        <w:t>EPA ELG Rule.</w:t>
      </w:r>
      <w:r>
        <w:rPr>
          <w:color w:val="000000"/>
        </w:rPr>
        <w:t xml:space="preserve"> </w:t>
      </w:r>
      <w:r>
        <w:rPr>
          <w:rFonts w:ascii="Arial;sans-serif" w:hAnsi="Arial;sans-serif"/>
          <w:b w:val="false"/>
          <w:color w:val="000000"/>
          <w:sz w:val="18"/>
        </w:rPr>
        <w:t xml:space="preserve">In November 2015, the EPA revised the effluent limitation guidelines (“ELGs”) for certain power generation facilities, which imposed 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 </w:t>
      </w:r>
    </w:p>
    <w:p>
      <w:pPr>
        <w:pStyle w:val="TextBody"/>
        <w:bidi w:val="0"/>
        <w:spacing w:lineRule="auto" w:line="288" w:before="0" w:after="180"/>
        <w:ind w:left="0" w:right="0" w:firstLine="360"/>
        <w:jc w:val="left"/>
        <w:rPr/>
      </w:pPr>
      <w:r>
        <w:rPr>
          <w:rFonts w:ascii="Arial;sans-serif" w:hAnsi="Arial;sans-serif"/>
          <w:b w:val="false"/>
          <w:color w:val="000000"/>
          <w:sz w:val="18"/>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which denied requests to stay the rule in October 2024</w:t>
      </w:r>
      <w:r>
        <w:rPr>
          <w:rFonts w:ascii="Arial;sans-serif" w:hAnsi="Arial;sans-serif"/>
          <w:b w:val="false"/>
          <w:color w:val="000000"/>
          <w:sz w:val="18"/>
          <w:shd w:fill="FFFFFF" w:val="clear"/>
        </w:rPr>
        <w:t>. At the EPA’s request, the Eighth Circuit has held the consolidated challenges in abeyance since February 2025 to allow the EPA to reconsider the rule. No assurance can be provided as to when the challenges to the 2024 EPA ELG Rule will be resolved.</w:t>
      </w:r>
    </w:p>
    <w:p>
      <w:pPr>
        <w:pStyle w:val="TextBody"/>
        <w:bidi w:val="0"/>
        <w:spacing w:lineRule="auto" w:line="268" w:before="0" w:after="0"/>
        <w:ind w:left="0" w:right="0" w:firstLine="720"/>
        <w:jc w:val="left"/>
        <w:rPr/>
      </w:pPr>
      <w:r>
        <w:rPr>
          <w:rFonts w:ascii="Arial;sans-serif" w:hAnsi="Arial;sans-serif"/>
          <w:b w:val="false"/>
          <w:color w:val="000000"/>
          <w:sz w:val="18"/>
          <w:shd w:fill="FFFFFF" w:val="clear"/>
        </w:rPr>
        <w:t>In March 2025, the EPA announced that it will revise the EPA ELG Rule as part of its deregulation agenda while considering immediate relief from some of the existing leachate requirements.</w:t>
      </w:r>
      <w:r>
        <w:rPr>
          <w:color w:val="000000"/>
        </w:rPr>
        <w:t xml:space="preserve"> </w:t>
      </w:r>
      <w:r>
        <w:rPr>
          <w:rFonts w:ascii="Arial;sans-serif" w:hAnsi="Arial;sans-serif"/>
          <w:b w:val="false"/>
          <w:color w:val="000000"/>
          <w:sz w:val="18"/>
        </w:rPr>
        <w:t>In September 2025, the EPA issued a direct final rule extending a short-term deadline and a companion proposal extending many compliance deadlines for the 2024 EPA ELG Rule and providing some flexibility relating to some deadlines in the 2020 ELG Rule. In November 2025, the EPA issued a notice withdrawing the direct final rule due to the receipt of adverse comments. The EPA finalized its proposal in December 2025. Among other things, the final rule extends zero-discharge compliance deadlines established in the 2024 EPA ELG Rule by five years from December 31, 2029 to December 31, 2034. The extension rule has been legally challenged by environmental groups. These challenges have been consolidated in the U.S. Court of Appeals for the Second Circuit. In March 2026, the court granted UWAG’s motion to intervene in the consolidated litigation. In May 2026, the EPA issued a separate proposal to revise the 2024 ELG for unmanaged combustion residual leachate (“UCRL”). In the proposed rule, the EPA outlines three proposed regulatory options to address UCRL, proposes new provisions to clarify the applicability of UCRL limits, and seeks additional information to inform further potential revisions to the 2024 EPA ELG Rule. Talen submitted comments on the proposal in June 2026. The comment period for the proposal ended on June 17, 2026. No assurance can be provided as to whether the EPA will finalize changes to the EPA ELG Rule and whether any changes will survive judicial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EPA CCR Rule.</w:t>
      </w:r>
      <w:r>
        <w:rPr>
          <w:color w:val="000000"/>
        </w:rPr>
        <w:t xml:space="preserve"> </w:t>
      </w:r>
      <w:r>
        <w:rPr>
          <w:rFonts w:ascii="Arial;sans-serif" w:hAnsi="Arial;sans-serif"/>
          <w:b w:val="false"/>
          <w:color w:val="000000"/>
          <w:sz w:val="18"/>
        </w:rPr>
        <w:t xml:space="preserve">In April 2015, the EPA established regulations under the RCRA to identify CCRs as nonhazardous solid waste and provided CCR 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March 2025, the EPA announced that it will prioritize the coal ash program by expediting state permit reviews. The EPA has also announced it will reform the EPA CCR Rule and provided in the Legacy CCR Rule litigation proceeding that EPA CCR Rule reforms will be completed in 2026. As an initial reform step, in February 2026, the EPA issued a final rule extending compliance deadlines for elements in the Legacy CCR Rule, including required applicability assessments, the initiation of new groundwater monitoring detection, and the initiation of unit closure. In April 2026, the EPA issued a proposal to amend various provisions in the CCR regulations. Among other things, the EPA proposes to rescind all requirements for CCRMUs, restore the categorical exemption for onsite beneficial use of CCR, and allow for site-specific flexibilities for closures of CCR units through a CCR permitting program. The comment deadline for the CCR proposal was June 29, 2026. Talen submitted comments in support of the EPA’s proposed amendments to the CCR regulations. In May 2026, the EPA also reopened the comment period for its 2020 proposal to establish a federal permit program for the disposal of CCR. The EPA accepted comments on the proposed rule until July 29, 2026. No assurance can be provided as to when and how federal CCR regulations will change further, when the legal challenges to the Legacy CCR Rule will be resolved, how the EPA’s interpretations or further EPA CCR Rule reforms will be resolved, or whether such challenges will be decided in the Company’s favor.</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 continues to review the Legacy CCR Rule provisions that went into effect in 2024, perform the required applicability assessments, and await additional EPA CCR Rule reforms. As a result of the EPA’s February 2026 CCRMU Extension Rule, initial facility evaluation reports to identify CCR areas which may become regulated and subject to the rule’s requirements are now due in February 2027. Following that, site investigation may be required to further investigate applicability, and a subsequent facility report is due in February 2028. The Company has initiated reviews under the facility evaluation report requirements at locations with ash impoundments that have long since ceased coal operations as well as at locations with current coal operations to meet these deadlines. No assurance can be provided as to whether any specific ash impoundments owned by the Company may or may not be within scope of the updated Legacy CCR Rule until the Company completes its assessments within the regulatory timeframe.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Certain Resolved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Annual Financial Statements for certain legal matters previously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Guarantees and Other Assurances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Surety Bonds.</w:t>
      </w:r>
      <w:r>
        <w:rPr>
          <w:color w:val="000000"/>
        </w:rPr>
        <w:t xml:space="preserve"> </w:t>
      </w:r>
      <w:r>
        <w:rPr>
          <w:rFonts w:ascii="Arial;sans-serif" w:hAnsi="Arial;sans-serif"/>
          <w:b w:val="false"/>
          <w:color w:val="000000"/>
          <w:sz w:val="18"/>
        </w:rPr>
        <w:t xml:space="preserve">Surety bonds provide financial performance assurance to third parties on behalf of certain Company subsidiaries for obligations including 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June 30, 2026 and December 31, 2025, the aggregate amount of surety bonds outstanding was $221 million and </w:t>
      </w:r>
      <w:r>
        <w:rPr>
          <w:rFonts w:ascii="Arial;sans-serif" w:hAnsi="Arial;sans-serif"/>
          <w:b w:val="false"/>
          <w:color w:val="000000"/>
          <w:sz w:val="18"/>
          <w:shd w:fill="FFFFFF" w:val="clear"/>
        </w:rPr>
        <w:t xml:space="preserve">$228 million, </w:t>
      </w:r>
      <w:r>
        <w:rPr>
          <w:rFonts w:ascii="Arial;sans-serif" w:hAnsi="Arial;sans-serif"/>
          <w:b w:val="false"/>
          <w:color w:val="000000"/>
          <w:sz w:val="18"/>
        </w:rPr>
        <w:t>respectively, including surety bonds posted on behalf of Talen Montana as discussed below.</w:t>
      </w:r>
    </w:p>
    <w:p>
      <w:pPr>
        <w:pStyle w:val="TextBody"/>
        <w:bidi w:val="0"/>
        <w:spacing w:lineRule="auto" w:line="288" w:before="0" w:after="180"/>
        <w:ind w:left="0" w:right="0" w:firstLine="360"/>
        <w:jc w:val="left"/>
        <w:rPr/>
      </w:pPr>
      <w:r>
        <w:rPr>
          <w:rFonts w:ascii="Arial;sans-serif" w:hAnsi="Arial;sans-serif"/>
          <w:b w:val="false"/>
          <w:i/>
          <w:color w:val="000000"/>
          <w:sz w:val="18"/>
        </w:rPr>
        <w:t>Talen Montana Financial Assurance.</w:t>
      </w:r>
      <w:r>
        <w:rPr>
          <w:color w:val="000000"/>
        </w:rPr>
        <w:t xml:space="preserve"> </w:t>
      </w:r>
      <w:r>
        <w:rPr>
          <w:rFonts w:ascii="Arial;sans-serif" w:hAnsi="Arial;sans-serif"/>
          <w:b w:val="false"/>
          <w:color w:val="000000"/>
          <w:sz w:val="18"/>
        </w:rPr>
        <w:t xml:space="preserve">Pursuant to the Colstrip Administrative Order on Consent (the “Colstrip AOC”), Talen Montana, in its capacity as 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 </w:t>
      </w:r>
    </w:p>
    <w:p>
      <w:pPr>
        <w:pStyle w:val="TextBody"/>
        <w:bidi w:val="0"/>
        <w:spacing w:lineRule="auto" w:line="288" w:before="0" w:after="180"/>
        <w:ind w:left="0" w:right="0" w:firstLine="360"/>
        <w:jc w:val="left"/>
        <w:rPr/>
      </w:pPr>
      <w:r>
        <w:rPr>
          <w:rFonts w:ascii="Arial;sans-serif" w:hAnsi="Arial;sans-serif"/>
          <w:b w:val="false"/>
          <w:color w:val="000000"/>
          <w:sz w:val="18"/>
        </w:rPr>
        <w:t>The aggregate amount of surety bonds posted to the MDEQ on behalf of Talen Montana’s proportionate share of such activities wa</w:t>
      </w:r>
      <w:r>
        <w:rPr>
          <w:rFonts w:ascii="Arial;sans-serif" w:hAnsi="Arial;sans-serif"/>
          <w:b w:val="false"/>
          <w:color w:val="000000"/>
          <w:sz w:val="18"/>
          <w:shd w:fill="FFFFFF" w:val="clear"/>
        </w:rPr>
        <w:t xml:space="preserve">s </w:t>
      </w:r>
      <w:r>
        <w:rPr>
          <w:rFonts w:ascii="Arial;sans-serif" w:hAnsi="Arial;sans-serif"/>
          <w:b w:val="false"/>
          <w:color w:val="000000"/>
          <w:sz w:val="18"/>
        </w:rPr>
        <w:t xml:space="preserve">$103 million and </w:t>
      </w:r>
      <w:r>
        <w:rPr>
          <w:rFonts w:ascii="Arial;sans-serif" w:hAnsi="Arial;sans-serif"/>
          <w:b w:val="false"/>
          <w:color w:val="000000"/>
          <w:sz w:val="18"/>
          <w:shd w:fill="FFFFFF" w:val="clear"/>
        </w:rPr>
        <w:t xml:space="preserve">$114 million </w:t>
      </w:r>
      <w:r>
        <w:rPr>
          <w:rFonts w:ascii="Arial;sans-serif" w:hAnsi="Arial;sans-serif"/>
          <w:b w:val="false"/>
          <w:color w:val="000000"/>
          <w:sz w:val="18"/>
        </w:rPr>
        <w:t>as of June 30, 2026 and December 31, 2025,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10. Long-Term Debt and Other Credit Facilities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is the borrower/issuer under all the Company’s debt and credit facilities. As of June 30, 2026, TES was not in default under any of its debt or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Long-Term Debt </w:t>
      </w:r>
    </w:p>
    <w:tbl>
      <w:tblPr>
        <w:tblW w:w="9520" w:type="dxa"/>
        <w:jc w:val="left"/>
        <w:tblInd w:w="0" w:type="dxa"/>
        <w:tblLayout w:type="fixed"/>
        <w:tblCellMar>
          <w:top w:w="28" w:type="dxa"/>
          <w:left w:w="28" w:type="dxa"/>
          <w:bottom w:w="28" w:type="dxa"/>
          <w:right w:w="28" w:type="dxa"/>
        </w:tblCellMar>
      </w:tblPr>
      <w:tblGrid>
        <w:gridCol w:w="1871"/>
        <w:gridCol w:w="1646"/>
        <w:gridCol w:w="1657"/>
        <w:gridCol w:w="109"/>
        <w:gridCol w:w="109"/>
        <w:gridCol w:w="109"/>
        <w:gridCol w:w="424"/>
        <w:gridCol w:w="424"/>
        <w:gridCol w:w="426"/>
        <w:gridCol w:w="109"/>
        <w:gridCol w:w="109"/>
        <w:gridCol w:w="109"/>
        <w:gridCol w:w="196"/>
        <w:gridCol w:w="571"/>
        <w:gridCol w:w="109"/>
        <w:gridCol w:w="109"/>
        <w:gridCol w:w="109"/>
        <w:gridCol w:w="109"/>
        <w:gridCol w:w="258"/>
        <w:gridCol w:w="753"/>
        <w:gridCol w:w="204"/>
      </w:tblGrid>
      <w:tr>
        <w:trPr/>
        <w:tc>
          <w:tcPr>
            <w:tcW w:w="187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Rate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TLB-1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5.39 %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5.64 %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 Unsecured Notes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2033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2034 Unsecured Notes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6.250 %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2036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2009B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2009C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principal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9,696</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6,911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deferred financing costs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carrying value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9,572</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Long-term debt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9,543</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6,782</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(a)Computed interest rate as of June 30, 2026, except the interest rate related to the Secured Notes which were redeemed in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9" w:name="i04f7ebc493b64d8c95d9e4704119341f_16612"/>
      <w:bookmarkEnd w:id="9"/>
      <w:r>
        <w:rPr>
          <w:rFonts w:ascii="Arial;sans-serif" w:hAnsi="Arial;sans-serif"/>
          <w:b/>
          <w:i/>
          <w:color w:val="000000"/>
          <w:sz w:val="18"/>
        </w:rPr>
        <w:t>Revolving Credit and Other Facilities</w:t>
      </w:r>
    </w:p>
    <w:tbl>
      <w:tblPr>
        <w:tblW w:w="12218" w:type="dxa"/>
        <w:jc w:val="left"/>
        <w:tblInd w:w="0" w:type="dxa"/>
        <w:tblLayout w:type="fixed"/>
        <w:tblCellMar>
          <w:top w:w="28" w:type="dxa"/>
          <w:left w:w="28" w:type="dxa"/>
          <w:bottom w:w="28" w:type="dxa"/>
          <w:right w:w="28" w:type="dxa"/>
        </w:tblCellMar>
      </w:tblPr>
      <w:tblGrid>
        <w:gridCol w:w="189"/>
        <w:gridCol w:w="167"/>
        <w:gridCol w:w="170"/>
        <w:gridCol w:w="109"/>
        <w:gridCol w:w="109"/>
        <w:gridCol w:w="109"/>
        <w:gridCol w:w="289"/>
        <w:gridCol w:w="289"/>
        <w:gridCol w:w="293"/>
        <w:gridCol w:w="109"/>
        <w:gridCol w:w="109"/>
        <w:gridCol w:w="109"/>
        <w:gridCol w:w="221"/>
        <w:gridCol w:w="645"/>
        <w:gridCol w:w="125"/>
        <w:gridCol w:w="109"/>
        <w:gridCol w:w="109"/>
        <w:gridCol w:w="109"/>
        <w:gridCol w:w="285"/>
        <w:gridCol w:w="591"/>
        <w:gridCol w:w="160"/>
        <w:gridCol w:w="109"/>
        <w:gridCol w:w="109"/>
        <w:gridCol w:w="109"/>
        <w:gridCol w:w="196"/>
        <w:gridCol w:w="436"/>
        <w:gridCol w:w="109"/>
        <w:gridCol w:w="109"/>
        <w:gridCol w:w="109"/>
        <w:gridCol w:w="109"/>
        <w:gridCol w:w="196"/>
        <w:gridCol w:w="571"/>
        <w:gridCol w:w="109"/>
        <w:gridCol w:w="109"/>
        <w:gridCol w:w="109"/>
        <w:gridCol w:w="109"/>
        <w:gridCol w:w="221"/>
        <w:gridCol w:w="645"/>
        <w:gridCol w:w="125"/>
        <w:gridCol w:w="109"/>
        <w:gridCol w:w="109"/>
        <w:gridCol w:w="109"/>
        <w:gridCol w:w="285"/>
        <w:gridCol w:w="591"/>
        <w:gridCol w:w="160"/>
        <w:gridCol w:w="109"/>
        <w:gridCol w:w="109"/>
        <w:gridCol w:w="109"/>
        <w:gridCol w:w="196"/>
        <w:gridCol w:w="436"/>
        <w:gridCol w:w="109"/>
        <w:gridCol w:w="109"/>
        <w:gridCol w:w="109"/>
        <w:gridCol w:w="109"/>
        <w:gridCol w:w="196"/>
        <w:gridCol w:w="571"/>
        <w:gridCol w:w="109"/>
        <w:gridCol w:w="109"/>
        <w:gridCol w:w="10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590" w:type="dxa"/>
            <w:gridSpan w:val="5"/>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Committed Capacity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Committed Capacity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2,850</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2,000</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1,552</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 Direct cash borrowings are not permitted under the LCF, which can only be used for LCs.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second quarter 2026, TES entered into various amendments to the Credit Agreement.</w:t>
      </w:r>
    </w:p>
    <w:p>
      <w:pPr>
        <w:pStyle w:val="TextBody"/>
        <w:bidi w:val="0"/>
        <w:spacing w:lineRule="auto" w:line="288" w:before="0" w:after="180"/>
        <w:ind w:left="0" w:right="0" w:firstLine="360"/>
        <w:jc w:val="left"/>
        <w:rPr/>
      </w:pPr>
      <w:r>
        <w:rPr>
          <w:rFonts w:ascii="Arial;sans-serif" w:hAnsi="Arial;sans-serif"/>
          <w:b w:val="false"/>
          <w:i/>
          <w:color w:val="000000"/>
          <w:sz w:val="18"/>
        </w:rPr>
        <w:t>Repricing Transactions.</w:t>
      </w:r>
      <w:r>
        <w:rPr>
          <w:color w:val="000000"/>
        </w:rPr>
        <w:t xml:space="preserve"> </w:t>
      </w:r>
      <w:r>
        <w:rPr>
          <w:rFonts w:ascii="Arial;sans-serif" w:hAnsi="Arial;sans-serif"/>
          <w:b w:val="false"/>
          <w:color w:val="000000"/>
          <w:sz w:val="18"/>
        </w:rPr>
        <w:t>In May 2026, TES repriced the RCF, TLB-1 and TLB-2 to each bear interest at: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 variable interest rate equal to the highest of: (i) the Federal Funds Effective Rate on such day plus 0.50%; (ii) The Wall Street Journal “U.S. Prime Rate;” or (iii) the one-month Adjusted Term SOFR Rate plus 1%; plus in each case, an applicable margin (0.50% with respect to the RCF and 0.75% with respect to the TLB-1 and TLB-2); 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Adjusted Term SOFR Rate, plus an applicable margin (1.50% with respect to the RCF and 1.75% with respect to the TLB-1 and TLB-2).</w:t>
      </w:r>
    </w:p>
    <w:p>
      <w:pPr>
        <w:pStyle w:val="TextBody"/>
        <w:bidi w:val="0"/>
        <w:spacing w:lineRule="auto" w:line="288" w:before="0" w:after="180"/>
        <w:ind w:left="0" w:right="0" w:firstLine="360"/>
        <w:jc w:val="left"/>
        <w:rPr>
          <w:rFonts w:ascii="Arial;sans-serif" w:hAnsi="Arial;sans-serif"/>
          <w:b w:val="false"/>
          <w:i/>
          <w:color w:val="000000"/>
          <w:sz w:val="18"/>
        </w:rPr>
      </w:pPr>
      <w:r>
        <w:rPr>
          <w:rFonts w:ascii="Arial;sans-serif" w:hAnsi="Arial;sans-serif"/>
          <w:b w:val="false"/>
          <w:i/>
          <w:color w:val="000000"/>
          <w:sz w:val="18"/>
        </w:rPr>
        <w:t>Upsizes and Extensions.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In June 2026, in connection with the closing of the Cornerstone Acquisition, TES (i) upsized the existing RCF (including its revolving LC capacity) from $900 million to $1.35 billion; and (ii) upsized its existing $1.1 billion LCF to $1.5 billion and extended its maturity from December 2027 to December 2029.</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In May 2026, TES extended its TLB-1 maturity from May 2030 to November 2032. In connection with the TLB-1 extension, approximately $18 million is presented as “Interest expense and other finance charges” on the Consolidated Statement of Operations primarily consisting of the derecognition of TLB-1 capitalized original issuance discount and deferred financing costs.</w:t>
      </w:r>
    </w:p>
    <w:p>
      <w:pPr>
        <w:pStyle w:val="TextBody"/>
        <w:bidi w:val="0"/>
        <w:spacing w:lineRule="auto" w:line="288" w:before="0" w:after="180"/>
        <w:ind w:left="0" w:right="0" w:firstLine="360"/>
        <w:jc w:val="left"/>
        <w:rPr/>
      </w:pPr>
      <w:r>
        <w:rPr>
          <w:rFonts w:ascii="Arial;sans-serif" w:hAnsi="Arial;sans-serif"/>
          <w:b w:val="false"/>
          <w:i/>
          <w:color w:val="000000"/>
          <w:sz w:val="18"/>
        </w:rPr>
        <w:t>Unsecured Notes due 2031 and 2033.</w:t>
      </w:r>
      <w:r>
        <w:rPr>
          <w:color w:val="000000"/>
        </w:rPr>
        <w:t xml:space="preserve"> </w:t>
      </w:r>
      <w:r>
        <w:rPr>
          <w:rFonts w:ascii="Arial;sans-serif" w:hAnsi="Arial;sans-serif"/>
          <w:b w:val="false"/>
          <w:color w:val="000000"/>
          <w:sz w:val="18"/>
        </w:rPr>
        <w:t>In April 2026, TES issued in private placement transactions not involving a public offering, and each at par: (i) $1.5 billion in aggregate principal amount of 6.125% Senior Unsecured Notes due 2031, with interest payable on May 1 and November 1 of each year; and (ii) $2.5 billion in aggregate principal amount of 6.375% Senior Unsecured Notes due 2033, with interest payable on May 1 and November 1 of each year. The net proceeds from the issuance and sale of the Unsecured Notes due 2031 and 2033 were used to (i) fund the cash portion of the Cornerstone Acquisition; and (ii) redeem the Company’s outstanding Secured Notes.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in June 2026, in connection with the closing of the Cornerstone Acquisition, TES entered into (i) First Supplemental Indentures to each of the indentures governing the Unsecured Notes due 2031 and 2033; and (ii) Second Supplemental Indentures to each of the indentures governing the Unsecured Notes due 2034 and 2036, in each case, to add the entities acquired or formed in connection with the Cornerstone Acquisition as subsidiary guarantors to each series of Unsecured Notes, respectively.</w:t>
      </w:r>
    </w:p>
    <w:p>
      <w:pPr>
        <w:pStyle w:val="TextBody"/>
        <w:bidi w:val="0"/>
        <w:spacing w:lineRule="auto" w:line="288" w:before="0" w:after="180"/>
        <w:ind w:left="0" w:right="0" w:firstLine="36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April 2026, TES redeemed in full the Company’s outstanding Secured Notes in aggregate principal amount of $1.2 billion, using a portion of the net proceeds from the issuance and sale of the Unsecured Notes due 2031 and 2033. In connection with the redemption, approximately $60 million is presented as “Interest expense and other finance charges” on the Consolidated Statement of Operations primarily consisting of a make-whole payments and the derecognition of capitalized deferred financing costs.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17 for additional information on the Cornerstone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Other Material Terms; Security Interests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$892 million under Secured ISDAs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11. Fair Value</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Recurring Fair Value Measurements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Financial assets and liabilities reported at fair value on a recurring basis primarily include energy commodity derivatives, interest rate derivatives, and investments held within the NDT. See Note 1 to the Annual Financial Statements for additional descriptions on fair value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classifications of recurring fair value measurements within the fair value hierarchy were:</w:t>
      </w:r>
    </w:p>
    <w:tbl>
      <w:tblPr>
        <w:tblW w:w="12722" w:type="dxa"/>
        <w:jc w:val="left"/>
        <w:tblInd w:w="0" w:type="dxa"/>
        <w:tblLayout w:type="fixed"/>
        <w:tblCellMar>
          <w:top w:w="28" w:type="dxa"/>
          <w:left w:w="28" w:type="dxa"/>
          <w:bottom w:w="28" w:type="dxa"/>
          <w:right w:w="28" w:type="dxa"/>
        </w:tblCellMar>
      </w:tblPr>
      <w:tblGrid>
        <w:gridCol w:w="417"/>
        <w:gridCol w:w="300"/>
        <w:gridCol w:w="304"/>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securities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(893)</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(396)</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(972)</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723</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(a)Amounts represent netting pursuant to master netting arrangements and cash collateral held or placed with the same counterparty.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fixed income funds and real estate investment trusts.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(c)Represents: (i) interest and dividends earned but not received; and (ii) net sold or purchased investments, but not settled.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were no recurring fair value measurements classified as Level 3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Nonrecurring Fair Value Measurements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were no nonrecurring fair value measurements related to impairments of long-lived assets during the three and six months ended June 30, 2026 and 2025. See Note 17 to the Interim Financial Statements for fair value measurements related to the Cornerstone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Reported Fair Value</w:t>
      </w:r>
    </w:p>
    <w:p>
      <w:pPr>
        <w:pStyle w:val="TextBody"/>
        <w:bidi w:val="0"/>
        <w:spacing w:lineRule="auto" w:line="288" w:before="0" w:after="180"/>
        <w:ind w:left="0" w:right="0" w:firstLine="360"/>
        <w:jc w:val="left"/>
        <w:rPr/>
      </w:pPr>
      <w:r>
        <w:rPr>
          <w:rFonts w:ascii="Arial;sans-serif" w:hAnsi="Arial;sans-serif"/>
          <w:b w:val="false"/>
          <w:color w:val="000000"/>
          <w:sz w:val="18"/>
        </w:rPr>
        <w:t>The carrying value of certain financial assets and liabilities on the Consolidated Balance Sheets, including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Restricted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Accounts receivable</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and “Accounts payable and other accrued liabilities” approximate fair value.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carrying value and fair value (classified as Level 2) of indebtedness presented on the Consolidated Balance Sheets were:</w:t>
      </w:r>
    </w:p>
    <w:tbl>
      <w:tblPr>
        <w:tblW w:w="705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287"/>
        <w:gridCol w:w="814"/>
        <w:gridCol w:w="159"/>
        <w:gridCol w:w="109"/>
        <w:gridCol w:w="109"/>
        <w:gridCol w:w="109"/>
        <w:gridCol w:w="201"/>
        <w:gridCol w:w="572"/>
        <w:gridCol w:w="112"/>
        <w:gridCol w:w="109"/>
        <w:gridCol w:w="109"/>
        <w:gridCol w:w="109"/>
        <w:gridCol w:w="287"/>
        <w:gridCol w:w="814"/>
        <w:gridCol w:w="159"/>
        <w:gridCol w:w="109"/>
        <w:gridCol w:w="109"/>
        <w:gridCol w:w="109"/>
        <w:gridCol w:w="201"/>
        <w:gridCol w:w="571"/>
        <w:gridCol w:w="158"/>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w:t>
            </w:r>
            <w:r>
              <w:rPr>
                <w:color w:val="000000"/>
              </w:rPr>
              <w:t xml:space="preserv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9,572 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9,688 </w:t>
            </w:r>
          </w:p>
        </w:tc>
        <w:tc>
          <w:tcPr>
            <w:tcW w:w="11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7,069 </w:t>
            </w:r>
          </w:p>
        </w:tc>
        <w:tc>
          <w:tcPr>
            <w:tcW w:w="15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(a)Aggregate value of “Long-term debt” and “Long-term debt, due within one year” presented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12. Postretirement Benefit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and certain subsidiaries sponsor postemployment benefits which include defined benefit pension plans, health and welfare postretirement plans (other postretirement benefit plans), and a defined contribution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components of net periodic benefit costs for the periods were:</w:t>
      </w:r>
    </w:p>
    <w:tbl>
      <w:tblPr>
        <w:tblW w:w="9119" w:type="dxa"/>
        <w:jc w:val="left"/>
        <w:tblInd w:w="0" w:type="dxa"/>
        <w:tblLayout w:type="fixed"/>
        <w:tblCellMar>
          <w:top w:w="28" w:type="dxa"/>
          <w:left w:w="28" w:type="dxa"/>
          <w:bottom w:w="28" w:type="dxa"/>
          <w:right w:w="28" w:type="dxa"/>
        </w:tblCellMar>
      </w:tblPr>
      <w:tblGrid>
        <w:gridCol w:w="1207"/>
        <w:gridCol w:w="1060"/>
        <w:gridCol w:w="1062"/>
        <w:gridCol w:w="109"/>
        <w:gridCol w:w="109"/>
        <w:gridCol w:w="109"/>
        <w:gridCol w:w="282"/>
        <w:gridCol w:w="585"/>
        <w:gridCol w:w="157"/>
        <w:gridCol w:w="157"/>
        <w:gridCol w:w="157"/>
        <w:gridCol w:w="157"/>
        <w:gridCol w:w="282"/>
        <w:gridCol w:w="585"/>
        <w:gridCol w:w="157"/>
        <w:gridCol w:w="109"/>
        <w:gridCol w:w="109"/>
        <w:gridCol w:w="109"/>
        <w:gridCol w:w="275"/>
        <w:gridCol w:w="465"/>
        <w:gridCol w:w="153"/>
        <w:gridCol w:w="153"/>
        <w:gridCol w:w="153"/>
        <w:gridCol w:w="153"/>
        <w:gridCol w:w="275"/>
        <w:gridCol w:w="465"/>
        <w:gridCol w:w="153"/>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Postretirement benefits service cost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Postretirement benefit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Amortization of: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Postretirement benefit (gain) loss, net </w:t>
            </w:r>
            <w:r>
              <w:rPr>
                <w:rFonts w:ascii="Arial;sans-serif" w:hAnsi="Arial;sans-serif"/>
                <w:b/>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(a)Activity presented as “Operation, maintenance and development” on the Consolidated Statements of Operations.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(b)Activity presented as “Other non-operating income (expense),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Talen Montana Pension Plan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Talen Montana defined benefit pension plan was frozen as of April 30, 2026, and participants ceased accruing additional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13. Stock-Based Compensation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10" w:name="ifce90643c8b14d75b50fc70b0d41525a_3596"/>
      <w:bookmarkEnd w:id="10"/>
      <w:r>
        <w:rPr>
          <w:rFonts w:ascii="Arial;sans-serif" w:hAnsi="Arial;sans-serif"/>
          <w:b/>
          <w:i/>
          <w:color w:val="000000"/>
          <w:sz w:val="18"/>
        </w:rPr>
        <w:t>Performance Stock Units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PSUs have two or three-year cliff vesting schedules or vest upon consummation of a change in control event based on continued employment and the achievement of certain market conditions over the applicable performance period. Certain participants will be awarded additional PSUs if market conditions exceed certain targets at the time of vesting. The PSUs accrue dividends (if declared and paid) at the same rate as TEC’s common stock. These dividends are paid at the time of vesting.</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non-vested PSUs during the six months ended June 30, 2026 were:</w:t>
      </w:r>
    </w:p>
    <w:tbl>
      <w:tblPr>
        <w:tblW w:w="10205" w:type="dxa"/>
        <w:jc w:val="left"/>
        <w:tblInd w:w="0" w:type="dxa"/>
        <w:tblLayout w:type="fixed"/>
        <w:tblCellMar>
          <w:top w:w="28" w:type="dxa"/>
          <w:left w:w="28" w:type="dxa"/>
          <w:bottom w:w="28" w:type="dxa"/>
          <w:right w:w="28" w:type="dxa"/>
        </w:tblCellMar>
      </w:tblPr>
      <w:tblGrid>
        <w:gridCol w:w="846"/>
        <w:gridCol w:w="744"/>
        <w:gridCol w:w="747"/>
        <w:gridCol w:w="109"/>
        <w:gridCol w:w="109"/>
        <w:gridCol w:w="109"/>
        <w:gridCol w:w="664"/>
        <w:gridCol w:w="664"/>
        <w:gridCol w:w="666"/>
        <w:gridCol w:w="109"/>
        <w:gridCol w:w="109"/>
        <w:gridCol w:w="109"/>
        <w:gridCol w:w="587"/>
        <w:gridCol w:w="587"/>
        <w:gridCol w:w="589"/>
        <w:gridCol w:w="109"/>
        <w:gridCol w:w="109"/>
        <w:gridCol w:w="109"/>
        <w:gridCol w:w="443"/>
        <w:gridCol w:w="443"/>
        <w:gridCol w:w="276"/>
        <w:gridCol w:w="109"/>
        <w:gridCol w:w="109"/>
        <w:gridCol w:w="109"/>
        <w:gridCol w:w="278"/>
        <w:gridCol w:w="1135"/>
        <w:gridCol w:w="228"/>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Liability-Classified PSUs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Equity-Classified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23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569,477</w:t>
            </w:r>
            <w:r>
              <w:rPr>
                <w:color w:val="000000"/>
              </w:rPr>
              <w:t> </w:t>
            </w:r>
          </w:p>
        </w:tc>
        <w:tc>
          <w:tcPr>
            <w:tcW w:w="66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488,857</w:t>
            </w:r>
            <w:r>
              <w:rPr>
                <w:color w:val="000000"/>
              </w:rPr>
              <w:t> </w:t>
            </w:r>
          </w:p>
        </w:tc>
        <w:tc>
          <w:tcPr>
            <w:tcW w:w="58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1,058,334</w:t>
            </w:r>
            <w:r>
              <w:rPr>
                <w:color w:val="000000"/>
              </w:rPr>
              <w:t> </w:t>
            </w:r>
          </w:p>
        </w:tc>
        <w:tc>
          <w:tcPr>
            <w:tcW w:w="2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147.45</w:t>
            </w:r>
            <w:r>
              <w:rPr>
                <w:color w:val="000000"/>
              </w:rPr>
              <w:t> </w:t>
            </w:r>
          </w:p>
        </w:tc>
        <w:tc>
          <w:tcPr>
            <w:tcW w:w="2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11" w:name="i424ebf08a68b4791b0ffa9dd439bd1e1_2-2-1-"/>
            <w:bookmarkEnd w:id="11"/>
            <w:r>
              <w:rPr>
                <w:rFonts w:ascii="Arial;sans-serif" w:hAnsi="Arial;sans-serif"/>
                <w:b w:val="false"/>
                <w:color w:val="000000"/>
                <w:sz w:val="16"/>
              </w:rPr>
              <w:t>146,903 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(7,032)</w:t>
            </w:r>
          </w:p>
        </w:tc>
        <w:tc>
          <w:tcPr>
            <w:tcW w:w="5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(7,032)</w:t>
            </w:r>
          </w:p>
        </w:tc>
        <w:tc>
          <w:tcPr>
            <w:tcW w:w="2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518.24 </w:t>
            </w:r>
          </w:p>
        </w:tc>
        <w:tc>
          <w:tcPr>
            <w:tcW w:w="22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(569,477)</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(386,870)</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(956,347)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Non-vested as of June 30, 2026 </w:t>
            </w:r>
            <w:r>
              <w:rPr>
                <w:rFonts w:ascii="Arial;sans-serif" w:hAnsi="Arial;sans-serif"/>
                <w:b/>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241,858</w:t>
            </w:r>
            <w:r>
              <w:rPr>
                <w:color w:val="000000"/>
              </w:rPr>
              <w:t> </w:t>
            </w:r>
          </w:p>
        </w:tc>
        <w:tc>
          <w:tcPr>
            <w:tcW w:w="5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241,858</w:t>
            </w:r>
            <w:r>
              <w:rPr>
                <w:color w:val="000000"/>
              </w:rPr>
              <w:t> </w:t>
            </w:r>
          </w:p>
        </w:tc>
        <w:tc>
          <w:tcPr>
            <w:tcW w:w="2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1,430.56</w:t>
            </w:r>
            <w:r>
              <w:rPr>
                <w:color w:val="000000"/>
              </w:rPr>
              <w:t> </w:t>
            </w:r>
          </w:p>
        </w:tc>
        <w:tc>
          <w:tcPr>
            <w:tcW w:w="22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description of liability-classified awards below.</w:t>
      </w:r>
    </w:p>
    <w:p>
      <w:pPr>
        <w:pStyle w:val="TextBody"/>
        <w:bidi w:val="0"/>
        <w:spacing w:lineRule="auto" w:line="288" w:before="0" w:after="180"/>
        <w:ind w:left="0" w:right="0" w:hanging="360"/>
        <w:jc w:val="left"/>
        <w:rPr/>
      </w:pPr>
      <w:r>
        <w:rPr>
          <w:rFonts w:ascii="Arial;sans-serif" w:hAnsi="Arial;sans-serif"/>
          <w:b w:val="false"/>
          <w:color w:val="000000"/>
          <w:sz w:val="14"/>
        </w:rPr>
        <w:t xml:space="preserve">(b)Represents the target number of PSUs. 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Assuming all non-vested PSUs vested on June 30, 2026 </w:t>
      </w:r>
      <w:r>
        <w:rPr>
          <w:rFonts w:ascii="Arial;sans-serif" w:hAnsi="Arial;sans-serif"/>
          <w:b w:val="false"/>
          <w:color w:val="000000"/>
          <w:sz w:val="14"/>
          <w:shd w:fill="FFFFFF" w:val="clear"/>
        </w:rPr>
        <w:t xml:space="preserve">at the then current share price of the Company’s common stock the aggregate non-vested PSUs would be </w:t>
      </w:r>
      <w:r>
        <w:rPr>
          <w:rFonts w:ascii="Arial;sans-serif" w:hAnsi="Arial;sans-serif"/>
          <w:b w:val="false"/>
          <w:color w:val="000000"/>
          <w:sz w:val="14"/>
        </w:rPr>
        <w:t>619,525.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fair value of PSUs is determined using a Monte Carlo valuation methodology based on the fair value of the underlying stock price at the grant date. Significant inputs and assumptions used in the valuations of PSUs were: </w:t>
      </w:r>
    </w:p>
    <w:tbl>
      <w:tblPr>
        <w:tblW w:w="5398"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884"/>
        <w:gridCol w:w="884"/>
        <w:gridCol w:w="887"/>
        <w:gridCol w:w="109"/>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Volatility </w:t>
            </w:r>
            <w:r>
              <w:rPr>
                <w:rFonts w:ascii="Arial;sans-serif" w:hAnsi="Arial;sans-serif"/>
                <w:b w:val="false"/>
                <w:color w:val="000000"/>
                <w:sz w:val="10"/>
              </w:rPr>
              <w:t>(a)</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40% - 50%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2 - 3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Risk-free rate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3.45% - 3.97%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Derived from an option pricing method based on the average asset volatility of peer companies and the Company’s leverage ratio.</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Based on the U.S. constant maturity treasury rate with a term matching the expected time to the end of the performance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RSUs have two or three-year ratable or two-year cliff vesting schedules beginning on the grant date. The fair value of RSUs granted is based on the closing price of TEC common stock on the grant date. The RSUs accrue dividends (if declared and paid) at the same rate as TEC’s common stock. These dividends are paid at the time of vesting.</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non-vested RSUs during the six months ended June 30, 2026 were:</w:t>
      </w:r>
    </w:p>
    <w:tbl>
      <w:tblPr>
        <w:tblW w:w="10205" w:type="dxa"/>
        <w:jc w:val="left"/>
        <w:tblInd w:w="0" w:type="dxa"/>
        <w:tblLayout w:type="fixed"/>
        <w:tblCellMar>
          <w:top w:w="28" w:type="dxa"/>
          <w:left w:w="28" w:type="dxa"/>
          <w:bottom w:w="28" w:type="dxa"/>
          <w:right w:w="28" w:type="dxa"/>
        </w:tblCellMar>
      </w:tblPr>
      <w:tblGrid>
        <w:gridCol w:w="861"/>
        <w:gridCol w:w="758"/>
        <w:gridCol w:w="760"/>
        <w:gridCol w:w="109"/>
        <w:gridCol w:w="109"/>
        <w:gridCol w:w="109"/>
        <w:gridCol w:w="672"/>
        <w:gridCol w:w="672"/>
        <w:gridCol w:w="674"/>
        <w:gridCol w:w="109"/>
        <w:gridCol w:w="109"/>
        <w:gridCol w:w="109"/>
        <w:gridCol w:w="594"/>
        <w:gridCol w:w="594"/>
        <w:gridCol w:w="596"/>
        <w:gridCol w:w="109"/>
        <w:gridCol w:w="109"/>
        <w:gridCol w:w="109"/>
        <w:gridCol w:w="394"/>
        <w:gridCol w:w="396"/>
        <w:gridCol w:w="284"/>
        <w:gridCol w:w="109"/>
        <w:gridCol w:w="109"/>
        <w:gridCol w:w="109"/>
        <w:gridCol w:w="316"/>
        <w:gridCol w:w="1069"/>
        <w:gridCol w:w="257"/>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Liability-Classified RSUs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23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169,642</w:t>
            </w:r>
            <w:r>
              <w:rPr>
                <w:color w:val="000000"/>
              </w:rPr>
              <w:t> </w:t>
            </w:r>
          </w:p>
        </w:tc>
        <w:tc>
          <w:tcPr>
            <w:tcW w:w="6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171,011</w:t>
            </w:r>
            <w:r>
              <w:rPr>
                <w:color w:val="000000"/>
              </w:rPr>
              <w:t> </w:t>
            </w:r>
          </w:p>
        </w:tc>
        <w:tc>
          <w:tcPr>
            <w:tcW w:w="5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340,653</w:t>
            </w:r>
            <w:r>
              <w:rPr>
                <w:color w:val="000000"/>
              </w:rPr>
              <w:t> </w:t>
            </w:r>
          </w:p>
        </w:tc>
        <w:tc>
          <w:tcPr>
            <w:tcW w:w="2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106.18</w:t>
            </w:r>
            <w:r>
              <w:rPr>
                <w:color w:val="000000"/>
              </w:rPr>
              <w:t> </w:t>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3,358 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72,992 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76,350 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w:t>
            </w:r>
          </w:p>
        </w:tc>
        <w:tc>
          <w:tcPr>
            <w:tcW w:w="5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w:t>
            </w:r>
          </w:p>
        </w:tc>
        <w:tc>
          <w:tcPr>
            <w:tcW w:w="2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207.95 </w:t>
            </w:r>
          </w:p>
        </w:tc>
        <w:tc>
          <w:tcPr>
            <w:tcW w:w="2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(151,800)</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(111,204)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(263,004)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21,200</w:t>
            </w:r>
            <w:r>
              <w:rPr>
                <w:color w:val="000000"/>
              </w:rPr>
              <w:t> </w:t>
            </w:r>
          </w:p>
        </w:tc>
        <w:tc>
          <w:tcPr>
            <w:tcW w:w="67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130,154</w:t>
            </w:r>
            <w:r>
              <w:rPr>
                <w:color w:val="000000"/>
              </w:rPr>
              <w:t> </w:t>
            </w:r>
          </w:p>
        </w:tc>
        <w:tc>
          <w:tcPr>
            <w:tcW w:w="5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151,354</w:t>
            </w:r>
            <w:r>
              <w:rPr>
                <w:color w:val="000000"/>
              </w:rPr>
              <w:t> </w:t>
            </w:r>
          </w:p>
        </w:tc>
        <w:tc>
          <w:tcPr>
            <w:tcW w:w="28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296.55</w:t>
            </w:r>
            <w:r>
              <w:rPr>
                <w:color w:val="000000"/>
              </w:rPr>
              <w:t> </w:t>
            </w:r>
          </w:p>
        </w:tc>
        <w:tc>
          <w:tcPr>
            <w:tcW w:w="2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(a)See description of liability-classified awards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Liability-Classified Awards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PSU and RSU awards of certain executive officers that have or are scheduled to vest in 2026 were or will be partially settled in cash. Generally, the cash settlement amount is equal up to 60% of the net after-tax value on the vesting date of each such award and is subject to a cap. Additionally, it is expected that some non-employee directors will elect to net-settle a portion of their vested PSUs and RSUs for the payment of income taxes. The portion of each employee’s applicable awards that is expected to be settled in cash and all non-employee director awards are presented as “Stock-based compensation liabilities” on the Consolidated Balance Sheets and had a carrying value of $6 million and $501 million as of June 30, 2026 and December 31, 2025, respectively, measured based on the closing share price of TEC common stock on such dates.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Liability-classified awards that vested and settled during the three months ended June 30, 2026, resulted in cash payments of $495 million, including payments related to income tax. Equity-classified awards that vested concurrently with the liability-classified awards resulted in the net settlement of 655,350 shares of TEC common stock and $140 million of cash payments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Stock-Based Compensation Expense</w:t>
      </w:r>
    </w:p>
    <w:p>
      <w:pPr>
        <w:pStyle w:val="TextBody"/>
        <w:bidi w:val="0"/>
        <w:spacing w:lineRule="auto" w:line="288" w:before="0" w:after="180"/>
        <w:ind w:left="0" w:right="0" w:firstLine="360"/>
        <w:jc w:val="left"/>
        <w:rPr/>
      </w:pPr>
      <w:r>
        <w:rPr>
          <w:rFonts w:ascii="Arial;sans-serif" w:hAnsi="Arial;sans-serif"/>
          <w:b w:val="false"/>
          <w:color w:val="000000"/>
          <w:sz w:val="18"/>
          <w:shd w:fill="FFFFFF" w:val="clear"/>
        </w:rPr>
        <w:t xml:space="preserve">Stock-based compensation expense presented as “General and administrative” on the </w:t>
      </w:r>
      <w:r>
        <w:rPr>
          <w:rFonts w:ascii="Arial;sans-serif" w:hAnsi="Arial;sans-serif"/>
          <w:b w:val="false"/>
          <w:color w:val="000000"/>
          <w:sz w:val="18"/>
        </w:rPr>
        <w:t>Consolidated</w:t>
      </w:r>
      <w:r>
        <w:rPr>
          <w:color w:val="000000"/>
          <w:shd w:fill="FFFFFF" w:val="clear"/>
        </w:rPr>
        <w:t xml:space="preserve"> </w:t>
      </w:r>
      <w:r>
        <w:rPr>
          <w:rFonts w:ascii="Arial;sans-serif" w:hAnsi="Arial;sans-serif"/>
          <w:b w:val="false"/>
          <w:color w:val="000000"/>
          <w:sz w:val="18"/>
          <w:shd w:fill="FFFFFF" w:val="clear"/>
        </w:rPr>
        <w:t>Statement of Operations was:</w:t>
      </w:r>
    </w:p>
    <w:tbl>
      <w:tblPr>
        <w:tblW w:w="10205" w:type="dxa"/>
        <w:jc w:val="left"/>
        <w:tblInd w:w="0" w:type="dxa"/>
        <w:tblLayout w:type="fixed"/>
        <w:tblCellMar>
          <w:top w:w="28" w:type="dxa"/>
          <w:left w:w="28" w:type="dxa"/>
          <w:bottom w:w="28" w:type="dxa"/>
          <w:right w:w="28" w:type="dxa"/>
        </w:tblCellMar>
      </w:tblPr>
      <w:tblGrid>
        <w:gridCol w:w="1761"/>
        <w:gridCol w:w="1528"/>
        <w:gridCol w:w="1536"/>
        <w:gridCol w:w="109"/>
        <w:gridCol w:w="109"/>
        <w:gridCol w:w="109"/>
        <w:gridCol w:w="268"/>
        <w:gridCol w:w="475"/>
        <w:gridCol w:w="149"/>
        <w:gridCol w:w="149"/>
        <w:gridCol w:w="149"/>
        <w:gridCol w:w="149"/>
        <w:gridCol w:w="268"/>
        <w:gridCol w:w="557"/>
        <w:gridCol w:w="149"/>
        <w:gridCol w:w="109"/>
        <w:gridCol w:w="109"/>
        <w:gridCol w:w="109"/>
        <w:gridCol w:w="249"/>
        <w:gridCol w:w="439"/>
        <w:gridCol w:w="138"/>
        <w:gridCol w:w="138"/>
        <w:gridCol w:w="138"/>
        <w:gridCol w:w="138"/>
        <w:gridCol w:w="249"/>
        <w:gridCol w:w="516"/>
        <w:gridCol w:w="138"/>
        <w:gridCol w:w="109"/>
        <w:gridCol w:w="161"/>
      </w:tblGrid>
      <w:tr>
        <w:trPr/>
        <w:tc>
          <w:tcPr>
            <w:tcW w:w="176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 (benefit), net, liability-classified awards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 (benefit), net, equity-classified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After-tax stock-based compensation expense (benefit),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Unrecognized stock-based compensation expense and related periods of recognition as of June 30, 2026 were:</w:t>
      </w:r>
    </w:p>
    <w:tbl>
      <w:tblPr>
        <w:tblW w:w="10205" w:type="dxa"/>
        <w:jc w:val="left"/>
        <w:tblInd w:w="0" w:type="dxa"/>
        <w:tblLayout w:type="fixed"/>
        <w:tblCellMar>
          <w:top w:w="28" w:type="dxa"/>
          <w:left w:w="28" w:type="dxa"/>
          <w:bottom w:w="28" w:type="dxa"/>
          <w:right w:w="28" w:type="dxa"/>
        </w:tblCellMar>
      </w:tblPr>
      <w:tblGrid>
        <w:gridCol w:w="1105"/>
        <w:gridCol w:w="839"/>
        <w:gridCol w:w="843"/>
        <w:gridCol w:w="109"/>
        <w:gridCol w:w="109"/>
        <w:gridCol w:w="109"/>
        <w:gridCol w:w="525"/>
        <w:gridCol w:w="525"/>
        <w:gridCol w:w="526"/>
        <w:gridCol w:w="109"/>
        <w:gridCol w:w="109"/>
        <w:gridCol w:w="109"/>
        <w:gridCol w:w="393"/>
        <w:gridCol w:w="844"/>
        <w:gridCol w:w="219"/>
        <w:gridCol w:w="109"/>
        <w:gridCol w:w="109"/>
        <w:gridCol w:w="109"/>
        <w:gridCol w:w="565"/>
        <w:gridCol w:w="695"/>
        <w:gridCol w:w="316"/>
        <w:gridCol w:w="109"/>
        <w:gridCol w:w="109"/>
        <w:gridCol w:w="109"/>
        <w:gridCol w:w="432"/>
        <w:gridCol w:w="729"/>
        <w:gridCol w:w="341"/>
      </w:tblGrid>
      <w:tr>
        <w:trPr/>
        <w:tc>
          <w:tcPr>
            <w:tcW w:w="110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RSUs</w:t>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Liability-Classified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Liability-Classified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w:t>
            </w:r>
          </w:p>
        </w:tc>
      </w:tr>
      <w:tr>
        <w:trPr/>
        <w:tc>
          <w:tcPr>
            <w:tcW w:w="27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Unrecognized stock-based compensation expense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4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period of recognition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     Stock-based compensation expense related to liability-classified awards is subject to variability due to changes in their value through the settlement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14. Earnings Per Share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tbl>
      <w:tblPr>
        <w:tblW w:w="10205" w:type="dxa"/>
        <w:jc w:val="left"/>
        <w:tblInd w:w="0" w:type="dxa"/>
        <w:tblLayout w:type="fixed"/>
        <w:tblCellMar>
          <w:top w:w="28" w:type="dxa"/>
          <w:left w:w="28" w:type="dxa"/>
          <w:bottom w:w="28" w:type="dxa"/>
          <w:right w:w="28" w:type="dxa"/>
        </w:tblCellMar>
      </w:tblPr>
      <w:tblGrid>
        <w:gridCol w:w="1791"/>
        <w:gridCol w:w="1468"/>
        <w:gridCol w:w="1471"/>
        <w:gridCol w:w="109"/>
        <w:gridCol w:w="109"/>
        <w:gridCol w:w="109"/>
        <w:gridCol w:w="239"/>
        <w:gridCol w:w="649"/>
        <w:gridCol w:w="133"/>
        <w:gridCol w:w="133"/>
        <w:gridCol w:w="133"/>
        <w:gridCol w:w="133"/>
        <w:gridCol w:w="239"/>
        <w:gridCol w:w="588"/>
        <w:gridCol w:w="133"/>
        <w:gridCol w:w="109"/>
        <w:gridCol w:w="109"/>
        <w:gridCol w:w="109"/>
        <w:gridCol w:w="213"/>
        <w:gridCol w:w="576"/>
        <w:gridCol w:w="118"/>
        <w:gridCol w:w="118"/>
        <w:gridCol w:w="118"/>
        <w:gridCol w:w="118"/>
        <w:gridCol w:w="213"/>
        <w:gridCol w:w="576"/>
        <w:gridCol w:w="118"/>
        <w:gridCol w:w="109"/>
        <w:gridCol w:w="164"/>
      </w:tblGrid>
      <w:tr>
        <w:trPr/>
        <w:tc>
          <w:tcPr>
            <w:tcW w:w="179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 (Millions of Dollars)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45,904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45,554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45,759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45,699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7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45,904</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47,905</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45,759</w:t>
            </w:r>
            <w:r>
              <w:rPr>
                <w:color w:val="000000"/>
              </w:rPr>
              <w:t> </w:t>
            </w:r>
          </w:p>
        </w:tc>
        <w:tc>
          <w:tcPr>
            <w:tcW w:w="11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45,699</w:t>
            </w:r>
            <w:r>
              <w:rPr>
                <w:color w:val="000000"/>
              </w:rPr>
              <w:t> </w:t>
            </w:r>
          </w:p>
        </w:tc>
        <w:tc>
          <w:tcPr>
            <w:tcW w:w="11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13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3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(0.63)</w:t>
            </w:r>
          </w:p>
        </w:tc>
        <w:tc>
          <w:tcPr>
            <w:tcW w:w="11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w:t>
            </w:r>
          </w:p>
        </w:tc>
        <w:tc>
          <w:tcPr>
            <w:tcW w:w="11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there was a Net Loss Attributable to Stockholders, the computation of diluted EPS excludes 138,886 RSUs and 619,525 PSUs for the three and six months ended June 30, 2026. Diluted EPS for the three months ended June 30, 2025 excludes 83,347 PSUs due to their anti-dilutive nature. As there was a Net Loss Attributable to Stockholders for the six months ended June 30, 2025, the computation of diluted EPS excludes 266,938 RSUs and 2,166,138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15.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Share Repurchase Program</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Summary of activity under the SRP:</w:t>
      </w:r>
    </w:p>
    <w:tbl>
      <w:tblPr>
        <w:tblW w:w="10205" w:type="dxa"/>
        <w:jc w:val="left"/>
        <w:tblInd w:w="0" w:type="dxa"/>
        <w:tblLayout w:type="fixed"/>
        <w:tblCellMar>
          <w:top w:w="28" w:type="dxa"/>
          <w:left w:w="28" w:type="dxa"/>
          <w:bottom w:w="28" w:type="dxa"/>
          <w:right w:w="28" w:type="dxa"/>
        </w:tblCellMar>
      </w:tblPr>
      <w:tblGrid>
        <w:gridCol w:w="433"/>
        <w:gridCol w:w="380"/>
        <w:gridCol w:w="382"/>
        <w:gridCol w:w="109"/>
        <w:gridCol w:w="109"/>
        <w:gridCol w:w="109"/>
        <w:gridCol w:w="109"/>
        <w:gridCol w:w="109"/>
        <w:gridCol w:w="190"/>
        <w:gridCol w:w="190"/>
        <w:gridCol w:w="190"/>
        <w:gridCol w:w="190"/>
        <w:gridCol w:w="505"/>
        <w:gridCol w:w="327"/>
        <w:gridCol w:w="230"/>
        <w:gridCol w:w="109"/>
        <w:gridCol w:w="109"/>
        <w:gridCol w:w="109"/>
        <w:gridCol w:w="208"/>
        <w:gridCol w:w="688"/>
        <w:gridCol w:w="115"/>
        <w:gridCol w:w="109"/>
        <w:gridCol w:w="109"/>
        <w:gridCol w:w="109"/>
        <w:gridCol w:w="238"/>
        <w:gridCol w:w="513"/>
        <w:gridCol w:w="134"/>
        <w:gridCol w:w="109"/>
        <w:gridCol w:w="109"/>
        <w:gridCol w:w="109"/>
        <w:gridCol w:w="506"/>
        <w:gridCol w:w="324"/>
        <w:gridCol w:w="326"/>
        <w:gridCol w:w="109"/>
        <w:gridCol w:w="109"/>
        <w:gridCol w:w="109"/>
        <w:gridCol w:w="208"/>
        <w:gridCol w:w="688"/>
        <w:gridCol w:w="115"/>
        <w:gridCol w:w="109"/>
        <w:gridCol w:w="109"/>
        <w:gridCol w:w="109"/>
        <w:gridCol w:w="268"/>
        <w:gridCol w:w="452"/>
        <w:gridCol w:w="225"/>
      </w:tblGrid>
      <w:tr>
        <w:trPr/>
        <w:tc>
          <w:tcPr>
            <w:tcW w:w="4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2610" w:type="dxa"/>
            <w:gridSpan w:val="12"/>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r>
      <w:tr>
        <w:trPr/>
        <w:tc>
          <w:tcPr>
            <w:tcW w:w="11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850,000 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350.21 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452,130 </w:t>
            </w:r>
          </w:p>
        </w:tc>
        <w:tc>
          <w:tcPr>
            <w:tcW w:w="3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(850,000)</w:t>
            </w:r>
          </w:p>
        </w:tc>
        <w:tc>
          <w:tcPr>
            <w:tcW w:w="2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350.21 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(452,130)</w:t>
            </w:r>
          </w:p>
        </w:tc>
        <w:tc>
          <w:tcPr>
            <w:tcW w:w="3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(a)Weighted average price per share, including transaction costs and excise taxes, if applicable.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the remaining capacity under the SRP was $1.7 billion and all repurchased shares have been retired. See Note 1 to the Annual Financial Statements for the accounting policy related to treasury stock and retirement of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Accumulated Other Comprehensive Income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AOCI for the periods were:</w:t>
      </w:r>
    </w:p>
    <w:tbl>
      <w:tblPr>
        <w:tblW w:w="7698" w:type="dxa"/>
        <w:jc w:val="left"/>
        <w:tblInd w:w="0" w:type="dxa"/>
        <w:tblLayout w:type="fixed"/>
        <w:tblCellMar>
          <w:top w:w="28" w:type="dxa"/>
          <w:left w:w="28" w:type="dxa"/>
          <w:bottom w:w="28" w:type="dxa"/>
          <w:right w:w="28" w:type="dxa"/>
        </w:tblCellMar>
      </w:tblPr>
      <w:tblGrid>
        <w:gridCol w:w="1599"/>
        <w:gridCol w:w="1408"/>
        <w:gridCol w:w="1417"/>
        <w:gridCol w:w="109"/>
        <w:gridCol w:w="109"/>
        <w:gridCol w:w="109"/>
        <w:gridCol w:w="252"/>
        <w:gridCol w:w="522"/>
        <w:gridCol w:w="140"/>
        <w:gridCol w:w="140"/>
        <w:gridCol w:w="140"/>
        <w:gridCol w:w="140"/>
        <w:gridCol w:w="252"/>
        <w:gridCol w:w="522"/>
        <w:gridCol w:w="140"/>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Gains (losses)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Reclassifications to Consolidated Statements of Operations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components of AOCI, net of tax, as of June 30, were:</w:t>
      </w:r>
    </w:p>
    <w:tbl>
      <w:tblPr>
        <w:tblW w:w="7037" w:type="dxa"/>
        <w:jc w:val="left"/>
        <w:tblInd w:w="0" w:type="dxa"/>
        <w:tblLayout w:type="fixed"/>
        <w:tblCellMar>
          <w:top w:w="28" w:type="dxa"/>
          <w:left w:w="28" w:type="dxa"/>
          <w:bottom w:w="28" w:type="dxa"/>
          <w:right w:w="28" w:type="dxa"/>
        </w:tblCellMar>
      </w:tblPr>
      <w:tblGrid>
        <w:gridCol w:w="1483"/>
        <w:gridCol w:w="1304"/>
        <w:gridCol w:w="1308"/>
        <w:gridCol w:w="109"/>
        <w:gridCol w:w="109"/>
        <w:gridCol w:w="109"/>
        <w:gridCol w:w="265"/>
        <w:gridCol w:w="550"/>
        <w:gridCol w:w="147"/>
        <w:gridCol w:w="147"/>
        <w:gridCol w:w="147"/>
        <w:gridCol w:w="147"/>
        <w:gridCol w:w="265"/>
        <w:gridCol w:w="428"/>
        <w:gridCol w:w="147"/>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Reclassification adjustments from AOCI to the Consolidated Statements of Operations were non-material amounts for the six months ended June 30, 2026 and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16. Supplemental Cash Flow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Supplemental information for the Consolidated Statements of Cash Flows for the periods was:</w:t>
      </w:r>
    </w:p>
    <w:tbl>
      <w:tblPr>
        <w:tblW w:w="10169" w:type="dxa"/>
        <w:jc w:val="left"/>
        <w:tblInd w:w="0" w:type="dxa"/>
        <w:tblLayout w:type="fixed"/>
        <w:tblCellMar>
          <w:top w:w="28" w:type="dxa"/>
          <w:left w:w="28" w:type="dxa"/>
          <w:bottom w:w="28" w:type="dxa"/>
          <w:right w:w="28" w:type="dxa"/>
        </w:tblCellMar>
      </w:tblPr>
      <w:tblGrid>
        <w:gridCol w:w="2654"/>
        <w:gridCol w:w="2337"/>
        <w:gridCol w:w="2343"/>
        <w:gridCol w:w="109"/>
        <w:gridCol w:w="109"/>
        <w:gridCol w:w="109"/>
        <w:gridCol w:w="243"/>
        <w:gridCol w:w="542"/>
        <w:gridCol w:w="135"/>
        <w:gridCol w:w="135"/>
        <w:gridCol w:w="135"/>
        <w:gridCol w:w="135"/>
        <w:gridCol w:w="243"/>
        <w:gridCol w:w="542"/>
        <w:gridCol w:w="135"/>
        <w:gridCol w:w="109"/>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3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paid (received) during the period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and other finance charges, net of capitalized interest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contracts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other non-cash 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restructuring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option premium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PP&amp;E additions not paid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(a)Capitalized interest was non-material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Cash and Restricted Cash</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provides a reconciliation of “Cash and cash equivalents” and “Restricted cash and cash equivalents” presented on the Consolidated Balance Sheets to such amounts shown on the Consolidated Statements of Cash Flows:</w:t>
      </w:r>
    </w:p>
    <w:tbl>
      <w:tblPr>
        <w:tblW w:w="5663" w:type="dxa"/>
        <w:jc w:val="left"/>
        <w:tblInd w:w="0" w:type="dxa"/>
        <w:tblLayout w:type="fixed"/>
        <w:tblCellMar>
          <w:top w:w="28" w:type="dxa"/>
          <w:left w:w="28" w:type="dxa"/>
          <w:bottom w:w="28" w:type="dxa"/>
          <w:right w:w="28" w:type="dxa"/>
        </w:tblCellMar>
      </w:tblPr>
      <w:tblGrid>
        <w:gridCol w:w="1096"/>
        <w:gridCol w:w="964"/>
        <w:gridCol w:w="970"/>
        <w:gridCol w:w="109"/>
        <w:gridCol w:w="109"/>
        <w:gridCol w:w="109"/>
        <w:gridCol w:w="202"/>
        <w:gridCol w:w="450"/>
        <w:gridCol w:w="112"/>
        <w:gridCol w:w="109"/>
        <w:gridCol w:w="109"/>
        <w:gridCol w:w="109"/>
        <w:gridCol w:w="302"/>
        <w:gridCol w:w="673"/>
        <w:gridCol w:w="240"/>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cash and cash equivalents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752</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(a)Comprised of commodity exchange margin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17.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Acquisitions </w:t>
      </w:r>
    </w:p>
    <w:p>
      <w:pPr>
        <w:pStyle w:val="TextBody"/>
        <w:bidi w:val="0"/>
        <w:spacing w:lineRule="auto" w:line="288" w:before="0" w:after="180"/>
        <w:ind w:left="0" w:right="0" w:firstLine="360"/>
        <w:jc w:val="left"/>
        <w:rPr/>
      </w:pPr>
      <w:r>
        <w:rPr>
          <w:rFonts w:ascii="Arial;sans-serif" w:hAnsi="Arial;sans-serif"/>
          <w:b w:val="false"/>
          <w:i/>
          <w:color w:val="000000"/>
          <w:sz w:val="18"/>
        </w:rPr>
        <w:t>Cornerstone Acquisition.</w:t>
      </w:r>
      <w:r>
        <w:rPr>
          <w:color w:val="000000"/>
        </w:rPr>
        <w:t xml:space="preserve"> </w:t>
      </w:r>
      <w:r>
        <w:rPr>
          <w:rFonts w:ascii="Arial;sans-serif" w:hAnsi="Arial;sans-serif"/>
          <w:b w:val="false"/>
          <w:color w:val="000000"/>
          <w:sz w:val="18"/>
        </w:rPr>
        <w:t>On June 15, 2026, the Company completed the Cornerstone Acquisition, which increases the Company’s generation by approximately 2.6 GW and provides efficient baseload and peaker generation and cash flow diversification. The aggregate purchase price was $3.5 billion, comprised of the following:</w:t>
      </w:r>
    </w:p>
    <w:tbl>
      <w:tblPr>
        <w:tblW w:w="6151" w:type="dxa"/>
        <w:jc w:val="left"/>
        <w:tblInd w:w="0" w:type="dxa"/>
        <w:tblLayout w:type="fixed"/>
        <w:tblCellMar>
          <w:top w:w="28" w:type="dxa"/>
          <w:left w:w="28" w:type="dxa"/>
          <w:bottom w:w="28" w:type="dxa"/>
          <w:right w:w="28" w:type="dxa"/>
        </w:tblCellMar>
      </w:tblPr>
      <w:tblGrid>
        <w:gridCol w:w="1739"/>
        <w:gridCol w:w="1528"/>
        <w:gridCol w:w="1532"/>
        <w:gridCol w:w="109"/>
        <w:gridCol w:w="109"/>
        <w:gridCol w:w="109"/>
        <w:gridCol w:w="202"/>
        <w:gridCol w:w="669"/>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consideration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of TEC common stock issued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2,399,998 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Closing price per share of TEC common stock on June 15,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consideration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3,542</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Cornerstone Acquisition was accounted for as a business combination. Accordingly, fair value measurements were allocated to acquired assets and assumed liabilities with no resulting goodwill or bargain purchase adjustments. Such fair value measurements are provisional, and revisions may occur up to one year from the date of the acquisition as new information is obtained. The following table summarizes the provisional purchase price allocation for the identifiable assets acquired and liabilities assumed:</w:t>
      </w:r>
    </w:p>
    <w:tbl>
      <w:tblPr>
        <w:tblW w:w="4976" w:type="dxa"/>
        <w:jc w:val="left"/>
        <w:tblInd w:w="0" w:type="dxa"/>
        <w:tblLayout w:type="fixed"/>
        <w:tblCellMar>
          <w:top w:w="28" w:type="dxa"/>
          <w:left w:w="28" w:type="dxa"/>
          <w:bottom w:w="28" w:type="dxa"/>
          <w:right w:w="28" w:type="dxa"/>
        </w:tblCellMar>
      </w:tblPr>
      <w:tblGrid>
        <w:gridCol w:w="1243"/>
        <w:gridCol w:w="1090"/>
        <w:gridCol w:w="1102"/>
        <w:gridCol w:w="109"/>
        <w:gridCol w:w="109"/>
        <w:gridCol w:w="109"/>
        <w:gridCol w:w="258"/>
        <w:gridCol w:w="753"/>
        <w:gridCol w:w="203"/>
      </w:tblGrid>
      <w:tr>
        <w:trPr/>
        <w:tc>
          <w:tcPr>
            <w:tcW w:w="124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15, 2026</w:t>
            </w:r>
          </w:p>
        </w:tc>
      </w:tr>
      <w:tr>
        <w:trPr/>
        <w:tc>
          <w:tcPr>
            <w:tcW w:w="34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0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Inventory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4,211 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4,342</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Derivative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6"/>
              </w:rPr>
            </w:pPr>
            <w:r>
              <w:rPr>
                <w:rFonts w:ascii="Arial;sans-serif" w:hAnsi="Arial;sans-serif"/>
                <w:b w:val="false"/>
                <w:color w:val="000000"/>
                <w:sz w:val="16"/>
              </w:rPr>
              <w:t>Derivative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color w:val="000000"/>
                <w:sz w:val="16"/>
              </w:rPr>
            </w:pPr>
            <w:r>
              <w:rPr>
                <w:rFonts w:ascii="Arial;sans-serif" w:hAnsi="Arial;sans-serif"/>
                <w:b/>
                <w:color w:val="000000"/>
                <w:sz w:val="16"/>
              </w:rPr>
              <w:t>Total liabilities assumed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w:t>
            </w:r>
            <w:r>
              <w:rPr>
                <w:color w:val="000000"/>
              </w:rPr>
              <w:t> </w:t>
            </w:r>
          </w:p>
        </w:tc>
        <w:tc>
          <w:tcPr>
            <w:tcW w:w="20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ind w:left="0" w:right="0" w:hanging="360"/>
              <w:jc w:val="left"/>
              <w:rPr>
                <w:rFonts w:ascii="Arial;sans-serif" w:hAnsi="Arial;sans-serif"/>
                <w:b/>
                <w:color w:val="000000"/>
                <w:sz w:val="16"/>
              </w:rPr>
            </w:pPr>
            <w:r>
              <w:rPr>
                <w:rFonts w:ascii="Arial;sans-serif" w:hAnsi="Arial;sans-serif"/>
                <w:b/>
                <w:color w:val="000000"/>
                <w:sz w:val="16"/>
              </w:rPr>
              <w:t>Fair value of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3,542</w:t>
            </w:r>
            <w:r>
              <w:rPr>
                <w:color w:val="000000"/>
              </w:rPr>
              <w:t> </w:t>
            </w:r>
          </w:p>
        </w:tc>
        <w:tc>
          <w:tcPr>
            <w:tcW w:w="2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fair values allocated to property, plant and equipment were determined using the income approach valuation technique that discounted the projected future net cash flows expected to be generated by Cornerstone over their remaining economic lives utilizing market participant discount rates. Significant assumptions included the forecasted prices for capacity, wholesale power, and natural gas, volumetric assumptions, and discount rates.</w:t>
      </w:r>
    </w:p>
    <w:p>
      <w:pPr>
        <w:pStyle w:val="TextBody"/>
        <w:bidi w:val="0"/>
        <w:spacing w:lineRule="auto" w:line="288" w:before="0" w:after="180"/>
        <w:ind w:left="0" w:right="0" w:firstLine="360"/>
        <w:jc w:val="left"/>
        <w:rPr/>
      </w:pPr>
      <w:r>
        <w:rPr>
          <w:rFonts w:ascii="Arial;sans-serif" w:hAnsi="Arial;sans-serif"/>
          <w:b w:val="false"/>
          <w:i/>
          <w:color w:val="000000"/>
          <w:sz w:val="18"/>
        </w:rPr>
        <w:t>Impact of Cornerstone Acquisition.</w:t>
      </w:r>
      <w:r>
        <w:rPr>
          <w:color w:val="000000"/>
        </w:rPr>
        <w:t xml:space="preserve"> </w:t>
      </w:r>
      <w:r>
        <w:rPr>
          <w:rFonts w:ascii="Arial;sans-serif" w:hAnsi="Arial;sans-serif"/>
          <w:b w:val="false"/>
          <w:color w:val="000000"/>
          <w:sz w:val="18"/>
        </w:rPr>
        <w:t>The following table presents revenues and earnings included in the Consolidated Statements of Operations for the entities acquired in the Cornerstone Acquisition since the acquisition date (June 15, 2026) through June 30, 2026:</w:t>
      </w:r>
    </w:p>
    <w:tbl>
      <w:tblPr>
        <w:tblW w:w="6551" w:type="dxa"/>
        <w:jc w:val="left"/>
        <w:tblInd w:w="0" w:type="dxa"/>
        <w:tblLayout w:type="fixed"/>
        <w:tblCellMar>
          <w:top w:w="28" w:type="dxa"/>
          <w:left w:w="28" w:type="dxa"/>
          <w:bottom w:w="28" w:type="dxa"/>
          <w:right w:w="28" w:type="dxa"/>
        </w:tblCellMar>
      </w:tblPr>
      <w:tblGrid>
        <w:gridCol w:w="1274"/>
        <w:gridCol w:w="1121"/>
        <w:gridCol w:w="1130"/>
        <w:gridCol w:w="109"/>
        <w:gridCol w:w="109"/>
        <w:gridCol w:w="109"/>
        <w:gridCol w:w="895"/>
        <w:gridCol w:w="1100"/>
        <w:gridCol w:w="704"/>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5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7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7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Arial;sans-serif" w:hAnsi="Arial;sans-serif"/>
          <w:b w:val="false"/>
          <w:i/>
          <w:color w:val="000000"/>
          <w:sz w:val="18"/>
        </w:rPr>
        <w:t>Pro Forma Financial Information.</w:t>
      </w:r>
      <w:r>
        <w:rPr>
          <w:color w:val="000000"/>
        </w:rPr>
        <w:t xml:space="preserve"> </w:t>
      </w:r>
      <w:r>
        <w:rPr>
          <w:rFonts w:ascii="Arial;sans-serif" w:hAnsi="Arial;sans-serif"/>
          <w:b w:val="false"/>
          <w:color w:val="000000"/>
          <w:sz w:val="18"/>
        </w:rPr>
        <w:t>The following unaudited pro forma financial information for the three and six months ended June 30, 2026 and June 30, 2025 assumes the Cornerstone Acquisition occurred on January 1, 2025. The unaudited pro forma financial information is provided for informational purposes only and is not necessarily indicative of the results of operations that would have occurred had the Cornerstone Acquisition been completed on January 1, 2025, nor is the unaudited pro forma financial information indicative of future results of operations.</w:t>
      </w:r>
    </w:p>
    <w:tbl>
      <w:tblPr>
        <w:tblW w:w="10205" w:type="dxa"/>
        <w:jc w:val="left"/>
        <w:tblInd w:w="0" w:type="dxa"/>
        <w:tblLayout w:type="fixed"/>
        <w:tblCellMar>
          <w:top w:w="28" w:type="dxa"/>
          <w:left w:w="28" w:type="dxa"/>
          <w:bottom w:w="28" w:type="dxa"/>
          <w:right w:w="28" w:type="dxa"/>
        </w:tblCellMar>
      </w:tblPr>
      <w:tblGrid>
        <w:gridCol w:w="859"/>
        <w:gridCol w:w="653"/>
        <w:gridCol w:w="658"/>
        <w:gridCol w:w="109"/>
        <w:gridCol w:w="109"/>
        <w:gridCol w:w="109"/>
        <w:gridCol w:w="453"/>
        <w:gridCol w:w="973"/>
        <w:gridCol w:w="252"/>
        <w:gridCol w:w="109"/>
        <w:gridCol w:w="109"/>
        <w:gridCol w:w="109"/>
        <w:gridCol w:w="453"/>
        <w:gridCol w:w="973"/>
        <w:gridCol w:w="252"/>
        <w:gridCol w:w="109"/>
        <w:gridCol w:w="109"/>
        <w:gridCol w:w="109"/>
        <w:gridCol w:w="377"/>
        <w:gridCol w:w="1072"/>
        <w:gridCol w:w="210"/>
        <w:gridCol w:w="109"/>
        <w:gridCol w:w="109"/>
        <w:gridCol w:w="109"/>
        <w:gridCol w:w="369"/>
        <w:gridCol w:w="1047"/>
        <w:gridCol w:w="296"/>
      </w:tblGrid>
      <w:tr>
        <w:trPr/>
        <w:tc>
          <w:tcPr>
            <w:tcW w:w="85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1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25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25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2,270 </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2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unaudited pro forma financial information presented above reflects adjustments for: (i) incremental depreciation associated with the provisional fair value allocated to acquired net assets; (ii) the elimination of historical interest expense of the acquired entities; (iii) the elimination of interest expense related to the Secured Notes redemption; (iv) interest expense associated with debt issued to finance the Cornerstone Acquisition and redeem the Secured Notes; (v) transaction costs associated with the Cornerstone Acquisition and expenses associated with the Secured Notes redemption; (vi) the income tax effects of the Cornerstone Acquisition and related financing transactions; and (vii) the alignment of certain accounting policies.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 incurred $24 million and $29 million of acquisition-related transaction costs during the three and six months ended June 30, 2026, respectively, presented as “Other operating income (expense), net” on the Consolidated Statements of Operations, and deferred financing costs of $55 million during the three and six months ended June 30, 2026, respectively, presented as “Long-term debt” on the Consolidated Balance Sheets. See Note 10 for information on recent financing transactions related to the Cornerstone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Amortization of acquired contract liabilities.</w:t>
      </w:r>
      <w:r>
        <w:rPr>
          <w:color w:val="000000"/>
        </w:rPr>
        <w:t xml:space="preserve"> </w:t>
      </w:r>
      <w:r>
        <w:rPr>
          <w:rFonts w:ascii="Arial;sans-serif" w:hAnsi="Arial;sans-serif"/>
          <w:b w:val="false"/>
          <w:color w:val="000000"/>
          <w:sz w:val="18"/>
        </w:rPr>
        <w:t>The acquisition fair value of a capacity contract presented as “Acquired contract liabilities” on the Consolidated Balance Sheets is subject to periodic amortization. Amortization associated with this contract will begin at the start of the contract term in 2028 and will be presented as an increase to “Capacity revenues.”</w:t>
      </w:r>
    </w:p>
    <w:tbl>
      <w:tblPr>
        <w:tblW w:w="10205" w:type="dxa"/>
        <w:jc w:val="left"/>
        <w:tblInd w:w="0" w:type="dxa"/>
        <w:tblLayout w:type="fixed"/>
        <w:tblCellMar>
          <w:top w:w="28" w:type="dxa"/>
          <w:left w:w="28" w:type="dxa"/>
          <w:bottom w:w="28" w:type="dxa"/>
          <w:right w:w="28" w:type="dxa"/>
        </w:tblCellMar>
      </w:tblPr>
      <w:tblGrid>
        <w:gridCol w:w="1063"/>
        <w:gridCol w:w="935"/>
        <w:gridCol w:w="938"/>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316"/>
        <w:gridCol w:w="534"/>
        <w:gridCol w:w="177"/>
        <w:gridCol w:w="109"/>
        <w:gridCol w:w="109"/>
        <w:gridCol w:w="109"/>
        <w:gridCol w:w="196"/>
        <w:gridCol w:w="421"/>
        <w:gridCol w:w="156"/>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2031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Thereafter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36"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33" w:after="30"/>
              <w:ind w:left="0" w:right="0" w:hanging="180"/>
              <w:jc w:val="left"/>
              <w:rPr>
                <w:rFonts w:ascii="Arial;sans-serif" w:hAnsi="Arial;sans-serif"/>
                <w:b w:val="false"/>
                <w:color w:val="000000"/>
                <w:sz w:val="16"/>
              </w:rPr>
            </w:pPr>
            <w:r>
              <w:rPr>
                <w:rFonts w:ascii="Arial;sans-serif" w:hAnsi="Arial;sans-serif"/>
                <w:b w:val="false"/>
                <w:color w:val="000000"/>
                <w:sz w:val="16"/>
              </w:rPr>
              <w:t>Estimated amortization of acquired contract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7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(a)Contractual maturities through 2034.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Divestitures</w:t>
      </w:r>
    </w:p>
    <w:p>
      <w:pPr>
        <w:pStyle w:val="TextBody"/>
        <w:bidi w:val="0"/>
        <w:spacing w:lineRule="auto" w:line="288" w:before="0" w:after="180"/>
        <w:ind w:left="0" w:right="0" w:firstLine="360"/>
        <w:jc w:val="left"/>
        <w:rPr/>
      </w:pPr>
      <w:r>
        <w:rPr>
          <w:rFonts w:ascii="Arial;sans-serif" w:hAnsi="Arial;sans-serif"/>
          <w:b w:val="false"/>
          <w:i/>
          <w:color w:val="000000"/>
          <w:sz w:val="18"/>
        </w:rPr>
        <w:t>Sale of Keystone Interests.</w:t>
      </w:r>
      <w:r>
        <w:rPr>
          <w:color w:val="000000"/>
        </w:rPr>
        <w:t xml:space="preserve"> </w:t>
      </w:r>
      <w:r>
        <w:rPr>
          <w:rFonts w:ascii="Arial;sans-serif" w:hAnsi="Arial;sans-serif"/>
          <w:b w:val="false"/>
          <w:color w:val="000000"/>
          <w:sz w:val="18"/>
        </w:rPr>
        <w:t>In June 2026, the Company entered into a purchase and sale agreement with an unaffiliated party to sell its 12.34% interest in the Keystone generation facility and certain related assets for an aggregate $85 million in cash, subject to certain working capital adjustments and potential adjustments based on PJM BRA results. Additionally, under the terms of the agreement, the buyer is entitled to the net cash flow attributable to the interests from and after July 1, 2026. The transaction is expected to close in the second half of 2026 and is subject to the satisfaction of customary closing conditions and regulatory approvals from the FERC.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18. Segments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Talen’s operating segments are based on the market areas in which our generation facilities operate and reflect the manner in which our Chief Executive Officer, who is the chief operating decision maker (the “CODM”), reviews results. Adjusted EBITDA is the key profit metric used by the CODM to review segment performance and allocate resources as it provides a clearer view of segment profitability by focusing on operational performance. Total assets or other asset metrics are not considered a key metric or reviewed by the chief operating decision maker.</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PJM” represents electricity generation, marketing activities, and commodity risk and fuel management within the PJM market and is comprised of Susquehanna and Talen’s natural gas and coal generation facilities in PJM.</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Other” represents an operating segment that includes the operating and marketing activities of Talen Montana’s proportionate share of Colstrip in the WECC market and other non-material operating and development activities. </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00" w:type="dxa"/>
        <w:jc w:val="left"/>
        <w:tblInd w:w="0" w:type="dxa"/>
        <w:tblLayout w:type="fixed"/>
        <w:tblCellMar>
          <w:top w:w="28" w:type="dxa"/>
          <w:left w:w="28" w:type="dxa"/>
          <w:bottom w:w="28" w:type="dxa"/>
          <w:right w:w="28" w:type="dxa"/>
        </w:tblCellMar>
      </w:tblPr>
      <w:tblGrid>
        <w:gridCol w:w="1476"/>
        <w:gridCol w:w="1296"/>
        <w:gridCol w:w="1307"/>
        <w:gridCol w:w="109"/>
        <w:gridCol w:w="109"/>
        <w:gridCol w:w="109"/>
        <w:gridCol w:w="196"/>
        <w:gridCol w:w="421"/>
        <w:gridCol w:w="109"/>
        <w:gridCol w:w="109"/>
        <w:gridCol w:w="109"/>
        <w:gridCol w:w="109"/>
        <w:gridCol w:w="196"/>
        <w:gridCol w:w="331"/>
        <w:gridCol w:w="109"/>
        <w:gridCol w:w="109"/>
        <w:gridCol w:w="109"/>
        <w:gridCol w:w="109"/>
        <w:gridCol w:w="795"/>
        <w:gridCol w:w="1040"/>
        <w:gridCol w:w="445"/>
        <w:gridCol w:w="109"/>
        <w:gridCol w:w="109"/>
        <w:gridCol w:w="109"/>
        <w:gridCol w:w="196"/>
        <w:gridCol w:w="42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4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tbl>
      <w:tblPr>
        <w:tblW w:w="10071" w:type="dxa"/>
        <w:jc w:val="left"/>
        <w:tblInd w:w="0" w:type="dxa"/>
        <w:tblLayout w:type="fixed"/>
        <w:tblCellMar>
          <w:top w:w="28" w:type="dxa"/>
          <w:left w:w="28" w:type="dxa"/>
          <w:bottom w:w="28" w:type="dxa"/>
          <w:right w:w="28" w:type="dxa"/>
        </w:tblCellMar>
      </w:tblPr>
      <w:tblGrid>
        <w:gridCol w:w="1477"/>
        <w:gridCol w:w="1296"/>
        <w:gridCol w:w="1307"/>
        <w:gridCol w:w="109"/>
        <w:gridCol w:w="109"/>
        <w:gridCol w:w="109"/>
        <w:gridCol w:w="196"/>
        <w:gridCol w:w="556"/>
        <w:gridCol w:w="109"/>
        <w:gridCol w:w="109"/>
        <w:gridCol w:w="109"/>
        <w:gridCol w:w="109"/>
        <w:gridCol w:w="196"/>
        <w:gridCol w:w="331"/>
        <w:gridCol w:w="109"/>
        <w:gridCol w:w="109"/>
        <w:gridCol w:w="109"/>
        <w:gridCol w:w="109"/>
        <w:gridCol w:w="684"/>
        <w:gridCol w:w="1211"/>
        <w:gridCol w:w="385"/>
        <w:gridCol w:w="109"/>
        <w:gridCol w:w="109"/>
        <w:gridCol w:w="109"/>
        <w:gridCol w:w="196"/>
        <w:gridCol w:w="55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(a)This significant segment expense category aligns with the segment-level information that is regularly reviewed by the CODM.</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(b)Other segment items are primarily comprised of fuel and energy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Reconciliation of Segment Adjusted EBITDA to Income (Loss) Before Income Taxes: </w:t>
      </w:r>
    </w:p>
    <w:tbl>
      <w:tblPr>
        <w:tblW w:w="10205" w:type="dxa"/>
        <w:jc w:val="left"/>
        <w:tblInd w:w="0" w:type="dxa"/>
        <w:tblLayout w:type="fixed"/>
        <w:tblCellMar>
          <w:top w:w="28" w:type="dxa"/>
          <w:left w:w="28" w:type="dxa"/>
          <w:bottom w:w="28" w:type="dxa"/>
          <w:right w:w="28" w:type="dxa"/>
        </w:tblCellMar>
      </w:tblPr>
      <w:tblGrid>
        <w:gridCol w:w="1638"/>
        <w:gridCol w:w="1367"/>
        <w:gridCol w:w="1372"/>
        <w:gridCol w:w="109"/>
        <w:gridCol w:w="109"/>
        <w:gridCol w:w="109"/>
        <w:gridCol w:w="253"/>
        <w:gridCol w:w="631"/>
        <w:gridCol w:w="140"/>
        <w:gridCol w:w="140"/>
        <w:gridCol w:w="140"/>
        <w:gridCol w:w="140"/>
        <w:gridCol w:w="253"/>
        <w:gridCol w:w="563"/>
        <w:gridCol w:w="140"/>
        <w:gridCol w:w="109"/>
        <w:gridCol w:w="109"/>
        <w:gridCol w:w="109"/>
        <w:gridCol w:w="222"/>
        <w:gridCol w:w="555"/>
        <w:gridCol w:w="124"/>
        <w:gridCol w:w="124"/>
        <w:gridCol w:w="124"/>
        <w:gridCol w:w="124"/>
        <w:gridCol w:w="222"/>
        <w:gridCol w:w="555"/>
        <w:gridCol w:w="124"/>
        <w:gridCol w:w="109"/>
        <w:gridCol w:w="109"/>
        <w:gridCol w:w="109"/>
        <w:gridCol w:w="109"/>
        <w:gridCol w:w="164"/>
      </w:tblGrid>
      <w:tr>
        <w:trPr/>
        <w:tc>
          <w:tcPr>
            <w:tcW w:w="163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PJM Segment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378</w:t>
            </w: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w:t>
            </w:r>
            <w:r>
              <w:rPr>
                <w:color w:val="000000"/>
              </w:rPr>
              <w:t> </w:t>
            </w:r>
          </w:p>
        </w:tc>
        <w:tc>
          <w:tcPr>
            <w:tcW w:w="1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Eliminations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bookmarkStart w:id="12" w:name="ie114f4b8bc1c4c389f6ef5596a2d5b6a_1428"/>
      <w:bookmarkEnd w:id="12"/>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PJM 2028/2029 Base Residual Auction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July 2026, PJM announced the results of the 2028/2029 PJM BRA. Talen cleared 10,180 MWs at a price of $325.00/MWd for the MAAC, PPL, and RTO locational deliverability areas.</w:t>
      </w:r>
    </w:p>
    <w:p>
      <w:pPr>
        <w:pStyle w:val="TextBody"/>
        <w:bidi w:val="0"/>
        <w:spacing w:lineRule="auto" w:line="288" w:before="0" w:after="180"/>
        <w:ind w:left="0" w:right="0" w:firstLine="360"/>
        <w:jc w:val="left"/>
        <w:rPr/>
      </w:pPr>
      <w:r>
        <w:rPr>
          <w:rFonts w:ascii="Arial;sans-serif" w:hAnsi="Arial;sans-serif"/>
          <w:b w:val="false"/>
          <w:color w:val="000000"/>
          <w:sz w:val="18"/>
        </w:rPr>
        <w:t>See “—</w:t>
      </w:r>
      <w:r>
        <w:rPr>
          <w:rFonts w:ascii="Arial;sans-serif" w:hAnsi="Arial;sans-serif"/>
          <w:b w:val="false"/>
          <w:color w:val="000000"/>
          <w:sz w:val="18"/>
          <w:shd w:fill="FFFFFF" w:val="clear"/>
        </w:rPr>
        <w:t>Factors Affecting Our Financial Condition and Results of Operations</w:t>
      </w:r>
      <w:r>
        <w:rPr>
          <w:color w:val="000000"/>
        </w:rPr>
        <w:t>—</w:t>
      </w:r>
      <w:r>
        <w:rPr>
          <w:rFonts w:ascii="Arial;sans-serif" w:hAnsi="Arial;sans-serif"/>
          <w:b w:val="false"/>
          <w:color w:val="000000"/>
          <w:sz w:val="18"/>
        </w:rPr>
        <w:t>Capacity Markets”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Closing of the Cornerstone Acquisition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June 2026, the Company consummated the Cornerstone Acquisition for an aggregate $3.5 billion, consisting of $2.6 billion in cash, and 2,399,998 shares of TEC common stock, valued at $927 million. The cash portion of the consideration was funded using a portion of the net proceeds of the issuance and sale of the Unsecured Notes due 2031 and 2033 in April 2026. Additionally, in June 2026, we increased the capacities of our existing RCF and LCF.</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connection with the closing of the Cornerstone Acquisition, and pursuant to the Cornerstone RRA, the Company filed a registration statement on Form S-3 (Reg. No. 333-296901), with the SEC on June 18, 2026, registering the shares issued as equity consideration.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Notes 10 and 17 to the Interim Financial Statements for additional information on the Cornerstone Acquisition and related financing transactions and “Part I, Item 1A. Risk Factors—Risks Related to the Cornerstone Acquisition” of our 2025 Annual Report for a discussion of the associated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second quarter 2026, TES entered into various amendments to the Credit Agreement.</w:t>
      </w:r>
    </w:p>
    <w:p>
      <w:pPr>
        <w:pStyle w:val="TextBody"/>
        <w:bidi w:val="0"/>
        <w:spacing w:lineRule="auto" w:line="288" w:before="0" w:after="180"/>
        <w:ind w:left="0" w:right="0" w:firstLine="360"/>
        <w:jc w:val="left"/>
        <w:rPr/>
      </w:pPr>
      <w:r>
        <w:rPr>
          <w:rFonts w:ascii="Arial;sans-serif" w:hAnsi="Arial;sans-serif"/>
          <w:b w:val="false"/>
          <w:i/>
          <w:color w:val="000000"/>
          <w:sz w:val="18"/>
        </w:rPr>
        <w:t>Repricing Transactions.</w:t>
      </w:r>
      <w:r>
        <w:rPr>
          <w:color w:val="000000"/>
        </w:rPr>
        <w:t xml:space="preserve"> </w:t>
      </w:r>
      <w:r>
        <w:rPr>
          <w:rFonts w:ascii="Arial;sans-serif" w:hAnsi="Arial;sans-serif"/>
          <w:b w:val="false"/>
          <w:color w:val="000000"/>
          <w:sz w:val="18"/>
        </w:rPr>
        <w:t>In May 2026, TES repriced the RCF, TLB-1, and TLB-2.</w:t>
      </w:r>
    </w:p>
    <w:p>
      <w:pPr>
        <w:pStyle w:val="TextBody"/>
        <w:bidi w:val="0"/>
        <w:spacing w:lineRule="auto" w:line="288" w:before="0" w:after="180"/>
        <w:ind w:left="0" w:right="0" w:firstLine="360"/>
        <w:jc w:val="left"/>
        <w:rPr/>
      </w:pPr>
      <w:r>
        <w:rPr>
          <w:rFonts w:ascii="Arial;sans-serif" w:hAnsi="Arial;sans-serif"/>
          <w:b w:val="false"/>
          <w:i/>
          <w:color w:val="000000"/>
          <w:sz w:val="18"/>
        </w:rPr>
        <w:t>Upsizes and Extensions.</w:t>
      </w:r>
      <w:r>
        <w:rPr>
          <w:color w:val="000000"/>
        </w:rPr>
        <w:t xml:space="preserve"> </w:t>
      </w:r>
      <w:r>
        <w:rPr>
          <w:rFonts w:ascii="Arial;sans-serif" w:hAnsi="Arial;sans-serif"/>
          <w:b w:val="false"/>
          <w:color w:val="000000"/>
          <w:sz w:val="18"/>
        </w:rPr>
        <w:t>In June 2026, in connection with the Cornerstone Acquisition, TES (i) upsized its existing RCF (including its revolving LC capacity) from $900 million to $1.35 billion; and (ii) upsized its existing $1.1 billion LCF to $1.5 billion and extended its maturity from December 2027 to December 2029. In May 2026, TES extended the maturity of the TLB-1 from May 2030 to November 2032.</w:t>
      </w:r>
    </w:p>
    <w:p>
      <w:pPr>
        <w:pStyle w:val="TextBody"/>
        <w:bidi w:val="0"/>
        <w:spacing w:lineRule="auto" w:line="288" w:before="0" w:after="180"/>
        <w:ind w:left="0" w:right="0" w:firstLine="360"/>
        <w:jc w:val="left"/>
        <w:rPr/>
      </w:pPr>
      <w:r>
        <w:rPr>
          <w:rFonts w:ascii="Arial;sans-serif" w:hAnsi="Arial;sans-serif"/>
          <w:b w:val="false"/>
          <w:i/>
          <w:color w:val="000000"/>
          <w:sz w:val="18"/>
        </w:rPr>
        <w:t>Unsecured Notes due 2031 and 2033.</w:t>
      </w:r>
      <w:r>
        <w:rPr>
          <w:color w:val="000000"/>
        </w:rPr>
        <w:t xml:space="preserve"> </w:t>
      </w:r>
      <w:r>
        <w:rPr>
          <w:rFonts w:ascii="Arial;sans-serif" w:hAnsi="Arial;sans-serif"/>
          <w:b w:val="false"/>
          <w:color w:val="000000"/>
          <w:sz w:val="18"/>
        </w:rPr>
        <w:t>In April 2026, TES issued in private placement transactions not involving a public offering: (i) $1.5 billion in aggregate principal amount of 6.125% Senior Unsecured Notes due 2031; and (ii) $2.5 billion in aggregate principal amount of 6.375% Senior Unsecured Notes due 2033. The net proceeds from the issuance and sale of the Unsecured Notes due 2031 and 2033 were used to (i) fund the Cornerstone Acquisition and (ii) redeem the Company’s outstanding Secured Notes.</w:t>
      </w:r>
    </w:p>
    <w:p>
      <w:pPr>
        <w:pStyle w:val="TextBody"/>
        <w:bidi w:val="0"/>
        <w:spacing w:lineRule="auto" w:line="288" w:before="0" w:after="180"/>
        <w:ind w:left="0" w:right="0" w:firstLine="36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April 2026, TES redeemed in full the Company’s outstanding Secured Notes in aggregate principal amount of $1.2 billion, using a portion of the net proceeds of the Unsecured Notes due 2031 and 2033.</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10 the Interim Financial Statements for additional information on the financing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Common Stock Repurchases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During the three months ended June 30, 2026, we repurchased and retired 550,000 shares of TEC’s outstanding common stock under the SRP. The aggregate purchase price, including transaction fees, was $198 million at a weighted average price of $359.54 per share. As of June 30, 2026, the remaining capacity under the SRP is $1.7 billion through 2028.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15 to the Interim Financial Statements and “Item 2. Unregistered Sales of Equity Securities and Use of Proceeds” of this Report for additional information on the SRP.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Factors Affecting Our Financial Condition and Results of Operations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Earnings in future periods are subject to various uncertainties and risks. See “Cautionary Note Regarding Forward-Looking Information,” “Item 1A. Risk Factors” of our 2025 Annual Report, as updated by our Q1 2026 Quarterly Report, and Notes 2 and 9 to the Interim Financial Statements for additional information on our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Commodity Markets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second quarter 2026, PJM market conditions were influenced by weather-related volatility, as periods of above-average temperatures increased electricity demand and contributed to higher settled on-peak power prices. TETCO M</w:t>
        <w:noBreakHyphen/>
        <w:t>3 natural gas prices settled below the five-year average, reflecting ample supply conditions. Natural gas storage inventories remained above the five-year average throughout the quarter.</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weighted average settled on-peak power prices and natural gas prices for the PJM market for the three months ended June 30, were:</w:t>
      </w:r>
    </w:p>
    <w:tbl>
      <w:tblPr>
        <w:tblW w:w="5909" w:type="dxa"/>
        <w:jc w:val="left"/>
        <w:tblInd w:w="0" w:type="dxa"/>
        <w:tblLayout w:type="fixed"/>
        <w:tblCellMar>
          <w:top w:w="28" w:type="dxa"/>
          <w:left w:w="28" w:type="dxa"/>
          <w:bottom w:w="28" w:type="dxa"/>
          <w:right w:w="28" w:type="dxa"/>
        </w:tblCellMar>
      </w:tblPr>
      <w:tblGrid>
        <w:gridCol w:w="1182"/>
        <w:gridCol w:w="1039"/>
        <w:gridCol w:w="1049"/>
        <w:gridCol w:w="109"/>
        <w:gridCol w:w="109"/>
        <w:gridCol w:w="109"/>
        <w:gridCol w:w="196"/>
        <w:gridCol w:w="556"/>
        <w:gridCol w:w="109"/>
        <w:gridCol w:w="109"/>
        <w:gridCol w:w="109"/>
        <w:gridCol w:w="109"/>
        <w:gridCol w:w="196"/>
        <w:gridCol w:w="556"/>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Day Ahead Peak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52.71 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PPL Zone Day Ahead Peak -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TETCO M-3 - $/MMBtu</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AEP-D Hub Day Ahead Peak -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TETCO M-2 - $/MMBtu</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weighted average forward market prices for the periods from July 1 through December 31 as of June 30, were:</w:t>
      </w:r>
    </w:p>
    <w:tbl>
      <w:tblPr>
        <w:tblW w:w="6186" w:type="dxa"/>
        <w:jc w:val="left"/>
        <w:tblInd w:w="0" w:type="dxa"/>
        <w:tblLayout w:type="fixed"/>
        <w:tblCellMar>
          <w:top w:w="28" w:type="dxa"/>
          <w:left w:w="28" w:type="dxa"/>
          <w:bottom w:w="28" w:type="dxa"/>
          <w:right w:w="28" w:type="dxa"/>
        </w:tblCellMar>
      </w:tblPr>
      <w:tblGrid>
        <w:gridCol w:w="1361"/>
        <w:gridCol w:w="1197"/>
        <w:gridCol w:w="1207"/>
        <w:gridCol w:w="109"/>
        <w:gridCol w:w="109"/>
        <w:gridCol w:w="109"/>
        <w:gridCol w:w="196"/>
        <w:gridCol w:w="556"/>
        <w:gridCol w:w="109"/>
        <w:gridCol w:w="109"/>
        <w:gridCol w:w="109"/>
        <w:gridCol w:w="109"/>
        <w:gridCol w:w="196"/>
        <w:gridCol w:w="556"/>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AEP-D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AEP-D Hub ATC Sparks Spreads - $/MWh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PJM West Hub ATC prices, TETCO M-3 natural gas prices, and a heat rate of 7 MMBtu/MWh.</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(b)Spark spreads are computed based on day-ahead PJM West Hub ATC prices, TETCO M-2 natural gas prices, and a heat rate of 7 MMBtu/MWh.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Capacity Markets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 Additionally, capacity prices may be affected by regulatory proceedings and (or) interventions by government stakeholders.</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PJM Capacity Auctions. </w:t>
      </w:r>
      <w:r>
        <w:rPr>
          <w:rFonts w:ascii="Arial;sans-serif" w:hAnsi="Arial;sans-serif"/>
          <w:b w:val="false"/>
          <w:color w:val="000000"/>
          <w:sz w:val="18"/>
        </w:rPr>
        <w:t xml:space="preserve">Under the PJM Reliability Pricing Model, when held on schedule, the PJM BRA is required to be conducted in the month of May three years prior to the start of the applicable PJM Capacity Year in order for PJM to secure commitments from capacity resources. The results of each PJM BRA impact our capacity revenues expected to be earned for the specific PJM Capacity Year. The capacity market construct provides generation owners some opportunity for revenue visibility on a multiyear basis and is intended to provide a price signal for new generation to be built in the future. Recently, PJM has delayed its auctions, which has resulted in less than 3 years between each auction and the start of the relevant PJM Capacity Year.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Interim Financial Statements for additional information on the PJM capacity market, systemic risks, auction delays, and related legal actions.</w:t>
      </w:r>
    </w:p>
    <w:p>
      <w:pPr>
        <w:pStyle w:val="TextBody"/>
        <w:bidi w:val="0"/>
        <w:spacing w:lineRule="auto" w:line="288" w:before="0" w:after="180"/>
        <w:ind w:left="0" w:right="0" w:firstLine="360"/>
        <w:jc w:val="left"/>
        <w:rPr/>
      </w:pPr>
      <w:r>
        <w:rPr>
          <w:rFonts w:ascii="Arial;sans-serif" w:hAnsi="Arial;sans-serif"/>
          <w:b w:val="false"/>
          <w:i/>
          <w:color w:val="000000"/>
          <w:sz w:val="18"/>
        </w:rPr>
        <w:t>Capacity Prices.</w:t>
      </w:r>
      <w:r>
        <w:rPr>
          <w:color w:val="000000"/>
        </w:rPr>
        <w:t xml:space="preserve"> </w:t>
      </w:r>
      <w:r>
        <w:rPr>
          <w:rFonts w:ascii="Arial;sans-serif" w:hAnsi="Arial;sans-serif"/>
          <w:b w:val="false"/>
          <w:color w:val="000000"/>
          <w:sz w:val="18"/>
        </w:rPr>
        <w:t>The following table displays the cleared capacity prices for completed PJM BRAs for the markets and zones in which we primarily operate:</w:t>
      </w:r>
    </w:p>
    <w:tbl>
      <w:tblPr>
        <w:tblW w:w="9444" w:type="dxa"/>
        <w:jc w:val="left"/>
        <w:tblInd w:w="0" w:type="dxa"/>
        <w:tblLayout w:type="fixed"/>
        <w:tblCellMar>
          <w:top w:w="28" w:type="dxa"/>
          <w:left w:w="28" w:type="dxa"/>
          <w:bottom w:w="28" w:type="dxa"/>
          <w:right w:w="28" w:type="dxa"/>
        </w:tblCellMar>
      </w:tblPr>
      <w:tblGrid>
        <w:gridCol w:w="1120"/>
        <w:gridCol w:w="982"/>
        <w:gridCol w:w="98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8"/>
        <w:gridCol w:w="562"/>
        <w:gridCol w:w="15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2024/2025</w:t>
            </w:r>
          </w:p>
        </w:tc>
      </w:tr>
      <w:tr>
        <w:trPr/>
        <w:tc>
          <w:tcPr>
            <w:tcW w:w="309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PJM Capacity Performance ($/MWd)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MAAC and PPL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RTO</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325.00 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333.44 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329.17 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28.92 </w:t>
            </w:r>
          </w:p>
        </w:tc>
        <w:tc>
          <w:tcPr>
            <w:tcW w:w="155"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(a)Displayed prices are from the applicable market publications.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PJM BRA for the 2028/2029 PJM Capacity Year was held in July 2026 and the Company cleared 10,180 MW at a price of $325.00/MWd.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bookmarkStart w:id="13" w:name="i5e023b0ce8324820aefec2d5d1761da3_36232"/>
      <w:bookmarkEnd w:id="13"/>
      <w:r>
        <w:rPr>
          <w:rFonts w:ascii="Arial;sans-serif" w:hAnsi="Arial;sans-serif"/>
          <w:b/>
          <w:i/>
          <w:color w:val="000000"/>
          <w:sz w:val="18"/>
        </w:rPr>
        <w:t>Seasonality/Scheduled Maintenance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 Susquehanna commenced its planned refueling outage on Unit 1 on March 23, 2026 and successfully completed the work on May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results of operations presented below are prepared in accordance with GAAP and should be reviewed in conjunction with the Interim Financial Statements and the related Notes in this Report. The following discussion provides an analysis of the changes in our results of operations for the three and six months ended June 30, 2026, compared to the three and six months ended June 30, 2025.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and sales under wholesale bilateral contracts. “Fuel and energy purchases” includes costs for fuel to generate electricity and settlements of financial and physical transactions related to fuel and energy purchases.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Results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764"/>
        <w:gridCol w:w="1323"/>
        <w:gridCol w:w="1327"/>
        <w:gridCol w:w="109"/>
        <w:gridCol w:w="109"/>
        <w:gridCol w:w="109"/>
        <w:gridCol w:w="240"/>
        <w:gridCol w:w="517"/>
        <w:gridCol w:w="133"/>
        <w:gridCol w:w="133"/>
        <w:gridCol w:w="133"/>
        <w:gridCol w:w="133"/>
        <w:gridCol w:w="240"/>
        <w:gridCol w:w="517"/>
        <w:gridCol w:w="133"/>
        <w:gridCol w:w="109"/>
        <w:gridCol w:w="109"/>
        <w:gridCol w:w="109"/>
        <w:gridCol w:w="536"/>
        <w:gridCol w:w="1195"/>
        <w:gridCol w:w="301"/>
        <w:gridCol w:w="109"/>
        <w:gridCol w:w="109"/>
        <w:gridCol w:w="109"/>
        <w:gridCol w:w="109"/>
        <w:gridCol w:w="109"/>
        <w:gridCol w:w="109"/>
        <w:gridCol w:w="109"/>
        <w:gridCol w:w="163"/>
      </w:tblGrid>
      <w:tr>
        <w:trPr/>
        <w:tc>
          <w:tcPr>
            <w:tcW w:w="176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Favorable (Unfavorable) 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$(70) and $(16)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(226)</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Three Months Ended June 30, 2026 compared to Three Months Ended June 30,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Net Income (Loss) Attributable to Stockholders decreased by $(164) million, primarily driven by the factors discussed below.</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Revenues, net of Energy Expenses.</w:t>
      </w:r>
      <w:r>
        <w:rPr>
          <w:color w:val="000000"/>
        </w:rPr>
        <w:t xml:space="preserve"> </w:t>
      </w:r>
      <w:r>
        <w:rPr>
          <w:rFonts w:ascii="Arial;sans-serif" w:hAnsi="Arial;sans-serif"/>
          <w:b w:val="false"/>
          <w:color w:val="000000"/>
          <w:sz w:val="18"/>
        </w:rPr>
        <w:t xml:space="preserve">$(9) million unfavorable decrease, primarily due to the following: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Energy and other revenues, net of Fuel and energy purchases. </w:t>
      </w:r>
      <w:r>
        <w:rPr>
          <w:rFonts w:ascii="Arial;sans-serif" w:hAnsi="Arial;sans-serif"/>
          <w:b w:val="false"/>
          <w:color w:val="000000"/>
          <w:sz w:val="18"/>
        </w:rPr>
        <w:t>$149 million favorable increase. This is primarily related to an increase in generation volumes: (i) as a result of the Freedom and Guernsey acquisitions that were completed in November 2025; and (ii) at Susquehanna and our other dispatchable fossil generation facilities.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Capacity revenues. </w:t>
      </w:r>
      <w:r>
        <w:rPr>
          <w:rFonts w:ascii="Arial;sans-serif" w:hAnsi="Arial;sans-serif"/>
          <w:b w:val="false"/>
          <w:color w:val="000000"/>
          <w:sz w:val="18"/>
        </w:rPr>
        <w:t>$149 million favorable increase. This is primarily driven by higher cleared capacity prices received through the 2025/2026 PJM BRA compared to the 2024/2025 PJM BRA, and higher capacity results due to the Freedom and Guernsey acquisitions that were completed in November 2025.</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Unrealized gain (loss) on derivative instruments, net. </w:t>
      </w:r>
      <w:r>
        <w:rPr>
          <w:rFonts w:ascii="Arial;sans-serif" w:hAnsi="Arial;sans-serif"/>
          <w:b w:val="false"/>
          <w:color w:val="000000"/>
          <w:sz w:val="18"/>
        </w:rPr>
        <w:t>$(303) million unfavorable decrease. This is primarily related to the change in fair value of mark-to-market contracts resulting from higher forward power prices that is partially offset by the change in fair value associated with mark-to-market contracts acquired as a result of the Cornerstone Acquisition.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General and administrative. $(57) million unfavorable increase. </w:t>
      </w:r>
      <w:r>
        <w:rPr>
          <w:rFonts w:ascii="Arial;sans-serif" w:hAnsi="Arial;sans-serif"/>
          <w:b w:val="false"/>
          <w:color w:val="000000"/>
          <w:sz w:val="18"/>
        </w:rPr>
        <w:t>This is primarily associated with: (i) the expense recognized in the current period for stock-based compensation awards granted in the first quarter 2026, and (ii) the effects from a change from equity to liability classification for certain awards in the fourth quarter 2025. Refer to Note 13 to the Interim Financial Statements for additional information on stock-based compensation.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$(33) million unfavorable increase. This is primarily due to an increase in depreciation associated with the Freedom and Guernsey acquisitions that were completed in November 2025.</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$54 million favorable increase. This is primarily due to unrealized gains on investments in equity securities.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Interest expense and other finance charges. </w:t>
      </w:r>
      <w:r>
        <w:rPr>
          <w:rFonts w:ascii="Arial;sans-serif" w:hAnsi="Arial;sans-serif"/>
          <w:b w:val="false"/>
          <w:color w:val="000000"/>
          <w:sz w:val="18"/>
        </w:rPr>
        <w:t xml:space="preserve">$(152) million unfavorable increase. This primarily consisted of: </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18"/>
        </w:rPr>
        <w:t>$(60) million increase in cash interest expense on the TLB-3 and Unsecured Notes due 2034 and 2036, each issued in the fourth quarter 2025 in connection with the Freedom and Guernsey acquisitions that were completed in November 2025.</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18"/>
        </w:rPr>
        <w:t xml:space="preserve">$(25) million increase in cash interest expense due to the combined effect of financing transactions in April 2026 that included the issuances of the Unsecured Notes due 2031 and 2033 and redemption of the Secured Notes.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$(54) million non-recurring make-whole payments associated with the redemption of the Secured Notes.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Refer to Note 10 to the Interim Financial Statements for additional information on long-term debt transactions, including the issuances associated with the Cornerstone Acquisition.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$62 million favorable increase. This is primarily related to a change from pre-tax income for the three months ended June 30, 2025 to pre-tax loss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Results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788"/>
        <w:gridCol w:w="1348"/>
        <w:gridCol w:w="1351"/>
        <w:gridCol w:w="109"/>
        <w:gridCol w:w="109"/>
        <w:gridCol w:w="109"/>
        <w:gridCol w:w="109"/>
        <w:gridCol w:w="109"/>
        <w:gridCol w:w="109"/>
        <w:gridCol w:w="109"/>
        <w:gridCol w:w="214"/>
        <w:gridCol w:w="610"/>
        <w:gridCol w:w="119"/>
        <w:gridCol w:w="119"/>
        <w:gridCol w:w="119"/>
        <w:gridCol w:w="119"/>
        <w:gridCol w:w="214"/>
        <w:gridCol w:w="462"/>
        <w:gridCol w:w="119"/>
        <w:gridCol w:w="109"/>
        <w:gridCol w:w="109"/>
        <w:gridCol w:w="109"/>
        <w:gridCol w:w="551"/>
        <w:gridCol w:w="1184"/>
        <w:gridCol w:w="308"/>
        <w:gridCol w:w="109"/>
        <w:gridCol w:w="109"/>
        <w:gridCol w:w="109"/>
        <w:gridCol w:w="163"/>
      </w:tblGrid>
      <w:tr>
        <w:trPr/>
        <w:tc>
          <w:tcPr>
            <w:tcW w:w="178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Favorable (Unfavorable) 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3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1,876</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(520)</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$(69) and $(27))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44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Six Months Ended June 30, 2026 compared to Six Months Ended June 30,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Net Income (Loss) Attributable to Stockholders increased by $34 million, primarily driven by the factors discussed below.</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Revenues, net of Energy Expenses.</w:t>
      </w:r>
      <w:r>
        <w:rPr>
          <w:color w:val="000000"/>
        </w:rPr>
        <w:t xml:space="preserve"> </w:t>
      </w:r>
      <w:r>
        <w:rPr>
          <w:rFonts w:ascii="Arial;sans-serif" w:hAnsi="Arial;sans-serif"/>
          <w:b w:val="false"/>
          <w:color w:val="000000"/>
          <w:sz w:val="18"/>
        </w:rPr>
        <w:t>$336 million favorable increase, primarily due to the following:</w:t>
      </w:r>
    </w:p>
    <w:p>
      <w:pPr>
        <w:pStyle w:val="TextBody"/>
        <w:bidi w:val="0"/>
        <w:spacing w:lineRule="auto" w:line="256" w:before="0" w:after="180"/>
        <w:ind w:left="0" w:right="0" w:hanging="360"/>
        <w:jc w:val="left"/>
        <w:rPr/>
      </w:pPr>
      <w:r>
        <w:rPr>
          <w:color w:val="000000"/>
        </w:rPr>
        <w:t>◦</w:t>
      </w:r>
      <w:r>
        <w:rPr>
          <w:rFonts w:ascii="Arial;sans-serif" w:hAnsi="Arial;sans-serif"/>
          <w:b w:val="false"/>
          <w:i/>
          <w:color w:val="000000"/>
          <w:sz w:val="18"/>
        </w:rPr>
        <w:t xml:space="preserve">Energy and other revenues, net of Fuel and energy purchases. </w:t>
      </w:r>
      <w:r>
        <w:rPr>
          <w:rFonts w:ascii="Arial;sans-serif" w:hAnsi="Arial;sans-serif"/>
          <w:b w:val="false"/>
          <w:color w:val="000000"/>
          <w:sz w:val="18"/>
        </w:rPr>
        <w:t>$306 million favorable increase. This is primarily related to a favorable increase in margin associated with electric generation as a result of: (i) the Freedom and Guernsey acquisitions that were completed in November 2025; (ii) higher realized market prices; and (iii) higher generation volumes at Susquehanna and our dispatchable fossil generation facilities. Such favorable increase in margin associated with electric generation is partially offset by lower realized hedge results.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Capacity revenues. </w:t>
      </w:r>
      <w:r>
        <w:rPr>
          <w:rFonts w:ascii="Arial;sans-serif" w:hAnsi="Arial;sans-serif"/>
          <w:b w:val="false"/>
          <w:color w:val="000000"/>
          <w:sz w:val="18"/>
        </w:rPr>
        <w:t>$307 million favorable increase. This is primarily driven by: (i) higher cleared capacity prices, partially offset by a decrease to lowered cleared volumes through the 2025/2026 PJM BRA compared to the 2024/2025 PJM BRA; and (ii) higher capacity results due to the Freedom and Guernsey acquisitions that were completed in November 2025.</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Unrealized gain (loss) on derivative instruments, net. </w:t>
      </w:r>
      <w:r>
        <w:rPr>
          <w:rFonts w:ascii="Arial;sans-serif" w:hAnsi="Arial;sans-serif"/>
          <w:b w:val="false"/>
          <w:color w:val="000000"/>
          <w:sz w:val="18"/>
        </w:rPr>
        <w:t>$(275) million unfavorable decrease. This is primarily related to the change in fair value mark-to-mark contracts resulting from higher forward power prices associated with net short power positions that is partially offset by the change in fair value associated with market-to-market contracts acquired as a result of the Cornerstone Acquisition.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$(37) million unfavorable increase. Higher generation facility operating costs are due to: (i) an increase associated with the Freedom and Guernsey acquisitions, which were completed in November 2025; (ii) outage and major maintenance projects at our dispatchable fossil generation facilities; and (iii) ongoing operating costs associated with the Brandon Shores and H.A. Wagner RMR Agreements, which began in June 2025.</w:t>
      </w:r>
    </w:p>
    <w:p>
      <w:pPr>
        <w:pStyle w:val="TextBody"/>
        <w:bidi w:val="0"/>
        <w:spacing w:lineRule="auto" w:line="268" w:before="0" w:after="180"/>
        <w:ind w:left="0" w:right="0" w:hanging="360"/>
        <w:jc w:val="left"/>
        <w:rPr/>
      </w:pPr>
      <w:r>
        <w:rPr>
          <w:color w:val="000000"/>
        </w:rPr>
        <w:t>•</w:t>
      </w:r>
      <w:r>
        <w:rPr>
          <w:rFonts w:ascii="Arial;sans-serif" w:hAnsi="Arial;sans-serif"/>
          <w:b w:val="false"/>
          <w:i/>
          <w:color w:val="000000"/>
          <w:sz w:val="18"/>
        </w:rPr>
        <w:t>General and administrative.</w:t>
      </w:r>
      <w:r>
        <w:rPr>
          <w:color w:val="000000"/>
        </w:rPr>
        <w:t xml:space="preserve"> </w:t>
      </w:r>
      <w:r>
        <w:rPr>
          <w:rFonts w:ascii="Arial;sans-serif" w:hAnsi="Arial;sans-serif"/>
          <w:b w:val="false"/>
          <w:color w:val="000000"/>
          <w:sz w:val="18"/>
        </w:rPr>
        <w:t>$(47) million unfavorable increase. This is primarily associated with the expense recognized in the current period for stock-based compensation awards granted in the first quarter 2026. Refer to Note 13 to the Interim Financial Statements for additional information on stock-based compensation.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$(51) million unfavorable increase. This is primarily due to an increase in depreciation associated with the Freedom and Guernsey acquisitions that were completed in November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$44 million favorable increase. This is primarily due to unrealized gains on investments in equity securities.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 xml:space="preserve">$(197) million unfavorable increase. This primarily consisted of: </w:t>
      </w:r>
    </w:p>
    <w:p>
      <w:pPr>
        <w:pStyle w:val="TextBody"/>
        <w:bidi w:val="0"/>
        <w:spacing w:lineRule="auto" w:line="240" w:before="0" w:after="180"/>
        <w:ind w:left="0" w:right="0" w:hanging="360"/>
        <w:jc w:val="left"/>
        <w:rPr/>
      </w:pPr>
      <w:r>
        <w:rPr>
          <w:color w:val="000000"/>
        </w:rPr>
        <w:t>◦</w:t>
      </w:r>
      <w:r>
        <w:rPr>
          <w:rFonts w:ascii="Arial;sans-serif" w:hAnsi="Arial;sans-serif"/>
          <w:b w:val="false"/>
          <w:color w:val="000000"/>
          <w:sz w:val="18"/>
        </w:rPr>
        <w:t>$(120) million increase in cash interest expense on the TLB-3 and Unsecured Notes due 2034 and 2036, each issued in the fourth quarter 2025 in connection with the Freedom and Guernsey acquisitions that were completed in November 2025.</w:t>
      </w:r>
    </w:p>
    <w:p>
      <w:pPr>
        <w:pStyle w:val="TextBody"/>
        <w:bidi w:val="0"/>
        <w:spacing w:lineRule="auto" w:line="240" w:before="0" w:after="180"/>
        <w:ind w:left="0" w:right="0" w:hanging="360"/>
        <w:jc w:val="left"/>
        <w:rPr/>
      </w:pPr>
      <w:r>
        <w:rPr>
          <w:color w:val="000000"/>
        </w:rPr>
        <w:t>◦</w:t>
      </w:r>
      <w:r>
        <w:rPr>
          <w:rFonts w:ascii="Arial;sans-serif" w:hAnsi="Arial;sans-serif"/>
          <w:b w:val="false"/>
          <w:color w:val="000000"/>
          <w:sz w:val="18"/>
        </w:rPr>
        <w:t xml:space="preserve">$(25) million increase in cash interest expense due to the combined effect of financing transactions in April 2026 that included the issuances of the Unsecured Notes due 2031 and 2033 and redemption of the Secured Notes. </w:t>
      </w:r>
    </w:p>
    <w:p>
      <w:pPr>
        <w:pStyle w:val="TextBody"/>
        <w:bidi w:val="0"/>
        <w:spacing w:lineRule="auto" w:line="240" w:before="0" w:after="180"/>
        <w:ind w:left="0" w:right="0" w:hanging="360"/>
        <w:jc w:val="left"/>
        <w:rPr/>
      </w:pPr>
      <w:r>
        <w:rPr>
          <w:color w:val="000000"/>
        </w:rPr>
        <w:t>◦</w:t>
      </w:r>
      <w:r>
        <w:rPr>
          <w:rFonts w:ascii="Arial;sans-serif" w:hAnsi="Arial;sans-serif"/>
          <w:b w:val="false"/>
          <w:color w:val="000000"/>
          <w:sz w:val="18"/>
        </w:rPr>
        <w:t xml:space="preserve">$(54) million non-recurring make-whole payments associated with the redemption of the Secured Notes.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Refer to Note 10 to the Interim Financial Statements for additional information on long-term debt transactions, including the issuances associated with the Cornerstone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liquidity and capital requirements are generally a function of: (i) debt service requirements; (ii) capital expenditures; (iii) maintenance activities; (iv) liquidity requirements for our commercial and hedging activities including settlements,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contracts lowers our overall hedging requirements.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the following Notes to the Interim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Liquidity and Letter of Credit Capacity</w:t>
      </w:r>
    </w:p>
    <w:tbl>
      <w:tblPr>
        <w:tblW w:w="5804" w:type="dxa"/>
        <w:jc w:val="left"/>
        <w:tblInd w:w="0" w:type="dxa"/>
        <w:tblLayout w:type="fixed"/>
        <w:tblCellMar>
          <w:top w:w="28" w:type="dxa"/>
          <w:left w:w="28" w:type="dxa"/>
          <w:bottom w:w="28" w:type="dxa"/>
          <w:right w:w="28" w:type="dxa"/>
        </w:tblCellMar>
      </w:tblPr>
      <w:tblGrid>
        <w:gridCol w:w="1108"/>
        <w:gridCol w:w="972"/>
        <w:gridCol w:w="979"/>
        <w:gridCol w:w="109"/>
        <w:gridCol w:w="109"/>
        <w:gridCol w:w="109"/>
        <w:gridCol w:w="196"/>
        <w:gridCol w:w="571"/>
        <w:gridCol w:w="109"/>
        <w:gridCol w:w="109"/>
        <w:gridCol w:w="109"/>
        <w:gridCol w:w="109"/>
        <w:gridCol w:w="258"/>
        <w:gridCol w:w="753"/>
        <w:gridCol w:w="20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unrestricted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Unutilized RCF capacity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available liquidity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300" w:after="283"/>
              <w:jc w:val="left"/>
              <w:rPr/>
            </w:pPr>
            <w:r>
              <w:rPr>
                <w:rFonts w:ascii="Arial;sans-serif" w:hAnsi="Arial;sans-serif"/>
                <w:b/>
                <w:color w:val="000000"/>
                <w:sz w:val="16"/>
              </w:rPr>
              <w:t xml:space="preserve">Additional unutilized LC capacity </w:t>
            </w:r>
            <w:r>
              <w:rPr>
                <w:rFonts w:ascii="Arial;sans-serif" w:hAnsi="Arial;sans-serif"/>
                <w:b/>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w:t>
            </w:r>
            <w:r>
              <w:rPr>
                <w:color w:val="000000"/>
              </w:rPr>
              <w:t>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20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(b)Includes LC capacity under the LCF and excludes LC capacity available under the RCF.</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Interim Financial Statements for additional information on the RCF and LCF.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Financial Performance Assurances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tbl>
      <w:tblPr>
        <w:tblW w:w="4643"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206"/>
        <w:gridCol w:w="444"/>
        <w:gridCol w:w="115"/>
        <w:gridCol w:w="109"/>
        <w:gridCol w:w="109"/>
        <w:gridCol w:w="109"/>
        <w:gridCol w:w="308"/>
        <w:gridCol w:w="663"/>
        <w:gridCol w:w="24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0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surety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1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Forecasted Uses of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pPr>
      <w:r>
        <w:rPr>
          <w:rFonts w:ascii="Arial;sans-serif" w:hAnsi="Arial;sans-serif"/>
          <w:b w:val="false"/>
          <w:i/>
          <w:color w:val="000000"/>
          <w:sz w:val="18"/>
        </w:rPr>
        <w:t>Capital Expenditures.</w:t>
      </w:r>
      <w:r>
        <w:rPr>
          <w:color w:val="000000"/>
        </w:rPr>
        <w:t xml:space="preserve"> </w:t>
      </w:r>
      <w:r>
        <w:rPr>
          <w:rFonts w:ascii="Arial;sans-serif" w:hAnsi="Arial;sans-serif"/>
          <w:b w:val="false"/>
          <w:color w:val="000000"/>
          <w:sz w:val="18"/>
        </w:rPr>
        <w:t>Capital expenditure plans are revised periodically for changes in operational needs, market conditions, regulatory requirements, and cost projections. Accordingly, the expected cash requirements for capital expenditures are subject to revision.</w:t>
      </w:r>
    </w:p>
    <w:tbl>
      <w:tblPr>
        <w:tblW w:w="4520" w:type="dxa"/>
        <w:jc w:val="left"/>
        <w:tblInd w:w="0" w:type="dxa"/>
        <w:tblLayout w:type="fixed"/>
        <w:tblCellMar>
          <w:top w:w="28" w:type="dxa"/>
          <w:left w:w="28" w:type="dxa"/>
          <w:bottom w:w="28" w:type="dxa"/>
          <w:right w:w="28" w:type="dxa"/>
        </w:tblCellMar>
      </w:tblPr>
      <w:tblGrid>
        <w:gridCol w:w="847"/>
        <w:gridCol w:w="745"/>
        <w:gridCol w:w="747"/>
        <w:gridCol w:w="109"/>
        <w:gridCol w:w="109"/>
        <w:gridCol w:w="109"/>
        <w:gridCol w:w="196"/>
        <w:gridCol w:w="436"/>
        <w:gridCol w:w="109"/>
        <w:gridCol w:w="109"/>
        <w:gridCol w:w="109"/>
        <w:gridCol w:w="109"/>
        <w:gridCol w:w="196"/>
        <w:gridCol w:w="43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r>
      <w:tr>
        <w:trPr/>
        <w:tc>
          <w:tcPr>
            <w:tcW w:w="2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nuclear generation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fossil generation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(a)Expected capitalized interest on capital expenditures is a non-material amount in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Cash Flow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Net cash provided by (used in) operating, investing, and financing activities for the periods was:</w:t>
      </w:r>
    </w:p>
    <w:tbl>
      <w:tblPr>
        <w:tblW w:w="7734" w:type="dxa"/>
        <w:jc w:val="left"/>
        <w:tblInd w:w="0" w:type="dxa"/>
        <w:tblLayout w:type="fixed"/>
        <w:tblCellMar>
          <w:top w:w="28" w:type="dxa"/>
          <w:left w:w="28" w:type="dxa"/>
          <w:bottom w:w="28" w:type="dxa"/>
          <w:right w:w="28" w:type="dxa"/>
        </w:tblCellMar>
      </w:tblPr>
      <w:tblGrid>
        <w:gridCol w:w="547"/>
        <w:gridCol w:w="483"/>
        <w:gridCol w:w="484"/>
        <w:gridCol w:w="109"/>
        <w:gridCol w:w="109"/>
        <w:gridCol w:w="109"/>
        <w:gridCol w:w="263"/>
        <w:gridCol w:w="445"/>
        <w:gridCol w:w="146"/>
        <w:gridCol w:w="146"/>
        <w:gridCol w:w="146"/>
        <w:gridCol w:w="146"/>
        <w:gridCol w:w="263"/>
        <w:gridCol w:w="545"/>
        <w:gridCol w:w="146"/>
        <w:gridCol w:w="109"/>
        <w:gridCol w:w="109"/>
        <w:gridCol w:w="109"/>
        <w:gridCol w:w="109"/>
        <w:gridCol w:w="109"/>
        <w:gridCol w:w="109"/>
        <w:gridCol w:w="109"/>
        <w:gridCol w:w="109"/>
        <w:gridCol w:w="798"/>
        <w:gridCol w:w="1348"/>
        <w:gridCol w:w="629"/>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Favorable (Unfavorable) 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6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2,283 </w:t>
            </w:r>
          </w:p>
        </w:tc>
        <w:tc>
          <w:tcPr>
            <w:tcW w:w="14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4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2,334 </w:t>
            </w:r>
          </w:p>
        </w:tc>
        <w:tc>
          <w:tcPr>
            <w:tcW w:w="62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change of $92 million in net cash provided by (used in) operating activities is generally aligned with results from operations combined with working capital changes in the normal course of business. See “—Results of Operations” for additional information.</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change of $(2.7) billion in net cash provided by (used in) investing activities was primarily due to $(2.6) billion used to finance the Cornerstone Acquisition. See Note 17 to the Interim Financial Statements for additional information on the acquisition.</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 change of $2.3 billion in net cash provided by (used in) financing activities was primarily due to (i) $4.0 billion in new debt from the issuance of the Unsecured Notes due 2031 and 2033; (ii) $(1.2) billion redemption of the Secured Notes; (iii) $(195) million decrease in share repurchases; and (iv) $(140) million in payments for tax withholdings related to stock-based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Contractual Obligations and Commitments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Guarantees of Subsidiary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guarantees certain agreements and obligations for its subsidiaries. Certain agreements may contingently require payments to a guaranteed or indemnified party. See “Guarantees and Other Assurances” in Note 9 to the Interim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700"/>
        <w:gridCol w:w="1471"/>
        <w:gridCol w:w="1464"/>
        <w:gridCol w:w="109"/>
        <w:gridCol w:w="109"/>
        <w:gridCol w:w="109"/>
        <w:gridCol w:w="279"/>
        <w:gridCol w:w="621"/>
        <w:gridCol w:w="154"/>
        <w:gridCol w:w="154"/>
        <w:gridCol w:w="154"/>
        <w:gridCol w:w="154"/>
        <w:gridCol w:w="279"/>
        <w:gridCol w:w="492"/>
        <w:gridCol w:w="154"/>
        <w:gridCol w:w="109"/>
        <w:gridCol w:w="109"/>
        <w:gridCol w:w="109"/>
        <w:gridCol w:w="238"/>
        <w:gridCol w:w="532"/>
        <w:gridCol w:w="132"/>
        <w:gridCol w:w="132"/>
        <w:gridCol w:w="132"/>
        <w:gridCol w:w="132"/>
        <w:gridCol w:w="238"/>
        <w:gridCol w:w="532"/>
        <w:gridCol w:w="132"/>
        <w:gridCol w:w="109"/>
        <w:gridCol w:w="166"/>
      </w:tblGrid>
      <w:tr>
        <w:trPr/>
        <w:tc>
          <w:tcPr>
            <w:tcW w:w="170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our 2025 Annual Report for a description of our significant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2 to the Interim Financial Statements for a description of our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4" w:name="ib4f82f200d17434a9b8b42cd0b95952c_5906"/>
      <w:bookmarkEnd w:id="14"/>
      <w:r>
        <w:rPr>
          <w:rFonts w:ascii="Arial;sans-serif" w:hAnsi="Arial;sans-serif"/>
          <w:b/>
          <w:color w:val="000000"/>
          <w:sz w:val="18"/>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have evaluated, under the supervision and with the participation of management, including our principal executive officer and principal financial officer,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as of June 30, 2026.</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During the three months ended June 30, 2026, management was in the process of integrating the internal controls of the entities recently acquired in the Cornerstone Acquisition into the Company’s existing operations. Other than additional controls associated with the Cornerstone Acquisition, there were no changes in our internal control over financial reporting that occurred during the three months ended June 30, 2026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have been no additional material developments with respect to the information previously reported under “Part I, Item 3. Legal Proceedings” of our 2025 Annual Report, as updated by our Q1 2026 Quarterly Report.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Interim Financial Statements for information about other material legal proceedings to which we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5" w:name="i0390e12e5a304b65bb07a86287de109b_3639"/>
      <w:bookmarkEnd w:id="15"/>
      <w:r>
        <w:rPr>
          <w:rFonts w:ascii="Arial;sans-serif" w:hAnsi="Arial;sans-serif"/>
          <w:b/>
          <w:color w:val="000000"/>
          <w:sz w:val="18"/>
        </w:rPr>
        <w:t>ITEM 1A. RISK FACTORS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information related to the Company’s risk factors, see “Part I, Item 1A. Risk Factors”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Issuer Purchases of Equity Securities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contains information regarding our purchases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32"/>
        <w:gridCol w:w="292"/>
        <w:gridCol w:w="293"/>
        <w:gridCol w:w="109"/>
        <w:gridCol w:w="109"/>
        <w:gridCol w:w="109"/>
        <w:gridCol w:w="580"/>
        <w:gridCol w:w="493"/>
        <w:gridCol w:w="494"/>
        <w:gridCol w:w="109"/>
        <w:gridCol w:w="109"/>
        <w:gridCol w:w="109"/>
        <w:gridCol w:w="283"/>
        <w:gridCol w:w="955"/>
        <w:gridCol w:w="157"/>
        <w:gridCol w:w="109"/>
        <w:gridCol w:w="109"/>
        <w:gridCol w:w="109"/>
        <w:gridCol w:w="835"/>
        <w:gridCol w:w="776"/>
        <w:gridCol w:w="779"/>
        <w:gridCol w:w="109"/>
        <w:gridCol w:w="109"/>
        <w:gridCol w:w="109"/>
        <w:gridCol w:w="566"/>
        <w:gridCol w:w="1608"/>
        <w:gridCol w:w="454"/>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publicly announced plan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 </w:t>
            </w:r>
            <w:r>
              <w:rPr>
                <w:rFonts w:ascii="Arial;sans-serif" w:hAnsi="Arial;sans-serif"/>
                <w:b/>
                <w:color w:val="000000"/>
                <w:sz w:val="10"/>
              </w:rPr>
              <w:t>(c)</w:t>
            </w:r>
          </w:p>
        </w:tc>
      </w:tr>
      <w:tr>
        <w:trPr/>
        <w:tc>
          <w:tcPr>
            <w:tcW w:w="91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4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133,327 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133,327 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416,673 </w:t>
            </w:r>
          </w:p>
        </w:tc>
        <w:tc>
          <w:tcPr>
            <w:tcW w:w="4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358.98 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416,673 </w:t>
            </w:r>
          </w:p>
        </w:tc>
        <w:tc>
          <w:tcPr>
            <w:tcW w:w="7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4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550,000</w:t>
            </w:r>
            <w:r>
              <w:rPr>
                <w:color w:val="000000"/>
              </w:rPr>
              <w:t>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359.53</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550,000</w:t>
            </w:r>
            <w:r>
              <w:rPr>
                <w:color w:val="000000"/>
              </w:rPr>
              <w:t> </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transaction costs and excise taxes.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(b)Represents shares repurchased under the SRP. See below for a description of the SRP.</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(c)Dollars in millions.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Board of Directors approved the SRP in October 2023, authorizing the Company to repurchase TEC’s outstanding shares of common stock. See “Part II, Item 5. Market for Registrant’s Common Equity, Related Stockholder Matters and Issuer Purchases of Equity Securities” in our 2025 Annual Report for additional information related to the SRP and shares repurchased under the SRP.</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contains information on changes to the SRP since program inception:</w:t>
      </w:r>
    </w:p>
    <w:tbl>
      <w:tblPr>
        <w:tblW w:w="8751" w:type="dxa"/>
        <w:jc w:val="left"/>
        <w:tblInd w:w="0" w:type="dxa"/>
        <w:tblLayout w:type="fixed"/>
        <w:tblCellMar>
          <w:top w:w="28" w:type="dxa"/>
          <w:left w:w="28" w:type="dxa"/>
          <w:bottom w:w="28" w:type="dxa"/>
          <w:right w:w="28" w:type="dxa"/>
        </w:tblCellMar>
      </w:tblPr>
      <w:tblGrid>
        <w:gridCol w:w="776"/>
        <w:gridCol w:w="682"/>
        <w:gridCol w:w="686"/>
        <w:gridCol w:w="109"/>
        <w:gridCol w:w="109"/>
        <w:gridCol w:w="109"/>
        <w:gridCol w:w="564"/>
        <w:gridCol w:w="564"/>
        <w:gridCol w:w="566"/>
        <w:gridCol w:w="109"/>
        <w:gridCol w:w="109"/>
        <w:gridCol w:w="109"/>
        <w:gridCol w:w="1080"/>
        <w:gridCol w:w="2325"/>
        <w:gridCol w:w="8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Board Authorization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SRP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Remaining SRP Capacity at Time of Authorization </w:t>
            </w:r>
            <w:r>
              <w:rPr>
                <w:rFonts w:ascii="Arial;sans-serif" w:hAnsi="Arial;sans-serif"/>
                <w:b/>
                <w:color w:val="000000"/>
                <w:sz w:val="10"/>
              </w:rPr>
              <w:t>(a)</w:t>
            </w:r>
          </w:p>
        </w:tc>
      </w:tr>
      <w:tr>
        <w:trPr/>
        <w:tc>
          <w:tcPr>
            <w:tcW w:w="21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 2023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3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8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8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8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(a)Dollars in millions.</w:t>
      </w:r>
    </w:p>
    <w:p>
      <w:pPr>
        <w:pStyle w:val="TextBody"/>
        <w:bidi w:val="0"/>
        <w:spacing w:before="0" w:after="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a description of limitations on the payment of our dividends, see “Part II, Item 5. Market for Registrant’s Common Equity, Related Stockholder Matters and Issuer Purchases of Equity Securities”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DEFAULTS UPON SENIOR SECURITIES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6" w:name="i029e02ee5b44422289f62612912cfb6f_304"/>
      <w:bookmarkEnd w:id="16"/>
      <w:r>
        <w:rPr>
          <w:rFonts w:ascii="Arial;sans-serif" w:hAnsi="Arial;sans-serif"/>
          <w:b/>
          <w:color w:val="000000"/>
          <w:sz w:val="18"/>
        </w:rPr>
        <w:t>ITEM 4. MINE SAFETY DISCLOSURES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Rule 10b5-1 Trading Plans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three months ended June 30, 2026, none of our directors or “officers” (as such term is defined in Rule 16(a)-1(f) under the Exchange Act) adopted or terminated a “Rule 10b5-1 trading agreement” or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59"/>
        <w:gridCol w:w="227"/>
        <w:gridCol w:w="228"/>
        <w:gridCol w:w="109"/>
        <w:gridCol w:w="109"/>
        <w:gridCol w:w="109"/>
        <w:gridCol w:w="1662"/>
        <w:gridCol w:w="1570"/>
        <w:gridCol w:w="1586"/>
        <w:gridCol w:w="109"/>
        <w:gridCol w:w="109"/>
        <w:gridCol w:w="109"/>
        <w:gridCol w:w="176"/>
        <w:gridCol w:w="176"/>
        <w:gridCol w:w="177"/>
        <w:gridCol w:w="109"/>
        <w:gridCol w:w="109"/>
        <w:gridCol w:w="109"/>
        <w:gridCol w:w="258"/>
        <w:gridCol w:w="258"/>
        <w:gridCol w:w="260"/>
        <w:gridCol w:w="109"/>
        <w:gridCol w:w="109"/>
        <w:gridCol w:w="109"/>
        <w:gridCol w:w="401"/>
        <w:gridCol w:w="241"/>
        <w:gridCol w:w="224"/>
        <w:gridCol w:w="109"/>
        <w:gridCol w:w="109"/>
        <w:gridCol w:w="109"/>
        <w:gridCol w:w="250"/>
        <w:gridCol w:w="250"/>
        <w:gridCol w:w="367"/>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2.1</w:t>
            </w:r>
            <w:r>
              <w:rPr>
                <w:rFonts w:ascii="Arial;sans-serif" w:hAnsi="Arial;sans-serif"/>
                <w:b w:val="false"/>
                <w:color w:val="000000"/>
                <w:sz w:val="10"/>
              </w:rPr>
              <w:t>#</w:t>
            </w: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Agreement and Plan of Merger, dated as of January 15, 2026, by and among Talen Energy Corporation, Cornerstone Generation Holdings, LP, ECP Cornerstone Generation Holdings GP, LLC, ECP V-B (AG IP) Blocker Corp, ECP V-C (AG IP) Blocker Corp, ECP V-D (AG IP) Blocker Corp, ECP V-D, as a holder representative, and solely for the limited purposes set forth therein, ECP GP V, LP.</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26,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2.1</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Third Amended and Restated Certificate of Incorporation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Second Amended and Restated Bylaws of Talen Energy Corporation</w:t>
              </w:r>
            </w:hyperlink>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80"/>
                  <w:sz w:val="16"/>
                  <w:u w:val="single"/>
                </w:rPr>
                <w:t>Registration Rights Agreeme</w:t>
              </w:r>
            </w:hyperlink>
            <w:hyperlink r:id="rId6">
              <w:r>
                <w:rPr>
                  <w:rStyle w:val="InternetLink"/>
                  <w:rFonts w:ascii="Arial;sans-serif" w:hAnsi="Arial;sans-serif"/>
                  <w:b w:val="false"/>
                  <w:color w:val="000080"/>
                  <w:sz w:val="16"/>
                  <w:u w:val="single"/>
                </w:rPr>
                <w:t>nt</w:t>
              </w:r>
            </w:hyperlink>
            <w:hyperlink r:id="rId7">
              <w:r>
                <w:rPr>
                  <w:rStyle w:val="InternetLink"/>
                  <w:rFonts w:ascii="Arial;sans-serif" w:hAnsi="Arial;sans-serif"/>
                  <w:b w:val="false"/>
                  <w:color w:val="000080"/>
                  <w:sz w:val="16"/>
                  <w:u w:val="single"/>
                </w:rPr>
                <w:t>, dated June 15</w:t>
              </w:r>
            </w:hyperlink>
            <w:hyperlink r:id="rId8">
              <w:r>
                <w:rPr>
                  <w:rStyle w:val="InternetLink"/>
                  <w:rFonts w:ascii="Arial;sans-serif" w:hAnsi="Arial;sans-serif"/>
                  <w:b w:val="false"/>
                  <w:color w:val="000080"/>
                  <w:sz w:val="16"/>
                  <w:u w:val="single"/>
                </w:rPr>
                <w:t>, 2026, by and among Tale</w:t>
              </w:r>
            </w:hyperlink>
            <w:hyperlink r:id="rId9">
              <w:r>
                <w:rPr>
                  <w:rStyle w:val="InternetLink"/>
                  <w:rFonts w:ascii="Arial;sans-serif" w:hAnsi="Arial;sans-serif"/>
                  <w:b w:val="false"/>
                  <w:color w:val="000080"/>
                  <w:sz w:val="16"/>
                  <w:u w:val="single"/>
                </w:rPr>
                <w:t>n Energy Corporation and the holders named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80"/>
                  <w:sz w:val="16"/>
                  <w:u w:val="single"/>
                </w:rPr>
                <w:t xml:space="preserve">Indenture, dated as of April 29, 2026, by and among Talen Energy Supply, LLC, the </w:t>
              </w:r>
            </w:hyperlink>
            <w:hyperlink r:id="rId11">
              <w:r>
                <w:rPr>
                  <w:rStyle w:val="InternetLink"/>
                  <w:rFonts w:ascii="Arial;sans-serif" w:hAnsi="Arial;sans-serif"/>
                  <w:b w:val="false"/>
                  <w:color w:val="000080"/>
                  <w:sz w:val="16"/>
                  <w:u w:val="single"/>
                </w:rPr>
                <w:t xml:space="preserve">subsidiary </w:t>
              </w:r>
            </w:hyperlink>
            <w:hyperlink r:id="rId12">
              <w:r>
                <w:rPr>
                  <w:rStyle w:val="InternetLink"/>
                  <w:rFonts w:ascii="Arial;sans-serif" w:hAnsi="Arial;sans-serif"/>
                  <w:b w:val="false"/>
                  <w:color w:val="000080"/>
                  <w:sz w:val="16"/>
                  <w:u w:val="single"/>
                </w:rPr>
                <w:t xml:space="preserve">guarantors party thereto and Wilmington Savings Fund Society, FSB, as </w:t>
              </w:r>
            </w:hyperlink>
            <w:hyperlink r:id="rId13">
              <w:r>
                <w:rPr>
                  <w:rStyle w:val="InternetLink"/>
                  <w:rFonts w:ascii="Arial;sans-serif" w:hAnsi="Arial;sans-serif"/>
                  <w:b w:val="false"/>
                  <w:color w:val="000080"/>
                  <w:sz w:val="16"/>
                  <w:u w:val="single"/>
                </w:rPr>
                <w:t>t</w:t>
              </w:r>
            </w:hyperlink>
            <w:hyperlink r:id="rId14">
              <w:r>
                <w:rPr>
                  <w:rStyle w:val="InternetLink"/>
                  <w:rFonts w:ascii="Arial;sans-serif" w:hAnsi="Arial;sans-serif"/>
                  <w:b w:val="false"/>
                  <w:color w:val="000080"/>
                  <w:sz w:val="16"/>
                  <w:u w:val="single"/>
                </w:rPr>
                <w:t xml:space="preserve">rustee (relating to the </w:t>
              </w:r>
            </w:hyperlink>
            <w:hyperlink r:id="rId15">
              <w:r>
                <w:rPr>
                  <w:rStyle w:val="InternetLink"/>
                  <w:rFonts w:ascii="Arial;sans-serif" w:hAnsi="Arial;sans-serif"/>
                  <w:b w:val="false"/>
                  <w:color w:val="000080"/>
                  <w:sz w:val="16"/>
                  <w:u w:val="single"/>
                </w:rPr>
                <w:t>6</w:t>
              </w:r>
            </w:hyperlink>
            <w:hyperlink r:id="rId16">
              <w:r>
                <w:rPr>
                  <w:rStyle w:val="InternetLink"/>
                  <w:rFonts w:ascii="Arial;sans-serif" w:hAnsi="Arial;sans-serif"/>
                  <w:b w:val="false"/>
                  <w:color w:val="000080"/>
                  <w:sz w:val="16"/>
                  <w:u w:val="single"/>
                </w:rPr>
                <w:t>.</w:t>
              </w:r>
            </w:hyperlink>
            <w:hyperlink r:id="rId17">
              <w:r>
                <w:rPr>
                  <w:rStyle w:val="InternetLink"/>
                  <w:rFonts w:ascii="Arial;sans-serif" w:hAnsi="Arial;sans-serif"/>
                  <w:b w:val="false"/>
                  <w:color w:val="000080"/>
                  <w:sz w:val="16"/>
                  <w:u w:val="single"/>
                </w:rPr>
                <w:t>125</w:t>
              </w:r>
            </w:hyperlink>
            <w:hyperlink r:id="rId18">
              <w:r>
                <w:rPr>
                  <w:rStyle w:val="InternetLink"/>
                  <w:rFonts w:ascii="Arial;sans-serif" w:hAnsi="Arial;sans-serif"/>
                  <w:b w:val="false"/>
                  <w:color w:val="000080"/>
                  <w:sz w:val="16"/>
                  <w:u w:val="single"/>
                </w:rPr>
                <w:t xml:space="preserve">% </w:t>
              </w:r>
            </w:hyperlink>
            <w:hyperlink r:id="rId19">
              <w:r>
                <w:rPr>
                  <w:rStyle w:val="InternetLink"/>
                  <w:rFonts w:ascii="Arial;sans-serif" w:hAnsi="Arial;sans-serif"/>
                  <w:b w:val="false"/>
                  <w:color w:val="000080"/>
                  <w:sz w:val="16"/>
                  <w:u w:val="single"/>
                </w:rPr>
                <w:t>Senior</w:t>
              </w:r>
            </w:hyperlink>
            <w:hyperlink r:id="rId20">
              <w:r>
                <w:rPr>
                  <w:rStyle w:val="InternetLink"/>
                  <w:rFonts w:ascii="Arial;sans-serif" w:hAnsi="Arial;sans-serif"/>
                  <w:b w:val="false"/>
                  <w:color w:val="000080"/>
                  <w:sz w:val="16"/>
                  <w:u w:val="single"/>
                </w:rPr>
                <w:t xml:space="preserve"> Unsecured</w:t>
              </w:r>
            </w:hyperlink>
            <w:hyperlink r:id="rId21">
              <w:r>
                <w:rPr>
                  <w:rStyle w:val="InternetLink"/>
                  <w:rFonts w:ascii="Arial;sans-serif" w:hAnsi="Arial;sans-serif"/>
                  <w:b w:val="false"/>
                  <w:color w:val="000080"/>
                  <w:sz w:val="16"/>
                  <w:u w:val="single"/>
                </w:rPr>
                <w:t xml:space="preserve"> Notes due </w:t>
              </w:r>
            </w:hyperlink>
            <w:hyperlink r:id="rId22">
              <w:r>
                <w:rPr>
                  <w:rStyle w:val="InternetLink"/>
                  <w:rFonts w:ascii="Arial;sans-serif" w:hAnsi="Arial;sans-serif"/>
                  <w:b w:val="false"/>
                  <w:color w:val="000080"/>
                  <w:sz w:val="16"/>
                  <w:u w:val="single"/>
                </w:rPr>
                <w:t>2031</w:t>
              </w:r>
            </w:hyperlink>
            <w:hyperlink r:id="rId23">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05,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80"/>
                  <w:sz w:val="16"/>
                  <w:u w:val="single"/>
                </w:rPr>
                <w:t>F</w:t>
              </w:r>
            </w:hyperlink>
            <w:hyperlink r:id="rId25">
              <w:r>
                <w:rPr>
                  <w:rStyle w:val="InternetLink"/>
                  <w:rFonts w:ascii="Arial;sans-serif" w:hAnsi="Arial;sans-serif"/>
                  <w:b w:val="false"/>
                  <w:color w:val="000080"/>
                  <w:sz w:val="16"/>
                  <w:u w:val="single"/>
                </w:rPr>
                <w:t>orm of 6.</w:t>
              </w:r>
            </w:hyperlink>
            <w:hyperlink r:id="rId26">
              <w:r>
                <w:rPr>
                  <w:rStyle w:val="InternetLink"/>
                  <w:rFonts w:ascii="Arial;sans-serif" w:hAnsi="Arial;sans-serif"/>
                  <w:b w:val="false"/>
                  <w:color w:val="000080"/>
                  <w:sz w:val="16"/>
                  <w:u w:val="single"/>
                </w:rPr>
                <w:t>125% Senior Unsec</w:t>
              </w:r>
            </w:hyperlink>
            <w:hyperlink r:id="rId27">
              <w:r>
                <w:rPr>
                  <w:rStyle w:val="InternetLink"/>
                  <w:rFonts w:ascii="Arial;sans-serif" w:hAnsi="Arial;sans-serif"/>
                  <w:b w:val="false"/>
                  <w:color w:val="000080"/>
                  <w:sz w:val="16"/>
                  <w:u w:val="single"/>
                </w:rPr>
                <w:t xml:space="preserve">ured Notes </w:t>
              </w:r>
            </w:hyperlink>
            <w:hyperlink r:id="rId28">
              <w:r>
                <w:rPr>
                  <w:rStyle w:val="InternetLink"/>
                  <w:rFonts w:ascii="Arial;sans-serif" w:hAnsi="Arial;sans-serif"/>
                  <w:b w:val="false"/>
                  <w:color w:val="000080"/>
                  <w:sz w:val="16"/>
                  <w:u w:val="single"/>
                </w:rPr>
                <w:t>due 2031 (included as Exhi</w:t>
              </w:r>
            </w:hyperlink>
            <w:hyperlink r:id="rId29">
              <w:r>
                <w:rPr>
                  <w:rStyle w:val="InternetLink"/>
                  <w:rFonts w:ascii="Arial;sans-serif" w:hAnsi="Arial;sans-serif"/>
                  <w:b w:val="false"/>
                  <w:color w:val="000080"/>
                  <w:sz w:val="16"/>
                  <w:u w:val="single"/>
                </w:rPr>
                <w:t xml:space="preserve">bit </w:t>
              </w:r>
            </w:hyperlink>
            <w:hyperlink r:id="rId30">
              <w:r>
                <w:rPr>
                  <w:rStyle w:val="InternetLink"/>
                  <w:rFonts w:ascii="Arial;sans-serif" w:hAnsi="Arial;sans-serif"/>
                  <w:b w:val="false"/>
                  <w:color w:val="000080"/>
                  <w:sz w:val="16"/>
                  <w:u w:val="single"/>
                </w:rPr>
                <w:t>A</w:t>
              </w:r>
            </w:hyperlink>
            <w:hyperlink r:id="rId31">
              <w:r>
                <w:rPr>
                  <w:rStyle w:val="InternetLink"/>
                  <w:rFonts w:ascii="Arial;sans-serif" w:hAnsi="Arial;sans-serif"/>
                  <w:b w:val="false"/>
                  <w:color w:val="000080"/>
                  <w:sz w:val="16"/>
                  <w:u w:val="single"/>
                </w:rPr>
                <w:t xml:space="preserve"> to Exhibit 4.2</w:t>
              </w:r>
            </w:hyperlink>
            <w:hyperlink r:id="rId32">
              <w:r>
                <w:rPr>
                  <w:rStyle w:val="InternetLink"/>
                  <w:rFonts w:ascii="Arial;sans-serif" w:hAnsi="Arial;sans-serif"/>
                  <w:b w:val="false"/>
                  <w:color w:val="000080"/>
                  <w:sz w:val="16"/>
                  <w:u w:val="single"/>
                </w:rPr>
                <w:t xml:space="preserve"> hereto)</w:t>
              </w:r>
            </w:hyperlink>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05,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80"/>
                  <w:sz w:val="16"/>
                  <w:u w:val="single"/>
                </w:rPr>
                <w:t xml:space="preserve">Indenture, dated as of April 29, 2026, by and among Talen Energy Supply, LLC, the </w:t>
              </w:r>
            </w:hyperlink>
            <w:hyperlink r:id="rId34">
              <w:r>
                <w:rPr>
                  <w:rStyle w:val="InternetLink"/>
                  <w:rFonts w:ascii="Arial;sans-serif" w:hAnsi="Arial;sans-serif"/>
                  <w:b w:val="false"/>
                  <w:color w:val="000080"/>
                  <w:sz w:val="16"/>
                  <w:u w:val="single"/>
                </w:rPr>
                <w:t xml:space="preserve">subsidiary </w:t>
              </w:r>
            </w:hyperlink>
            <w:hyperlink r:id="rId35">
              <w:r>
                <w:rPr>
                  <w:rStyle w:val="InternetLink"/>
                  <w:rFonts w:ascii="Arial;sans-serif" w:hAnsi="Arial;sans-serif"/>
                  <w:b w:val="false"/>
                  <w:color w:val="000080"/>
                  <w:sz w:val="16"/>
                  <w:u w:val="single"/>
                </w:rPr>
                <w:t xml:space="preserve">guarantors party thereto and Wilmington Savings Fund Society, FSB, as </w:t>
              </w:r>
            </w:hyperlink>
            <w:hyperlink r:id="rId36">
              <w:r>
                <w:rPr>
                  <w:rStyle w:val="InternetLink"/>
                  <w:rFonts w:ascii="Arial;sans-serif" w:hAnsi="Arial;sans-serif"/>
                  <w:b w:val="false"/>
                  <w:color w:val="000080"/>
                  <w:sz w:val="16"/>
                  <w:u w:val="single"/>
                </w:rPr>
                <w:t>t</w:t>
              </w:r>
            </w:hyperlink>
            <w:hyperlink r:id="rId37">
              <w:r>
                <w:rPr>
                  <w:rStyle w:val="InternetLink"/>
                  <w:rFonts w:ascii="Arial;sans-serif" w:hAnsi="Arial;sans-serif"/>
                  <w:b w:val="false"/>
                  <w:color w:val="000080"/>
                  <w:sz w:val="16"/>
                  <w:u w:val="single"/>
                </w:rPr>
                <w:t xml:space="preserve">rustee (relating to the </w:t>
              </w:r>
            </w:hyperlink>
            <w:hyperlink r:id="rId38">
              <w:r>
                <w:rPr>
                  <w:rStyle w:val="InternetLink"/>
                  <w:rFonts w:ascii="Arial;sans-serif" w:hAnsi="Arial;sans-serif"/>
                  <w:b w:val="false"/>
                  <w:color w:val="000080"/>
                  <w:sz w:val="16"/>
                  <w:u w:val="single"/>
                </w:rPr>
                <w:t xml:space="preserve">6.375% </w:t>
              </w:r>
            </w:hyperlink>
            <w:hyperlink r:id="rId39">
              <w:r>
                <w:rPr>
                  <w:rStyle w:val="InternetLink"/>
                  <w:rFonts w:ascii="Arial;sans-serif" w:hAnsi="Arial;sans-serif"/>
                  <w:b w:val="false"/>
                  <w:color w:val="000080"/>
                  <w:sz w:val="16"/>
                  <w:u w:val="single"/>
                </w:rPr>
                <w:t>Senio</w:t>
              </w:r>
            </w:hyperlink>
            <w:hyperlink r:id="rId40">
              <w:r>
                <w:rPr>
                  <w:rStyle w:val="InternetLink"/>
                  <w:rFonts w:ascii="Arial;sans-serif" w:hAnsi="Arial;sans-serif"/>
                  <w:b w:val="false"/>
                  <w:color w:val="000080"/>
                  <w:sz w:val="16"/>
                  <w:u w:val="single"/>
                </w:rPr>
                <w:t>r</w:t>
              </w:r>
            </w:hyperlink>
            <w:hyperlink r:id="rId41">
              <w:r>
                <w:rPr>
                  <w:rStyle w:val="InternetLink"/>
                  <w:rFonts w:ascii="Arial;sans-serif" w:hAnsi="Arial;sans-serif"/>
                  <w:b w:val="false"/>
                  <w:color w:val="000080"/>
                  <w:sz w:val="16"/>
                  <w:u w:val="single"/>
                </w:rPr>
                <w:t xml:space="preserve"> Unsecured</w:t>
              </w:r>
            </w:hyperlink>
            <w:hyperlink r:id="rId42">
              <w:r>
                <w:rPr>
                  <w:rStyle w:val="InternetLink"/>
                  <w:rFonts w:ascii="Arial;sans-serif" w:hAnsi="Arial;sans-serif"/>
                  <w:b w:val="false"/>
                  <w:color w:val="000080"/>
                  <w:sz w:val="16"/>
                  <w:u w:val="single"/>
                </w:rPr>
                <w:t xml:space="preserve"> </w:t>
              </w:r>
            </w:hyperlink>
            <w:hyperlink r:id="rId43">
              <w:r>
                <w:rPr>
                  <w:rStyle w:val="InternetLink"/>
                  <w:rFonts w:ascii="Arial;sans-serif" w:hAnsi="Arial;sans-serif"/>
                  <w:b w:val="false"/>
                  <w:color w:val="000080"/>
                  <w:sz w:val="16"/>
                  <w:u w:val="single"/>
                </w:rPr>
                <w:t xml:space="preserve">Notes </w:t>
              </w:r>
            </w:hyperlink>
            <w:hyperlink r:id="rId44">
              <w:r>
                <w:rPr>
                  <w:rStyle w:val="InternetLink"/>
                  <w:rFonts w:ascii="Arial;sans-serif" w:hAnsi="Arial;sans-serif"/>
                  <w:b w:val="false"/>
                  <w:color w:val="000080"/>
                  <w:sz w:val="16"/>
                  <w:u w:val="single"/>
                </w:rPr>
                <w:t xml:space="preserve">due </w:t>
              </w:r>
            </w:hyperlink>
            <w:hyperlink r:id="rId45">
              <w:r>
                <w:rPr>
                  <w:rStyle w:val="InternetLink"/>
                  <w:rFonts w:ascii="Arial;sans-serif" w:hAnsi="Arial;sans-serif"/>
                  <w:b w:val="false"/>
                  <w:color w:val="000080"/>
                  <w:sz w:val="16"/>
                  <w:u w:val="single"/>
                </w:rPr>
                <w:t>2033</w:t>
              </w:r>
            </w:hyperlink>
            <w:hyperlink r:id="rId46">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05,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80"/>
                  <w:sz w:val="16"/>
                  <w:u w:val="single"/>
                </w:rPr>
                <w:t>F</w:t>
              </w:r>
            </w:hyperlink>
            <w:hyperlink r:id="rId48">
              <w:r>
                <w:rPr>
                  <w:rStyle w:val="InternetLink"/>
                  <w:rFonts w:ascii="Arial;sans-serif" w:hAnsi="Arial;sans-serif"/>
                  <w:b w:val="false"/>
                  <w:color w:val="000080"/>
                  <w:sz w:val="16"/>
                  <w:u w:val="single"/>
                </w:rPr>
                <w:t xml:space="preserve">orm of 6.375% Senior Unsecured Note due 2033 (included as Exhibit </w:t>
              </w:r>
            </w:hyperlink>
            <w:hyperlink r:id="rId49">
              <w:r>
                <w:rPr>
                  <w:rStyle w:val="InternetLink"/>
                  <w:rFonts w:ascii="Arial;sans-serif" w:hAnsi="Arial;sans-serif"/>
                  <w:b w:val="false"/>
                  <w:color w:val="000080"/>
                  <w:sz w:val="16"/>
                  <w:u w:val="single"/>
                </w:rPr>
                <w:t>A</w:t>
              </w:r>
            </w:hyperlink>
            <w:hyperlink r:id="rId50">
              <w:r>
                <w:rPr>
                  <w:rStyle w:val="InternetLink"/>
                  <w:rFonts w:ascii="Arial;sans-serif" w:hAnsi="Arial;sans-serif"/>
                  <w:b w:val="false"/>
                  <w:color w:val="000080"/>
                  <w:sz w:val="16"/>
                  <w:u w:val="single"/>
                </w:rPr>
                <w:t xml:space="preserve"> to Exhibit 4.4 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05,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630ex46firstsuppl.htm">
              <w:r>
                <w:rPr>
                  <w:rStyle w:val="InternetLink"/>
                  <w:rFonts w:ascii="Arial;sans-serif" w:hAnsi="Arial;sans-serif"/>
                  <w:b w:val="false"/>
                  <w:color w:val="000080"/>
                  <w:sz w:val="16"/>
                  <w:u w:val="single"/>
                </w:rPr>
                <w:t xml:space="preserve">First Supplemental Indenture, dated as of </w:t>
              </w:r>
            </w:hyperlink>
            <w:hyperlink w:anchor="tec-20260630ex46firstsuppl.htm">
              <w:r>
                <w:rPr>
                  <w:rStyle w:val="InternetLink"/>
                  <w:rFonts w:ascii="Arial;sans-serif" w:hAnsi="Arial;sans-serif"/>
                  <w:b w:val="false"/>
                  <w:color w:val="000080"/>
                  <w:sz w:val="16"/>
                  <w:u w:val="single"/>
                </w:rPr>
                <w:t>June 16, 2026</w:t>
              </w:r>
            </w:hyperlink>
            <w:hyperlink w:anchor="tec-20260630ex46firstsuppl.htm">
              <w:r>
                <w:rPr>
                  <w:rStyle w:val="InternetLink"/>
                  <w:rFonts w:ascii="Arial;sans-serif" w:hAnsi="Arial;sans-serif"/>
                  <w:b w:val="false"/>
                  <w:color w:val="000080"/>
                  <w:sz w:val="16"/>
                  <w:u w:val="single"/>
                </w:rPr>
                <w:t xml:space="preserve">, by and among Talen Energy Supply, LLC, the </w:t>
              </w:r>
            </w:hyperlink>
            <w:hyperlink w:anchor="tec-20260630ex46firstsuppl.htm">
              <w:r>
                <w:rPr>
                  <w:rStyle w:val="InternetLink"/>
                  <w:rFonts w:ascii="Arial;sans-serif" w:hAnsi="Arial;sans-serif"/>
                  <w:b w:val="false"/>
                  <w:color w:val="000080"/>
                  <w:sz w:val="16"/>
                  <w:u w:val="single"/>
                </w:rPr>
                <w:t xml:space="preserve">subsidiary </w:t>
              </w:r>
            </w:hyperlink>
            <w:hyperlink w:anchor="tec-20260630ex46firstsuppl.htm">
              <w:r>
                <w:rPr>
                  <w:rStyle w:val="InternetLink"/>
                  <w:rFonts w:ascii="Arial;sans-serif" w:hAnsi="Arial;sans-serif"/>
                  <w:b w:val="false"/>
                  <w:color w:val="000080"/>
                  <w:sz w:val="16"/>
                  <w:u w:val="single"/>
                </w:rPr>
                <w:t>guarantors party thereto and Wilmington Savings Fund Society, FSB</w:t>
              </w:r>
            </w:hyperlink>
            <w:hyperlink w:anchor="tec-20260630ex46firstsuppl.htm">
              <w:r>
                <w:rPr>
                  <w:rStyle w:val="InternetLink"/>
                  <w:rFonts w:ascii="Arial;sans-serif" w:hAnsi="Arial;sans-serif"/>
                  <w:b w:val="false"/>
                  <w:color w:val="000080"/>
                  <w:sz w:val="16"/>
                  <w:u w:val="single"/>
                </w:rPr>
                <w:t>,</w:t>
              </w:r>
            </w:hyperlink>
            <w:hyperlink w:anchor="tec-20260630ex46firstsuppl.htm">
              <w:r>
                <w:rPr>
                  <w:rStyle w:val="InternetLink"/>
                  <w:rFonts w:ascii="Arial;sans-serif" w:hAnsi="Arial;sans-serif"/>
                  <w:b w:val="false"/>
                  <w:color w:val="000080"/>
                  <w:sz w:val="16"/>
                  <w:u w:val="single"/>
                </w:rPr>
                <w:t xml:space="preserve"> as </w:t>
              </w:r>
            </w:hyperlink>
            <w:hyperlink w:anchor="tec-20260630ex46firstsuppl.htm">
              <w:r>
                <w:rPr>
                  <w:rStyle w:val="InternetLink"/>
                  <w:rFonts w:ascii="Arial;sans-serif" w:hAnsi="Arial;sans-serif"/>
                  <w:b w:val="false"/>
                  <w:color w:val="000080"/>
                  <w:sz w:val="16"/>
                  <w:u w:val="single"/>
                </w:rPr>
                <w:t>t</w:t>
              </w:r>
            </w:hyperlink>
            <w:hyperlink w:anchor="tec-20260630ex46firstsuppl.htm">
              <w:r>
                <w:rPr>
                  <w:rStyle w:val="InternetLink"/>
                  <w:rFonts w:ascii="Arial;sans-serif" w:hAnsi="Arial;sans-serif"/>
                  <w:b w:val="false"/>
                  <w:color w:val="000080"/>
                  <w:sz w:val="16"/>
                  <w:u w:val="single"/>
                </w:rPr>
                <w:t xml:space="preserve">rustee (relating to the </w:t>
              </w:r>
            </w:hyperlink>
            <w:hyperlink w:anchor="tec-20260630ex46firstsuppl.htm">
              <w:r>
                <w:rPr>
                  <w:rStyle w:val="InternetLink"/>
                  <w:rFonts w:ascii="Arial;sans-serif" w:hAnsi="Arial;sans-serif"/>
                  <w:b w:val="false"/>
                  <w:color w:val="000080"/>
                  <w:sz w:val="16"/>
                  <w:u w:val="single"/>
                </w:rPr>
                <w:t>6.</w:t>
              </w:r>
            </w:hyperlink>
            <w:hyperlink w:anchor="tec-20260630ex46firstsuppl.htm">
              <w:r>
                <w:rPr>
                  <w:rStyle w:val="InternetLink"/>
                  <w:rFonts w:ascii="Arial;sans-serif" w:hAnsi="Arial;sans-serif"/>
                  <w:b w:val="false"/>
                  <w:color w:val="000080"/>
                  <w:sz w:val="16"/>
                  <w:u w:val="single"/>
                </w:rPr>
                <w:t>125</w:t>
              </w:r>
            </w:hyperlink>
            <w:hyperlink w:anchor="tec-20260630ex46firstsuppl.htm">
              <w:r>
                <w:rPr>
                  <w:rStyle w:val="InternetLink"/>
                  <w:rFonts w:ascii="Arial;sans-serif" w:hAnsi="Arial;sans-serif"/>
                  <w:b w:val="false"/>
                  <w:color w:val="000080"/>
                  <w:sz w:val="16"/>
                  <w:u w:val="single"/>
                </w:rPr>
                <w:t xml:space="preserve">% </w:t>
              </w:r>
            </w:hyperlink>
            <w:hyperlink w:anchor="tec-20260630ex46firstsuppl.htm">
              <w:r>
                <w:rPr>
                  <w:rStyle w:val="InternetLink"/>
                  <w:rFonts w:ascii="Arial;sans-serif" w:hAnsi="Arial;sans-serif"/>
                  <w:b w:val="false"/>
                  <w:color w:val="000080"/>
                  <w:sz w:val="16"/>
                  <w:u w:val="single"/>
                </w:rPr>
                <w:t xml:space="preserve">Senior </w:t>
              </w:r>
            </w:hyperlink>
            <w:hyperlink w:anchor="tec-20260630ex46firstsuppl.htm">
              <w:r>
                <w:rPr>
                  <w:rStyle w:val="InternetLink"/>
                  <w:rFonts w:ascii="Arial;sans-serif" w:hAnsi="Arial;sans-serif"/>
                  <w:b w:val="false"/>
                  <w:color w:val="000080"/>
                  <w:sz w:val="16"/>
                  <w:u w:val="single"/>
                </w:rPr>
                <w:t xml:space="preserve">Unsecured </w:t>
              </w:r>
            </w:hyperlink>
            <w:hyperlink w:anchor="tec-20260630ex46firstsuppl.htm">
              <w:r>
                <w:rPr>
                  <w:rStyle w:val="InternetLink"/>
                  <w:rFonts w:ascii="Arial;sans-serif" w:hAnsi="Arial;sans-serif"/>
                  <w:b w:val="false"/>
                  <w:color w:val="000080"/>
                  <w:sz w:val="16"/>
                  <w:u w:val="single"/>
                </w:rPr>
                <w:t>Notes</w:t>
              </w:r>
            </w:hyperlink>
            <w:hyperlink w:anchor="tec-20260630ex46firstsuppl.htm">
              <w:r>
                <w:rPr>
                  <w:rStyle w:val="InternetLink"/>
                  <w:rFonts w:ascii="Arial;sans-serif" w:hAnsi="Arial;sans-serif"/>
                  <w:b w:val="false"/>
                  <w:color w:val="000080"/>
                  <w:sz w:val="16"/>
                  <w:u w:val="single"/>
                </w:rPr>
                <w:t xml:space="preserve"> due 2031</w:t>
              </w:r>
            </w:hyperlink>
            <w:hyperlink w:anchor="tec-20260630ex46firstsuppl.htm">
              <w:r>
                <w:rPr>
                  <w:rStyle w:val="InternetLink"/>
                  <w:rFonts w:ascii="Arial;sans-serif" w:hAnsi="Arial;sans-serif"/>
                  <w:b w:val="false"/>
                  <w:color w:val="000080"/>
                  <w:sz w:val="16"/>
                  <w:u w:val="single"/>
                </w:rPr>
                <w:t>)</w:t>
              </w:r>
            </w:hyperlink>
            <w:hyperlink w:anchor="tec-20260630ex46firstsuppl.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630ex47firstsuppl.htm">
              <w:r>
                <w:rPr>
                  <w:rStyle w:val="InternetLink"/>
                  <w:rFonts w:ascii="Arial;sans-serif" w:hAnsi="Arial;sans-serif"/>
                  <w:b w:val="false"/>
                  <w:color w:val="000080"/>
                  <w:sz w:val="16"/>
                  <w:u w:val="single"/>
                </w:rPr>
                <w:t>First Supplemental Indenture, dated as of</w:t>
              </w:r>
            </w:hyperlink>
            <w:hyperlink w:anchor="tec-20260630ex47firstsuppl.htm">
              <w:r>
                <w:rPr>
                  <w:rStyle w:val="InternetLink"/>
                  <w:rFonts w:ascii="Arial;sans-serif" w:hAnsi="Arial;sans-serif"/>
                  <w:b w:val="false"/>
                  <w:color w:val="000080"/>
                  <w:sz w:val="16"/>
                  <w:u w:val="single"/>
                </w:rPr>
                <w:t xml:space="preserve"> </w:t>
              </w:r>
            </w:hyperlink>
            <w:hyperlink w:anchor="tec-20260630ex47firstsuppl.htm">
              <w:r>
                <w:rPr>
                  <w:rStyle w:val="InternetLink"/>
                  <w:rFonts w:ascii="Arial;sans-serif" w:hAnsi="Arial;sans-serif"/>
                  <w:b w:val="false"/>
                  <w:color w:val="000080"/>
                  <w:sz w:val="16"/>
                  <w:u w:val="single"/>
                </w:rPr>
                <w:t>June</w:t>
              </w:r>
            </w:hyperlink>
            <w:hyperlink w:anchor="tec-20260630ex47firstsuppl.htm">
              <w:r>
                <w:rPr>
                  <w:rStyle w:val="InternetLink"/>
                  <w:rFonts w:ascii="Arial;sans-serif" w:hAnsi="Arial;sans-serif"/>
                  <w:b w:val="false"/>
                  <w:color w:val="000080"/>
                  <w:sz w:val="16"/>
                  <w:u w:val="single"/>
                </w:rPr>
                <w:t xml:space="preserve"> </w:t>
              </w:r>
            </w:hyperlink>
            <w:hyperlink w:anchor="tec-20260630ex47firstsuppl.htm">
              <w:r>
                <w:rPr>
                  <w:rStyle w:val="InternetLink"/>
                  <w:rFonts w:ascii="Arial;sans-serif" w:hAnsi="Arial;sans-serif"/>
                  <w:b w:val="false"/>
                  <w:color w:val="000080"/>
                  <w:sz w:val="16"/>
                  <w:u w:val="single"/>
                </w:rPr>
                <w:t>16, 2026</w:t>
              </w:r>
            </w:hyperlink>
            <w:hyperlink w:anchor="tec-20260630ex47firstsuppl.htm">
              <w:r>
                <w:rPr>
                  <w:rStyle w:val="InternetLink"/>
                  <w:rFonts w:ascii="Arial;sans-serif" w:hAnsi="Arial;sans-serif"/>
                  <w:b w:val="false"/>
                  <w:color w:val="000080"/>
                  <w:sz w:val="16"/>
                  <w:u w:val="single"/>
                </w:rPr>
                <w:t xml:space="preserve">, by and among Talen Energy Supply, LLC, the </w:t>
              </w:r>
            </w:hyperlink>
            <w:hyperlink w:anchor="tec-20260630ex47firstsuppl.htm">
              <w:r>
                <w:rPr>
                  <w:rStyle w:val="InternetLink"/>
                  <w:rFonts w:ascii="Arial;sans-serif" w:hAnsi="Arial;sans-serif"/>
                  <w:b w:val="false"/>
                  <w:color w:val="000080"/>
                  <w:sz w:val="16"/>
                  <w:u w:val="single"/>
                </w:rPr>
                <w:t xml:space="preserve">subsidiary </w:t>
              </w:r>
            </w:hyperlink>
            <w:hyperlink w:anchor="tec-20260630ex47firstsuppl.htm">
              <w:r>
                <w:rPr>
                  <w:rStyle w:val="InternetLink"/>
                  <w:rFonts w:ascii="Arial;sans-serif" w:hAnsi="Arial;sans-serif"/>
                  <w:b w:val="false"/>
                  <w:color w:val="000080"/>
                  <w:sz w:val="16"/>
                  <w:u w:val="single"/>
                </w:rPr>
                <w:t>guarantors party thereto and Wilmington Savings Fund Society, FSB</w:t>
              </w:r>
            </w:hyperlink>
            <w:hyperlink w:anchor="tec-20260630ex47firstsuppl.htm">
              <w:r>
                <w:rPr>
                  <w:rStyle w:val="InternetLink"/>
                  <w:rFonts w:ascii="Arial;sans-serif" w:hAnsi="Arial;sans-serif"/>
                  <w:b w:val="false"/>
                  <w:color w:val="000080"/>
                  <w:sz w:val="16"/>
                  <w:u w:val="single"/>
                </w:rPr>
                <w:t>,</w:t>
              </w:r>
            </w:hyperlink>
            <w:hyperlink w:anchor="tec-20260630ex47firstsuppl.htm">
              <w:r>
                <w:rPr>
                  <w:rStyle w:val="InternetLink"/>
                  <w:rFonts w:ascii="Arial;sans-serif" w:hAnsi="Arial;sans-serif"/>
                  <w:b w:val="false"/>
                  <w:color w:val="000080"/>
                  <w:sz w:val="16"/>
                  <w:u w:val="single"/>
                </w:rPr>
                <w:t xml:space="preserve"> as</w:t>
              </w:r>
            </w:hyperlink>
            <w:hyperlink w:anchor="tec-20260630ex47firstsuppl.htm">
              <w:r>
                <w:rPr>
                  <w:rStyle w:val="InternetLink"/>
                  <w:rFonts w:ascii="Arial;sans-serif" w:hAnsi="Arial;sans-serif"/>
                  <w:b w:val="false"/>
                  <w:color w:val="000080"/>
                  <w:sz w:val="16"/>
                  <w:u w:val="single"/>
                </w:rPr>
                <w:t xml:space="preserve"> </w:t>
              </w:r>
            </w:hyperlink>
            <w:hyperlink w:anchor="tec-20260630ex47firstsuppl.htm">
              <w:r>
                <w:rPr>
                  <w:rStyle w:val="InternetLink"/>
                  <w:rFonts w:ascii="Arial;sans-serif" w:hAnsi="Arial;sans-serif"/>
                  <w:b w:val="false"/>
                  <w:color w:val="000080"/>
                  <w:sz w:val="16"/>
                  <w:u w:val="single"/>
                </w:rPr>
                <w:t>t</w:t>
              </w:r>
            </w:hyperlink>
            <w:hyperlink w:anchor="tec-20260630ex47firstsuppl.htm">
              <w:r>
                <w:rPr>
                  <w:rStyle w:val="InternetLink"/>
                  <w:rFonts w:ascii="Arial;sans-serif" w:hAnsi="Arial;sans-serif"/>
                  <w:b w:val="false"/>
                  <w:color w:val="000080"/>
                  <w:sz w:val="16"/>
                  <w:u w:val="single"/>
                </w:rPr>
                <w:t xml:space="preserve">rustee (relating to the </w:t>
              </w:r>
            </w:hyperlink>
            <w:hyperlink w:anchor="tec-20260630ex47firstsuppl.htm">
              <w:r>
                <w:rPr>
                  <w:rStyle w:val="InternetLink"/>
                  <w:rFonts w:ascii="Arial;sans-serif" w:hAnsi="Arial;sans-serif"/>
                  <w:b w:val="false"/>
                  <w:color w:val="000080"/>
                  <w:sz w:val="16"/>
                  <w:u w:val="single"/>
                </w:rPr>
                <w:t>6.</w:t>
              </w:r>
            </w:hyperlink>
            <w:hyperlink w:anchor="tec-20260630ex47firstsuppl.htm">
              <w:r>
                <w:rPr>
                  <w:rStyle w:val="InternetLink"/>
                  <w:rFonts w:ascii="Arial;sans-serif" w:hAnsi="Arial;sans-serif"/>
                  <w:b w:val="false"/>
                  <w:color w:val="000080"/>
                  <w:sz w:val="16"/>
                  <w:u w:val="single"/>
                </w:rPr>
                <w:t>375</w:t>
              </w:r>
            </w:hyperlink>
            <w:hyperlink w:anchor="tec-20260630ex47firstsuppl.htm">
              <w:r>
                <w:rPr>
                  <w:rStyle w:val="InternetLink"/>
                  <w:rFonts w:ascii="Arial;sans-serif" w:hAnsi="Arial;sans-serif"/>
                  <w:b w:val="false"/>
                  <w:color w:val="000080"/>
                  <w:sz w:val="16"/>
                  <w:u w:val="single"/>
                </w:rPr>
                <w:t>% S</w:t>
              </w:r>
            </w:hyperlink>
            <w:hyperlink w:anchor="tec-20260630ex47firstsuppl.htm">
              <w:r>
                <w:rPr>
                  <w:rStyle w:val="InternetLink"/>
                  <w:rFonts w:ascii="Arial;sans-serif" w:hAnsi="Arial;sans-serif"/>
                  <w:b w:val="false"/>
                  <w:color w:val="000080"/>
                  <w:sz w:val="16"/>
                  <w:u w:val="single"/>
                </w:rPr>
                <w:t xml:space="preserve">enior </w:t>
              </w:r>
            </w:hyperlink>
            <w:hyperlink w:anchor="tec-20260630ex47firstsuppl.htm">
              <w:r>
                <w:rPr>
                  <w:rStyle w:val="InternetLink"/>
                  <w:rFonts w:ascii="Arial;sans-serif" w:hAnsi="Arial;sans-serif"/>
                  <w:b w:val="false"/>
                  <w:color w:val="000080"/>
                  <w:sz w:val="16"/>
                  <w:u w:val="single"/>
                </w:rPr>
                <w:t xml:space="preserve">Unsecured </w:t>
              </w:r>
            </w:hyperlink>
            <w:hyperlink w:anchor="tec-20260630ex47firstsuppl.htm">
              <w:r>
                <w:rPr>
                  <w:rStyle w:val="InternetLink"/>
                  <w:rFonts w:ascii="Arial;sans-serif" w:hAnsi="Arial;sans-serif"/>
                  <w:b w:val="false"/>
                  <w:color w:val="000080"/>
                  <w:sz w:val="16"/>
                  <w:u w:val="single"/>
                </w:rPr>
                <w:t xml:space="preserve">Notes </w:t>
              </w:r>
            </w:hyperlink>
            <w:hyperlink w:anchor="tec-20260630ex47firstsuppl.htm">
              <w:r>
                <w:rPr>
                  <w:rStyle w:val="InternetLink"/>
                  <w:rFonts w:ascii="Arial;sans-serif" w:hAnsi="Arial;sans-serif"/>
                  <w:b w:val="false"/>
                  <w:color w:val="000080"/>
                  <w:sz w:val="16"/>
                  <w:u w:val="single"/>
                </w:rPr>
                <w:t>due 2033</w:t>
              </w:r>
            </w:hyperlink>
            <w:hyperlink w:anchor="tec-20260630ex47firstsuppl.htm">
              <w:r>
                <w:rPr>
                  <w:rStyle w:val="InternetLink"/>
                  <w:rFonts w:ascii="Arial;sans-serif" w:hAnsi="Arial;sans-serif"/>
                  <w:b w:val="false"/>
                  <w:color w:val="000080"/>
                  <w:sz w:val="16"/>
                  <w:u w:val="single"/>
                </w:rPr>
                <w:t>)</w:t>
              </w:r>
            </w:hyperlink>
            <w:hyperlink w:anchor="tec-20260630ex47firstsuppl.htm">
              <w:r>
                <w:rPr>
                  <w:rStyle w:val="InternetLink"/>
                  <w:rFonts w:ascii="Arial;sans-serif" w:hAnsi="Arial;sans-serif"/>
                  <w:b w:val="false"/>
                  <w:color w:val="000080"/>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630ex48secondsupp.htm">
              <w:r>
                <w:rPr>
                  <w:rStyle w:val="InternetLink"/>
                  <w:rFonts w:ascii="Arial;sans-serif" w:hAnsi="Arial;sans-serif"/>
                  <w:b w:val="false"/>
                  <w:color w:val="000080"/>
                  <w:sz w:val="16"/>
                  <w:u w:val="single"/>
                </w:rPr>
                <w:t xml:space="preserve">Second Supplemental Indenture, dated as of </w:t>
              </w:r>
            </w:hyperlink>
            <w:hyperlink w:anchor="tec-20260630ex48secondsupp.htm">
              <w:r>
                <w:rPr>
                  <w:rStyle w:val="InternetLink"/>
                  <w:rFonts w:ascii="Arial;sans-serif" w:hAnsi="Arial;sans-serif"/>
                  <w:b w:val="false"/>
                  <w:color w:val="000080"/>
                  <w:sz w:val="16"/>
                  <w:u w:val="single"/>
                </w:rPr>
                <w:t>June</w:t>
              </w:r>
            </w:hyperlink>
            <w:hyperlink w:anchor="tec-20260630ex48secondsupp.htm">
              <w:r>
                <w:rPr>
                  <w:rStyle w:val="InternetLink"/>
                  <w:rFonts w:ascii="Arial;sans-serif" w:hAnsi="Arial;sans-serif"/>
                  <w:b w:val="false"/>
                  <w:color w:val="000080"/>
                  <w:sz w:val="16"/>
                  <w:u w:val="single"/>
                </w:rPr>
                <w:t xml:space="preserve"> 16, 2026</w:t>
              </w:r>
            </w:hyperlink>
            <w:hyperlink w:anchor="tec-20260630ex48secondsupp.htm">
              <w:r>
                <w:rPr>
                  <w:rStyle w:val="InternetLink"/>
                  <w:rFonts w:ascii="Arial;sans-serif" w:hAnsi="Arial;sans-serif"/>
                  <w:b w:val="false"/>
                  <w:color w:val="000080"/>
                  <w:sz w:val="16"/>
                  <w:u w:val="single"/>
                </w:rPr>
                <w:t>, by and among Talen Energy Supply, LLC, the subsidiary guarantors party thereto and Citibank, N.A</w:t>
              </w:r>
            </w:hyperlink>
            <w:hyperlink w:anchor="tec-20260630ex48secondsupp.htm">
              <w:r>
                <w:rPr>
                  <w:rStyle w:val="InternetLink"/>
                  <w:rFonts w:ascii="Arial;sans-serif" w:hAnsi="Arial;sans-serif"/>
                  <w:b w:val="false"/>
                  <w:color w:val="000080"/>
                  <w:sz w:val="16"/>
                  <w:u w:val="single"/>
                </w:rPr>
                <w:t>.</w:t>
              </w:r>
            </w:hyperlink>
            <w:hyperlink w:anchor="tec-20260630ex48secondsupp.htm">
              <w:r>
                <w:rPr>
                  <w:rStyle w:val="InternetLink"/>
                  <w:rFonts w:ascii="Arial;sans-serif" w:hAnsi="Arial;sans-serif"/>
                  <w:b w:val="false"/>
                  <w:color w:val="000080"/>
                  <w:sz w:val="16"/>
                  <w:u w:val="single"/>
                </w:rPr>
                <w:t xml:space="preserve">, as </w:t>
              </w:r>
            </w:hyperlink>
            <w:hyperlink w:anchor="tec-20260630ex48secondsupp.htm">
              <w:r>
                <w:rPr>
                  <w:rStyle w:val="InternetLink"/>
                  <w:rFonts w:ascii="Arial;sans-serif" w:hAnsi="Arial;sans-serif"/>
                  <w:b w:val="false"/>
                  <w:color w:val="000080"/>
                  <w:sz w:val="16"/>
                  <w:u w:val="single"/>
                </w:rPr>
                <w:t>t</w:t>
              </w:r>
            </w:hyperlink>
            <w:hyperlink w:anchor="tec-20260630ex48secondsupp.htm">
              <w:r>
                <w:rPr>
                  <w:rStyle w:val="InternetLink"/>
                  <w:rFonts w:ascii="Arial;sans-serif" w:hAnsi="Arial;sans-serif"/>
                  <w:b w:val="false"/>
                  <w:color w:val="000080"/>
                  <w:sz w:val="16"/>
                  <w:u w:val="single"/>
                </w:rPr>
                <w:t>rustee (relating to the 6.250% Senior</w:t>
              </w:r>
            </w:hyperlink>
            <w:hyperlink w:anchor="tec-20260630ex48secondsupp.htm">
              <w:r>
                <w:rPr>
                  <w:rStyle w:val="InternetLink"/>
                  <w:rFonts w:ascii="Arial;sans-serif" w:hAnsi="Arial;sans-serif"/>
                  <w:b w:val="false"/>
                  <w:color w:val="000080"/>
                  <w:sz w:val="16"/>
                  <w:u w:val="single"/>
                </w:rPr>
                <w:t xml:space="preserve"> Unsecured</w:t>
              </w:r>
            </w:hyperlink>
            <w:hyperlink w:anchor="tec-20260630ex48secondsupp.htm">
              <w:r>
                <w:rPr>
                  <w:rStyle w:val="InternetLink"/>
                  <w:rFonts w:ascii="Arial;sans-serif" w:hAnsi="Arial;sans-serif"/>
                  <w:b w:val="false"/>
                  <w:color w:val="000080"/>
                  <w:sz w:val="16"/>
                  <w:u w:val="single"/>
                </w:rPr>
                <w:t xml:space="preserve"> Notes due 2034</w:t>
              </w:r>
            </w:hyperlink>
            <w:hyperlink w:anchor="tec-20260630ex48secondsupp.htm">
              <w:r>
                <w:rPr>
                  <w:rStyle w:val="InternetLink"/>
                  <w:rFonts w:ascii="Arial;sans-serif" w:hAnsi="Arial;sans-serif"/>
                  <w:b w:val="false"/>
                  <w:color w:val="000080"/>
                  <w:sz w:val="16"/>
                  <w:u w:val="single"/>
                </w:rPr>
                <w:t>)</w:t>
              </w:r>
            </w:hyperlink>
            <w:hyperlink w:anchor="tec-20260630ex48secondsupp.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630ex49secondsupp.htm">
              <w:r>
                <w:rPr>
                  <w:rStyle w:val="InternetLink"/>
                  <w:rFonts w:ascii="Arial;sans-serif" w:hAnsi="Arial;sans-serif"/>
                  <w:b w:val="false"/>
                  <w:color w:val="0000FF"/>
                  <w:sz w:val="16"/>
                  <w:u w:val="single"/>
                </w:rPr>
                <w:t>Second Supplemental Indenture, dated as of June 16, 2026, by and among Talen Energy Supply, LLC, the subsidiary guarantors party thereto and Citibank, N.A., as trustee (relating to the 6.500% Senior Unsecured Notes due 2036).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80"/>
                  <w:sz w:val="16"/>
                  <w:u w:val="single"/>
                </w:rPr>
                <w:t xml:space="preserve">Amendment No. </w:t>
              </w:r>
            </w:hyperlink>
            <w:hyperlink r:id="rId52">
              <w:r>
                <w:rPr>
                  <w:rStyle w:val="InternetLink"/>
                  <w:rFonts w:ascii="Arial;sans-serif" w:hAnsi="Arial;sans-serif"/>
                  <w:b w:val="false"/>
                  <w:color w:val="000080"/>
                  <w:sz w:val="16"/>
                  <w:u w:val="single"/>
                </w:rPr>
                <w:t>6</w:t>
              </w:r>
            </w:hyperlink>
            <w:hyperlink r:id="rId53">
              <w:r>
                <w:rPr>
                  <w:rStyle w:val="InternetLink"/>
                  <w:rFonts w:ascii="Arial;sans-serif" w:hAnsi="Arial;sans-serif"/>
                  <w:b w:val="false"/>
                  <w:color w:val="000080"/>
                  <w:sz w:val="16"/>
                  <w:u w:val="single"/>
                </w:rPr>
                <w:t xml:space="preserve"> to Credit Agreement, dated as of </w:t>
              </w:r>
            </w:hyperlink>
            <w:hyperlink r:id="rId54">
              <w:r>
                <w:rPr>
                  <w:rStyle w:val="InternetLink"/>
                  <w:rFonts w:ascii="Arial;sans-serif" w:hAnsi="Arial;sans-serif"/>
                  <w:b w:val="false"/>
                  <w:color w:val="000080"/>
                  <w:sz w:val="16"/>
                  <w:u w:val="single"/>
                </w:rPr>
                <w:t>May</w:t>
              </w:r>
            </w:hyperlink>
            <w:hyperlink r:id="rId55">
              <w:r>
                <w:rPr>
                  <w:rStyle w:val="InternetLink"/>
                  <w:rFonts w:ascii="Arial;sans-serif" w:hAnsi="Arial;sans-serif"/>
                  <w:b w:val="false"/>
                  <w:color w:val="000080"/>
                  <w:sz w:val="16"/>
                  <w:u w:val="single"/>
                </w:rPr>
                <w:t xml:space="preserve"> </w:t>
              </w:r>
            </w:hyperlink>
            <w:hyperlink r:id="rId56">
              <w:r>
                <w:rPr>
                  <w:rStyle w:val="InternetLink"/>
                  <w:rFonts w:ascii="Arial;sans-serif" w:hAnsi="Arial;sans-serif"/>
                  <w:b w:val="false"/>
                  <w:color w:val="000080"/>
                  <w:sz w:val="16"/>
                  <w:u w:val="single"/>
                </w:rPr>
                <w:t>20</w:t>
              </w:r>
            </w:hyperlink>
            <w:hyperlink r:id="rId57">
              <w:r>
                <w:rPr>
                  <w:rStyle w:val="InternetLink"/>
                  <w:rFonts w:ascii="Arial;sans-serif" w:hAnsi="Arial;sans-serif"/>
                  <w:b w:val="false"/>
                  <w:color w:val="000080"/>
                  <w:sz w:val="16"/>
                  <w:u w:val="single"/>
                </w:rPr>
                <w:t>, 2026, by and among Talen Energy Supply, LLC, as borrower, the subsidiary guarantors party thereto, the lenders party thereto and Citibank, N.A., as administrative agent and collateral agent.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80"/>
                  <w:sz w:val="16"/>
                  <w:u w:val="single"/>
                </w:rPr>
                <w:t>A</w:t>
              </w:r>
            </w:hyperlink>
            <w:hyperlink r:id="rId59">
              <w:r>
                <w:rPr>
                  <w:rStyle w:val="InternetLink"/>
                  <w:rFonts w:ascii="Arial;sans-serif" w:hAnsi="Arial;sans-serif"/>
                  <w:b w:val="false"/>
                  <w:color w:val="000080"/>
                  <w:sz w:val="16"/>
                  <w:u w:val="single"/>
                </w:rPr>
                <w:t>mendment No. 7 to Credit Agreement, dated as of June 15, 2026, by and among T</w:t>
              </w:r>
            </w:hyperlink>
            <w:hyperlink r:id="rId60">
              <w:r>
                <w:rPr>
                  <w:rStyle w:val="InternetLink"/>
                  <w:rFonts w:ascii="Arial;sans-serif" w:hAnsi="Arial;sans-serif"/>
                  <w:b w:val="false"/>
                  <w:color w:val="000080"/>
                  <w:sz w:val="16"/>
                  <w:u w:val="single"/>
                </w:rPr>
                <w:t>alen Energy Supply, LLC</w:t>
              </w:r>
            </w:hyperlink>
            <w:hyperlink r:id="rId61">
              <w:r>
                <w:rPr>
                  <w:rStyle w:val="InternetLink"/>
                  <w:rFonts w:ascii="Arial;sans-serif" w:hAnsi="Arial;sans-serif"/>
                  <w:b w:val="false"/>
                  <w:color w:val="000080"/>
                  <w:sz w:val="16"/>
                  <w:u w:val="single"/>
                </w:rPr>
                <w:t xml:space="preserve">, </w:t>
              </w:r>
            </w:hyperlink>
            <w:hyperlink r:id="rId62">
              <w:r>
                <w:rPr>
                  <w:rStyle w:val="InternetLink"/>
                  <w:rFonts w:ascii="Arial;sans-serif" w:hAnsi="Arial;sans-serif"/>
                  <w:b w:val="false"/>
                  <w:color w:val="000080"/>
                  <w:sz w:val="16"/>
                  <w:u w:val="single"/>
                </w:rPr>
                <w:t>as borrower, the subsidiary guarantors party thereto, the lenders party thereto and Citibank, N.A., as administrative agent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630ex311302certif.htm">
              <w:r>
                <w:rPr>
                  <w:rStyle w:val="InternetLink"/>
                  <w:rFonts w:ascii="Arial;sans-serif" w:hAnsi="Arial;sans-serif"/>
                  <w:b w:val="false"/>
                  <w:color w:val="000080"/>
                  <w:sz w:val="16"/>
                  <w:u w:val="single"/>
                </w:rPr>
                <w:t xml:space="preserve">Certification of </w:t>
              </w:r>
            </w:hyperlink>
            <w:hyperlink w:anchor="tec-20260630ex311302certif.htm">
              <w:r>
                <w:rPr>
                  <w:rStyle w:val="InternetLink"/>
                  <w:rFonts w:ascii="Arial;sans-serif" w:hAnsi="Arial;sans-serif"/>
                  <w:b w:val="false"/>
                  <w:color w:val="000080"/>
                  <w:sz w:val="16"/>
                  <w:u w:val="single"/>
                </w:rPr>
                <w:t>Principal Executive Officer</w:t>
              </w:r>
            </w:hyperlink>
            <w:hyperlink w:anchor="tec-20260630ex311302certif.htm">
              <w:r>
                <w:rPr>
                  <w:rStyle w:val="InternetLink"/>
                  <w:rFonts w:ascii="Arial;sans-serif" w:hAnsi="Arial;sans-serif"/>
                  <w:b w:val="false"/>
                  <w:color w:val="000080"/>
                  <w:sz w:val="16"/>
                  <w:u w:val="single"/>
                </w:rPr>
                <w:t xml:space="preserve"> </w:t>
              </w:r>
            </w:hyperlink>
            <w:hyperlink w:anchor="tec-20260630ex311302certif.htm">
              <w:r>
                <w:rPr>
                  <w:rStyle w:val="InternetLink"/>
                  <w:rFonts w:ascii="Arial;sans-serif" w:hAnsi="Arial;sans-serif"/>
                  <w:b w:val="false"/>
                  <w:color w:val="000080"/>
                  <w:sz w:val="16"/>
                  <w:u w:val="single"/>
                </w:rPr>
                <w:t>p</w:t>
              </w:r>
            </w:hyperlink>
            <w:hyperlink w:anchor="tec-20260630ex311302certif.htm">
              <w:r>
                <w:rPr>
                  <w:rStyle w:val="InternetLink"/>
                  <w:rFonts w:ascii="Arial;sans-serif" w:hAnsi="Arial;sans-serif"/>
                  <w:b w:val="false"/>
                  <w:color w:val="000080"/>
                  <w:sz w:val="16"/>
                  <w:u w:val="single"/>
                </w:rPr>
                <w:t xml:space="preserve">ursuant to </w:t>
              </w:r>
            </w:hyperlink>
            <w:hyperlink w:anchor="tec-20260630ex311302certif.htm">
              <w:r>
                <w:rPr>
                  <w:rStyle w:val="InternetLink"/>
                  <w:rFonts w:ascii="Arial;sans-serif" w:hAnsi="Arial;sans-serif"/>
                  <w:b w:val="false"/>
                  <w:color w:val="000080"/>
                  <w:sz w:val="16"/>
                  <w:u w:val="single"/>
                </w:rPr>
                <w:t>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630ex312302certif.htm">
              <w:r>
                <w:rPr>
                  <w:rStyle w:val="InternetLink"/>
                  <w:rFonts w:ascii="Arial;sans-serif" w:hAnsi="Arial;sans-serif"/>
                  <w:b w:val="false"/>
                  <w:color w:val="000080"/>
                  <w:sz w:val="16"/>
                  <w:u w:val="single"/>
                </w:rPr>
                <w:t xml:space="preserve">Certification of </w:t>
              </w:r>
            </w:hyperlink>
            <w:hyperlink w:anchor="tec-20260630ex312302certif.htm">
              <w:r>
                <w:rPr>
                  <w:rStyle w:val="InternetLink"/>
                  <w:rFonts w:ascii="Arial;sans-serif" w:hAnsi="Arial;sans-serif"/>
                  <w:b w:val="false"/>
                  <w:color w:val="000080"/>
                  <w:sz w:val="16"/>
                  <w:u w:val="single"/>
                </w:rPr>
                <w:t>Principal Financial</w:t>
              </w:r>
            </w:hyperlink>
            <w:hyperlink w:anchor="tec-20260630ex312302certif.htm">
              <w:r>
                <w:rPr>
                  <w:rStyle w:val="InternetLink"/>
                  <w:rFonts w:ascii="Arial;sans-serif" w:hAnsi="Arial;sans-serif"/>
                  <w:b w:val="false"/>
                  <w:color w:val="000080"/>
                  <w:sz w:val="16"/>
                  <w:u w:val="single"/>
                </w:rPr>
                <w:t xml:space="preserve"> </w:t>
              </w:r>
            </w:hyperlink>
            <w:hyperlink w:anchor="tec-20260630ex312302certif.htm">
              <w:r>
                <w:rPr>
                  <w:rStyle w:val="InternetLink"/>
                  <w:rFonts w:ascii="Arial;sans-serif" w:hAnsi="Arial;sans-serif"/>
                  <w:b w:val="false"/>
                  <w:color w:val="000080"/>
                  <w:sz w:val="16"/>
                  <w:u w:val="single"/>
                </w:rPr>
                <w:t>Officer</w:t>
              </w:r>
            </w:hyperlink>
            <w:hyperlink w:anchor="tec-20260630ex312302certif.htm">
              <w:r>
                <w:rPr>
                  <w:rStyle w:val="InternetLink"/>
                  <w:rFonts w:ascii="Arial;sans-serif" w:hAnsi="Arial;sans-serif"/>
                  <w:b w:val="false"/>
                  <w:color w:val="000080"/>
                  <w:sz w:val="16"/>
                  <w:u w:val="single"/>
                </w:rPr>
                <w:t xml:space="preserve"> </w:t>
              </w:r>
            </w:hyperlink>
            <w:hyperlink w:anchor="tec-20260630ex312302certif.htm">
              <w:r>
                <w:rPr>
                  <w:rStyle w:val="InternetLink"/>
                  <w:rFonts w:ascii="Arial;sans-serif" w:hAnsi="Arial;sans-serif"/>
                  <w:b w:val="false"/>
                  <w:color w:val="000080"/>
                  <w:sz w:val="16"/>
                  <w:u w:val="single"/>
                </w:rPr>
                <w:t>p</w:t>
              </w:r>
            </w:hyperlink>
            <w:hyperlink w:anchor="tec-20260630ex312302certif.htm">
              <w:r>
                <w:rPr>
                  <w:rStyle w:val="InternetLink"/>
                  <w:rFonts w:ascii="Arial;sans-serif" w:hAnsi="Arial;sans-serif"/>
                  <w:b w:val="false"/>
                  <w:color w:val="000080"/>
                  <w:sz w:val="16"/>
                  <w:u w:val="single"/>
                </w:rPr>
                <w:t>ursuant to</w:t>
              </w:r>
            </w:hyperlink>
            <w:hyperlink w:anchor="tec-20260630ex312302certif.htm">
              <w:r>
                <w:rPr>
                  <w:rStyle w:val="InternetLink"/>
                  <w:rFonts w:ascii="Arial;sans-serif" w:hAnsi="Arial;sans-serif"/>
                  <w:b w:val="false"/>
                  <w:color w:val="000080"/>
                  <w:sz w:val="16"/>
                  <w:u w:val="single"/>
                </w:rPr>
                <w:t xml:space="preserve">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630ex321906certif.htm">
              <w:r>
                <w:rPr>
                  <w:rStyle w:val="InternetLink"/>
                  <w:rFonts w:ascii="Arial;sans-serif" w:hAnsi="Arial;sans-serif"/>
                  <w:b w:val="false"/>
                  <w:color w:val="000080"/>
                  <w:sz w:val="16"/>
                  <w:u w:val="single"/>
                </w:rPr>
                <w:t xml:space="preserve">Certification of </w:t>
              </w:r>
            </w:hyperlink>
            <w:hyperlink w:anchor="tec-20260630ex321906certif.htm">
              <w:r>
                <w:rPr>
                  <w:rStyle w:val="InternetLink"/>
                  <w:rFonts w:ascii="Arial;sans-serif" w:hAnsi="Arial;sans-serif"/>
                  <w:b w:val="false"/>
                  <w:color w:val="000080"/>
                  <w:sz w:val="16"/>
                  <w:u w:val="single"/>
                </w:rPr>
                <w:t>Principal Executive Officer</w:t>
              </w:r>
            </w:hyperlink>
            <w:hyperlink w:anchor="tec-20260630ex321906certif.htm">
              <w:r>
                <w:rPr>
                  <w:rStyle w:val="InternetLink"/>
                  <w:rFonts w:ascii="Arial;sans-serif" w:hAnsi="Arial;sans-serif"/>
                  <w:b w:val="false"/>
                  <w:color w:val="000080"/>
                  <w:sz w:val="16"/>
                  <w:u w:val="single"/>
                </w:rPr>
                <w:t xml:space="preserve"> and </w:t>
              </w:r>
            </w:hyperlink>
            <w:hyperlink w:anchor="tec-20260630ex321906certif.htm">
              <w:r>
                <w:rPr>
                  <w:rStyle w:val="InternetLink"/>
                  <w:rFonts w:ascii="Arial;sans-serif" w:hAnsi="Arial;sans-serif"/>
                  <w:b w:val="false"/>
                  <w:color w:val="000080"/>
                  <w:sz w:val="16"/>
                  <w:u w:val="single"/>
                </w:rPr>
                <w:t>Principal Financial</w:t>
              </w:r>
            </w:hyperlink>
            <w:hyperlink w:anchor="tec-20260630ex321906certif.htm">
              <w:r>
                <w:rPr>
                  <w:rStyle w:val="InternetLink"/>
                  <w:rFonts w:ascii="Arial;sans-serif" w:hAnsi="Arial;sans-serif"/>
                  <w:b w:val="false"/>
                  <w:color w:val="000080"/>
                  <w:sz w:val="16"/>
                  <w:u w:val="single"/>
                </w:rPr>
                <w:t xml:space="preserve"> </w:t>
              </w:r>
            </w:hyperlink>
            <w:hyperlink w:anchor="tec-20260630ex321906certif.htm">
              <w:r>
                <w:rPr>
                  <w:rStyle w:val="InternetLink"/>
                  <w:rFonts w:ascii="Arial;sans-serif" w:hAnsi="Arial;sans-serif"/>
                  <w:b w:val="false"/>
                  <w:color w:val="000080"/>
                  <w:sz w:val="16"/>
                  <w:u w:val="single"/>
                </w:rPr>
                <w:t>Officer</w:t>
              </w:r>
            </w:hyperlink>
            <w:hyperlink w:anchor="tec-20260630ex321906certif.htm">
              <w:r>
                <w:rPr>
                  <w:rStyle w:val="InternetLink"/>
                  <w:rFonts w:ascii="Arial;sans-serif" w:hAnsi="Arial;sans-serif"/>
                  <w:b w:val="false"/>
                  <w:color w:val="000080"/>
                  <w:sz w:val="16"/>
                  <w:u w:val="single"/>
                </w:rPr>
                <w:t xml:space="preserve"> </w:t>
              </w:r>
            </w:hyperlink>
            <w:hyperlink w:anchor="tec-20260630ex321906certif.htm">
              <w:r>
                <w:rPr>
                  <w:rStyle w:val="InternetLink"/>
                  <w:rFonts w:ascii="Arial;sans-serif" w:hAnsi="Arial;sans-serif"/>
                  <w:b w:val="false"/>
                  <w:color w:val="000080"/>
                  <w:sz w:val="16"/>
                  <w:u w:val="single"/>
                </w:rPr>
                <w:t>p</w:t>
              </w:r>
            </w:hyperlink>
            <w:hyperlink w:anchor="tec-20260630ex321906certif.htm">
              <w:r>
                <w:rPr>
                  <w:rStyle w:val="InternetLink"/>
                  <w:rFonts w:ascii="Arial;sans-serif" w:hAnsi="Arial;sans-serif"/>
                  <w:b w:val="false"/>
                  <w:color w:val="000080"/>
                  <w:sz w:val="16"/>
                  <w:u w:val="single"/>
                </w:rPr>
                <w:t>ursuant to</w:t>
              </w:r>
            </w:hyperlink>
            <w:hyperlink w:anchor="tec-20260630ex321906certif.htm">
              <w:r>
                <w:rPr>
                  <w:rStyle w:val="InternetLink"/>
                  <w:rFonts w:ascii="Arial;sans-serif" w:hAnsi="Arial;sans-serif"/>
                  <w:b w:val="false"/>
                  <w:color w:val="000080"/>
                  <w:sz w:val="16"/>
                  <w:u w:val="single"/>
                </w:rPr>
                <w:t xml:space="preserve">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Filed herewith.</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Furnished herewith.</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of the schedules and attachments to the exhibit have been omitted pursuant to Item 601(a)(5) of Regulation S-K. A copy of any omitted schedule or attachment will be furnished to the SEC upon request.</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private and immaterial portions of the exhibit have been redacted pursuant to Item 601(a)(6) of Regulation S-K.</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14"/>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bookmarkStart w:id="17" w:name="i3820191e5a5e4caaab6e50f6b441fcd8_202745"/>
      <w:bookmarkEnd w:id="17"/>
      <w:r>
        <w:rPr>
          <w:rFonts w:ascii="Arial;sans-serif" w:hAnsi="Arial;sans-serif"/>
          <w:b/>
          <w:color w:val="000000"/>
          <w:sz w:val="18"/>
        </w:rPr>
        <w:t>GLOSSARY OF TERMS AND ABBREVIATIONS</w:t>
      </w:r>
    </w:p>
    <w:p>
      <w:pPr>
        <w:pStyle w:val="TextBody"/>
        <w:bidi w:val="0"/>
        <w:spacing w:lineRule="auto" w:line="288" w:before="0" w:after="180"/>
        <w:ind w:left="0" w:right="0" w:firstLine="36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TextBody"/>
        <w:bidi w:val="0"/>
        <w:spacing w:lineRule="auto" w:line="288" w:before="0" w:after="180"/>
        <w:ind w:left="0" w:right="0" w:firstLine="360"/>
        <w:jc w:val="left"/>
        <w:rPr/>
      </w:pPr>
      <w:r>
        <w:rPr>
          <w:rFonts w:ascii="Arial;sans-serif" w:hAnsi="Arial;sans-serif"/>
          <w:b/>
          <w:i/>
          <w:color w:val="000000"/>
          <w:sz w:val="18"/>
        </w:rPr>
        <w:t>Annual Financial Statements.</w:t>
      </w:r>
      <w:r>
        <w:rPr>
          <w:color w:val="000000"/>
        </w:rPr>
        <w:t xml:space="preserve"> </w:t>
      </w:r>
      <w:r>
        <w:rPr>
          <w:rFonts w:ascii="Arial;sans-serif" w:hAnsi="Arial;sans-serif"/>
          <w:b w:val="false"/>
          <w:color w:val="000000"/>
          <w:sz w:val="18"/>
        </w:rPr>
        <w:t>The audited consolidated balance sheets of TEC as of December 31, 2025 and December 31, 2024; the related audited consolidated statements of operations, statements of comprehensive income, statements of cash flows, and statements of equity for the years ended December 31, 2025 and December 31, 2024, for the period from May 18, 2023 through December 31, 2023, and for the period from January 1, 2023 through May 17, 2023; and the related notes included in the Company’s Annual Report on Form 10-K filed with the SEC on February 26, 2026.</w:t>
      </w:r>
    </w:p>
    <w:p>
      <w:pPr>
        <w:pStyle w:val="TextBody"/>
        <w:bidi w:val="0"/>
        <w:spacing w:lineRule="auto" w:line="288" w:before="0" w:after="180"/>
        <w:ind w:left="0" w:right="0" w:firstLine="360"/>
        <w:jc w:val="left"/>
        <w:rPr/>
      </w:pPr>
      <w:r>
        <w:rPr>
          <w:rFonts w:ascii="Arial;sans-serif" w:hAnsi="Arial;sans-serif"/>
          <w:b/>
          <w:i/>
          <w:color w:val="000000"/>
          <w:sz w:val="18"/>
        </w:rPr>
        <w:t>AOCI.</w:t>
      </w:r>
      <w:r>
        <w:rPr>
          <w:color w:val="000000"/>
        </w:rPr>
        <w:t xml:space="preserve"> </w:t>
      </w:r>
      <w:r>
        <w:rPr>
          <w:rFonts w:ascii="Arial;sans-serif" w:hAnsi="Arial;sans-serif"/>
          <w:b w:val="false"/>
          <w:color w:val="000000"/>
          <w:sz w:val="18"/>
        </w:rPr>
        <w:t>Accumulated other comprehensive income or loss, which is a component of stockholders’ equity on the Consolidated Balance Sheets.</w:t>
      </w:r>
    </w:p>
    <w:p>
      <w:pPr>
        <w:pStyle w:val="TextBody"/>
        <w:bidi w:val="0"/>
        <w:spacing w:lineRule="auto" w:line="288" w:before="0" w:after="180"/>
        <w:ind w:left="0" w:right="0" w:firstLine="360"/>
        <w:jc w:val="left"/>
        <w:rPr/>
      </w:pPr>
      <w:r>
        <w:rPr>
          <w:rFonts w:ascii="Arial;sans-serif" w:hAnsi="Arial;sans-serif"/>
          <w:b/>
          <w:i/>
          <w:color w:val="000000"/>
          <w:sz w:val="18"/>
        </w:rPr>
        <w:t>ARO.</w:t>
      </w:r>
      <w:r>
        <w:rPr>
          <w:color w:val="000000"/>
        </w:rPr>
        <w:t xml:space="preserve"> </w:t>
      </w:r>
      <w:r>
        <w:rPr>
          <w:rFonts w:ascii="Arial;sans-serif" w:hAnsi="Arial;sans-serif"/>
          <w:b w:val="false"/>
          <w:color w:val="000000"/>
          <w:sz w:val="18"/>
        </w:rPr>
        <w:t>Asset retirement obligation.</w:t>
      </w:r>
    </w:p>
    <w:p>
      <w:pPr>
        <w:pStyle w:val="TextBody"/>
        <w:bidi w:val="0"/>
        <w:spacing w:lineRule="auto" w:line="288" w:before="0" w:after="180"/>
        <w:ind w:left="0" w:right="0" w:firstLine="360"/>
        <w:jc w:val="left"/>
        <w:rPr/>
      </w:pPr>
      <w:r>
        <w:rPr>
          <w:rFonts w:ascii="Arial;sans-serif" w:hAnsi="Arial;sans-serif"/>
          <w:b/>
          <w:i/>
          <w:color w:val="000000"/>
          <w:sz w:val="18"/>
        </w:rPr>
        <w:t>AWS.</w:t>
      </w:r>
      <w:r>
        <w:rPr>
          <w:color w:val="000000"/>
        </w:rPr>
        <w:t xml:space="preserve"> </w:t>
      </w:r>
      <w:r>
        <w:rPr>
          <w:rFonts w:ascii="Arial;sans-serif" w:hAnsi="Arial;sans-serif"/>
          <w:b w:val="false"/>
          <w:color w:val="000000"/>
          <w:sz w:val="18"/>
        </w:rPr>
        <w:t>Amazon Web Services, Inc. and its affiliates.</w:t>
      </w:r>
    </w:p>
    <w:p>
      <w:pPr>
        <w:pStyle w:val="TextBody"/>
        <w:bidi w:val="0"/>
        <w:spacing w:lineRule="auto" w:line="288" w:before="0" w:after="180"/>
        <w:ind w:left="0" w:right="0" w:firstLine="360"/>
        <w:jc w:val="left"/>
        <w:rPr/>
      </w:pPr>
      <w:r>
        <w:rPr>
          <w:rFonts w:ascii="Arial;sans-serif" w:hAnsi="Arial;sans-serif"/>
          <w:b/>
          <w:i/>
          <w:color w:val="000000"/>
          <w:sz w:val="18"/>
        </w:rPr>
        <w:t>AWS Data Campus.</w:t>
      </w:r>
      <w:r>
        <w:rPr>
          <w:color w:val="000000"/>
        </w:rPr>
        <w:t xml:space="preserve"> </w:t>
      </w:r>
      <w:r>
        <w:rPr>
          <w:rFonts w:ascii="Arial;sans-serif" w:hAnsi="Arial;sans-serif"/>
          <w:b w:val="false"/>
          <w:color w:val="000000"/>
          <w:sz w:val="18"/>
        </w:rPr>
        <w:t xml:space="preserve">The data center campus adjacent to Susquehanna. </w:t>
      </w:r>
    </w:p>
    <w:p>
      <w:pPr>
        <w:pStyle w:val="TextBody"/>
        <w:bidi w:val="0"/>
        <w:spacing w:lineRule="auto" w:line="288" w:before="0" w:after="180"/>
        <w:ind w:left="0" w:right="0" w:firstLine="360"/>
        <w:jc w:val="left"/>
        <w:rPr/>
      </w:pPr>
      <w:r>
        <w:rPr>
          <w:rFonts w:ascii="Arial;sans-serif" w:hAnsi="Arial;sans-serif"/>
          <w:b/>
          <w:i/>
          <w:color w:val="000000"/>
          <w:sz w:val="18"/>
        </w:rPr>
        <w:t>AWS PPA.</w:t>
      </w:r>
      <w:r>
        <w:rPr>
          <w:color w:val="000000"/>
        </w:rPr>
        <w:t xml:space="preserve"> </w:t>
      </w:r>
      <w:r>
        <w:rPr>
          <w:rFonts w:ascii="Arial;sans-serif" w:hAnsi="Arial;sans-serif"/>
          <w:b w:val="false"/>
          <w:color w:val="000000"/>
          <w:sz w:val="18"/>
        </w:rPr>
        <w:t>The March 2024 (as revised in June 2025) power purchase agreement between the Company and AWS pursuant to which, among other things, 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occurred in April 2026.</w:t>
      </w:r>
    </w:p>
    <w:p>
      <w:pPr>
        <w:pStyle w:val="TextBody"/>
        <w:bidi w:val="0"/>
        <w:spacing w:lineRule="auto" w:line="288" w:before="0" w:after="180"/>
        <w:ind w:left="0" w:right="0" w:firstLine="360"/>
        <w:jc w:val="left"/>
        <w:rPr/>
      </w:pPr>
      <w:r>
        <w:rPr>
          <w:rFonts w:ascii="Arial;sans-serif" w:hAnsi="Arial;sans-serif"/>
          <w:b/>
          <w:i/>
          <w:color w:val="000000"/>
          <w:sz w:val="18"/>
        </w:rPr>
        <w:t>Board of Directors.</w:t>
      </w:r>
      <w:r>
        <w:rPr>
          <w:color w:val="000000"/>
        </w:rPr>
        <w:t xml:space="preserve"> </w:t>
      </w:r>
      <w:r>
        <w:rPr>
          <w:rFonts w:ascii="Arial;sans-serif" w:hAnsi="Arial;sans-serif"/>
          <w:b w:val="false"/>
          <w:color w:val="000000"/>
          <w:sz w:val="18"/>
        </w:rPr>
        <w:t>The board of directors of Talen Energy Corporation.</w:t>
      </w:r>
    </w:p>
    <w:p>
      <w:pPr>
        <w:pStyle w:val="TextBody"/>
        <w:bidi w:val="0"/>
        <w:spacing w:lineRule="auto" w:line="288" w:before="0" w:after="180"/>
        <w:ind w:left="0" w:right="0" w:firstLine="360"/>
        <w:jc w:val="left"/>
        <w:rPr/>
      </w:pPr>
      <w:r>
        <w:rPr>
          <w:rFonts w:ascii="Arial;sans-serif" w:hAnsi="Arial;sans-serif"/>
          <w:b/>
          <w:i/>
          <w:color w:val="000000"/>
          <w:sz w:val="18"/>
        </w:rPr>
        <w:t>Brandon Shores.</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ind w:left="0" w:right="0" w:firstLine="360"/>
        <w:jc w:val="left"/>
        <w:rPr/>
      </w:pPr>
      <w:r>
        <w:rPr>
          <w:rFonts w:ascii="Arial;sans-serif" w:hAnsi="Arial;sans-serif"/>
          <w:b/>
          <w:i/>
          <w:color w:val="000000"/>
          <w:sz w:val="18"/>
        </w:rPr>
        <w:t>Brunner Island.</w:t>
      </w:r>
      <w:r>
        <w:rPr>
          <w:color w:val="000000"/>
        </w:rPr>
        <w:t xml:space="preserve"> </w:t>
      </w:r>
      <w:r>
        <w:rPr>
          <w:rFonts w:ascii="Arial;sans-serif" w:hAnsi="Arial;sans-serif"/>
          <w:b w:val="false"/>
          <w:color w:val="000000"/>
          <w:sz w:val="18"/>
        </w:rPr>
        <w:t>A Talen-owned and operated generation facility in York Haven, Pennsylvania.</w:t>
      </w:r>
    </w:p>
    <w:p>
      <w:pPr>
        <w:pStyle w:val="TextBody"/>
        <w:bidi w:val="0"/>
        <w:spacing w:lineRule="auto" w:line="288" w:before="0" w:after="180"/>
        <w:ind w:left="0" w:right="0" w:firstLine="360"/>
        <w:jc w:val="left"/>
        <w:rPr/>
      </w:pPr>
      <w:r>
        <w:rPr>
          <w:rFonts w:ascii="Arial;sans-serif" w:hAnsi="Arial;sans-serif"/>
          <w:b/>
          <w:i/>
          <w:color w:val="000000"/>
          <w:sz w:val="18"/>
        </w:rPr>
        <w:t>Capacity Performance.</w:t>
      </w:r>
      <w:r>
        <w:rPr>
          <w:color w:val="000000"/>
        </w:rPr>
        <w:t xml:space="preserve"> </w:t>
      </w:r>
      <w:r>
        <w:rPr>
          <w:rFonts w:ascii="Arial;sans-serif" w:hAnsi="Arial;sans-serif"/>
          <w:b w:val="false"/>
          <w:color w:val="000000"/>
          <w:sz w:val="18"/>
        </w:rPr>
        <w:t>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the FERC’s orders. Capacity Performance providers assume higher performance requirements during system emergencies and are subject to penalties for non-performance.</w:t>
      </w:r>
    </w:p>
    <w:p>
      <w:pPr>
        <w:pStyle w:val="TextBody"/>
        <w:bidi w:val="0"/>
        <w:spacing w:lineRule="auto" w:line="288" w:before="0" w:after="180"/>
        <w:ind w:left="0" w:right="0" w:firstLine="360"/>
        <w:jc w:val="left"/>
        <w:rPr/>
      </w:pPr>
      <w:r>
        <w:rPr>
          <w:rFonts w:ascii="Arial;sans-serif" w:hAnsi="Arial;sans-serif"/>
          <w:b/>
          <w:i/>
          <w:color w:val="000000"/>
          <w:sz w:val="18"/>
        </w:rPr>
        <w:t>CCR.</w:t>
      </w:r>
      <w:r>
        <w:rPr>
          <w:color w:val="000000"/>
        </w:rPr>
        <w:t xml:space="preserve"> </w:t>
      </w:r>
      <w:r>
        <w:rPr>
          <w:rFonts w:ascii="Arial;sans-serif" w:hAnsi="Arial;sans-serif"/>
          <w:b w:val="false"/>
          <w:color w:val="000000"/>
          <w:sz w:val="18"/>
        </w:rPr>
        <w:t>Coal Combustion Residuals, including but not limited to fly ash, bottom ash, and gypsum, that are produced from coal-fired electric generation facilities.</w:t>
      </w:r>
    </w:p>
    <w:p>
      <w:pPr>
        <w:pStyle w:val="TextBody"/>
        <w:bidi w:val="0"/>
        <w:spacing w:lineRule="auto" w:line="288" w:before="0" w:after="180"/>
        <w:ind w:left="0" w:right="0" w:firstLine="360"/>
        <w:jc w:val="left"/>
        <w:rPr/>
      </w:pPr>
      <w:r>
        <w:rPr>
          <w:rFonts w:ascii="Arial;sans-serif" w:hAnsi="Arial;sans-serif"/>
          <w:b/>
          <w:i/>
          <w:color w:val="000000"/>
          <w:sz w:val="18"/>
        </w:rPr>
        <w:t>Colstrip.</w:t>
      </w:r>
      <w:r>
        <w:rPr>
          <w:color w:val="000000"/>
        </w:rPr>
        <w:t xml:space="preserve"> </w:t>
      </w:r>
      <w:r>
        <w:rPr>
          <w:rFonts w:ascii="Arial;sans-serif" w:hAnsi="Arial;sans-serif"/>
          <w:b w:val="false"/>
          <w:color w:val="000000"/>
          <w:sz w:val="18"/>
        </w:rPr>
        <w:t>A generation facility comprised of four coal-fired generation units located in Colstrip, Montana. Talen Montana operates Colstrip, owns an undivided interest in Colstrip Unit 3, and has an economic interest in Colstrip Unit 4. Colstrip Units 1 and 2 were permanently retired in January 2020. See Note 7 to the Annual Financial Statements for additional information on jointly owned facilities and Talen Montana’s ownership interests in Colstrip.</w:t>
      </w:r>
    </w:p>
    <w:p>
      <w:pPr>
        <w:pStyle w:val="TextBody"/>
        <w:bidi w:val="0"/>
        <w:spacing w:lineRule="auto" w:line="288" w:before="0" w:after="180"/>
        <w:ind w:left="0" w:right="0" w:firstLine="360"/>
        <w:jc w:val="left"/>
        <w:rPr/>
      </w:pPr>
      <w:r>
        <w:rPr>
          <w:rFonts w:ascii="Arial;sans-serif" w:hAnsi="Arial;sans-serif"/>
          <w:b/>
          <w:i/>
          <w:color w:val="000000"/>
          <w:sz w:val="18"/>
        </w:rPr>
        <w:t xml:space="preserve">Cornerstone Acquisition. </w:t>
      </w:r>
      <w:r>
        <w:rPr>
          <w:rFonts w:ascii="Arial;sans-serif" w:hAnsi="Arial;sans-serif"/>
          <w:b w:val="false"/>
          <w:color w:val="000000"/>
          <w:sz w:val="18"/>
        </w:rPr>
        <w:t>Our acquisition of Waterford, Darby, and Lawrenceburg from affiliates of Energy Capital Partners, which closed in June 2026. See Note 17 to the Interim Financial Statements for additional information.</w:t>
      </w:r>
    </w:p>
    <w:p>
      <w:pPr>
        <w:pStyle w:val="TextBody"/>
        <w:bidi w:val="0"/>
        <w:spacing w:lineRule="auto" w:line="288" w:before="0" w:after="180"/>
        <w:ind w:left="0" w:right="0" w:firstLine="360"/>
        <w:jc w:val="left"/>
        <w:rPr/>
      </w:pPr>
      <w:r>
        <w:rPr>
          <w:rFonts w:ascii="Arial;sans-serif" w:hAnsi="Arial;sans-serif"/>
          <w:b/>
          <w:i/>
          <w:color w:val="000000"/>
          <w:sz w:val="18"/>
        </w:rPr>
        <w:t xml:space="preserve">Cornerstone RRA. </w:t>
      </w:r>
      <w:r>
        <w:rPr>
          <w:rFonts w:ascii="Arial;sans-serif" w:hAnsi="Arial;sans-serif"/>
          <w:b w:val="false"/>
          <w:color w:val="000000"/>
          <w:sz w:val="18"/>
        </w:rPr>
        <w:t xml:space="preserve">Registration Rights Agreement, dated June 15, 2026, by and among TEC and the holders named therein, entered into at the closing of the Cornerstone Acquisition in connection with the issuance of stock consideration. </w:t>
      </w:r>
    </w:p>
    <w:p>
      <w:pPr>
        <w:pStyle w:val="TextBody"/>
        <w:bidi w:val="0"/>
        <w:spacing w:lineRule="auto" w:line="288" w:before="0" w:after="180"/>
        <w:ind w:left="0" w:right="0" w:firstLine="360"/>
        <w:jc w:val="left"/>
        <w:rPr/>
      </w:pPr>
      <w:r>
        <w:rPr>
          <w:rFonts w:ascii="Arial;sans-serif" w:hAnsi="Arial;sans-serif"/>
          <w:b/>
          <w:i/>
          <w:color w:val="000000"/>
          <w:sz w:val="18"/>
        </w:rPr>
        <w:t>Credit Agreement.</w:t>
      </w:r>
      <w:r>
        <w:rPr>
          <w:color w:val="000000"/>
        </w:rPr>
        <w:t xml:space="preserve"> </w:t>
      </w:r>
      <w:r>
        <w:rPr>
          <w:rFonts w:ascii="Arial;sans-serif" w:hAnsi="Arial;sans-serif"/>
          <w:b w:val="false"/>
          <w:color w:val="000000"/>
          <w:sz w:val="18"/>
        </w:rPr>
        <w:t>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TLB-1, TLB-2, TLB-3, and LCF, as the same may be amended, amended and restated, supplemented, or otherwise modified from time to time.</w:t>
      </w:r>
    </w:p>
    <w:p>
      <w:pPr>
        <w:pStyle w:val="TextBody"/>
        <w:bidi w:val="0"/>
        <w:spacing w:lineRule="auto" w:line="288" w:before="0" w:after="180"/>
        <w:ind w:left="0" w:right="0" w:firstLine="360"/>
        <w:jc w:val="left"/>
        <w:rPr/>
      </w:pPr>
      <w:r>
        <w:rPr>
          <w:rFonts w:ascii="Arial;sans-serif" w:hAnsi="Arial;sans-serif"/>
          <w:b/>
          <w:i/>
          <w:color w:val="000000"/>
          <w:sz w:val="18"/>
        </w:rPr>
        <w:t>Credit Facilities.</w:t>
      </w:r>
      <w:r>
        <w:rPr>
          <w:color w:val="000000"/>
        </w:rPr>
        <w:t xml:space="preserve"> </w:t>
      </w:r>
      <w:r>
        <w:rPr>
          <w:rFonts w:ascii="Arial;sans-serif" w:hAnsi="Arial;sans-serif"/>
          <w:b w:val="false"/>
          <w:color w:val="000000"/>
          <w:sz w:val="18"/>
        </w:rPr>
        <w:t>Collectively, the RCF, TLB-1, TLB-2, TLB-3 and LCF.</w:t>
      </w:r>
    </w:p>
    <w:p>
      <w:pPr>
        <w:pStyle w:val="TextBody"/>
        <w:bidi w:val="0"/>
        <w:spacing w:lineRule="auto" w:line="288" w:before="0" w:after="180"/>
        <w:ind w:left="0" w:right="0" w:firstLine="360"/>
        <w:jc w:val="left"/>
        <w:rPr/>
      </w:pPr>
      <w:r>
        <w:rPr>
          <w:rFonts w:ascii="Arial;sans-serif" w:hAnsi="Arial;sans-serif"/>
          <w:b/>
          <w:i/>
          <w:color w:val="000000"/>
          <w:sz w:val="18"/>
        </w:rPr>
        <w:t xml:space="preserve">Darby.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Mount Sterling, Ohio.</w:t>
      </w:r>
    </w:p>
    <w:p>
      <w:pPr>
        <w:pStyle w:val="TextBody"/>
        <w:bidi w:val="0"/>
        <w:spacing w:lineRule="auto" w:line="288" w:before="0" w:after="180"/>
        <w:ind w:left="0" w:right="0" w:firstLine="360"/>
        <w:jc w:val="left"/>
        <w:rPr/>
      </w:pPr>
      <w:r>
        <w:rPr>
          <w:rFonts w:ascii="Arial;sans-serif" w:hAnsi="Arial;sans-serif"/>
          <w:b/>
          <w:i/>
          <w:color w:val="000000"/>
          <w:sz w:val="18"/>
        </w:rPr>
        <w:t>DOE.</w:t>
      </w:r>
      <w:r>
        <w:rPr>
          <w:color w:val="000000"/>
        </w:rPr>
        <w:t xml:space="preserve"> </w:t>
      </w:r>
      <w:r>
        <w:rPr>
          <w:rFonts w:ascii="Arial;sans-serif" w:hAnsi="Arial;sans-serif"/>
          <w:b w:val="false"/>
          <w:color w:val="000000"/>
          <w:sz w:val="18"/>
        </w:rPr>
        <w:t>U.S. Department of Energy.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EPA.</w:t>
      </w:r>
      <w:r>
        <w:rPr>
          <w:color w:val="000000"/>
        </w:rPr>
        <w:t xml:space="preserve"> </w:t>
      </w:r>
      <w:r>
        <w:rPr>
          <w:rFonts w:ascii="Arial;sans-serif" w:hAnsi="Arial;sans-serif"/>
          <w:b w:val="false"/>
          <w:color w:val="000000"/>
          <w:sz w:val="18"/>
        </w:rPr>
        <w:t>U.S. Environmental Protection Agency.</w:t>
      </w:r>
    </w:p>
    <w:p>
      <w:pPr>
        <w:pStyle w:val="TextBody"/>
        <w:bidi w:val="0"/>
        <w:spacing w:lineRule="auto" w:line="288" w:before="0" w:after="180"/>
        <w:ind w:left="0" w:right="0" w:firstLine="360"/>
        <w:jc w:val="left"/>
        <w:rPr/>
      </w:pPr>
      <w:r>
        <w:rPr>
          <w:rFonts w:ascii="Arial;sans-serif" w:hAnsi="Arial;sans-serif"/>
          <w:b/>
          <w:i/>
          <w:color w:val="000000"/>
          <w:sz w:val="18"/>
        </w:rPr>
        <w:t>EPA CCR Rule.</w:t>
      </w:r>
      <w:r>
        <w:rPr>
          <w:color w:val="000000"/>
        </w:rPr>
        <w:t xml:space="preserve"> </w:t>
      </w:r>
      <w:r>
        <w:rPr>
          <w:rFonts w:ascii="Arial;sans-serif" w:hAnsi="Arial;sans-serif"/>
          <w:b w:val="false"/>
          <w:color w:val="000000"/>
          <w:sz w:val="18"/>
        </w:rPr>
        <w:t>The national regulatory standards required by the EPA for the management of coal combustion residuals in landfills and surface impoundments.</w:t>
      </w:r>
    </w:p>
    <w:p>
      <w:pPr>
        <w:pStyle w:val="TextBody"/>
        <w:bidi w:val="0"/>
        <w:spacing w:lineRule="auto" w:line="288" w:before="0" w:after="180"/>
        <w:ind w:left="0" w:right="0" w:firstLine="360"/>
        <w:jc w:val="left"/>
        <w:rPr/>
      </w:pPr>
      <w:r>
        <w:rPr>
          <w:rFonts w:ascii="Arial;sans-serif" w:hAnsi="Arial;sans-serif"/>
          <w:b/>
          <w:i/>
          <w:color w:val="000000"/>
          <w:sz w:val="18"/>
        </w:rPr>
        <w:t>EPA CSAPR.</w:t>
      </w:r>
      <w:r>
        <w:rPr>
          <w:color w:val="000000"/>
        </w:rPr>
        <w:t xml:space="preserve"> </w:t>
      </w:r>
      <w:r>
        <w:rPr>
          <w:rFonts w:ascii="Arial;sans-serif" w:hAnsi="Arial;sans-serif"/>
          <w:b w:val="false"/>
          <w:color w:val="000000"/>
          <w:sz w:val="18"/>
        </w:rPr>
        <w:t>The Cross-State Air Pollution Rule, a federal program that aims to reduce power plant emissions that cross state lines and contribute to 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pStyle w:val="TextBody"/>
        <w:bidi w:val="0"/>
        <w:spacing w:lineRule="auto" w:line="288" w:before="0" w:after="180"/>
        <w:ind w:left="0" w:right="0" w:firstLine="360"/>
        <w:jc w:val="left"/>
        <w:rPr/>
      </w:pPr>
      <w:r>
        <w:rPr>
          <w:rFonts w:ascii="Arial;sans-serif" w:hAnsi="Arial;sans-serif"/>
          <w:b/>
          <w:i/>
          <w:color w:val="000000"/>
          <w:sz w:val="18"/>
        </w:rPr>
        <w:t>EPA ELG Rule.</w:t>
      </w:r>
      <w:r>
        <w:rPr>
          <w:color w:val="000000"/>
        </w:rPr>
        <w:t xml:space="preserve"> </w:t>
      </w:r>
      <w:r>
        <w:rPr>
          <w:rFonts w:ascii="Arial;sans-serif" w:hAnsi="Arial;sans-serif"/>
          <w:b w:val="false"/>
          <w:color w:val="000000"/>
          <w:sz w:val="18"/>
        </w:rPr>
        <w:t>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pStyle w:val="TextBody"/>
        <w:bidi w:val="0"/>
        <w:spacing w:lineRule="auto" w:line="288" w:before="0" w:after="180"/>
        <w:ind w:left="0" w:right="0" w:firstLine="360"/>
        <w:jc w:val="left"/>
        <w:rPr/>
      </w:pPr>
      <w:r>
        <w:rPr>
          <w:rFonts w:ascii="Arial;sans-serif" w:hAnsi="Arial;sans-serif"/>
          <w:b/>
          <w:i/>
          <w:color w:val="000000"/>
          <w:sz w:val="18"/>
        </w:rPr>
        <w:t>EPA GHG Rule.</w:t>
      </w:r>
      <w:r>
        <w:rPr>
          <w:color w:val="000000"/>
        </w:rPr>
        <w:t xml:space="preserve"> </w:t>
      </w:r>
      <w:r>
        <w:rPr>
          <w:rFonts w:ascii="Arial;sans-serif" w:hAnsi="Arial;sans-serif"/>
          <w:b w:val="false"/>
          <w:color w:val="000000"/>
          <w:sz w:val="18"/>
        </w:rPr>
        <w:t>An EPA rule that establishes carbon dioxide limits for new electric generating units and GHG guidelines for certain existing electric generating units.</w:t>
      </w:r>
    </w:p>
    <w:p>
      <w:pPr>
        <w:pStyle w:val="TextBody"/>
        <w:bidi w:val="0"/>
        <w:spacing w:lineRule="auto" w:line="288" w:before="0" w:after="180"/>
        <w:ind w:left="0" w:right="0" w:firstLine="360"/>
        <w:jc w:val="left"/>
        <w:rPr/>
      </w:pPr>
      <w:r>
        <w:rPr>
          <w:rFonts w:ascii="Arial;sans-serif" w:hAnsi="Arial;sans-serif"/>
          <w:b/>
          <w:i/>
          <w:color w:val="000000"/>
          <w:sz w:val="18"/>
        </w:rPr>
        <w:t>EPA MATS Rule.</w:t>
      </w:r>
      <w:r>
        <w:rPr>
          <w:color w:val="000000"/>
        </w:rPr>
        <w:t xml:space="preserve"> </w:t>
      </w:r>
      <w:r>
        <w:rPr>
          <w:rFonts w:ascii="Arial;sans-serif" w:hAnsi="Arial;sans-serif"/>
          <w:b w:val="false"/>
          <w:color w:val="000000"/>
          <w:sz w:val="18"/>
        </w:rPr>
        <w:t>The Mercury and Air Toxics Standards, the EPA technology-based emissions standards for mercury and other hazardous air pollutants emitted by generation units with a capacity of more than 25 MW.</w:t>
      </w:r>
    </w:p>
    <w:p>
      <w:pPr>
        <w:pStyle w:val="TextBody"/>
        <w:bidi w:val="0"/>
        <w:spacing w:lineRule="auto" w:line="288" w:before="0" w:after="180"/>
        <w:ind w:left="0" w:right="0" w:firstLine="360"/>
        <w:jc w:val="left"/>
        <w:rPr/>
      </w:pPr>
      <w:r>
        <w:rPr>
          <w:rFonts w:ascii="Arial;sans-serif" w:hAnsi="Arial;sans-serif"/>
          <w:b/>
          <w:i/>
          <w:color w:val="000000"/>
          <w:sz w:val="18"/>
        </w:rPr>
        <w:t>EPS</w:t>
      </w:r>
      <w:r>
        <w:rPr>
          <w:rFonts w:ascii="Arial;sans-serif" w:hAnsi="Arial;sans-serif"/>
          <w:b/>
          <w:color w:val="000000"/>
          <w:sz w:val="18"/>
        </w:rPr>
        <w:t>.</w:t>
      </w:r>
      <w:r>
        <w:rPr>
          <w:color w:val="000000"/>
        </w:rPr>
        <w:t xml:space="preserve"> </w:t>
      </w:r>
      <w:r>
        <w:rPr>
          <w:rFonts w:ascii="Arial;sans-serif" w:hAnsi="Arial;sans-serif"/>
          <w:b w:val="false"/>
          <w:color w:val="000000"/>
          <w:sz w:val="18"/>
        </w:rPr>
        <w:t>Earnings per share.</w:t>
      </w:r>
    </w:p>
    <w:p>
      <w:pPr>
        <w:pStyle w:val="TextBody"/>
        <w:bidi w:val="0"/>
        <w:spacing w:lineRule="auto" w:line="288" w:before="0" w:after="180"/>
        <w:ind w:left="0" w:right="0" w:firstLine="360"/>
        <w:jc w:val="left"/>
        <w:rPr/>
      </w:pPr>
      <w:r>
        <w:rPr>
          <w:rFonts w:ascii="Arial;sans-serif" w:hAnsi="Arial;sans-serif"/>
          <w:b/>
          <w:i/>
          <w:color w:val="000000"/>
          <w:sz w:val="18"/>
        </w:rPr>
        <w:t>Exchange Act.</w:t>
      </w:r>
      <w:r>
        <w:rPr>
          <w:color w:val="000000"/>
        </w:rPr>
        <w:t xml:space="preserve"> </w:t>
      </w:r>
      <w:r>
        <w:rPr>
          <w:rFonts w:ascii="Arial;sans-serif" w:hAnsi="Arial;sans-serif"/>
          <w:b w:val="false"/>
          <w:color w:val="000000"/>
          <w:sz w:val="18"/>
        </w:rPr>
        <w:t>The Securities Exchange Act of 1934, as amended.</w:t>
      </w:r>
    </w:p>
    <w:p>
      <w:pPr>
        <w:pStyle w:val="TextBody"/>
        <w:bidi w:val="0"/>
        <w:spacing w:lineRule="auto" w:line="288" w:before="0" w:after="180"/>
        <w:ind w:left="0" w:right="0" w:firstLine="360"/>
        <w:jc w:val="left"/>
        <w:rPr/>
      </w:pPr>
      <w:r>
        <w:rPr>
          <w:rFonts w:ascii="Arial;sans-serif" w:hAnsi="Arial;sans-serif"/>
          <w:b/>
          <w:i/>
          <w:color w:val="000000"/>
          <w:sz w:val="18"/>
        </w:rPr>
        <w:t xml:space="preserve">FERC. </w:t>
      </w:r>
      <w:r>
        <w:rPr>
          <w:rFonts w:ascii="Arial;sans-serif" w:hAnsi="Arial;sans-serif"/>
          <w:b w:val="false"/>
          <w:color w:val="000000"/>
          <w:sz w:val="18"/>
        </w:rPr>
        <w:t>U.S. Federal Energy Regulatory Commission.</w:t>
      </w:r>
    </w:p>
    <w:p>
      <w:pPr>
        <w:pStyle w:val="TextBody"/>
        <w:bidi w:val="0"/>
        <w:spacing w:lineRule="auto" w:line="288" w:before="0" w:after="180"/>
        <w:ind w:left="0" w:right="0" w:firstLine="360"/>
        <w:jc w:val="left"/>
        <w:rPr/>
      </w:pPr>
      <w:r>
        <w:rPr>
          <w:rFonts w:ascii="Arial;sans-serif" w:hAnsi="Arial;sans-serif"/>
          <w:b/>
          <w:i/>
          <w:color w:val="000000"/>
          <w:sz w:val="18"/>
        </w:rPr>
        <w:t xml:space="preserve">Freedom.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Salem Township, Luzerne County, Pennsylvania.</w:t>
      </w:r>
    </w:p>
    <w:p>
      <w:pPr>
        <w:pStyle w:val="TextBody"/>
        <w:bidi w:val="0"/>
        <w:spacing w:lineRule="auto" w:line="288" w:before="0" w:after="180"/>
        <w:ind w:left="0" w:right="0" w:firstLine="360"/>
        <w:jc w:val="left"/>
        <w:rPr/>
      </w:pPr>
      <w:r>
        <w:rPr>
          <w:rFonts w:ascii="Arial;sans-serif" w:hAnsi="Arial;sans-serif"/>
          <w:b/>
          <w:i/>
          <w:color w:val="000000"/>
          <w:sz w:val="18"/>
        </w:rPr>
        <w:t>GAAP.</w:t>
      </w:r>
      <w:r>
        <w:rPr>
          <w:color w:val="000000"/>
        </w:rPr>
        <w:t xml:space="preserve"> </w:t>
      </w:r>
      <w:r>
        <w:rPr>
          <w:rFonts w:ascii="Arial;sans-serif" w:hAnsi="Arial;sans-serif"/>
          <w:b w:val="false"/>
          <w:color w:val="000000"/>
          <w:sz w:val="18"/>
        </w:rPr>
        <w:t>Generally Accepted Accounting Principles in the United States.</w:t>
      </w:r>
    </w:p>
    <w:p>
      <w:pPr>
        <w:pStyle w:val="TextBody"/>
        <w:bidi w:val="0"/>
        <w:spacing w:lineRule="auto" w:line="288" w:before="0" w:after="180"/>
        <w:ind w:left="0" w:right="0" w:firstLine="360"/>
        <w:jc w:val="left"/>
        <w:rPr/>
      </w:pPr>
      <w:r>
        <w:rPr>
          <w:rFonts w:ascii="Arial;sans-serif" w:hAnsi="Arial;sans-serif"/>
          <w:b/>
          <w:i/>
          <w:color w:val="000000"/>
          <w:sz w:val="18"/>
        </w:rPr>
        <w:t xml:space="preserve">Guernsey.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Byesville, Ohio.</w:t>
      </w:r>
    </w:p>
    <w:p>
      <w:pPr>
        <w:pStyle w:val="TextBody"/>
        <w:bidi w:val="0"/>
        <w:spacing w:lineRule="auto" w:line="288" w:before="0" w:after="180"/>
        <w:ind w:left="0" w:right="0" w:firstLine="360"/>
        <w:jc w:val="left"/>
        <w:rPr/>
      </w:pPr>
      <w:r>
        <w:rPr>
          <w:rFonts w:ascii="Arial;sans-serif" w:hAnsi="Arial;sans-serif"/>
          <w:b/>
          <w:i/>
          <w:color w:val="000000"/>
          <w:sz w:val="18"/>
        </w:rPr>
        <w:t>GW.</w:t>
      </w:r>
      <w:r>
        <w:rPr>
          <w:color w:val="000000"/>
        </w:rPr>
        <w:t xml:space="preserve"> </w:t>
      </w:r>
      <w:r>
        <w:rPr>
          <w:rFonts w:ascii="Arial;sans-serif" w:hAnsi="Arial;sans-serif"/>
          <w:b w:val="false"/>
          <w:color w:val="000000"/>
          <w:sz w:val="18"/>
        </w:rPr>
        <w:t>Gigawatt.</w:t>
      </w:r>
    </w:p>
    <w:p>
      <w:pPr>
        <w:pStyle w:val="TextBody"/>
        <w:bidi w:val="0"/>
        <w:spacing w:lineRule="auto" w:line="288" w:before="0" w:after="180"/>
        <w:ind w:left="0" w:right="0" w:firstLine="360"/>
        <w:jc w:val="left"/>
        <w:rPr/>
      </w:pPr>
      <w:r>
        <w:rPr>
          <w:rFonts w:ascii="Arial;sans-serif" w:hAnsi="Arial;sans-serif"/>
          <w:b/>
          <w:i/>
          <w:color w:val="000000"/>
          <w:sz w:val="18"/>
        </w:rPr>
        <w:t>H.A. Wagner.</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ind w:left="0" w:right="0" w:firstLine="360"/>
        <w:jc w:val="left"/>
        <w:rPr/>
      </w:pPr>
      <w:r>
        <w:rPr>
          <w:rFonts w:ascii="Arial;sans-serif" w:hAnsi="Arial;sans-serif"/>
          <w:b/>
          <w:i/>
          <w:color w:val="000000"/>
          <w:sz w:val="18"/>
        </w:rPr>
        <w:t xml:space="preserve">Interim Financial Statements. </w:t>
      </w:r>
      <w:r>
        <w:rPr>
          <w:rFonts w:ascii="Arial;sans-serif" w:hAnsi="Arial;sans-serif"/>
          <w:b w:val="false"/>
          <w:color w:val="000000"/>
          <w:sz w:val="18"/>
        </w:rPr>
        <w:t>The condensed consolidated balance sheets of TEC as of June 30, 2026 and December 31, 2025; the related condensed consolidated statements of operations, statements of comprehensive income, and statements of equity for the three and six months ended June 30, 2026 and 2025, the consolidated statements of cash flows for the six months ended June 30, 2026 and 2025; and the related notes.</w:t>
      </w:r>
    </w:p>
    <w:p>
      <w:pPr>
        <w:pStyle w:val="TextBody"/>
        <w:bidi w:val="0"/>
        <w:spacing w:lineRule="auto" w:line="288" w:before="0" w:after="180"/>
        <w:ind w:left="0" w:right="0" w:firstLine="360"/>
        <w:jc w:val="left"/>
        <w:rPr/>
      </w:pPr>
      <w:r>
        <w:rPr>
          <w:rFonts w:ascii="Arial;sans-serif" w:hAnsi="Arial;sans-serif"/>
          <w:b/>
          <w:i/>
          <w:color w:val="000000"/>
          <w:sz w:val="18"/>
        </w:rPr>
        <w:t>ISA.</w:t>
      </w:r>
      <w:r>
        <w:rPr>
          <w:color w:val="000000"/>
        </w:rPr>
        <w:t xml:space="preserve"> </w:t>
      </w:r>
      <w:r>
        <w:rPr>
          <w:rFonts w:ascii="Arial;sans-serif" w:hAnsi="Arial;sans-serif"/>
          <w:b w:val="false"/>
          <w:color w:val="000000"/>
          <w:sz w:val="18"/>
        </w:rPr>
        <w:t>Interconnection Service Agreement.</w:t>
      </w:r>
    </w:p>
    <w:p>
      <w:pPr>
        <w:pStyle w:val="TextBody"/>
        <w:bidi w:val="0"/>
        <w:spacing w:lineRule="auto" w:line="288" w:before="0" w:after="180"/>
        <w:ind w:left="0" w:right="0" w:firstLine="360"/>
        <w:jc w:val="left"/>
        <w:rPr/>
      </w:pPr>
      <w:r>
        <w:rPr>
          <w:rFonts w:ascii="Arial;sans-serif" w:hAnsi="Arial;sans-serif"/>
          <w:b/>
          <w:i/>
          <w:color w:val="000000"/>
          <w:sz w:val="18"/>
        </w:rPr>
        <w:t>ISO.</w:t>
      </w:r>
      <w:r>
        <w:rPr>
          <w:color w:val="000000"/>
        </w:rPr>
        <w:t xml:space="preserve"> </w:t>
      </w:r>
      <w:r>
        <w:rPr>
          <w:rFonts w:ascii="Arial;sans-serif" w:hAnsi="Arial;sans-serif"/>
          <w:b w:val="false"/>
          <w:color w:val="000000"/>
          <w:sz w:val="18"/>
        </w:rPr>
        <w:t>Independent System Operator.</w:t>
      </w:r>
    </w:p>
    <w:p>
      <w:pPr>
        <w:pStyle w:val="TextBody"/>
        <w:bidi w:val="0"/>
        <w:spacing w:lineRule="auto" w:line="288" w:before="0" w:after="180"/>
        <w:ind w:left="0" w:right="0" w:firstLine="360"/>
        <w:jc w:val="left"/>
        <w:rPr/>
      </w:pPr>
      <w:r>
        <w:rPr>
          <w:rFonts w:ascii="Arial;sans-serif" w:hAnsi="Arial;sans-serif"/>
          <w:b/>
          <w:i/>
          <w:color w:val="000000"/>
          <w:sz w:val="18"/>
        </w:rPr>
        <w:t xml:space="preserve">Lawrenceburg.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Lawrenceburg, Indiana.</w:t>
      </w:r>
    </w:p>
    <w:p>
      <w:pPr>
        <w:pStyle w:val="TextBody"/>
        <w:bidi w:val="0"/>
        <w:spacing w:lineRule="auto" w:line="288" w:before="0" w:after="180"/>
        <w:ind w:left="0" w:right="0" w:firstLine="360"/>
        <w:jc w:val="left"/>
        <w:rPr/>
      </w:pPr>
      <w:r>
        <w:rPr>
          <w:rFonts w:ascii="Arial;sans-serif" w:hAnsi="Arial;sans-serif"/>
          <w:b/>
          <w:i/>
          <w:color w:val="000000"/>
          <w:sz w:val="18"/>
        </w:rPr>
        <w:t>LC.</w:t>
      </w:r>
      <w:r>
        <w:rPr>
          <w:color w:val="000000"/>
        </w:rPr>
        <w:t xml:space="preserve"> </w:t>
      </w:r>
      <w:r>
        <w:rPr>
          <w:rFonts w:ascii="Arial;sans-serif" w:hAnsi="Arial;sans-serif"/>
          <w:b w:val="false"/>
          <w:color w:val="000000"/>
          <w:sz w:val="18"/>
        </w:rPr>
        <w:t>Letter of credit.</w:t>
      </w:r>
    </w:p>
    <w:p>
      <w:pPr>
        <w:pStyle w:val="TextBody"/>
        <w:bidi w:val="0"/>
        <w:spacing w:lineRule="auto" w:line="288" w:before="0" w:after="180"/>
        <w:ind w:left="0" w:right="0" w:firstLine="360"/>
        <w:jc w:val="left"/>
        <w:rPr/>
      </w:pPr>
      <w:r>
        <w:rPr>
          <w:rFonts w:ascii="Arial;sans-serif" w:hAnsi="Arial;sans-serif"/>
          <w:b/>
          <w:i/>
          <w:color w:val="000000"/>
          <w:sz w:val="18"/>
        </w:rPr>
        <w:t>LCF.</w:t>
      </w:r>
      <w:r>
        <w:rPr>
          <w:color w:val="000000"/>
        </w:rPr>
        <w:t xml:space="preserve"> </w:t>
      </w:r>
      <w:r>
        <w:rPr>
          <w:rFonts w:ascii="Arial;sans-serif" w:hAnsi="Arial;sans-serif"/>
          <w:b w:val="false"/>
          <w:color w:val="000000"/>
          <w:sz w:val="18"/>
        </w:rPr>
        <w:t>The $1.5 billion stand-alone letter of credit facility established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Martins Creek.</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ind w:left="0" w:right="0" w:firstLine="360"/>
        <w:jc w:val="left"/>
        <w:rPr/>
      </w:pPr>
      <w:r>
        <w:rPr>
          <w:rFonts w:ascii="Arial;sans-serif" w:hAnsi="Arial;sans-serif"/>
          <w:b/>
          <w:i/>
          <w:color w:val="000000"/>
          <w:sz w:val="18"/>
        </w:rPr>
        <w:t>MMBtu.</w:t>
      </w:r>
      <w:r>
        <w:rPr>
          <w:color w:val="000000"/>
        </w:rPr>
        <w:t xml:space="preserve"> </w:t>
      </w:r>
      <w:r>
        <w:rPr>
          <w:rFonts w:ascii="Arial;sans-serif" w:hAnsi="Arial;sans-serif"/>
          <w:b w:val="false"/>
          <w:color w:val="000000"/>
          <w:sz w:val="18"/>
        </w:rPr>
        <w:t>One million British Thermal Units.</w:t>
      </w:r>
    </w:p>
    <w:p>
      <w:pPr>
        <w:pStyle w:val="TextBody"/>
        <w:bidi w:val="0"/>
        <w:spacing w:lineRule="auto" w:line="288" w:before="0" w:after="180"/>
        <w:ind w:left="0" w:right="0" w:firstLine="360"/>
        <w:jc w:val="left"/>
        <w:rPr/>
      </w:pPr>
      <w:r>
        <w:rPr>
          <w:rFonts w:ascii="Arial;sans-serif" w:hAnsi="Arial;sans-serif"/>
          <w:b/>
          <w:i/>
          <w:color w:val="000000"/>
          <w:sz w:val="18"/>
        </w:rPr>
        <w:t>Montour.</w:t>
      </w:r>
      <w:r>
        <w:rPr>
          <w:color w:val="000000"/>
        </w:rPr>
        <w:t xml:space="preserve"> </w:t>
      </w:r>
      <w:r>
        <w:rPr>
          <w:rFonts w:ascii="Arial;sans-serif" w:hAnsi="Arial;sans-serif"/>
          <w:b w:val="false"/>
          <w:color w:val="000000"/>
          <w:sz w:val="18"/>
        </w:rPr>
        <w:t>A Talen-owned and operated generation facility in Washingtonville, Pennsylvania.</w:t>
      </w:r>
    </w:p>
    <w:p>
      <w:pPr>
        <w:pStyle w:val="TextBody"/>
        <w:bidi w:val="0"/>
        <w:spacing w:lineRule="auto" w:line="288" w:before="0" w:after="180"/>
        <w:ind w:left="0" w:right="0" w:firstLine="360"/>
        <w:jc w:val="left"/>
        <w:rPr/>
      </w:pPr>
      <w:r>
        <w:rPr>
          <w:rFonts w:ascii="Arial;sans-serif" w:hAnsi="Arial;sans-serif"/>
          <w:b/>
          <w:i/>
          <w:color w:val="000000"/>
          <w:sz w:val="18"/>
        </w:rPr>
        <w:t>MW.</w:t>
      </w:r>
      <w:r>
        <w:rPr>
          <w:color w:val="000000"/>
        </w:rPr>
        <w:t xml:space="preserve"> </w:t>
      </w:r>
      <w:r>
        <w:rPr>
          <w:rFonts w:ascii="Arial;sans-serif" w:hAnsi="Arial;sans-serif"/>
          <w:b w:val="false"/>
          <w:color w:val="000000"/>
          <w:sz w:val="18"/>
        </w:rPr>
        <w:t>Megawatt.</w:t>
      </w:r>
    </w:p>
    <w:p>
      <w:pPr>
        <w:pStyle w:val="TextBody"/>
        <w:bidi w:val="0"/>
        <w:spacing w:lineRule="auto" w:line="288" w:before="0" w:after="180"/>
        <w:ind w:left="0" w:right="0" w:firstLine="360"/>
        <w:jc w:val="left"/>
        <w:rPr/>
      </w:pPr>
      <w:r>
        <w:rPr>
          <w:rFonts w:ascii="Arial;sans-serif" w:hAnsi="Arial;sans-serif"/>
          <w:b/>
          <w:i/>
          <w:color w:val="000000"/>
          <w:sz w:val="18"/>
        </w:rPr>
        <w:t>MWd.</w:t>
      </w:r>
      <w:r>
        <w:rPr>
          <w:color w:val="000000"/>
        </w:rPr>
        <w:t xml:space="preserve"> </w:t>
      </w:r>
      <w:r>
        <w:rPr>
          <w:rFonts w:ascii="Arial;sans-serif" w:hAnsi="Arial;sans-serif"/>
          <w:b w:val="false"/>
          <w:color w:val="000000"/>
          <w:sz w:val="18"/>
        </w:rPr>
        <w:t>Megawatt-day.</w:t>
      </w:r>
    </w:p>
    <w:p>
      <w:pPr>
        <w:pStyle w:val="TextBody"/>
        <w:bidi w:val="0"/>
        <w:spacing w:lineRule="auto" w:line="288" w:before="0" w:after="180"/>
        <w:ind w:left="0" w:right="0" w:firstLine="360"/>
        <w:jc w:val="left"/>
        <w:rPr/>
      </w:pPr>
      <w:r>
        <w:rPr>
          <w:rFonts w:ascii="Arial;sans-serif" w:hAnsi="Arial;sans-serif"/>
          <w:b/>
          <w:i/>
          <w:color w:val="000000"/>
          <w:sz w:val="18"/>
        </w:rPr>
        <w:t>MWh.</w:t>
      </w:r>
      <w:r>
        <w:rPr>
          <w:color w:val="000000"/>
        </w:rPr>
        <w:t xml:space="preserve"> </w:t>
      </w:r>
      <w:r>
        <w:rPr>
          <w:rFonts w:ascii="Arial;sans-serif" w:hAnsi="Arial;sans-serif"/>
          <w:b w:val="false"/>
          <w:color w:val="000000"/>
          <w:sz w:val="18"/>
        </w:rPr>
        <w:t>Megawatt-hour.</w:t>
      </w:r>
    </w:p>
    <w:p>
      <w:pPr>
        <w:pStyle w:val="TextBody"/>
        <w:bidi w:val="0"/>
        <w:spacing w:lineRule="auto" w:line="288" w:before="0" w:after="180"/>
        <w:ind w:left="0" w:right="0" w:firstLine="360"/>
        <w:jc w:val="left"/>
        <w:rPr/>
      </w:pPr>
      <w:r>
        <w:rPr>
          <w:rFonts w:ascii="Arial;sans-serif" w:hAnsi="Arial;sans-serif"/>
          <w:b/>
          <w:i/>
          <w:color w:val="000000"/>
          <w:sz w:val="18"/>
        </w:rPr>
        <w:t>NAV.</w:t>
      </w:r>
      <w:r>
        <w:rPr>
          <w:color w:val="000000"/>
        </w:rPr>
        <w:t xml:space="preserve"> </w:t>
      </w:r>
      <w:r>
        <w:rPr>
          <w:rFonts w:ascii="Arial;sans-serif" w:hAnsi="Arial;sans-serif"/>
          <w:b w:val="false"/>
          <w:color w:val="000000"/>
          <w:sz w:val="18"/>
        </w:rPr>
        <w:t>Net asset value.</w:t>
      </w:r>
    </w:p>
    <w:p>
      <w:pPr>
        <w:pStyle w:val="TextBody"/>
        <w:bidi w:val="0"/>
        <w:spacing w:lineRule="auto" w:line="288" w:before="0" w:after="180"/>
        <w:ind w:left="0" w:right="0" w:firstLine="360"/>
        <w:jc w:val="left"/>
        <w:rPr/>
      </w:pPr>
      <w:r>
        <w:rPr>
          <w:rFonts w:ascii="Arial;sans-serif" w:hAnsi="Arial;sans-serif"/>
          <w:b/>
          <w:i/>
          <w:color w:val="000000"/>
          <w:sz w:val="18"/>
        </w:rPr>
        <w:t>NDT.</w:t>
      </w:r>
      <w:r>
        <w:rPr>
          <w:color w:val="000000"/>
        </w:rPr>
        <w:t xml:space="preserve"> </w:t>
      </w:r>
      <w:r>
        <w:rPr>
          <w:rFonts w:ascii="Arial;sans-serif" w:hAnsi="Arial;sans-serif"/>
          <w:b w:val="false"/>
          <w:color w:val="000000"/>
          <w:sz w:val="18"/>
        </w:rPr>
        <w:t>Nuclear facility decommissioning trust that is expected to fund Talen’s proportionate costs associated with the future decommissioning activities of Susquehanna.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NRC.</w:t>
      </w:r>
      <w:r>
        <w:rPr>
          <w:color w:val="000000"/>
        </w:rPr>
        <w:t xml:space="preserve"> </w:t>
      </w:r>
      <w:r>
        <w:rPr>
          <w:rFonts w:ascii="Arial;sans-serif" w:hAnsi="Arial;sans-serif"/>
          <w:b w:val="false"/>
          <w:color w:val="000000"/>
          <w:sz w:val="18"/>
        </w:rPr>
        <w:t>U.S. Nuclear Regulatory Commission.</w:t>
      </w:r>
    </w:p>
    <w:p>
      <w:pPr>
        <w:pStyle w:val="TextBody"/>
        <w:bidi w:val="0"/>
        <w:spacing w:lineRule="auto" w:line="288" w:before="0" w:after="180"/>
        <w:ind w:left="0" w:right="0" w:firstLine="360"/>
        <w:jc w:val="left"/>
        <w:rPr/>
      </w:pPr>
      <w:r>
        <w:rPr>
          <w:rFonts w:ascii="Arial;sans-serif" w:hAnsi="Arial;sans-serif"/>
          <w:b/>
          <w:i/>
          <w:color w:val="000000"/>
          <w:sz w:val="18"/>
        </w:rPr>
        <w:t>Nuclear PTC.</w:t>
      </w:r>
      <w:r>
        <w:rPr>
          <w:color w:val="000000"/>
        </w:rPr>
        <w:t xml:space="preserve"> </w:t>
      </w:r>
      <w:r>
        <w:rPr>
          <w:rFonts w:ascii="Arial;sans-serif" w:hAnsi="Arial;sans-serif"/>
          <w:b w:val="false"/>
          <w:color w:val="000000"/>
          <w:sz w:val="18"/>
        </w:rPr>
        <w:t>The nuclear production tax credit under the Inflation Reduction Act.</w:t>
      </w:r>
    </w:p>
    <w:p>
      <w:pPr>
        <w:pStyle w:val="TextBody"/>
        <w:bidi w:val="0"/>
        <w:spacing w:lineRule="auto" w:line="288" w:before="0" w:after="180"/>
        <w:ind w:left="0" w:right="0" w:firstLine="360"/>
        <w:jc w:val="left"/>
        <w:rPr/>
      </w:pPr>
      <w:r>
        <w:rPr>
          <w:rFonts w:ascii="Arial;sans-serif" w:hAnsi="Arial;sans-serif"/>
          <w:b/>
          <w:i/>
          <w:color w:val="000000"/>
          <w:sz w:val="18"/>
        </w:rPr>
        <w:t>PEDFA Bonds.</w:t>
      </w:r>
      <w:r>
        <w:rPr>
          <w:color w:val="000000"/>
        </w:rPr>
        <w:t xml:space="preserve"> </w:t>
      </w:r>
      <w:r>
        <w:rPr>
          <w:rFonts w:ascii="Arial;sans-serif" w:hAnsi="Arial;sans-serif"/>
          <w:b w:val="false"/>
          <w:color w:val="000000"/>
          <w:sz w:val="18"/>
        </w:rPr>
        <w:t>The following series of Pennsylvania Economic Development Financing Authority (“PEDFA”) Exempt Facilities Revenue Refunding 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pStyle w:val="TextBody"/>
        <w:bidi w:val="0"/>
        <w:spacing w:lineRule="auto" w:line="288" w:before="0" w:after="180"/>
        <w:ind w:left="0" w:right="0" w:firstLine="360"/>
        <w:jc w:val="left"/>
        <w:rPr/>
      </w:pPr>
      <w:r>
        <w:rPr>
          <w:rFonts w:ascii="Arial;sans-serif" w:hAnsi="Arial;sans-serif"/>
          <w:b/>
          <w:i/>
          <w:color w:val="000000"/>
          <w:sz w:val="18"/>
        </w:rPr>
        <w:t>PJM.</w:t>
      </w:r>
      <w:r>
        <w:rPr>
          <w:color w:val="000000"/>
        </w:rPr>
        <w:t xml:space="preserve"> </w:t>
      </w:r>
      <w:r>
        <w:rPr>
          <w:rFonts w:ascii="Arial;sans-serif" w:hAnsi="Arial;sans-serif"/>
          <w:b w:val="false"/>
          <w:color w:val="000000"/>
          <w:sz w:val="18"/>
        </w:rPr>
        <w:t>PJM Interconnection, L.L.C., the RTO that coordinates the movement of wholesale electricity in all or parts of Pennsylvania, New Jersey, Maryland, 10 other states, and the District of Columbia.</w:t>
      </w:r>
    </w:p>
    <w:p>
      <w:pPr>
        <w:pStyle w:val="TextBody"/>
        <w:bidi w:val="0"/>
        <w:spacing w:lineRule="auto" w:line="288" w:before="0" w:after="180"/>
        <w:ind w:left="0" w:right="0" w:firstLine="360"/>
        <w:jc w:val="left"/>
        <w:rPr/>
      </w:pPr>
      <w:r>
        <w:rPr>
          <w:rFonts w:ascii="Arial;sans-serif" w:hAnsi="Arial;sans-serif"/>
          <w:b/>
          <w:i/>
          <w:color w:val="000000"/>
          <w:sz w:val="18"/>
        </w:rPr>
        <w:t>PJM BRA (or “BRA”).</w:t>
      </w:r>
      <w:r>
        <w:rPr>
          <w:color w:val="000000"/>
        </w:rPr>
        <w:t xml:space="preserve"> </w:t>
      </w:r>
      <w:r>
        <w:rPr>
          <w:rFonts w:ascii="Arial;sans-serif" w:hAnsi="Arial;sans-serif"/>
          <w:b w:val="false"/>
          <w:color w:val="000000"/>
          <w:sz w:val="18"/>
        </w:rPr>
        <w:t>PJM Base Residual Auction, a component of PJM’s capacity market intended to secure power supply resources from market 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pStyle w:val="TextBody"/>
        <w:bidi w:val="0"/>
        <w:spacing w:lineRule="auto" w:line="288" w:before="0" w:after="180"/>
        <w:ind w:left="0" w:right="0" w:firstLine="360"/>
        <w:jc w:val="left"/>
        <w:rPr/>
      </w:pPr>
      <w:r>
        <w:rPr>
          <w:rFonts w:ascii="Arial;sans-serif" w:hAnsi="Arial;sans-serif"/>
          <w:b/>
          <w:i/>
          <w:color w:val="000000"/>
          <w:sz w:val="18"/>
        </w:rPr>
        <w:t>PJM Capacity Year.</w:t>
      </w:r>
      <w:r>
        <w:rPr>
          <w:color w:val="000000"/>
        </w:rPr>
        <w:t xml:space="preserve"> </w:t>
      </w:r>
      <w:r>
        <w:rPr>
          <w:rFonts w:ascii="Arial;sans-serif" w:hAnsi="Arial;sans-serif"/>
          <w:b w:val="false"/>
          <w:color w:val="000000"/>
          <w:sz w:val="18"/>
        </w:rPr>
        <w:t>PJM capacity revenues for each delivery year covering the period from June 1 to May 31.</w:t>
      </w:r>
    </w:p>
    <w:p>
      <w:pPr>
        <w:pStyle w:val="TextBody"/>
        <w:bidi w:val="0"/>
        <w:spacing w:lineRule="auto" w:line="288" w:before="0" w:after="180"/>
        <w:ind w:left="0" w:right="0" w:firstLine="360"/>
        <w:jc w:val="left"/>
        <w:rPr/>
      </w:pPr>
      <w:r>
        <w:rPr>
          <w:rFonts w:ascii="Arial;sans-serif" w:hAnsi="Arial;sans-serif"/>
          <w:b/>
          <w:i/>
          <w:color w:val="000000"/>
          <w:sz w:val="18"/>
        </w:rPr>
        <w:t>PJM Reliability Pricing Model.</w:t>
      </w:r>
      <w:r>
        <w:rPr>
          <w:color w:val="000000"/>
        </w:rPr>
        <w:t xml:space="preserve"> </w:t>
      </w:r>
      <w:r>
        <w:rPr>
          <w:rFonts w:ascii="Arial;sans-serif" w:hAnsi="Arial;sans-serif"/>
          <w:b w:val="false"/>
          <w:color w:val="000000"/>
          <w:sz w:val="18"/>
        </w:rPr>
        <w:t>PJM’s capacity market, or the Reliability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pStyle w:val="TextBody"/>
        <w:bidi w:val="0"/>
        <w:spacing w:lineRule="auto" w:line="288" w:before="0" w:after="180"/>
        <w:ind w:left="0" w:right="0" w:firstLine="360"/>
        <w:jc w:val="left"/>
        <w:rPr/>
      </w:pPr>
      <w:r>
        <w:rPr>
          <w:rFonts w:ascii="Arial;sans-serif" w:hAnsi="Arial;sans-serif"/>
          <w:b/>
          <w:i/>
          <w:color w:val="000000"/>
          <w:sz w:val="18"/>
        </w:rPr>
        <w:t>PP&amp;E.</w:t>
      </w:r>
      <w:r>
        <w:rPr>
          <w:color w:val="000000"/>
        </w:rPr>
        <w:t xml:space="preserve"> </w:t>
      </w:r>
      <w:r>
        <w:rPr>
          <w:rFonts w:ascii="Arial;sans-serif" w:hAnsi="Arial;sans-serif"/>
          <w:b w:val="false"/>
          <w:color w:val="000000"/>
          <w:sz w:val="18"/>
        </w:rPr>
        <w:t>Property, plant and equipment.</w:t>
      </w:r>
    </w:p>
    <w:p>
      <w:pPr>
        <w:pStyle w:val="TextBody"/>
        <w:bidi w:val="0"/>
        <w:spacing w:lineRule="auto" w:line="288" w:before="0" w:after="180"/>
        <w:ind w:left="0" w:right="0" w:firstLine="360"/>
        <w:jc w:val="left"/>
        <w:rPr/>
      </w:pPr>
      <w:r>
        <w:rPr>
          <w:rFonts w:ascii="Arial;sans-serif" w:hAnsi="Arial;sans-serif"/>
          <w:b/>
          <w:i/>
          <w:color w:val="000000"/>
          <w:sz w:val="18"/>
        </w:rPr>
        <w:t>RCF.</w:t>
      </w:r>
      <w:r>
        <w:rPr>
          <w:color w:val="000000"/>
        </w:rPr>
        <w:t xml:space="preserve"> </w:t>
      </w:r>
      <w:r>
        <w:rPr>
          <w:rFonts w:ascii="Arial;sans-serif" w:hAnsi="Arial;sans-serif"/>
          <w:b w:val="false"/>
          <w:color w:val="000000"/>
          <w:sz w:val="18"/>
        </w:rPr>
        <w:t>The senior secured revolving credit facility that provides $1.35 billion in aggregate revolving loan and LC commitments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RCRA.</w:t>
      </w:r>
      <w:r>
        <w:rPr>
          <w:color w:val="000000"/>
        </w:rPr>
        <w:t xml:space="preserve"> </w:t>
      </w:r>
      <w:r>
        <w:rPr>
          <w:rFonts w:ascii="Arial;sans-serif" w:hAnsi="Arial;sans-serif"/>
          <w:b w:val="false"/>
          <w:color w:val="000000"/>
          <w:sz w:val="18"/>
        </w:rPr>
        <w:t>The Resource Conservation and Recovery Act, a federal law enacted in 1976 giving the EPA authority to control hazardous and non-hazardous solid waste from its creation to its disposal.</w:t>
      </w:r>
    </w:p>
    <w:p>
      <w:pPr>
        <w:pStyle w:val="TextBody"/>
        <w:bidi w:val="0"/>
        <w:spacing w:lineRule="auto" w:line="288" w:before="0" w:after="180"/>
        <w:ind w:left="0" w:right="0" w:firstLine="360"/>
        <w:jc w:val="left"/>
        <w:rPr/>
      </w:pPr>
      <w:r>
        <w:rPr>
          <w:rFonts w:ascii="Arial;sans-serif" w:hAnsi="Arial;sans-serif"/>
          <w:b/>
          <w:i/>
          <w:color w:val="000000"/>
          <w:sz w:val="18"/>
        </w:rPr>
        <w:t>RGGI.</w:t>
      </w:r>
      <w:r>
        <w:rPr>
          <w:color w:val="000000"/>
        </w:rPr>
        <w:t xml:space="preserve"> </w:t>
      </w:r>
      <w:r>
        <w:rPr>
          <w:rFonts w:ascii="Arial;sans-serif" w:hAnsi="Arial;sans-serif"/>
          <w:b w:val="false"/>
          <w:color w:val="000000"/>
          <w:sz w:val="18"/>
        </w:rPr>
        <w:t>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pStyle w:val="TextBody"/>
        <w:bidi w:val="0"/>
        <w:spacing w:lineRule="auto" w:line="288" w:before="0" w:after="180"/>
        <w:ind w:left="0" w:right="0" w:firstLine="360"/>
        <w:jc w:val="left"/>
        <w:rPr/>
      </w:pPr>
      <w:r>
        <w:rPr>
          <w:rFonts w:ascii="Arial;sans-serif" w:hAnsi="Arial;sans-serif"/>
          <w:b/>
          <w:i/>
          <w:color w:val="000000"/>
          <w:sz w:val="18"/>
        </w:rPr>
        <w:t>RMR.</w:t>
      </w:r>
      <w:r>
        <w:rPr>
          <w:color w:val="000000"/>
        </w:rPr>
        <w:t xml:space="preserve"> </w:t>
      </w:r>
      <w:r>
        <w:rPr>
          <w:rFonts w:ascii="Arial;sans-serif" w:hAnsi="Arial;sans-serif"/>
          <w:b w:val="false"/>
          <w:color w:val="000000"/>
          <w:sz w:val="18"/>
        </w:rPr>
        <w:t>A generation unit that is otherwise slated to be retired but agrees with PJM to remain operational beyond its requested deactivation date as a reliability-must-run resource to mitigate reliability concerns until necessary upgrades can be established.</w:t>
      </w:r>
    </w:p>
    <w:p>
      <w:pPr>
        <w:pStyle w:val="TextBody"/>
        <w:bidi w:val="0"/>
        <w:spacing w:lineRule="auto" w:line="288" w:before="0" w:after="180"/>
        <w:ind w:left="0" w:right="0" w:firstLine="360"/>
        <w:jc w:val="left"/>
        <w:rPr/>
      </w:pPr>
      <w:r>
        <w:rPr>
          <w:rFonts w:ascii="Arial;sans-serif" w:hAnsi="Arial;sans-serif"/>
          <w:b/>
          <w:i/>
          <w:color w:val="000000"/>
          <w:sz w:val="18"/>
        </w:rPr>
        <w:t>RTO.</w:t>
      </w:r>
      <w:r>
        <w:rPr>
          <w:color w:val="000000"/>
        </w:rPr>
        <w:t xml:space="preserve"> </w:t>
      </w:r>
      <w:r>
        <w:rPr>
          <w:rFonts w:ascii="Arial;sans-serif" w:hAnsi="Arial;sans-serif"/>
          <w:b w:val="false"/>
          <w:color w:val="000000"/>
          <w:sz w:val="18"/>
        </w:rPr>
        <w:t>Regional Transmission Organization.</w:t>
      </w:r>
    </w:p>
    <w:p>
      <w:pPr>
        <w:pStyle w:val="TextBody"/>
        <w:bidi w:val="0"/>
        <w:spacing w:lineRule="auto" w:line="288" w:before="0" w:after="180"/>
        <w:ind w:left="0" w:right="0" w:firstLine="360"/>
        <w:jc w:val="left"/>
        <w:rPr/>
      </w:pPr>
      <w:r>
        <w:rPr>
          <w:rFonts w:ascii="Arial;sans-serif" w:hAnsi="Arial;sans-serif"/>
          <w:b/>
          <w:i/>
          <w:color w:val="000000"/>
          <w:sz w:val="18"/>
        </w:rPr>
        <w:t>Secured ISDAs.</w:t>
      </w:r>
      <w:r>
        <w:rPr>
          <w:color w:val="000000"/>
        </w:rPr>
        <w:t xml:space="preserve"> </w:t>
      </w:r>
      <w:r>
        <w:rPr>
          <w:rFonts w:ascii="Arial;sans-serif" w:hAnsi="Arial;sans-serif"/>
          <w:b w:val="false"/>
          <w:color w:val="000000"/>
          <w:sz w:val="18"/>
        </w:rPr>
        <w:t>Certain bilateral secured International Swaps and Derivatives Association (“ISDA”) agreements and Base Contracts for Sale and Purchase of Natural Gas as published by the North American Energy Standards Board (“NAESB”) of Talen.</w:t>
      </w:r>
    </w:p>
    <w:p>
      <w:pPr>
        <w:pStyle w:val="TextBody"/>
        <w:bidi w:val="0"/>
        <w:spacing w:lineRule="auto" w:line="288" w:before="0" w:after="180"/>
        <w:ind w:left="0" w:right="0" w:firstLine="360"/>
        <w:jc w:val="left"/>
        <w:rPr/>
      </w:pPr>
      <w:r>
        <w:rPr>
          <w:rFonts w:ascii="Arial;sans-serif" w:hAnsi="Arial;sans-serif"/>
          <w:b/>
          <w:i/>
          <w:color w:val="000000"/>
          <w:sz w:val="18"/>
        </w:rPr>
        <w:t>Secured Notes</w:t>
      </w:r>
      <w:r>
        <w:rPr>
          <w:rFonts w:ascii="Arial;sans-serif" w:hAnsi="Arial;sans-serif"/>
          <w:b w:val="false"/>
          <w:color w:val="000000"/>
          <w:sz w:val="18"/>
        </w:rPr>
        <w:t>. The 8.625% Senior Secured Notes due 2030 issued by Talen Energy Supply, which were redeemed in full in April 2026.</w:t>
      </w:r>
    </w:p>
    <w:p>
      <w:pPr>
        <w:pStyle w:val="TextBody"/>
        <w:bidi w:val="0"/>
        <w:spacing w:lineRule="auto" w:line="288" w:before="0" w:after="180"/>
        <w:ind w:left="0" w:right="0" w:firstLine="360"/>
        <w:jc w:val="left"/>
        <w:rPr/>
      </w:pPr>
      <w:r>
        <w:rPr>
          <w:rFonts w:ascii="Arial;sans-serif" w:hAnsi="Arial;sans-serif"/>
          <w:b/>
          <w:i/>
          <w:color w:val="000000"/>
          <w:sz w:val="18"/>
        </w:rPr>
        <w:t>Secured Notes Indenture.</w:t>
      </w:r>
      <w:r>
        <w:rPr>
          <w:color w:val="000000"/>
        </w:rPr>
        <w:t xml:space="preserve"> </w:t>
      </w:r>
      <w:r>
        <w:rPr>
          <w:rFonts w:ascii="Arial;sans-serif" w:hAnsi="Arial;sans-serif"/>
          <w:b w:val="false"/>
          <w:color w:val="000000"/>
          <w:sz w:val="18"/>
        </w:rPr>
        <w:t>The Indenture, dated as of May 12, 2023, as supplemented by the First Supplemental Indenture, dated as of May 17, 2023, the Second Supplemental Indenture, dated as of October 6, 2023, the Third Supplemental Indenture, dated as of June 22, 2024, the Fourth Supplemental Indenture, dated as of January 13, 2025, and the Fifth Supplemental Indenture, dated as of November 25, 2025, each between TES, the Subsidiary Guarantors and Wilmington Savings Fund Society, FSB, as trustee, which governed the Secured Notes, as the same may be further amended, amended and restated, supplemented or otherwise modified from time-to-time. The Secured Notes were redeemed in full in April 2026.</w:t>
      </w:r>
    </w:p>
    <w:p>
      <w:pPr>
        <w:pStyle w:val="TextBody"/>
        <w:bidi w:val="0"/>
        <w:spacing w:lineRule="auto" w:line="288" w:before="0" w:after="180"/>
        <w:ind w:left="0" w:right="0" w:firstLine="360"/>
        <w:jc w:val="left"/>
        <w:rPr/>
      </w:pPr>
      <w:r>
        <w:rPr>
          <w:rFonts w:ascii="Arial;sans-serif" w:hAnsi="Arial;sans-serif"/>
          <w:b/>
          <w:i/>
          <w:color w:val="000000"/>
          <w:sz w:val="18"/>
        </w:rPr>
        <w:t>SRP.</w:t>
      </w:r>
      <w:r>
        <w:rPr>
          <w:color w:val="000000"/>
        </w:rPr>
        <w:t xml:space="preserve"> </w:t>
      </w:r>
      <w:r>
        <w:rPr>
          <w:rFonts w:ascii="Arial;sans-serif" w:hAnsi="Arial;sans-serif"/>
          <w:b w:val="false"/>
          <w:color w:val="000000"/>
          <w:sz w:val="18"/>
        </w:rPr>
        <w:t>The share repurchase program, under which the Board of Directors has authorized the Company to repurchase shares of TEC’s outstanding common stock.</w:t>
      </w:r>
    </w:p>
    <w:p>
      <w:pPr>
        <w:pStyle w:val="TextBody"/>
        <w:bidi w:val="0"/>
        <w:spacing w:lineRule="auto" w:line="288" w:before="0" w:after="180"/>
        <w:ind w:left="0" w:right="0" w:firstLine="360"/>
        <w:jc w:val="left"/>
        <w:rPr/>
      </w:pPr>
      <w:r>
        <w:rPr>
          <w:rFonts w:ascii="Arial;sans-serif" w:hAnsi="Arial;sans-serif"/>
          <w:b/>
          <w:i/>
          <w:color w:val="000000"/>
          <w:sz w:val="18"/>
        </w:rPr>
        <w:t>Subsidiary Guarantors.</w:t>
      </w:r>
      <w:r>
        <w:rPr>
          <w:color w:val="000000"/>
        </w:rPr>
        <w:t xml:space="preserve"> </w:t>
      </w:r>
      <w:r>
        <w:rPr>
          <w:rFonts w:ascii="Arial;sans-serif" w:hAnsi="Arial;sans-serif"/>
          <w:b w:val="false"/>
          <w:color w:val="000000"/>
          <w:sz w:val="18"/>
        </w:rPr>
        <w:t>The subsidiaries of TES that guarantee: (i) the obligations of TES under the Credit Facilities, the Secured Notes, and the Unsecured Notes; and (ii) the obligations of Talen Energy Marketing under the Secured ISDAs.</w:t>
      </w:r>
    </w:p>
    <w:p>
      <w:pPr>
        <w:pStyle w:val="TextBody"/>
        <w:bidi w:val="0"/>
        <w:spacing w:lineRule="auto" w:line="288" w:before="0" w:after="180"/>
        <w:ind w:left="0" w:right="0" w:firstLine="360"/>
        <w:jc w:val="left"/>
        <w:rPr/>
      </w:pPr>
      <w:r>
        <w:rPr>
          <w:rFonts w:ascii="Arial;sans-serif" w:hAnsi="Arial;sans-serif"/>
          <w:b/>
          <w:i/>
          <w:color w:val="000000"/>
          <w:sz w:val="18"/>
        </w:rPr>
        <w:t>Susquehanna.</w:t>
      </w:r>
      <w:r>
        <w:rPr>
          <w:color w:val="000000"/>
        </w:rPr>
        <w:t xml:space="preserve"> </w:t>
      </w:r>
      <w:r>
        <w:rPr>
          <w:rFonts w:ascii="Arial;sans-serif" w:hAnsi="Arial;sans-serif"/>
          <w:b w:val="false"/>
          <w:color w:val="000000"/>
          <w:sz w:val="18"/>
        </w:rPr>
        <w:t>A nuclear-powered generation facility located near Berwick, Pennsylvania. A subsidiary of Talen Energy Supply operates and owns a 90% undivided interest in Susquehanna.</w:t>
      </w:r>
    </w:p>
    <w:p>
      <w:pPr>
        <w:pStyle w:val="TextBody"/>
        <w:bidi w:val="0"/>
        <w:spacing w:lineRule="auto" w:line="288" w:before="0" w:after="180"/>
        <w:ind w:left="0" w:right="0" w:firstLine="360"/>
        <w:jc w:val="left"/>
        <w:rPr/>
      </w:pPr>
      <w:r>
        <w:rPr>
          <w:rFonts w:ascii="Arial;sans-serif" w:hAnsi="Arial;sans-serif"/>
          <w:b/>
          <w:i/>
          <w:color w:val="000000"/>
          <w:sz w:val="18"/>
        </w:rPr>
        <w:t xml:space="preserve">Talen (or the “Company,” “we,” “us,” or “our”). </w:t>
      </w:r>
      <w:r>
        <w:rPr>
          <w:rFonts w:ascii="Arial;sans-serif" w:hAnsi="Arial;sans-serif"/>
          <w:b w:val="false"/>
          <w:color w:val="000000"/>
          <w:sz w:val="18"/>
        </w:rPr>
        <w:t>Talen Energy Corporation and its consolidated subsidiaries, unless the context clearly indicates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Talen Energy Corporation (or “TEC”).</w:t>
      </w:r>
      <w:r>
        <w:rPr>
          <w:color w:val="000000"/>
        </w:rPr>
        <w:t xml:space="preserve"> </w:t>
      </w:r>
      <w:r>
        <w:rPr>
          <w:rFonts w:ascii="Arial;sans-serif" w:hAnsi="Arial;sans-serif"/>
          <w:b w:val="false"/>
          <w:color w:val="000000"/>
          <w:sz w:val="18"/>
        </w:rPr>
        <w:t>Talen Energy Corporation, the parent company of Talen Energy Supply and its consolidated subsidiaries.</w:t>
      </w:r>
    </w:p>
    <w:p>
      <w:pPr>
        <w:pStyle w:val="TextBody"/>
        <w:bidi w:val="0"/>
        <w:spacing w:lineRule="auto" w:line="288" w:before="0" w:after="180"/>
        <w:ind w:left="0" w:right="0" w:firstLine="360"/>
        <w:jc w:val="left"/>
        <w:rPr/>
      </w:pPr>
      <w:r>
        <w:rPr>
          <w:rFonts w:ascii="Arial;sans-serif" w:hAnsi="Arial;sans-serif"/>
          <w:b/>
          <w:i/>
          <w:color w:val="000000"/>
          <w:sz w:val="18"/>
        </w:rPr>
        <w:t>Talen Energy Marketing.</w:t>
      </w:r>
      <w:r>
        <w:rPr>
          <w:color w:val="000000"/>
        </w:rPr>
        <w:t xml:space="preserve"> </w:t>
      </w:r>
      <w:r>
        <w:rPr>
          <w:rFonts w:ascii="Arial;sans-serif" w:hAnsi="Arial;sans-serif"/>
          <w:b w:val="false"/>
          <w:color w:val="000000"/>
          <w:sz w:val="18"/>
        </w:rPr>
        <w:t>Talen Energy Marketing, LLC, a direct subsidiary of Talen Energy Supply that provides energy management services to Talen-owned and operated generation facilities and engages in wholesale commodity marketing activities.</w:t>
      </w:r>
    </w:p>
    <w:p>
      <w:pPr>
        <w:pStyle w:val="TextBody"/>
        <w:bidi w:val="0"/>
        <w:spacing w:lineRule="auto" w:line="288" w:before="0" w:after="180"/>
        <w:ind w:left="0" w:right="0" w:firstLine="360"/>
        <w:jc w:val="left"/>
        <w:rPr/>
      </w:pPr>
      <w:r>
        <w:rPr>
          <w:rFonts w:ascii="Arial;sans-serif" w:hAnsi="Arial;sans-serif"/>
          <w:b/>
          <w:i/>
          <w:color w:val="000000"/>
          <w:sz w:val="18"/>
        </w:rPr>
        <w:t>Talen Energy Supply (or “TES”).</w:t>
      </w:r>
      <w:r>
        <w:rPr>
          <w:color w:val="000000"/>
        </w:rPr>
        <w:t xml:space="preserve"> </w:t>
      </w:r>
      <w:r>
        <w:rPr>
          <w:rFonts w:ascii="Arial;sans-serif" w:hAnsi="Arial;sans-serif"/>
          <w:b w:val="false"/>
          <w:color w:val="000000"/>
          <w:sz w:val="18"/>
        </w:rPr>
        <w:t>Talen Energy Supply, LLC, a direct subsidiary of Talen Energy Corporation that, thorough subsidiaries, indirectly holds all of Talen’s assets and operations.</w:t>
      </w:r>
    </w:p>
    <w:p>
      <w:pPr>
        <w:pStyle w:val="TextBody"/>
        <w:bidi w:val="0"/>
        <w:spacing w:lineRule="auto" w:line="288" w:before="0" w:after="180"/>
        <w:ind w:left="0" w:right="0" w:firstLine="360"/>
        <w:jc w:val="left"/>
        <w:rPr/>
      </w:pPr>
      <w:r>
        <w:rPr>
          <w:rFonts w:ascii="Arial;sans-serif" w:hAnsi="Arial;sans-serif"/>
          <w:b/>
          <w:i/>
          <w:color w:val="000000"/>
          <w:sz w:val="18"/>
        </w:rPr>
        <w:t>Talen Montana.</w:t>
      </w:r>
      <w:r>
        <w:rPr>
          <w:color w:val="000000"/>
        </w:rPr>
        <w:t xml:space="preserve"> </w:t>
      </w:r>
      <w:r>
        <w:rPr>
          <w:rFonts w:ascii="Arial;sans-serif" w:hAnsi="Arial;sans-serif"/>
          <w:b w:val="false"/>
          <w:color w:val="000000"/>
          <w:sz w:val="18"/>
        </w:rPr>
        <w:t>Talen Montana, LLC, a Talen subsidiary that operates Colstrip, owns an undivided interest in Colstrip Unit 3, and is party to a contractual economic sharing agreement for Colstrip Units 3 and 4.</w:t>
      </w:r>
    </w:p>
    <w:p>
      <w:pPr>
        <w:pStyle w:val="TextBody"/>
        <w:bidi w:val="0"/>
        <w:spacing w:lineRule="auto" w:line="288" w:before="0" w:after="180"/>
        <w:ind w:left="0" w:right="0" w:firstLine="360"/>
        <w:jc w:val="left"/>
        <w:rPr/>
      </w:pPr>
      <w:r>
        <w:rPr>
          <w:rFonts w:ascii="Arial;sans-serif" w:hAnsi="Arial;sans-serif"/>
          <w:b/>
          <w:i/>
          <w:color w:val="000000"/>
          <w:sz w:val="18"/>
        </w:rPr>
        <w:t>TLB-1.</w:t>
      </w:r>
      <w:r>
        <w:rPr>
          <w:color w:val="000000"/>
        </w:rPr>
        <w:t xml:space="preserve"> </w:t>
      </w:r>
      <w:r>
        <w:rPr>
          <w:rFonts w:ascii="Arial;sans-serif" w:hAnsi="Arial;sans-serif"/>
          <w:b w:val="false"/>
          <w:color w:val="000000"/>
          <w:sz w:val="18"/>
        </w:rPr>
        <w:t>The $580 million (subsequently increased to $870 million) senior secured term loan B facility, due November 2032,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TLB-2.</w:t>
      </w:r>
      <w:r>
        <w:rPr>
          <w:color w:val="000000"/>
        </w:rPr>
        <w:t xml:space="preserve"> </w:t>
      </w:r>
      <w:r>
        <w:rPr>
          <w:rFonts w:ascii="Arial;sans-serif" w:hAnsi="Arial;sans-serif"/>
          <w:b w:val="false"/>
          <w:color w:val="000000"/>
          <w:sz w:val="18"/>
        </w:rPr>
        <w:t>The $850 million senior secured term loan B facility, due December 2031, under the Credit Agreement.</w:t>
      </w:r>
    </w:p>
    <w:p>
      <w:pPr>
        <w:pStyle w:val="TextBody"/>
        <w:bidi w:val="0"/>
        <w:spacing w:lineRule="auto" w:line="288" w:before="0" w:after="180"/>
        <w:ind w:left="0" w:right="0" w:firstLine="360"/>
        <w:jc w:val="left"/>
        <w:rPr/>
      </w:pPr>
      <w:r>
        <w:rPr>
          <w:rFonts w:ascii="Arial;sans-serif" w:hAnsi="Arial;sans-serif"/>
          <w:b/>
          <w:i/>
          <w:color w:val="000000"/>
          <w:sz w:val="18"/>
          <w:shd w:fill="FFFFFF" w:val="clear"/>
        </w:rPr>
        <w:t xml:space="preserve">TLB-3. </w:t>
      </w:r>
      <w:r>
        <w:rPr>
          <w:rFonts w:ascii="Arial;sans-serif" w:hAnsi="Arial;sans-serif"/>
          <w:b w:val="false"/>
          <w:color w:val="000000"/>
          <w:sz w:val="18"/>
          <w:shd w:fill="FFFFFF" w:val="clear"/>
        </w:rPr>
        <w:t xml:space="preserve">The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senior secured term loan B facility, due November 2032,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Unsecured Notes</w:t>
      </w:r>
      <w:r>
        <w:rPr>
          <w:rFonts w:ascii="Arial;sans-serif" w:hAnsi="Arial;sans-serif"/>
          <w:b/>
          <w:color w:val="000000"/>
          <w:sz w:val="18"/>
        </w:rPr>
        <w:t>.</w:t>
      </w:r>
      <w:r>
        <w:rPr>
          <w:color w:val="000000"/>
        </w:rPr>
        <w:t xml:space="preserve"> </w:t>
      </w:r>
      <w:r>
        <w:rPr>
          <w:rFonts w:ascii="Arial;sans-serif" w:hAnsi="Arial;sans-serif"/>
          <w:b w:val="false"/>
          <w:color w:val="000000"/>
          <w:sz w:val="18"/>
        </w:rPr>
        <w:t>Collectively, TES’s 6.125% Senior Unsecured Notes due 2031, 6.375% Senior Unsecured Notes due 2033, 6.250% Senior Unsecured Notes due 2034, and 6.500% Senior Unsecured Notes due 2036.</w:t>
      </w:r>
    </w:p>
    <w:p>
      <w:pPr>
        <w:pStyle w:val="TextBody"/>
        <w:bidi w:val="0"/>
        <w:spacing w:lineRule="auto" w:line="288" w:before="0" w:after="180"/>
        <w:ind w:left="0" w:right="0" w:firstLine="360"/>
        <w:jc w:val="left"/>
        <w:rPr/>
      </w:pPr>
      <w:r>
        <w:rPr>
          <w:rFonts w:ascii="Arial;sans-serif" w:hAnsi="Arial;sans-serif"/>
          <w:b/>
          <w:color w:val="000000"/>
          <w:sz w:val="18"/>
        </w:rPr>
        <w:t xml:space="preserve">Waterford.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Waterford Township, Ohio.</w:t>
      </w:r>
    </w:p>
    <w:p>
      <w:pPr>
        <w:pStyle w:val="TextBody"/>
        <w:bidi w:val="0"/>
        <w:spacing w:lineRule="auto" w:line="288" w:before="0" w:after="180"/>
        <w:ind w:left="0" w:right="0" w:firstLine="360"/>
        <w:jc w:val="left"/>
        <w:rPr/>
      </w:pPr>
      <w:r>
        <w:rPr>
          <w:rFonts w:ascii="Arial;sans-serif" w:hAnsi="Arial;sans-serif"/>
          <w:b/>
          <w:i/>
          <w:color w:val="000000"/>
          <w:sz w:val="18"/>
        </w:rPr>
        <w:t>WECC.</w:t>
      </w:r>
      <w:r>
        <w:rPr>
          <w:color w:val="000000"/>
        </w:rPr>
        <w:t xml:space="preserve"> </w:t>
      </w:r>
      <w:r>
        <w:rPr>
          <w:rFonts w:ascii="Arial;sans-serif" w:hAnsi="Arial;sans-serif"/>
          <w:b w:val="false"/>
          <w:color w:val="000000"/>
          <w:sz w:val="18"/>
        </w:rPr>
        <w:t>The Western Electricity Coordinating Council, a non-profit corporation that assures a reliable and secure bulk electric system in the Western Interconnection, covering all or parts of Montana, 13 other U.S. States, Canada, and Mexico.</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4993" w:type="dxa"/>
        <w:jc w:val="left"/>
        <w:tblInd w:w="0" w:type="dxa"/>
        <w:tblLayout w:type="fixed"/>
        <w:tblCellMar>
          <w:top w:w="28" w:type="dxa"/>
          <w:left w:w="28" w:type="dxa"/>
          <w:bottom w:w="28" w:type="dxa"/>
          <w:right w:w="28" w:type="dxa"/>
        </w:tblCellMar>
      </w:tblPr>
      <w:tblGrid>
        <w:gridCol w:w="184"/>
        <w:gridCol w:w="162"/>
        <w:gridCol w:w="164"/>
        <w:gridCol w:w="399"/>
        <w:gridCol w:w="399"/>
        <w:gridCol w:w="401"/>
        <w:gridCol w:w="194"/>
        <w:gridCol w:w="194"/>
        <w:gridCol w:w="196"/>
        <w:gridCol w:w="791"/>
        <w:gridCol w:w="791"/>
        <w:gridCol w:w="1118"/>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TALEN ENERGY CORPORATION</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August 5,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 Cole Muller</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Name:</w:t>
            </w:r>
          </w:p>
        </w:tc>
        <w:tc>
          <w:tcPr>
            <w:tcW w:w="2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Cole Muller</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Title:</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before="0" w:after="18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Arial;sans-serif" w:hAnsi="Arial;sans-serif"/>
          <w:b w:val="false"/>
          <w:color w:val="000000"/>
          <w:sz w:val="18"/>
        </w:rPr>
      </w:pPr>
      <w:r>
        <w:rPr>
          <w:rFonts w:ascii="Arial;sans-serif" w:hAnsi="Arial;sans-serif"/>
          <w:b w:val="false"/>
          <w:color w:val="000000"/>
          <w:sz w:val="18"/>
        </w:rPr>
        <w:t>Exhibit 4.6</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9.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xml:space="preserve">), dated as of June 16, 2026, among the subsidiary guarantors listed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Wilmington Savings Fund Society, FSB,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that certain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April 29, 2026, among the Issuer, the Subsidiary Guarantors party thereto and the Trustee, providing for the original issuance of an aggregate principal amount of $1,500,000,000 of 6.125% Senior Notes due 2031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6.125% Senior Notes due 2031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Sections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tbl>
      <w:tblPr>
        <w:tblW w:w="5759" w:type="dxa"/>
        <w:jc w:val="right"/>
        <w:tblInd w:w="0" w:type="dxa"/>
        <w:tblLayout w:type="fixed"/>
        <w:tblCellMar>
          <w:top w:w="28" w:type="dxa"/>
          <w:left w:w="28" w:type="dxa"/>
          <w:bottom w:w="28" w:type="dxa"/>
          <w:right w:w="28" w:type="dxa"/>
        </w:tblCellMar>
      </w:tblPr>
      <w:tblGrid>
        <w:gridCol w:w="1843"/>
        <w:gridCol w:w="1617"/>
        <w:gridCol w:w="2299"/>
      </w:tblGrid>
      <w:tr>
        <w:trPr/>
        <w:tc>
          <w:tcPr>
            <w:tcW w:w="184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TALEN CG HOLDINGS,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CORNERSTONE GENERATION,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CORNERSTONE GENERATION MARKETING, LLC</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DARBY POWER,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LAWRENCEBURG POWER, LLC</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p>
                    <w:p>
                      <w:pPr>
                        <w:pStyle w:val="TextBody"/>
                        <w:bidi w:val="0"/>
                        <w:spacing w:before="0" w:after="0"/>
                        <w:jc w:val="center"/>
                        <w:rPr/>
                      </w:pPr>
                      <w:r>
                        <w:rPr/>
                      </w:r>
                    </w:p>
                  </w:txbxContent>
                </v:textbox>
                <w10:wrap type="none"/>
              </v:rect>
            </w:pict>
          </mc:Fallback>
        </mc:AlternateContent>
      </w:r>
    </w:p>
    <w:p>
      <w:pPr>
        <w:pStyle w:val="TextBody"/>
        <w:bidi w:val="0"/>
        <w:spacing w:before="0" w:after="24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2"/>
        <w:gridCol w:w="1549"/>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WATERFORD POWER, LLC </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6415"/>
                <wp:effectExtent l="0" t="0" r="0" b="0"/>
                <wp:wrapNone/>
                <wp:docPr id="54" name="Frame5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3885" w:type="dxa"/>
        <w:jc w:val="right"/>
        <w:tblInd w:w="0" w:type="dxa"/>
        <w:tblLayout w:type="fixed"/>
        <w:tblCellMar>
          <w:top w:w="28" w:type="dxa"/>
          <w:left w:w="28" w:type="dxa"/>
          <w:bottom w:w="28" w:type="dxa"/>
          <w:right w:w="28" w:type="dxa"/>
        </w:tblCellMar>
      </w:tblPr>
      <w:tblGrid>
        <w:gridCol w:w="1243"/>
        <w:gridCol w:w="1092"/>
        <w:gridCol w:w="1550"/>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TALEN ENERGY SUPPLY, LLC</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6415"/>
                <wp:effectExtent l="0" t="0" r="0" b="0"/>
                <wp:wrapNone/>
                <wp:docPr id="55" name="Frame5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4844" w:type="dxa"/>
        <w:jc w:val="right"/>
        <w:tblInd w:w="0" w:type="dxa"/>
        <w:tblLayout w:type="fixed"/>
        <w:tblCellMar>
          <w:top w:w="28" w:type="dxa"/>
          <w:left w:w="28" w:type="dxa"/>
          <w:bottom w:w="28" w:type="dxa"/>
          <w:right w:w="28" w:type="dxa"/>
        </w:tblCellMar>
      </w:tblPr>
      <w:tblGrid>
        <w:gridCol w:w="1551"/>
        <w:gridCol w:w="1362"/>
        <w:gridCol w:w="1931"/>
      </w:tblGrid>
      <w:tr>
        <w:trPr/>
        <w:tc>
          <w:tcPr>
            <w:tcW w:w="155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FSB, as Trustee</w:t>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Anita Woolery</w:t>
              <w:br/>
            </w:r>
            <w:r>
              <w:rPr>
                <w:color w:val="000000"/>
              </w:rPr>
              <w:t>    </w:t>
            </w:r>
            <w:r>
              <w:rPr>
                <w:rFonts w:ascii="Times New Roman;serif" w:hAnsi="Times New Roman;serif"/>
                <w:b w:val="false"/>
                <w:color w:val="000000"/>
                <w:sz w:val="24"/>
              </w:rPr>
              <w:t>Name:    Anita Woolery</w:t>
              <w:br/>
              <w:t>    Title: Vice President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6415"/>
                <wp:effectExtent l="0" t="0" r="0" b="0"/>
                <wp:wrapNone/>
                <wp:docPr id="56" name="Frame5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2031 Notes Supplemental Indenture] </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4050" w:type="dxa"/>
        <w:jc w:val="left"/>
        <w:tblInd w:w="0" w:type="dxa"/>
        <w:tblLayout w:type="fixed"/>
        <w:tblCellMar>
          <w:top w:w="28" w:type="dxa"/>
          <w:left w:w="28" w:type="dxa"/>
          <w:bottom w:w="28" w:type="dxa"/>
          <w:right w:w="28" w:type="dxa"/>
        </w:tblCellMar>
      </w:tblPr>
      <w:tblGrid>
        <w:gridCol w:w="1296"/>
        <w:gridCol w:w="1138"/>
        <w:gridCol w:w="1616"/>
      </w:tblGrid>
      <w:tr>
        <w:trPr/>
        <w:tc>
          <w:tcPr>
            <w:tcW w:w="1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Talen CG Holdings,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Cornerstone Generation,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Darby Power,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4050" w:type="dxa"/>
            <w:gridSpan w:val="3"/>
            <w:tcBorders>
              <w:top w:val="single" w:sz="4" w:space="0" w:color="000000"/>
              <w:left w:val="single" w:sz="4" w:space="0" w:color="000000"/>
              <w:bottom w:val="single" w:sz="4" w:space="0" w:color="000000"/>
              <w:right w:val="single" w:sz="4" w:space="0" w:color="000000"/>
            </w:tcBorders>
            <w:tcMar>
              <w:top w:w="30" w:type="dxa"/>
              <w:left w:w="111"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Waterford Power, LLC</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Arial;sans-serif" w:hAnsi="Arial;sans-serif"/>
          <w:b w:val="false"/>
          <w:color w:val="000000"/>
          <w:sz w:val="18"/>
        </w:rPr>
      </w:pPr>
      <w:r>
        <w:rPr>
          <w:rFonts w:ascii="Arial;sans-serif" w:hAnsi="Arial;sans-serif"/>
          <w:b w:val="false"/>
          <w:color w:val="000000"/>
          <w:sz w:val="18"/>
        </w:rPr>
        <w:t>Exhibit 4.7</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9.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xml:space="preserve">), dated as of June 16, 2026, among the subsidiary guarantors listed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Wilmington Savings Fund Society, FSB,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that certain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April 29, 2026, among the Issuer, the Subsidiary Guarantors party thereto and the Trustee, providing for the original issuance of an aggregate principal amount of $2,500,000,000 of 6.375% Senior Notes due 2033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6.375% Senior Notes due 2033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Sections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June 16, 2026</w:t>
      </w:r>
    </w:p>
    <w:p>
      <w:pPr>
        <w:pStyle w:val="TextBody"/>
        <w:bidi w:val="0"/>
        <w:spacing w:lineRule="auto" w:line="288" w:before="0" w:after="240"/>
        <w:jc w:val="right"/>
        <w:rPr>
          <w:color w:val="000000"/>
        </w:rPr>
      </w:pPr>
      <w:r>
        <w:rPr>
          <w:color w:val="000000"/>
        </w:rPr>
        <w:t>                    </w:t>
      </w:r>
    </w:p>
    <w:tbl>
      <w:tblPr>
        <w:tblW w:w="5759" w:type="dxa"/>
        <w:jc w:val="right"/>
        <w:tblInd w:w="0" w:type="dxa"/>
        <w:tblLayout w:type="fixed"/>
        <w:tblCellMar>
          <w:top w:w="28" w:type="dxa"/>
          <w:left w:w="28" w:type="dxa"/>
          <w:bottom w:w="28" w:type="dxa"/>
          <w:right w:w="28" w:type="dxa"/>
        </w:tblCellMar>
      </w:tblPr>
      <w:tblGrid>
        <w:gridCol w:w="1843"/>
        <w:gridCol w:w="1617"/>
        <w:gridCol w:w="2299"/>
      </w:tblGrid>
      <w:tr>
        <w:trPr/>
        <w:tc>
          <w:tcPr>
            <w:tcW w:w="184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TALEN CG HOLDINGS,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CORNERSTONE GENERATION,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CORNERSTONE GENERATION MARKETING, LLC</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DARBY POWER, LLC </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LAWRENCEBURG POWER, LLC</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p>
                    <w:p>
                      <w:pPr>
                        <w:pStyle w:val="TextBody"/>
                        <w:bidi w:val="0"/>
                        <w:spacing w:before="0" w:after="0"/>
                        <w:jc w:val="center"/>
                        <w:rPr/>
                      </w:pPr>
                      <w:r>
                        <w:rPr/>
                      </w:r>
                    </w:p>
                  </w:txbxContent>
                </v:textbox>
                <w10:wrap type="none"/>
              </v:rect>
            </w:pict>
          </mc:Fallback>
        </mc:AlternateContent>
      </w:r>
    </w:p>
    <w:tbl>
      <w:tblPr>
        <w:tblW w:w="3885" w:type="dxa"/>
        <w:jc w:val="right"/>
        <w:tblInd w:w="0" w:type="dxa"/>
        <w:tblLayout w:type="fixed"/>
        <w:tblCellMar>
          <w:top w:w="28" w:type="dxa"/>
          <w:left w:w="28" w:type="dxa"/>
          <w:bottom w:w="28" w:type="dxa"/>
          <w:right w:w="28" w:type="dxa"/>
        </w:tblCellMar>
      </w:tblPr>
      <w:tblGrid>
        <w:gridCol w:w="1244"/>
        <w:gridCol w:w="1092"/>
        <w:gridCol w:w="1549"/>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WATERFORD POWER, LLC </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p>
                    <w:p>
                      <w:pPr>
                        <w:pStyle w:val="TextBody"/>
                        <w:bidi w:val="0"/>
                        <w:spacing w:before="0" w:after="0"/>
                        <w:jc w:val="center"/>
                        <w:rPr/>
                      </w:pPr>
                      <w:r>
                        <w:rPr/>
                      </w:r>
                    </w:p>
                  </w:txbxContent>
                </v:textbox>
                <w10:wrap type="none"/>
              </v:rect>
            </w:pict>
          </mc:Fallback>
        </mc:AlternateContent>
      </w:r>
    </w:p>
    <w:p>
      <w:pPr>
        <w:pStyle w:val="TextBody"/>
        <w:bidi w:val="0"/>
        <w:spacing w:before="0" w:after="240"/>
        <w:jc w:val="left"/>
        <w:rPr/>
      </w:pPr>
      <w:r>
        <w:rPr/>
      </w:r>
    </w:p>
    <w:tbl>
      <w:tblPr>
        <w:tblW w:w="3885" w:type="dxa"/>
        <w:jc w:val="right"/>
        <w:tblInd w:w="0" w:type="dxa"/>
        <w:tblLayout w:type="fixed"/>
        <w:tblCellMar>
          <w:top w:w="28" w:type="dxa"/>
          <w:left w:w="28" w:type="dxa"/>
          <w:bottom w:w="28" w:type="dxa"/>
          <w:right w:w="28" w:type="dxa"/>
        </w:tblCellMar>
      </w:tblPr>
      <w:tblGrid>
        <w:gridCol w:w="1243"/>
        <w:gridCol w:w="1092"/>
        <w:gridCol w:w="1550"/>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TALEN ENERGY SUPPLY, LLC</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p>
                    <w:p>
                      <w:pPr>
                        <w:pStyle w:val="TextBody"/>
                        <w:bidi w:val="0"/>
                        <w:spacing w:before="0" w:after="0"/>
                        <w:jc w:val="center"/>
                        <w:rPr/>
                      </w:pPr>
                      <w:r>
                        <w:rPr/>
                      </w:r>
                    </w:p>
                  </w:txbxContent>
                </v:textbox>
                <w10:wrap type="none"/>
              </v:rect>
            </w:pict>
          </mc:Fallback>
        </mc:AlternateContent>
      </w:r>
    </w:p>
    <w:tbl>
      <w:tblPr>
        <w:tblW w:w="4844" w:type="dxa"/>
        <w:jc w:val="right"/>
        <w:tblInd w:w="0" w:type="dxa"/>
        <w:tblLayout w:type="fixed"/>
        <w:tblCellMar>
          <w:top w:w="28" w:type="dxa"/>
          <w:left w:w="28" w:type="dxa"/>
          <w:bottom w:w="28" w:type="dxa"/>
          <w:right w:w="28" w:type="dxa"/>
        </w:tblCellMar>
      </w:tblPr>
      <w:tblGrid>
        <w:gridCol w:w="1551"/>
        <w:gridCol w:w="1362"/>
        <w:gridCol w:w="1931"/>
      </w:tblGrid>
      <w:tr>
        <w:trPr/>
        <w:tc>
          <w:tcPr>
            <w:tcW w:w="155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FSB, as Trustee</w:t>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Anita Woolery</w:t>
              <w:br/>
            </w:r>
            <w:r>
              <w:rPr>
                <w:color w:val="000000"/>
              </w:rPr>
              <w:t>    </w:t>
            </w:r>
            <w:r>
              <w:rPr>
                <w:rFonts w:ascii="Times New Roman;serif" w:hAnsi="Times New Roman;serif"/>
                <w:b w:val="false"/>
                <w:color w:val="000000"/>
                <w:sz w:val="24"/>
              </w:rPr>
              <w:t>Name:    Anita Woolery</w:t>
              <w:br/>
              <w:t>    Title: Vice President     </w:t>
            </w:r>
          </w:p>
        </w:tc>
      </w:tr>
    </w:tbl>
    <w:p>
      <w:pPr>
        <w:pStyle w:val="TextBody"/>
        <w:bidi w:val="0"/>
        <w:spacing w:lineRule="auto" w:line="288" w:before="0" w:after="240"/>
        <w:jc w:val="right"/>
        <w:rPr>
          <w:color w:val="000000"/>
        </w:rPr>
      </w:pPr>
      <w:r>
        <w:rPr>
          <w:color w:val="000000"/>
        </w:rPr>
        <w:t>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2033 Notes Supplemental Indenture] </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4050" w:type="dxa"/>
        <w:jc w:val="left"/>
        <w:tblInd w:w="0" w:type="dxa"/>
        <w:tblLayout w:type="fixed"/>
        <w:tblCellMar>
          <w:top w:w="28" w:type="dxa"/>
          <w:left w:w="28" w:type="dxa"/>
          <w:bottom w:w="28" w:type="dxa"/>
          <w:right w:w="28" w:type="dxa"/>
        </w:tblCellMar>
      </w:tblPr>
      <w:tblGrid>
        <w:gridCol w:w="1296"/>
        <w:gridCol w:w="1138"/>
        <w:gridCol w:w="1616"/>
      </w:tblGrid>
      <w:tr>
        <w:trPr/>
        <w:tc>
          <w:tcPr>
            <w:tcW w:w="1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Talen CG Holdings,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Cornerstone Generation,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Darby Power,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4050" w:type="dxa"/>
            <w:gridSpan w:val="3"/>
            <w:tcBorders>
              <w:top w:val="single" w:sz="4" w:space="0" w:color="000000"/>
              <w:left w:val="single" w:sz="4" w:space="0" w:color="000000"/>
              <w:bottom w:val="single" w:sz="4" w:space="0" w:color="000000"/>
              <w:right w:val="single" w:sz="4" w:space="0" w:color="000000"/>
            </w:tcBorders>
            <w:tcMar>
              <w:top w:w="30" w:type="dxa"/>
              <w:left w:w="111"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Waterford Power, LLC</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4.8</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9.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 xml:space="preserve">INDENTURE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SECOND</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xml:space="preserve">), dated as of June 16, 2026, among the subsidiary guarantors listed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Citibank, N.A.,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(i) that certain indenture (the “</w:t>
      </w:r>
      <w:r>
        <w:rPr>
          <w:rFonts w:ascii="Times New Roman;serif" w:hAnsi="Times New Roman;serif"/>
          <w:b w:val="false"/>
          <w:i/>
          <w:color w:val="000000"/>
          <w:sz w:val="24"/>
        </w:rPr>
        <w:t>Original Indenture</w:t>
      </w:r>
      <w:r>
        <w:rPr>
          <w:color w:val="000000"/>
        </w:rPr>
        <w:t>”</w:t>
      </w:r>
      <w:r>
        <w:rPr>
          <w:rFonts w:ascii="Times New Roman;serif" w:hAnsi="Times New Roman;serif"/>
          <w:b w:val="false"/>
          <w:color w:val="000000"/>
          <w:sz w:val="24"/>
        </w:rPr>
        <w:t>), dated as of October 27, 2025, among the Issuer, the Subsidiary Guarantors party thereto and the Trustee, providing for the original issuance of an aggregate principal amount of $1,400,000,000 of 6.250% Senior Notes due 2034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6.250% Senior Notes due 2034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 and (ii) the first supplemental indenture to the Original Indenture, among the Issuer, the Subsidiary Guarantors party thereto and the Trustee (the “</w:t>
      </w:r>
      <w:r>
        <w:rPr>
          <w:rFonts w:ascii="Times New Roman;serif" w:hAnsi="Times New Roman;serif"/>
          <w:b w:val="false"/>
          <w:i/>
          <w:color w:val="000000"/>
          <w:sz w:val="24"/>
        </w:rPr>
        <w:t>First Supplemental Indenture</w:t>
      </w:r>
      <w:r>
        <w:rPr>
          <w:color w:val="000000"/>
        </w:rPr>
        <w:t xml:space="preserve">” </w:t>
      </w:r>
      <w:r>
        <w:rPr>
          <w:rFonts w:ascii="Times New Roman;serif" w:hAnsi="Times New Roman;serif"/>
          <w:b w:val="false"/>
          <w:color w:val="000000"/>
          <w:sz w:val="24"/>
        </w:rPr>
        <w:t>and, together with the Original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Sections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p>
      <w:pPr>
        <w:pStyle w:val="TextBody"/>
        <w:bidi w:val="0"/>
        <w:spacing w:before="0" w:after="240"/>
        <w:jc w:val="left"/>
        <w:rPr/>
      </w:pPr>
      <w:r>
        <w:rPr/>
      </w:r>
    </w:p>
    <w:p>
      <w:pPr>
        <w:pStyle w:val="TextBody"/>
        <w:bidi w:val="0"/>
        <w:spacing w:lineRule="auto" w:line="288" w:before="0" w:after="240"/>
        <w:jc w:val="right"/>
        <w:rPr>
          <w:color w:val="000000"/>
        </w:rPr>
      </w:pPr>
      <w:r>
        <w:rPr>
          <w:color w:val="000000"/>
        </w:rPr>
        <w:t>                    </w:t>
      </w:r>
    </w:p>
    <w:tbl>
      <w:tblPr>
        <w:tblW w:w="5729" w:type="dxa"/>
        <w:jc w:val="right"/>
        <w:tblInd w:w="0" w:type="dxa"/>
        <w:tblLayout w:type="fixed"/>
        <w:tblCellMar>
          <w:top w:w="28" w:type="dxa"/>
          <w:left w:w="28" w:type="dxa"/>
          <w:bottom w:w="28" w:type="dxa"/>
          <w:right w:w="28" w:type="dxa"/>
        </w:tblCellMar>
      </w:tblPr>
      <w:tblGrid>
        <w:gridCol w:w="1834"/>
        <w:gridCol w:w="1613"/>
        <w:gridCol w:w="2282"/>
      </w:tblGrid>
      <w:tr>
        <w:trPr/>
        <w:tc>
          <w:tcPr>
            <w:tcW w:w="183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TALEN CG HOLDINGS,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CORNERSTONE GENERATION,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DARBY POWER,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72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p>
                  </w:txbxContent>
                </v:textbox>
                <w10:wrap type="none"/>
              </v:rect>
            </w:pict>
          </mc:Fallback>
        </mc:AlternateContent>
      </w:r>
    </w:p>
    <w:tbl>
      <w:tblPr>
        <w:tblW w:w="3884" w:type="dxa"/>
        <w:jc w:val="right"/>
        <w:tblInd w:w="0" w:type="dxa"/>
        <w:tblLayout w:type="fixed"/>
        <w:tblCellMar>
          <w:top w:w="28" w:type="dxa"/>
          <w:left w:w="28" w:type="dxa"/>
          <w:bottom w:w="28" w:type="dxa"/>
          <w:right w:w="28" w:type="dxa"/>
        </w:tblCellMar>
      </w:tblPr>
      <w:tblGrid>
        <w:gridCol w:w="1244"/>
        <w:gridCol w:w="1092"/>
        <w:gridCol w:w="154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WATERFORD POWER, LLC </w:t>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Notes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Notes Supplemental Indenture] </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2925" w:type="dxa"/>
        <w:jc w:val="right"/>
        <w:tblInd w:w="0" w:type="dxa"/>
        <w:tblLayout w:type="fixed"/>
        <w:tblCellMar>
          <w:top w:w="28" w:type="dxa"/>
          <w:left w:w="28" w:type="dxa"/>
          <w:bottom w:w="28" w:type="dxa"/>
          <w:right w:w="28" w:type="dxa"/>
        </w:tblCellMar>
      </w:tblPr>
      <w:tblGrid>
        <w:gridCol w:w="937"/>
        <w:gridCol w:w="823"/>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w:t>
              <w:br/>
              <w:t>as Trustee</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Eva White</w:t>
              <w:br/>
            </w:r>
            <w:r>
              <w:rPr>
                <w:color w:val="000000"/>
              </w:rPr>
              <w:t>    </w:t>
            </w:r>
            <w:r>
              <w:rPr>
                <w:rFonts w:ascii="Times New Roman;serif" w:hAnsi="Times New Roman;serif"/>
                <w:b w:val="false"/>
                <w:color w:val="000000"/>
                <w:sz w:val="24"/>
              </w:rPr>
              <w:t>Name:    Eva White</w:t>
              <w:br/>
              <w:t xml:space="preserve">    Title: Senior Trust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2034 Supplemental Indenture]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4050" w:type="dxa"/>
        <w:jc w:val="left"/>
        <w:tblInd w:w="0" w:type="dxa"/>
        <w:tblLayout w:type="fixed"/>
        <w:tblCellMar>
          <w:top w:w="28" w:type="dxa"/>
          <w:left w:w="28" w:type="dxa"/>
          <w:bottom w:w="28" w:type="dxa"/>
          <w:right w:w="28" w:type="dxa"/>
        </w:tblCellMar>
      </w:tblPr>
      <w:tblGrid>
        <w:gridCol w:w="1296"/>
        <w:gridCol w:w="1138"/>
        <w:gridCol w:w="1616"/>
      </w:tblGrid>
      <w:tr>
        <w:trPr/>
        <w:tc>
          <w:tcPr>
            <w:tcW w:w="1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Talen CG Holdings,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Darby Power,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4050" w:type="dxa"/>
            <w:gridSpan w:val="3"/>
            <w:tcBorders>
              <w:top w:val="single" w:sz="4" w:space="0" w:color="000000"/>
              <w:left w:val="single" w:sz="4" w:space="0" w:color="000000"/>
              <w:bottom w:val="single" w:sz="4" w:space="0" w:color="000000"/>
              <w:right w:val="single" w:sz="4" w:space="0" w:color="000000"/>
            </w:tcBorders>
            <w:tcMar>
              <w:top w:w="30" w:type="dxa"/>
              <w:left w:w="111"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Waterford Power, LLC</w:t>
            </w:r>
          </w:p>
        </w:tc>
      </w:tr>
    </w:tbl>
    <w:p>
      <w:pPr>
        <w:pStyle w:val="TextBody"/>
        <w:bidi w:val="0"/>
        <w:spacing w:before="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4.9</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9.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 xml:space="preserve">INDENTURE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SECOND</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xml:space="preserve">), dated as of June 16, 2026, among the subsidiary guarantors listed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Citibank, N.A.,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(i) that certain indenture (the “</w:t>
      </w:r>
      <w:r>
        <w:rPr>
          <w:rFonts w:ascii="Times New Roman;serif" w:hAnsi="Times New Roman;serif"/>
          <w:b w:val="false"/>
          <w:i/>
          <w:color w:val="000000"/>
          <w:sz w:val="24"/>
        </w:rPr>
        <w:t>Original</w:t>
      </w:r>
      <w:r>
        <w:rPr>
          <w:color w:val="000000"/>
        </w:rPr>
        <w:t xml:space="preserv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October 27, 2025, among the Issuer, the Subsidiary Guarantors party thereto and the Trustee, providing for the original issuance of an aggregate principal amount of $1,290,000,000 of 6.500% Senior Notes due 2036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6.500% Senior Notes due 2036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 and (ii) the first supplemental indenture to the Original Indenture, among the Issuer, the Subsidiary Guarantors party thereto and the Trustee (the “</w:t>
      </w:r>
      <w:r>
        <w:rPr>
          <w:rFonts w:ascii="Times New Roman;serif" w:hAnsi="Times New Roman;serif"/>
          <w:b w:val="false"/>
          <w:i/>
          <w:color w:val="000000"/>
          <w:sz w:val="24"/>
        </w:rPr>
        <w:t>First Supplemental Indenture</w:t>
      </w:r>
      <w:r>
        <w:rPr>
          <w:color w:val="000000"/>
        </w:rPr>
        <w:t xml:space="preserve">” </w:t>
      </w:r>
      <w:r>
        <w:rPr>
          <w:rFonts w:ascii="Times New Roman;serif" w:hAnsi="Times New Roman;serif"/>
          <w:b w:val="false"/>
          <w:color w:val="000000"/>
          <w:sz w:val="24"/>
        </w:rPr>
        <w:t>and, together with the Original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Sections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p>
      <w:pPr>
        <w:pStyle w:val="TextBody"/>
        <w:bidi w:val="0"/>
        <w:spacing w:before="0" w:after="240"/>
        <w:jc w:val="left"/>
        <w:rPr/>
      </w:pPr>
      <w:r>
        <w:rPr/>
      </w:r>
    </w:p>
    <w:tbl>
      <w:tblPr>
        <w:tblW w:w="5729" w:type="dxa"/>
        <w:jc w:val="right"/>
        <w:tblInd w:w="0" w:type="dxa"/>
        <w:tblLayout w:type="fixed"/>
        <w:tblCellMar>
          <w:top w:w="28" w:type="dxa"/>
          <w:left w:w="28" w:type="dxa"/>
          <w:bottom w:w="28" w:type="dxa"/>
          <w:right w:w="28" w:type="dxa"/>
        </w:tblCellMar>
      </w:tblPr>
      <w:tblGrid>
        <w:gridCol w:w="1834"/>
        <w:gridCol w:w="1613"/>
        <w:gridCol w:w="2282"/>
      </w:tblGrid>
      <w:tr>
        <w:trPr/>
        <w:tc>
          <w:tcPr>
            <w:tcW w:w="183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TALEN CG HOLDINGS,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CORNERSTONE GENERATION,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DARBY POWER, LLC </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Supplemental Indenture]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Supplemental Indenture] </w:t>
                      </w:r>
                    </w:p>
                    <w:p>
                      <w:pPr>
                        <w:pStyle w:val="TextBody"/>
                        <w:bidi w:val="0"/>
                        <w:spacing w:before="0" w:after="0"/>
                        <w:jc w:val="center"/>
                        <w:rPr/>
                      </w:pPr>
                      <w:r>
                        <w:rPr/>
                      </w:r>
                    </w:p>
                  </w:txbxContent>
                </v:textbox>
                <w10:wrap type="none"/>
              </v:rect>
            </w:pict>
          </mc:Fallback>
        </mc:AlternateContent>
      </w:r>
    </w:p>
    <w:tbl>
      <w:tblPr>
        <w:tblW w:w="3884" w:type="dxa"/>
        <w:jc w:val="right"/>
        <w:tblInd w:w="0" w:type="dxa"/>
        <w:tblLayout w:type="fixed"/>
        <w:tblCellMar>
          <w:top w:w="28" w:type="dxa"/>
          <w:left w:w="28" w:type="dxa"/>
          <w:bottom w:w="28" w:type="dxa"/>
          <w:right w:w="28" w:type="dxa"/>
        </w:tblCellMar>
      </w:tblPr>
      <w:tblGrid>
        <w:gridCol w:w="1244"/>
        <w:gridCol w:w="1092"/>
        <w:gridCol w:w="154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WATERFORD POWER, LLC </w:t>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40"/>
        <w:ind w:left="0" w:right="0" w:firstLine="720"/>
        <w:jc w:val="both"/>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Sergio Castro</w:t>
              <w:br/>
            </w:r>
            <w:r>
              <w:rPr>
                <w:color w:val="000000"/>
              </w:rPr>
              <w:t>    </w:t>
            </w:r>
            <w:r>
              <w:rPr>
                <w:rFonts w:ascii="Times New Roman;serif" w:hAnsi="Times New Roman;serif"/>
                <w:b w:val="false"/>
                <w:color w:val="000000"/>
                <w:sz w:val="24"/>
              </w:rPr>
              <w:t>Name:    Sergio Castro</w:t>
              <w:br/>
              <w:t>    Title:    Vice President and Treasurer</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p>
                    <w:p>
                      <w:pPr>
                        <w:pStyle w:val="TextBody"/>
                        <w:bidi w:val="0"/>
                        <w:spacing w:before="0" w:after="0"/>
                        <w:jc w:val="left"/>
                        <w:rPr/>
                      </w:pPr>
                      <w:r>
                        <w:rPr/>
                      </w:r>
                    </w:p>
                  </w:txbxContent>
                </v:textbox>
                <w10:wrap type="none"/>
              </v:rect>
            </w:pict>
          </mc:Fallback>
        </mc:AlternateContent>
      </w:r>
    </w:p>
    <w:tbl>
      <w:tblPr>
        <w:tblW w:w="2925" w:type="dxa"/>
        <w:jc w:val="right"/>
        <w:tblInd w:w="0" w:type="dxa"/>
        <w:tblLayout w:type="fixed"/>
        <w:tblCellMar>
          <w:top w:w="28" w:type="dxa"/>
          <w:left w:w="28" w:type="dxa"/>
          <w:bottom w:w="28" w:type="dxa"/>
          <w:right w:w="28" w:type="dxa"/>
        </w:tblCellMar>
      </w:tblPr>
      <w:tblGrid>
        <w:gridCol w:w="937"/>
        <w:gridCol w:w="823"/>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w:t>
              <w:br/>
              <w:t>as Trustee</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Eva White</w:t>
              <w:br/>
            </w:r>
            <w:r>
              <w:rPr>
                <w:color w:val="000000"/>
              </w:rPr>
              <w:t>    </w:t>
            </w:r>
            <w:r>
              <w:rPr>
                <w:rFonts w:ascii="Times New Roman;serif" w:hAnsi="Times New Roman;serif"/>
                <w:b w:val="false"/>
                <w:color w:val="000000"/>
                <w:sz w:val="24"/>
              </w:rPr>
              <w:t>Name:    Eva White</w:t>
              <w:br/>
              <w:t xml:space="preserve">    Title: Senior Trust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the 2036 Notes Supplemental Indenture]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4050" w:type="dxa"/>
        <w:jc w:val="left"/>
        <w:tblInd w:w="0" w:type="dxa"/>
        <w:tblLayout w:type="fixed"/>
        <w:tblCellMar>
          <w:top w:w="28" w:type="dxa"/>
          <w:left w:w="28" w:type="dxa"/>
          <w:bottom w:w="28" w:type="dxa"/>
          <w:right w:w="28" w:type="dxa"/>
        </w:tblCellMar>
      </w:tblPr>
      <w:tblGrid>
        <w:gridCol w:w="1296"/>
        <w:gridCol w:w="1138"/>
        <w:gridCol w:w="1616"/>
      </w:tblGrid>
      <w:tr>
        <w:trPr/>
        <w:tc>
          <w:tcPr>
            <w:tcW w:w="1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Talen CG Holdings,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Cornerstone Generation Marketing,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Darby Power, LLC</w:t>
            </w:r>
          </w:p>
        </w:tc>
      </w:tr>
      <w:tr>
        <w:trPr/>
        <w:tc>
          <w:tcPr>
            <w:tcW w:w="4050" w:type="dxa"/>
            <w:gridSpan w:val="3"/>
            <w:tcBorders>
              <w:top w:val="single" w:sz="4" w:space="0" w:color="000000"/>
              <w:left w:val="single" w:sz="4" w:space="0" w:color="000000"/>
              <w:right w:val="single" w:sz="4" w:space="0" w:color="000000"/>
            </w:tcBorders>
            <w:tcMar>
              <w:top w:w="30" w:type="dxa"/>
              <w:left w:w="111"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Lawrenceburg Power, LLC</w:t>
            </w:r>
          </w:p>
        </w:tc>
      </w:tr>
      <w:tr>
        <w:trPr/>
        <w:tc>
          <w:tcPr>
            <w:tcW w:w="4050" w:type="dxa"/>
            <w:gridSpan w:val="3"/>
            <w:tcBorders>
              <w:top w:val="single" w:sz="4" w:space="0" w:color="000000"/>
              <w:left w:val="single" w:sz="4" w:space="0" w:color="000000"/>
              <w:bottom w:val="single" w:sz="4" w:space="0" w:color="000000"/>
              <w:right w:val="single" w:sz="4" w:space="0" w:color="000000"/>
            </w:tcBorders>
            <w:tcMar>
              <w:top w:w="30" w:type="dxa"/>
              <w:left w:w="111"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Waterford Power, LLC</w:t>
            </w:r>
          </w:p>
        </w:tc>
      </w:tr>
    </w:tbl>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Mark “Mac” A. McFarland,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3059" w:type="dxa"/>
        <w:jc w:val="right"/>
        <w:tblInd w:w="0" w:type="dxa"/>
        <w:tblLayout w:type="fixed"/>
        <w:tblCellMar>
          <w:top w:w="28" w:type="dxa"/>
          <w:left w:w="28" w:type="dxa"/>
          <w:bottom w:w="28" w:type="dxa"/>
          <w:right w:w="28" w:type="dxa"/>
        </w:tblCellMar>
      </w:tblPr>
      <w:tblGrid>
        <w:gridCol w:w="977"/>
        <w:gridCol w:w="859"/>
        <w:gridCol w:w="122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Executive Officer and Director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August 5, 2026</w:t>
      </w:r>
    </w:p>
    <w:p>
      <w:pPr>
        <w:pStyle w:val="TextBody"/>
        <w:bidi w:val="0"/>
        <w:spacing w:before="0" w:after="180"/>
        <w:jc w:val="left"/>
        <w:rPr/>
      </w:pPr>
      <w:r>
        <w:rPr/>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Cole Muller,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2369" w:type="dxa"/>
        <w:jc w:val="right"/>
        <w:tblInd w:w="0" w:type="dxa"/>
        <w:tblLayout w:type="fixed"/>
        <w:tblCellMar>
          <w:top w:w="28" w:type="dxa"/>
          <w:left w:w="28" w:type="dxa"/>
          <w:bottom w:w="28" w:type="dxa"/>
          <w:right w:w="28" w:type="dxa"/>
        </w:tblCellMar>
      </w:tblPr>
      <w:tblGrid>
        <w:gridCol w:w="756"/>
        <w:gridCol w:w="666"/>
        <w:gridCol w:w="947"/>
      </w:tblGrid>
      <w:tr>
        <w:trPr/>
        <w:tc>
          <w:tcPr>
            <w:tcW w:w="7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Cole Muller</w:t>
            </w:r>
          </w:p>
        </w:tc>
      </w:tr>
      <w:tr>
        <w:trPr/>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Cole Muller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August 5, 2026</w:t>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32.1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18 U.S.C. Section 1350, as Adopted Pursuant to Section 906 of the Sarbanes-Oxley Act of 2002</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Talen Energy Corporation (the “Company”) for the quarter ended June 30, 2026, as filed with the Securities and Exchange Commission on the date hereof (the “Covered Report”), each of the undersigned officers of the Company, certify, pursuant to 18 U.S.C. Section 1350, as adopted pursuant to Section 906 of the Sarbanes-Oxley Act of 2002, that:</w:t>
      </w:r>
    </w:p>
    <w:p>
      <w:pPr>
        <w:pStyle w:val="TextBody"/>
        <w:bidi w:val="0"/>
        <w:spacing w:lineRule="auto" w:line="256" w:before="0" w:after="180"/>
        <w:ind w:left="0" w:right="0" w:hanging="540"/>
        <w:jc w:val="left"/>
        <w:rPr>
          <w:rFonts w:ascii="Arial;sans-serif" w:hAnsi="Arial;sans-serif"/>
          <w:b w:val="false"/>
          <w:color w:val="000000"/>
          <w:sz w:val="18"/>
        </w:rPr>
      </w:pPr>
      <w:r>
        <w:rPr>
          <w:rFonts w:ascii="Arial;sans-serif" w:hAnsi="Arial;sans-serif"/>
          <w:b w:val="false"/>
          <w:color w:val="000000"/>
          <w:sz w:val="18"/>
        </w:rPr>
        <w:t>1.The Covered Report fully complies with the requirements of Section 13(a) or 15(d) of the Securities Exchange Act of 1934, as amended (the “Exchange Act”); and</w:t>
      </w:r>
    </w:p>
    <w:p>
      <w:pPr>
        <w:pStyle w:val="TextBody"/>
        <w:bidi w:val="0"/>
        <w:spacing w:lineRule="auto" w:line="256" w:before="0" w:after="0"/>
        <w:ind w:left="0" w:right="0" w:hanging="540"/>
        <w:jc w:val="left"/>
        <w:rPr>
          <w:rFonts w:ascii="Arial;sans-serif" w:hAnsi="Arial;sans-serif"/>
          <w:b w:val="false"/>
          <w:color w:val="000000"/>
          <w:sz w:val="18"/>
        </w:rPr>
      </w:pPr>
      <w:r>
        <w:rPr>
          <w:rFonts w:ascii="Arial;sans-serif" w:hAnsi="Arial;sans-serif"/>
          <w:b w:val="false"/>
          <w:color w:val="000000"/>
          <w:sz w:val="18"/>
        </w:rPr>
        <w:t>2.The information contained in the Covered Report fairly presents, in all material respects, the financial condition and results of operations of the Company.</w:t>
      </w:r>
    </w:p>
    <w:p>
      <w:pPr>
        <w:pStyle w:val="TextBody"/>
        <w:bidi w:val="0"/>
        <w:spacing w:before="0" w:after="180"/>
        <w:ind w:left="0" w:right="0" w:hanging="270"/>
        <w:jc w:val="left"/>
        <w:rPr/>
      </w:pPr>
      <w:r>
        <w:rPr/>
      </w:r>
    </w:p>
    <w:tbl>
      <w:tblPr>
        <w:tblW w:w="3059" w:type="dxa"/>
        <w:jc w:val="right"/>
        <w:tblInd w:w="0" w:type="dxa"/>
        <w:tblLayout w:type="fixed"/>
        <w:tblCellMar>
          <w:top w:w="28" w:type="dxa"/>
          <w:left w:w="28" w:type="dxa"/>
          <w:bottom w:w="28" w:type="dxa"/>
          <w:right w:w="28" w:type="dxa"/>
        </w:tblCellMar>
      </w:tblPr>
      <w:tblGrid>
        <w:gridCol w:w="977"/>
        <w:gridCol w:w="859"/>
        <w:gridCol w:w="122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Executive Officer and Director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tbl>
      <w:tblPr>
        <w:tblW w:w="2369" w:type="dxa"/>
        <w:jc w:val="right"/>
        <w:tblInd w:w="0" w:type="dxa"/>
        <w:tblLayout w:type="fixed"/>
        <w:tblCellMar>
          <w:top w:w="28" w:type="dxa"/>
          <w:left w:w="28" w:type="dxa"/>
          <w:bottom w:w="28" w:type="dxa"/>
          <w:right w:w="28" w:type="dxa"/>
        </w:tblCellMar>
      </w:tblPr>
      <w:tblGrid>
        <w:gridCol w:w="756"/>
        <w:gridCol w:w="666"/>
        <w:gridCol w:w="947"/>
      </w:tblGrid>
      <w:tr>
        <w:trPr/>
        <w:tc>
          <w:tcPr>
            <w:tcW w:w="7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/s/ Cole Muller</w:t>
            </w:r>
          </w:p>
        </w:tc>
      </w:tr>
      <w:tr>
        <w:trPr/>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Cole Muller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August 5, 2026</w:t>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22536/000162253626000017/tec-20251231ex21cornerston.htm" TargetMode="External"/><Relationship Id="rId3" Type="http://schemas.openxmlformats.org/officeDocument/2006/relationships/hyperlink" Target="https://www.sec.gov/Archives/edgar/data/1622536/000162828024029107/exhibit31-sx1.htm" TargetMode="External"/><Relationship Id="rId4" Type="http://schemas.openxmlformats.org/officeDocument/2006/relationships/hyperlink" Target="https://www.sec.gov/Archives/edgar/data/1622536/000162828024029107/exhibit32-sx1.htm" TargetMode="External"/><Relationship Id="rId5" Type="http://schemas.openxmlformats.org/officeDocument/2006/relationships/hyperlink" Target="https://www.sec.gov/Archives/edgar/data/1622536/000162253626000048/a20260615ex41cornerstonere.htm" TargetMode="External"/><Relationship Id="rId6" Type="http://schemas.openxmlformats.org/officeDocument/2006/relationships/hyperlink" Target="https://www.sec.gov/Archives/edgar/data/1622536/000162253626000048/a20260615ex41cornerstonere.htm" TargetMode="External"/><Relationship Id="rId7" Type="http://schemas.openxmlformats.org/officeDocument/2006/relationships/hyperlink" Target="https://www.sec.gov/Archives/edgar/data/1622536/000162253626000048/a20260615ex41cornerstonere.htm" TargetMode="External"/><Relationship Id="rId8" Type="http://schemas.openxmlformats.org/officeDocument/2006/relationships/hyperlink" Target="https://www.sec.gov/Archives/edgar/data/1622536/000162253626000048/a20260615ex41cornerstonere.htm" TargetMode="External"/><Relationship Id="rId9" Type="http://schemas.openxmlformats.org/officeDocument/2006/relationships/hyperlink" Target="https://www.sec.gov/Archives/edgar/data/1622536/000162253626000048/a20260615ex41cornerstonere.htm" TargetMode="External"/><Relationship Id="rId10" Type="http://schemas.openxmlformats.org/officeDocument/2006/relationships/hyperlink" Target="https://www.sec.gov/Archives/edgar/data/1622536/000162253626000036/tec-20260331ex42indentures.htm" TargetMode="External"/><Relationship Id="rId11" Type="http://schemas.openxmlformats.org/officeDocument/2006/relationships/hyperlink" Target="https://www.sec.gov/Archives/edgar/data/1622536/000162253626000036/tec-20260331ex42indentures.htm" TargetMode="External"/><Relationship Id="rId12" Type="http://schemas.openxmlformats.org/officeDocument/2006/relationships/hyperlink" Target="https://www.sec.gov/Archives/edgar/data/1622536/000162253626000036/tec-20260331ex42indentures.htm" TargetMode="External"/><Relationship Id="rId13" Type="http://schemas.openxmlformats.org/officeDocument/2006/relationships/hyperlink" Target="https://www.sec.gov/Archives/edgar/data/1622536/000162253626000036/tec-20260331ex42indentures.htm" TargetMode="External"/><Relationship Id="rId14" Type="http://schemas.openxmlformats.org/officeDocument/2006/relationships/hyperlink" Target="https://www.sec.gov/Archives/edgar/data/1622536/000162253626000036/tec-20260331ex42indentures.htm" TargetMode="External"/><Relationship Id="rId15" Type="http://schemas.openxmlformats.org/officeDocument/2006/relationships/hyperlink" Target="https://www.sec.gov/Archives/edgar/data/1622536/000162253626000036/tec-20260331ex42indentures.htm" TargetMode="External"/><Relationship Id="rId16" Type="http://schemas.openxmlformats.org/officeDocument/2006/relationships/hyperlink" Target="https://www.sec.gov/Archives/edgar/data/1622536/000162253626000036/tec-20260331ex42indentures.htm" TargetMode="External"/><Relationship Id="rId17" Type="http://schemas.openxmlformats.org/officeDocument/2006/relationships/hyperlink" Target="https://www.sec.gov/Archives/edgar/data/1622536/000162253626000036/tec-20260331ex42indentures.htm" TargetMode="External"/><Relationship Id="rId18" Type="http://schemas.openxmlformats.org/officeDocument/2006/relationships/hyperlink" Target="https://www.sec.gov/Archives/edgar/data/1622536/000162253626000036/tec-20260331ex42indentures.htm" TargetMode="External"/><Relationship Id="rId19" Type="http://schemas.openxmlformats.org/officeDocument/2006/relationships/hyperlink" Target="https://www.sec.gov/Archives/edgar/data/1622536/000162253626000036/tec-20260331ex42indentures.htm" TargetMode="External"/><Relationship Id="rId20" Type="http://schemas.openxmlformats.org/officeDocument/2006/relationships/hyperlink" Target="https://www.sec.gov/Archives/edgar/data/1622536/000162253626000036/tec-20260331ex42indentures.htm" TargetMode="External"/><Relationship Id="rId21" Type="http://schemas.openxmlformats.org/officeDocument/2006/relationships/hyperlink" Target="https://www.sec.gov/Archives/edgar/data/1622536/000162253626000036/tec-20260331ex42indentures.htm" TargetMode="External"/><Relationship Id="rId22" Type="http://schemas.openxmlformats.org/officeDocument/2006/relationships/hyperlink" Target="https://www.sec.gov/Archives/edgar/data/1622536/000162253626000036/tec-20260331ex42indentures.htm" TargetMode="External"/><Relationship Id="rId23" Type="http://schemas.openxmlformats.org/officeDocument/2006/relationships/hyperlink" Target="https://www.sec.gov/Archives/edgar/data/1622536/000162253626000036/tec-20260331ex42indentures.htm" TargetMode="External"/><Relationship Id="rId24" Type="http://schemas.openxmlformats.org/officeDocument/2006/relationships/hyperlink" Target="https://www.sec.gov/Archives/edgar/data/1622536/000162253626000036/tec-20260331ex42indentures.htm" TargetMode="External"/><Relationship Id="rId25" Type="http://schemas.openxmlformats.org/officeDocument/2006/relationships/hyperlink" Target="https://www.sec.gov/Archives/edgar/data/1622536/000162253626000036/tec-20260331ex42indentures.htm" TargetMode="External"/><Relationship Id="rId26" Type="http://schemas.openxmlformats.org/officeDocument/2006/relationships/hyperlink" Target="https://www.sec.gov/Archives/edgar/data/1622536/000162253626000036/tec-20260331ex42indentures.htm" TargetMode="External"/><Relationship Id="rId27" Type="http://schemas.openxmlformats.org/officeDocument/2006/relationships/hyperlink" Target="https://www.sec.gov/Archives/edgar/data/1622536/000162253626000036/tec-20260331ex42indentures.htm" TargetMode="External"/><Relationship Id="rId28" Type="http://schemas.openxmlformats.org/officeDocument/2006/relationships/hyperlink" Target="https://www.sec.gov/Archives/edgar/data/1622536/000162253626000036/tec-20260331ex42indentures.htm" TargetMode="External"/><Relationship Id="rId29" Type="http://schemas.openxmlformats.org/officeDocument/2006/relationships/hyperlink" Target="https://www.sec.gov/Archives/edgar/data/1622536/000162253626000036/tec-20260331ex42indentures.htm" TargetMode="External"/><Relationship Id="rId30" Type="http://schemas.openxmlformats.org/officeDocument/2006/relationships/hyperlink" Target="https://www.sec.gov/Archives/edgar/data/1622536/000162253626000036/tec-20260331ex42indentures.htm" TargetMode="External"/><Relationship Id="rId31" Type="http://schemas.openxmlformats.org/officeDocument/2006/relationships/hyperlink" Target="https://www.sec.gov/Archives/edgar/data/1622536/000162253626000036/tec-20260331ex42indentures.htm" TargetMode="External"/><Relationship Id="rId32" Type="http://schemas.openxmlformats.org/officeDocument/2006/relationships/hyperlink" Target="https://www.sec.gov/Archives/edgar/data/1622536/000162253626000036/tec-20260331ex42indentures.htm" TargetMode="External"/><Relationship Id="rId33" Type="http://schemas.openxmlformats.org/officeDocument/2006/relationships/hyperlink" Target="https://www.sec.gov/Archives/edgar/data/1622536/000162253626000036/tec-20260331ex44indentures.htm" TargetMode="External"/><Relationship Id="rId34" Type="http://schemas.openxmlformats.org/officeDocument/2006/relationships/hyperlink" Target="https://www.sec.gov/Archives/edgar/data/1622536/000162253626000036/tec-20260331ex44indentures.htm" TargetMode="External"/><Relationship Id="rId35" Type="http://schemas.openxmlformats.org/officeDocument/2006/relationships/hyperlink" Target="https://www.sec.gov/Archives/edgar/data/1622536/000162253626000036/tec-20260331ex44indentures.htm" TargetMode="External"/><Relationship Id="rId36" Type="http://schemas.openxmlformats.org/officeDocument/2006/relationships/hyperlink" Target="https://www.sec.gov/Archives/edgar/data/1622536/000162253626000036/tec-20260331ex44indentures.htm" TargetMode="External"/><Relationship Id="rId37" Type="http://schemas.openxmlformats.org/officeDocument/2006/relationships/hyperlink" Target="https://www.sec.gov/Archives/edgar/data/1622536/000162253626000036/tec-20260331ex44indentures.htm" TargetMode="External"/><Relationship Id="rId38" Type="http://schemas.openxmlformats.org/officeDocument/2006/relationships/hyperlink" Target="https://www.sec.gov/Archives/edgar/data/1622536/000162253626000036/tec-20260331ex44indentures.htm" TargetMode="External"/><Relationship Id="rId39" Type="http://schemas.openxmlformats.org/officeDocument/2006/relationships/hyperlink" Target="https://www.sec.gov/Archives/edgar/data/1622536/000162253626000036/tec-20260331ex44indentures.htm" TargetMode="External"/><Relationship Id="rId40" Type="http://schemas.openxmlformats.org/officeDocument/2006/relationships/hyperlink" Target="https://www.sec.gov/Archives/edgar/data/1622536/000162253626000036/tec-20260331ex44indentures.htm" TargetMode="External"/><Relationship Id="rId41" Type="http://schemas.openxmlformats.org/officeDocument/2006/relationships/hyperlink" Target="https://www.sec.gov/Archives/edgar/data/1622536/000162253626000036/tec-20260331ex44indentures.htm" TargetMode="External"/><Relationship Id="rId42" Type="http://schemas.openxmlformats.org/officeDocument/2006/relationships/hyperlink" Target="https://www.sec.gov/Archives/edgar/data/1622536/000162253626000036/tec-20260331ex44indentures.htm" TargetMode="External"/><Relationship Id="rId43" Type="http://schemas.openxmlformats.org/officeDocument/2006/relationships/hyperlink" Target="https://www.sec.gov/Archives/edgar/data/1622536/000162253626000036/tec-20260331ex44indentures.htm" TargetMode="External"/><Relationship Id="rId44" Type="http://schemas.openxmlformats.org/officeDocument/2006/relationships/hyperlink" Target="https://www.sec.gov/Archives/edgar/data/1622536/000162253626000036/tec-20260331ex44indentures.htm" TargetMode="External"/><Relationship Id="rId45" Type="http://schemas.openxmlformats.org/officeDocument/2006/relationships/hyperlink" Target="https://www.sec.gov/Archives/edgar/data/1622536/000162253626000036/tec-20260331ex44indentures.htm" TargetMode="External"/><Relationship Id="rId46" Type="http://schemas.openxmlformats.org/officeDocument/2006/relationships/hyperlink" Target="https://www.sec.gov/Archives/edgar/data/1622536/000162253626000036/tec-20260331ex44indentures.htm" TargetMode="External"/><Relationship Id="rId47" Type="http://schemas.openxmlformats.org/officeDocument/2006/relationships/hyperlink" Target="https://www.sec.gov/Archives/edgar/data/1622536/000162253626000036/tec-20260331ex44indentures.htm" TargetMode="External"/><Relationship Id="rId48" Type="http://schemas.openxmlformats.org/officeDocument/2006/relationships/hyperlink" Target="https://www.sec.gov/Archives/edgar/data/1622536/000162253626000036/tec-20260331ex44indentures.htm" TargetMode="External"/><Relationship Id="rId49" Type="http://schemas.openxmlformats.org/officeDocument/2006/relationships/hyperlink" Target="https://www.sec.gov/Archives/edgar/data/1622536/000162253626000036/tec-20260331ex44indentures.htm" TargetMode="External"/><Relationship Id="rId50" Type="http://schemas.openxmlformats.org/officeDocument/2006/relationships/hyperlink" Target="https://www.sec.gov/Archives/edgar/data/1622536/000162253626000036/tec-20260331ex44indentures.htm" TargetMode="External"/><Relationship Id="rId51" Type="http://schemas.openxmlformats.org/officeDocument/2006/relationships/hyperlink" Target="https://www.sec.gov/Archives/edgar/data/1622536/000162253626000042/ex101amendmentno6tocredita.htm" TargetMode="External"/><Relationship Id="rId52" Type="http://schemas.openxmlformats.org/officeDocument/2006/relationships/hyperlink" Target="https://www.sec.gov/Archives/edgar/data/1622536/000162253626000042/ex101amendmentno6tocredita.htm" TargetMode="External"/><Relationship Id="rId53" Type="http://schemas.openxmlformats.org/officeDocument/2006/relationships/hyperlink" Target="https://www.sec.gov/Archives/edgar/data/1622536/000162253626000042/ex101amendmentno6tocredita.htm" TargetMode="External"/><Relationship Id="rId54" Type="http://schemas.openxmlformats.org/officeDocument/2006/relationships/hyperlink" Target="https://www.sec.gov/Archives/edgar/data/1622536/000162253626000042/ex101amendmentno6tocredita.htm" TargetMode="External"/><Relationship Id="rId55" Type="http://schemas.openxmlformats.org/officeDocument/2006/relationships/hyperlink" Target="https://www.sec.gov/Archives/edgar/data/1622536/000162253626000042/ex101amendmentno6tocredita.htm" TargetMode="External"/><Relationship Id="rId56" Type="http://schemas.openxmlformats.org/officeDocument/2006/relationships/hyperlink" Target="https://www.sec.gov/Archives/edgar/data/1622536/000162253626000042/ex101amendmentno6tocredita.htm" TargetMode="External"/><Relationship Id="rId57" Type="http://schemas.openxmlformats.org/officeDocument/2006/relationships/hyperlink" Target="https://www.sec.gov/Archives/edgar/data/1622536/000162253626000042/ex101amendmentno6tocredita.htm" TargetMode="External"/><Relationship Id="rId58" Type="http://schemas.openxmlformats.org/officeDocument/2006/relationships/hyperlink" Target="https://www.sec.gov/Archives/edgar/data/1622536/000162253626000048/a20260615ex101creditagreem.htm" TargetMode="External"/><Relationship Id="rId59" Type="http://schemas.openxmlformats.org/officeDocument/2006/relationships/hyperlink" Target="https://www.sec.gov/Archives/edgar/data/1622536/000162253626000048/a20260615ex101creditagreem.htm" TargetMode="External"/><Relationship Id="rId60" Type="http://schemas.openxmlformats.org/officeDocument/2006/relationships/hyperlink" Target="https://www.sec.gov/Archives/edgar/data/1622536/000162253626000048/a20260615ex101creditagreem.htm" TargetMode="External"/><Relationship Id="rId61" Type="http://schemas.openxmlformats.org/officeDocument/2006/relationships/hyperlink" Target="https://www.sec.gov/Archives/edgar/data/1622536/000162253626000048/a20260615ex101creditagreem.htm" TargetMode="External"/><Relationship Id="rId62" Type="http://schemas.openxmlformats.org/officeDocument/2006/relationships/hyperlink" Target="https://www.sec.gov/Archives/edgar/data/1622536/000162253626000048/a20260615ex101creditagreem.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31507</Words>
  <Characters>175159</Characters>
  <CharactersWithSpaces>204947</CharactersWithSpaces>
  <Paragraphs>3930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