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SECURITIES AND EXCHANGE COMMISSION</w:t>
      </w:r>
    </w:p>
    <w:p>
      <w:pPr>
        <w:spacing w:after="0" w:line="63"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278130</wp:posOffset>
            </wp:positionV>
            <wp:extent cx="5023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277495</wp:posOffset>
            </wp:positionV>
            <wp:extent cx="5023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00" w:hanging="247"/>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0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For the quarterly period ended March 31, 2025</w:t>
      </w:r>
    </w:p>
    <w:p>
      <w:pPr>
        <w:spacing w:after="0" w:line="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OR</w:t>
      </w:r>
    </w:p>
    <w:p>
      <w:pPr>
        <w:spacing w:after="0" w:line="15" w:lineRule="exact"/>
        <w:rPr>
          <w:sz w:val="24"/>
          <w:szCs w:val="24"/>
          <w:color w:val="auto"/>
        </w:rPr>
      </w:pPr>
    </w:p>
    <w:p>
      <w:pPr>
        <w:ind w:left="320" w:right="3360" w:hanging="267"/>
        <w:spacing w:after="0" w:line="421" w:lineRule="auto"/>
        <w:tabs>
          <w:tab w:leader="none" w:pos="297"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jc w:val="center"/>
        <w:ind w:right="120"/>
        <w:spacing w:after="0"/>
        <w:rPr>
          <w:sz w:val="20"/>
          <w:szCs w:val="20"/>
          <w:color w:val="auto"/>
        </w:rPr>
      </w:pPr>
      <w:r>
        <w:rPr>
          <w:rFonts w:ascii="Arial" w:cs="Arial" w:eastAsia="Arial" w:hAnsi="Arial"/>
          <w:sz w:val="14"/>
          <w:szCs w:val="14"/>
          <w:b w:val="1"/>
          <w:bCs w:val="1"/>
          <w:color w:val="auto"/>
        </w:rPr>
        <w:t>Commission File Number: 001-37388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272415</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20"/>
        <w:spacing w:after="0"/>
        <w:rPr>
          <w:sz w:val="20"/>
          <w:szCs w:val="20"/>
          <w:color w:val="auto"/>
        </w:rPr>
      </w:pPr>
      <w:r>
        <w:rPr>
          <w:rFonts w:ascii="Arial" w:cs="Arial" w:eastAsia="Arial" w:hAnsi="Arial"/>
          <w:sz w:val="29"/>
          <w:szCs w:val="29"/>
          <w:b w:val="1"/>
          <w:bCs w:val="1"/>
          <w:color w:val="auto"/>
        </w:rPr>
        <w:t>Talen Energy Corporation</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271780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360" w:type="dxa"/>
        <w:tblCellMar>
          <w:top w:w="0" w:type="dxa"/>
          <w:left w:w="0" w:type="dxa"/>
          <w:bottom w:w="0" w:type="dxa"/>
          <w:right w:w="0" w:type="dxa"/>
        </w:tblCellMar>
      </w:tblPr>
      <w:tr>
        <w:trPr>
          <w:trHeight w:val="196"/>
        </w:trPr>
        <w:tc>
          <w:tcPr>
            <w:tcW w:w="4540" w:type="dxa"/>
            <w:vAlign w:val="bottom"/>
          </w:tcPr>
          <w:p>
            <w:pPr>
              <w:jc w:val="center"/>
              <w:ind w:right="1213"/>
              <w:spacing w:after="0"/>
              <w:rPr>
                <w:sz w:val="20"/>
                <w:szCs w:val="20"/>
                <w:color w:val="auto"/>
              </w:rPr>
            </w:pPr>
            <w:r>
              <w:rPr>
                <w:rFonts w:ascii="Arial" w:cs="Arial" w:eastAsia="Arial" w:hAnsi="Arial"/>
                <w:sz w:val="14"/>
                <w:szCs w:val="14"/>
                <w:b w:val="1"/>
                <w:bCs w:val="1"/>
                <w:color w:val="auto"/>
              </w:rPr>
              <w:t>Delaware</w:t>
            </w:r>
          </w:p>
        </w:tc>
        <w:tc>
          <w:tcPr>
            <w:tcW w:w="3120" w:type="dxa"/>
            <w:vAlign w:val="bottom"/>
          </w:tcPr>
          <w:p>
            <w:pPr>
              <w:jc w:val="right"/>
              <w:ind w:right="453"/>
              <w:spacing w:after="0"/>
              <w:rPr>
                <w:sz w:val="20"/>
                <w:szCs w:val="20"/>
                <w:color w:val="auto"/>
              </w:rPr>
            </w:pPr>
            <w:r>
              <w:rPr>
                <w:rFonts w:ascii="Arial" w:cs="Arial" w:eastAsia="Arial" w:hAnsi="Arial"/>
                <w:sz w:val="14"/>
                <w:szCs w:val="14"/>
                <w:b w:val="1"/>
                <w:bCs w:val="1"/>
                <w:color w:val="auto"/>
              </w:rPr>
              <w:t>47-1197305</w:t>
            </w:r>
          </w:p>
        </w:tc>
        <w:tc>
          <w:tcPr>
            <w:tcW w:w="0" w:type="dxa"/>
            <w:vAlign w:val="bottom"/>
          </w:tcPr>
          <w:p>
            <w:pPr>
              <w:spacing w:after="0"/>
              <w:rPr>
                <w:sz w:val="1"/>
                <w:szCs w:val="1"/>
                <w:color w:val="auto"/>
              </w:rPr>
            </w:pPr>
          </w:p>
        </w:tc>
      </w:tr>
      <w:tr>
        <w:trPr>
          <w:trHeight w:val="177"/>
        </w:trPr>
        <w:tc>
          <w:tcPr>
            <w:tcW w:w="4540" w:type="dxa"/>
            <w:vAlign w:val="bottom"/>
          </w:tcPr>
          <w:p>
            <w:pPr>
              <w:jc w:val="center"/>
              <w:ind w:right="1213"/>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3120" w:type="dxa"/>
            <w:vAlign w:val="bottom"/>
            <w:vMerge w:val="restart"/>
          </w:tcPr>
          <w:p>
            <w:pPr>
              <w:jc w:val="center"/>
              <w:ind w:left="1233"/>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2929 Allen Pkwy, Suite 2200, Houston, TX 77019</w:t>
      </w:r>
    </w:p>
    <w:p>
      <w:pPr>
        <w:jc w:val="center"/>
        <w:ind w:right="120"/>
        <w:spacing w:after="0"/>
        <w:rPr>
          <w:sz w:val="20"/>
          <w:szCs w:val="20"/>
          <w:color w:val="auto"/>
        </w:rPr>
      </w:pPr>
      <w:r>
        <w:rPr>
          <w:rFonts w:ascii="Arial" w:cs="Arial" w:eastAsia="Arial" w:hAnsi="Arial"/>
          <w:sz w:val="13"/>
          <w:szCs w:val="13"/>
          <w:color w:val="auto"/>
        </w:rPr>
        <w:t>(Address of principal executive offices) (Zip Code)</w:t>
      </w:r>
    </w:p>
    <w:p>
      <w:pPr>
        <w:spacing w:after="0" w:line="12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(888) 211-6011</w:t>
      </w:r>
    </w:p>
    <w:p>
      <w:pPr>
        <w:jc w:val="center"/>
        <w:ind w:right="120"/>
        <w:spacing w:after="0"/>
        <w:rPr>
          <w:sz w:val="20"/>
          <w:szCs w:val="20"/>
          <w:color w:val="auto"/>
        </w:rPr>
      </w:pPr>
      <w:r>
        <w:rPr>
          <w:rFonts w:ascii="Arial" w:cs="Arial" w:eastAsia="Arial" w:hAnsi="Arial"/>
          <w:sz w:val="13"/>
          <w:szCs w:val="13"/>
          <w:color w:val="auto"/>
        </w:rPr>
        <w:t>(Registrant’s telephone number, including area code)</w:t>
      </w:r>
    </w:p>
    <w:p>
      <w:pPr>
        <w:spacing w:after="0" w:line="12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Not applicable</w:t>
      </w:r>
    </w:p>
    <w:p>
      <w:pPr>
        <w:jc w:val="center"/>
        <w:ind w:right="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268605</wp:posOffset>
            </wp:positionV>
            <wp:extent cx="5023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93" w:lineRule="exact"/>
        <w:rPr>
          <w:sz w:val="24"/>
          <w:szCs w:val="24"/>
          <w:color w:val="auto"/>
        </w:rPr>
      </w:pPr>
    </w:p>
    <w:tbl>
      <w:tblPr>
        <w:tblLayout w:type="fixed"/>
        <w:tblInd w:w="80" w:type="dxa"/>
        <w:tblCellMar>
          <w:top w:w="0" w:type="dxa"/>
          <w:left w:w="0" w:type="dxa"/>
          <w:bottom w:w="0" w:type="dxa"/>
          <w:right w:w="0" w:type="dxa"/>
        </w:tblCellMar>
      </w:tblPr>
      <w:tr>
        <w:trPr>
          <w:trHeight w:val="197"/>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80" w:type="dxa"/>
            <w:vAlign w:val="bottom"/>
            <w:gridSpan w:val="2"/>
          </w:tcPr>
          <w:p>
            <w:pPr>
              <w:jc w:val="center"/>
              <w:ind w:right="160"/>
              <w:spacing w:after="0"/>
              <w:rPr>
                <w:sz w:val="20"/>
                <w:szCs w:val="20"/>
                <w:color w:val="auto"/>
              </w:rPr>
            </w:pPr>
            <w:r>
              <w:rPr>
                <w:rFonts w:ascii="Arial" w:cs="Arial" w:eastAsia="Arial" w:hAnsi="Arial"/>
                <w:sz w:val="14"/>
                <w:szCs w:val="14"/>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TLN</w:t>
            </w:r>
          </w:p>
        </w:tc>
        <w:tc>
          <w:tcPr>
            <w:tcW w:w="420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228"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4"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39" w:lineRule="exact"/>
        <w:rPr>
          <w:sz w:val="24"/>
          <w:szCs w:val="24"/>
          <w:color w:val="auto"/>
        </w:rPr>
      </w:pPr>
    </w:p>
    <w:p>
      <w:pPr>
        <w:ind w:left="20"/>
        <w:spacing w:after="0" w:line="161" w:lineRule="exact"/>
        <w:tabs>
          <w:tab w:leader="none" w:pos="2140" w:val="left"/>
          <w:tab w:leader="none" w:pos="3860" w:val="left"/>
          <w:tab w:leader="none" w:pos="5840" w:val="left"/>
          <w:tab w:leader="none" w:pos="8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p>
    <w:p>
      <w:pPr>
        <w:spacing w:after="0" w:line="248" w:lineRule="exact"/>
        <w:rPr>
          <w:sz w:val="24"/>
          <w:szCs w:val="24"/>
          <w:color w:val="auto"/>
        </w:rPr>
      </w:pPr>
    </w:p>
    <w:p>
      <w:pPr>
        <w:ind w:right="660"/>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5" w:lineRule="exact"/>
        <w:rPr>
          <w:sz w:val="24"/>
          <w:szCs w:val="24"/>
          <w:color w:val="auto"/>
        </w:rPr>
      </w:pPr>
    </w:p>
    <w:p>
      <w:pPr>
        <w:ind w:right="34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As of May 8, 2025, the registrant had 45,509,780 shares outstanding of common stock, par value $0.001 per share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585470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440"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4"/>
          </w:tcPr>
          <w:p>
            <w:pPr>
              <w:ind w:left="1060"/>
              <w:spacing w:after="0"/>
              <w:rPr>
                <w:sz w:val="20"/>
                <w:szCs w:val="20"/>
                <w:color w:val="auto"/>
              </w:rPr>
            </w:pPr>
            <w:r>
              <w:rPr>
                <w:rFonts w:ascii="Arial" w:cs="Arial" w:eastAsia="Arial" w:hAnsi="Arial"/>
                <w:sz w:val="14"/>
                <w:szCs w:val="14"/>
                <w:color w:val="auto"/>
              </w:rPr>
              <w:t>Page</w:t>
            </w:r>
          </w:p>
        </w:tc>
      </w:tr>
      <w:tr>
        <w:trPr>
          <w:trHeight w:val="159"/>
        </w:trPr>
        <w:tc>
          <w:tcPr>
            <w:tcW w:w="260" w:type="dxa"/>
            <w:vAlign w:val="bottom"/>
          </w:tcPr>
          <w:p>
            <w:pPr>
              <w:spacing w:after="0"/>
              <w:rPr>
                <w:sz w:val="13"/>
                <w:szCs w:val="13"/>
                <w:color w:val="auto"/>
              </w:rPr>
            </w:pPr>
          </w:p>
        </w:tc>
        <w:tc>
          <w:tcPr>
            <w:tcW w:w="4800" w:type="dxa"/>
            <w:vAlign w:val="bottom"/>
            <w:tcBorders>
              <w:top w:val="single" w:sz="8" w:color="auto"/>
            </w:tcBorders>
            <w:gridSpan w:val="30"/>
          </w:tcPr>
          <w:p>
            <w:pPr>
              <w:spacing w:after="0" w:line="159" w:lineRule="exact"/>
              <w:rPr>
                <w:sz w:val="20"/>
                <w:szCs w:val="20"/>
                <w:color w:val="auto"/>
              </w:rPr>
            </w:pPr>
            <w:r>
              <w:rPr>
                <w:rFonts w:ascii="Arial" w:cs="Arial" w:eastAsia="Arial" w:hAnsi="Arial"/>
                <w:sz w:val="14"/>
                <w:szCs w:val="14"/>
                <w:color w:val="0000FF"/>
              </w:rPr>
              <w:t>CAUTIONARY NOTE REGARDING FORWARD-LOOKING INFORMATION</w:t>
            </w:r>
          </w:p>
        </w:tc>
        <w:tc>
          <w:tcPr>
            <w:tcW w:w="4340" w:type="dxa"/>
            <w:vAlign w:val="bottom"/>
            <w:tcBorders>
              <w:top w:val="single" w:sz="8" w:color="auto"/>
            </w:tcBorders>
            <w:gridSpan w:val="4"/>
          </w:tcPr>
          <w:p>
            <w:pPr>
              <w:spacing w:after="0"/>
              <w:rPr>
                <w:sz w:val="13"/>
                <w:szCs w:val="13"/>
                <w:color w:val="auto"/>
              </w:rPr>
            </w:pPr>
          </w:p>
        </w:tc>
        <w:tc>
          <w:tcPr>
            <w:tcW w:w="1260" w:type="dxa"/>
            <w:vAlign w:val="bottom"/>
            <w:tcBorders>
              <w:top w:val="single" w:sz="8" w:color="auto"/>
            </w:tcBorders>
            <w:gridSpan w:val="2"/>
          </w:tcPr>
          <w:p>
            <w:pPr>
              <w:jc w:val="center"/>
              <w:ind w:left="1108"/>
              <w:spacing w:after="0" w:line="159" w:lineRule="exact"/>
              <w:rPr>
                <w:sz w:val="20"/>
                <w:szCs w:val="20"/>
                <w:color w:val="auto"/>
              </w:rPr>
            </w:pPr>
            <w:r>
              <w:rPr>
                <w:rFonts w:ascii="Arial" w:cs="Arial" w:eastAsia="Arial" w:hAnsi="Arial"/>
                <w:sz w:val="14"/>
                <w:szCs w:val="14"/>
                <w:color w:val="0000FF"/>
              </w:rPr>
              <w:t>1</w:t>
            </w:r>
          </w:p>
        </w:tc>
        <w:tc>
          <w:tcPr>
            <w:tcW w:w="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4800" w:type="dxa"/>
            <w:vAlign w:val="bottom"/>
            <w:gridSpan w:val="30"/>
          </w:tcPr>
          <w:p>
            <w:pPr>
              <w:spacing w:after="0"/>
              <w:rPr>
                <w:sz w:val="20"/>
                <w:szCs w:val="20"/>
                <w:color w:val="auto"/>
              </w:rPr>
            </w:pPr>
            <w:r>
              <w:rPr>
                <w:rFonts w:ascii="Arial" w:cs="Arial" w:eastAsia="Arial" w:hAnsi="Arial"/>
                <w:sz w:val="14"/>
                <w:szCs w:val="14"/>
                <w:color w:val="0000FF"/>
              </w:rPr>
              <w:t>MARKET AND INDUSTRY DATA</w:t>
            </w:r>
          </w:p>
        </w:tc>
        <w:tc>
          <w:tcPr>
            <w:tcW w:w="4340" w:type="dxa"/>
            <w:vAlign w:val="bottom"/>
            <w:gridSpan w:val="4"/>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4"/>
          </w:tcPr>
          <w:p>
            <w:pPr>
              <w:spacing w:after="0"/>
              <w:rPr>
                <w:sz w:val="20"/>
                <w:szCs w:val="20"/>
                <w:color w:val="auto"/>
              </w:rPr>
            </w:pPr>
            <w:r>
              <w:rPr>
                <w:rFonts w:ascii="Arial" w:cs="Arial" w:eastAsia="Arial" w:hAnsi="Arial"/>
                <w:sz w:val="14"/>
                <w:szCs w:val="14"/>
                <w:color w:val="0000FF"/>
              </w:rPr>
              <w:t>PART I. FINANCIAL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3"/>
          </w:tcPr>
          <w:p>
            <w:pPr>
              <w:spacing w:after="0"/>
              <w:rPr>
                <w:sz w:val="20"/>
                <w:szCs w:val="20"/>
                <w:color w:val="auto"/>
              </w:rPr>
            </w:pPr>
            <w:r>
              <w:rPr>
                <w:rFonts w:ascii="Arial" w:cs="Arial" w:eastAsia="Arial" w:hAnsi="Arial"/>
                <w:sz w:val="14"/>
                <w:szCs w:val="14"/>
                <w:color w:val="0000FF"/>
              </w:rPr>
              <w:t>ITEM 1. FINANCIAL STATEMENTS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Condensed Consolidated Statements of Operations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Condensed Consolidated Statements of Comprehensive Income (Loss)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30"/>
          </w:tcPr>
          <w:p>
            <w:pPr>
              <w:spacing w:after="0"/>
              <w:rPr>
                <w:sz w:val="20"/>
                <w:szCs w:val="20"/>
                <w:color w:val="auto"/>
              </w:rPr>
            </w:pPr>
            <w:r>
              <w:rPr>
                <w:rFonts w:ascii="Arial" w:cs="Arial" w:eastAsia="Arial" w:hAnsi="Arial"/>
                <w:sz w:val="14"/>
                <w:szCs w:val="14"/>
                <w:color w:val="0000FF"/>
              </w:rPr>
              <w:t>Condensed Consolidated Balance Sheets (Unaudited)</w:t>
            </w:r>
          </w:p>
        </w:tc>
        <w:tc>
          <w:tcPr>
            <w:tcW w:w="3380" w:type="dxa"/>
            <w:vAlign w:val="bottom"/>
            <w:gridSpan w:val="2"/>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4</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6"/>
          </w:tcPr>
          <w:p>
            <w:pPr>
              <w:spacing w:after="0"/>
              <w:rPr>
                <w:sz w:val="20"/>
                <w:szCs w:val="20"/>
                <w:color w:val="auto"/>
              </w:rPr>
            </w:pPr>
            <w:r>
              <w:rPr>
                <w:rFonts w:ascii="Arial" w:cs="Arial" w:eastAsia="Arial" w:hAnsi="Arial"/>
                <w:sz w:val="14"/>
                <w:szCs w:val="14"/>
                <w:color w:val="0000FF"/>
              </w:rPr>
              <w:t>Condensed Consolidated Statements of Cash Flows (Unaudited)</w:t>
            </w:r>
          </w:p>
        </w:tc>
        <w:tc>
          <w:tcPr>
            <w:tcW w:w="4600" w:type="dxa"/>
            <w:vAlign w:val="bottom"/>
            <w:gridSpan w:val="6"/>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6"/>
          </w:tcPr>
          <w:p>
            <w:pPr>
              <w:spacing w:after="0"/>
              <w:rPr>
                <w:sz w:val="20"/>
                <w:szCs w:val="20"/>
                <w:color w:val="auto"/>
              </w:rPr>
            </w:pPr>
            <w:r>
              <w:rPr>
                <w:rFonts w:ascii="Arial" w:cs="Arial" w:eastAsia="Arial" w:hAnsi="Arial"/>
                <w:sz w:val="14"/>
                <w:szCs w:val="14"/>
                <w:color w:val="0000FF"/>
              </w:rPr>
              <w:t>Condensed Consolidated Statements of Equity (Unaudited)</w:t>
            </w:r>
          </w:p>
        </w:tc>
        <w:tc>
          <w:tcPr>
            <w:tcW w:w="4600" w:type="dxa"/>
            <w:vAlign w:val="bottom"/>
            <w:gridSpan w:val="6"/>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24"/>
          </w:tcPr>
          <w:p>
            <w:pPr>
              <w:spacing w:after="0"/>
              <w:rPr>
                <w:sz w:val="20"/>
                <w:szCs w:val="20"/>
                <w:color w:val="auto"/>
              </w:rPr>
            </w:pPr>
            <w:r>
              <w:rPr>
                <w:rFonts w:ascii="Arial" w:cs="Arial" w:eastAsia="Arial" w:hAnsi="Arial"/>
                <w:sz w:val="14"/>
                <w:szCs w:val="14"/>
                <w:color w:val="0000FF"/>
              </w:rPr>
              <w:t>Notes to the Interim Financial Statements (Unaudited)</w:t>
            </w:r>
          </w:p>
        </w:tc>
        <w:tc>
          <w:tcPr>
            <w:tcW w:w="320" w:type="dxa"/>
            <w:vAlign w:val="bottom"/>
            <w:tcBorders>
              <w:top w:val="single" w:sz="8" w:color="0000FF"/>
            </w:tcBorders>
          </w:tcPr>
          <w:p>
            <w:pPr>
              <w:spacing w:after="0"/>
              <w:rPr>
                <w:sz w:val="15"/>
                <w:szCs w:val="15"/>
                <w:color w:val="auto"/>
              </w:rPr>
            </w:pPr>
          </w:p>
        </w:tc>
        <w:tc>
          <w:tcPr>
            <w:tcW w:w="4900" w:type="dxa"/>
            <w:vAlign w:val="bottom"/>
            <w:gridSpan w:val="7"/>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1. Organization and Operations</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7</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gridSpan w:val="29"/>
          </w:tcPr>
          <w:p>
            <w:pPr>
              <w:spacing w:after="0"/>
              <w:rPr>
                <w:sz w:val="20"/>
                <w:szCs w:val="20"/>
                <w:color w:val="auto"/>
              </w:rPr>
            </w:pPr>
            <w:r>
              <w:rPr>
                <w:rFonts w:ascii="Arial" w:cs="Arial" w:eastAsia="Arial" w:hAnsi="Arial"/>
                <w:sz w:val="14"/>
                <w:szCs w:val="14"/>
                <w:color w:val="0000FF"/>
              </w:rPr>
              <w:t>2. Basis of Presentation and Summary of Significant Accounting Policies</w:t>
            </w:r>
          </w:p>
        </w:tc>
        <w:tc>
          <w:tcPr>
            <w:tcW w:w="410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7</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gridSpan w:val="29"/>
          </w:tcPr>
          <w:p>
            <w:pPr>
              <w:spacing w:after="0"/>
              <w:rPr>
                <w:sz w:val="20"/>
                <w:szCs w:val="20"/>
                <w:color w:val="auto"/>
              </w:rPr>
            </w:pPr>
            <w:r>
              <w:rPr>
                <w:rFonts w:ascii="Arial" w:cs="Arial" w:eastAsia="Arial" w:hAnsi="Arial"/>
                <w:sz w:val="14"/>
                <w:szCs w:val="14"/>
                <w:color w:val="0000FF"/>
              </w:rPr>
              <w:t>3. Risk Management, Derivative Instruments and Hedging Activities</w:t>
            </w:r>
          </w:p>
        </w:tc>
        <w:tc>
          <w:tcPr>
            <w:tcW w:w="410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7</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27"/>
          </w:tcPr>
          <w:p>
            <w:pPr>
              <w:spacing w:after="0"/>
              <w:rPr>
                <w:sz w:val="20"/>
                <w:szCs w:val="20"/>
                <w:color w:val="auto"/>
              </w:rPr>
            </w:pPr>
            <w:r>
              <w:rPr>
                <w:rFonts w:ascii="Arial" w:cs="Arial" w:eastAsia="Arial" w:hAnsi="Arial"/>
                <w:sz w:val="14"/>
                <w:szCs w:val="14"/>
                <w:color w:val="0000FF"/>
              </w:rPr>
              <w:t>4. Revenue</w:t>
            </w:r>
          </w:p>
        </w:tc>
        <w:tc>
          <w:tcPr>
            <w:tcW w:w="4440" w:type="dxa"/>
            <w:vAlign w:val="bottom"/>
            <w:gridSpan w:val="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7"/>
          </w:tcPr>
          <w:p>
            <w:pPr>
              <w:spacing w:after="0"/>
              <w:rPr>
                <w:sz w:val="20"/>
                <w:szCs w:val="20"/>
                <w:color w:val="auto"/>
              </w:rPr>
            </w:pPr>
            <w:r>
              <w:rPr>
                <w:rFonts w:ascii="Arial" w:cs="Arial" w:eastAsia="Arial" w:hAnsi="Arial"/>
                <w:sz w:val="14"/>
                <w:szCs w:val="14"/>
                <w:color w:val="0000FF"/>
              </w:rPr>
              <w:t>5. Income Taxes</w:t>
            </w:r>
          </w:p>
        </w:tc>
        <w:tc>
          <w:tcPr>
            <w:tcW w:w="7620" w:type="dxa"/>
            <w:vAlign w:val="bottom"/>
            <w:gridSpan w:val="2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11</w:t>
            </w: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4"/>
                <w:szCs w:val="14"/>
                <w:color w:val="0000FF"/>
              </w:rPr>
              <w:t>6. Inventory</w:t>
            </w:r>
          </w:p>
        </w:tc>
        <w:tc>
          <w:tcPr>
            <w:tcW w:w="300" w:type="dxa"/>
            <w:vAlign w:val="bottom"/>
            <w:tcBorders>
              <w:top w:val="single" w:sz="8" w:color="0000FF"/>
            </w:tcBorders>
            <w:gridSpan w:val="3"/>
          </w:tcPr>
          <w:p>
            <w:pPr>
              <w:spacing w:after="0"/>
              <w:rPr>
                <w:sz w:val="15"/>
                <w:szCs w:val="15"/>
                <w:color w:val="auto"/>
              </w:rPr>
            </w:pPr>
          </w:p>
        </w:tc>
        <w:tc>
          <w:tcPr>
            <w:tcW w:w="7620" w:type="dxa"/>
            <w:vAlign w:val="bottom"/>
            <w:gridSpan w:val="25"/>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4"/>
                <w:szCs w:val="14"/>
                <w:color w:val="0000FF"/>
                <w:w w:val="76"/>
              </w:rPr>
              <w:t>11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7. Nuclear Decommissioning Trust Funds</w:t>
            </w:r>
          </w:p>
        </w:tc>
        <w:tc>
          <w:tcPr>
            <w:tcW w:w="1260" w:type="dxa"/>
            <w:vAlign w:val="bottom"/>
            <w:gridSpan w:val="2"/>
          </w:tcPr>
          <w:p>
            <w:pPr>
              <w:jc w:val="center"/>
              <w:ind w:left="1028"/>
              <w:spacing w:after="0"/>
              <w:rPr>
                <w:sz w:val="20"/>
                <w:szCs w:val="20"/>
                <w:color w:val="auto"/>
              </w:rPr>
            </w:pPr>
            <w:r>
              <w:rPr>
                <w:rFonts w:ascii="Arial" w:cs="Arial" w:eastAsia="Arial" w:hAnsi="Arial"/>
                <w:sz w:val="14"/>
                <w:szCs w:val="14"/>
                <w:color w:val="0000FF"/>
              </w:rPr>
              <w:t>11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16"/>
          </w:tcPr>
          <w:p>
            <w:pPr>
              <w:spacing w:after="0"/>
              <w:rPr>
                <w:sz w:val="20"/>
                <w:szCs w:val="20"/>
                <w:color w:val="auto"/>
              </w:rPr>
            </w:pPr>
            <w:r>
              <w:rPr>
                <w:rFonts w:ascii="Arial" w:cs="Arial" w:eastAsia="Arial" w:hAnsi="Arial"/>
                <w:sz w:val="14"/>
                <w:szCs w:val="14"/>
                <w:color w:val="0000FF"/>
              </w:rPr>
              <w:t>8. Property, Plant and Equipment</w:t>
            </w:r>
          </w:p>
        </w:tc>
        <w:tc>
          <w:tcPr>
            <w:tcW w:w="520" w:type="dxa"/>
            <w:vAlign w:val="bottom"/>
            <w:gridSpan w:val="4"/>
          </w:tcPr>
          <w:p>
            <w:pPr>
              <w:spacing w:after="0"/>
              <w:rPr>
                <w:sz w:val="15"/>
                <w:szCs w:val="15"/>
                <w:color w:val="auto"/>
              </w:rPr>
            </w:pPr>
          </w:p>
        </w:tc>
        <w:tc>
          <w:tcPr>
            <w:tcW w:w="6040" w:type="dxa"/>
            <w:vAlign w:val="bottom"/>
            <w:gridSpan w:val="1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9. Asset Retirement Obligations and Accrued Environmental Costs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27"/>
          </w:tcPr>
          <w:p>
            <w:pPr>
              <w:spacing w:after="0"/>
              <w:rPr>
                <w:sz w:val="20"/>
                <w:szCs w:val="20"/>
                <w:color w:val="auto"/>
              </w:rPr>
            </w:pPr>
            <w:r>
              <w:rPr>
                <w:rFonts w:ascii="Arial" w:cs="Arial" w:eastAsia="Arial" w:hAnsi="Arial"/>
                <w:sz w:val="14"/>
                <w:szCs w:val="14"/>
                <w:color w:val="0000FF"/>
              </w:rPr>
              <w:t>10. Commitments and Contingencies</w:t>
            </w:r>
          </w:p>
        </w:tc>
        <w:tc>
          <w:tcPr>
            <w:tcW w:w="4440" w:type="dxa"/>
            <w:vAlign w:val="bottom"/>
            <w:gridSpan w:val="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22"/>
          </w:tcPr>
          <w:p>
            <w:pPr>
              <w:spacing w:after="0"/>
              <w:rPr>
                <w:sz w:val="20"/>
                <w:szCs w:val="20"/>
                <w:color w:val="auto"/>
              </w:rPr>
            </w:pPr>
            <w:r>
              <w:rPr>
                <w:rFonts w:ascii="Arial" w:cs="Arial" w:eastAsia="Arial" w:hAnsi="Arial"/>
                <w:sz w:val="14"/>
                <w:szCs w:val="14"/>
                <w:color w:val="0000FF"/>
              </w:rPr>
              <w:t>11. Long-Term Debt and Other Credit Facilities</w:t>
            </w:r>
          </w:p>
        </w:tc>
        <w:tc>
          <w:tcPr>
            <w:tcW w:w="5700" w:type="dxa"/>
            <w:vAlign w:val="bottom"/>
            <w:gridSpan w:val="1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0000FF"/>
              </w:rPr>
              <w:t>12. Fair Value</w:t>
            </w:r>
          </w:p>
        </w:tc>
        <w:tc>
          <w:tcPr>
            <w:tcW w:w="2080" w:type="dxa"/>
            <w:vAlign w:val="bottom"/>
            <w:gridSpan w:val="17"/>
          </w:tcPr>
          <w:p>
            <w:pPr>
              <w:spacing w:after="0"/>
              <w:rPr>
                <w:sz w:val="15"/>
                <w:szCs w:val="15"/>
                <w:color w:val="auto"/>
              </w:rPr>
            </w:pPr>
          </w:p>
        </w:tc>
        <w:tc>
          <w:tcPr>
            <w:tcW w:w="5700" w:type="dxa"/>
            <w:vAlign w:val="bottom"/>
            <w:gridSpan w:val="1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18"/>
          </w:tcPr>
          <w:p>
            <w:pPr>
              <w:spacing w:after="0"/>
              <w:rPr>
                <w:sz w:val="20"/>
                <w:szCs w:val="20"/>
                <w:color w:val="auto"/>
              </w:rPr>
            </w:pPr>
            <w:r>
              <w:rPr>
                <w:rFonts w:ascii="Arial" w:cs="Arial" w:eastAsia="Arial" w:hAnsi="Arial"/>
                <w:sz w:val="14"/>
                <w:szCs w:val="14"/>
                <w:color w:val="0000FF"/>
                <w:w w:val="99"/>
              </w:rPr>
              <w:t>13. Postretirement Benefit Obligations</w:t>
            </w: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5"/>
          </w:tcPr>
          <w:p>
            <w:pPr>
              <w:spacing w:after="0"/>
              <w:rPr>
                <w:sz w:val="20"/>
                <w:szCs w:val="20"/>
                <w:color w:val="auto"/>
              </w:rPr>
            </w:pPr>
            <w:r>
              <w:rPr>
                <w:rFonts w:ascii="Arial" w:cs="Arial" w:eastAsia="Arial" w:hAnsi="Arial"/>
                <w:sz w:val="14"/>
                <w:szCs w:val="14"/>
                <w:color w:val="0000FF"/>
              </w:rPr>
              <w:t>14. Stock-Based Compensation</w:t>
            </w:r>
          </w:p>
        </w:tc>
        <w:tc>
          <w:tcPr>
            <w:tcW w:w="340" w:type="dxa"/>
            <w:vAlign w:val="bottom"/>
            <w:gridSpan w:val="3"/>
          </w:tcPr>
          <w:p>
            <w:pPr>
              <w:spacing w:after="0"/>
              <w:rPr>
                <w:sz w:val="15"/>
                <w:szCs w:val="15"/>
                <w:color w:val="auto"/>
              </w:rPr>
            </w:pP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10"/>
          </w:tcPr>
          <w:p>
            <w:pPr>
              <w:spacing w:after="0"/>
              <w:rPr>
                <w:sz w:val="20"/>
                <w:szCs w:val="20"/>
                <w:color w:val="auto"/>
              </w:rPr>
            </w:pPr>
            <w:r>
              <w:rPr>
                <w:rFonts w:ascii="Arial" w:cs="Arial" w:eastAsia="Arial" w:hAnsi="Arial"/>
                <w:sz w:val="14"/>
                <w:szCs w:val="14"/>
                <w:color w:val="0000FF"/>
              </w:rPr>
              <w:t>15. Earnings Per Share</w:t>
            </w:r>
          </w:p>
        </w:tc>
        <w:tc>
          <w:tcPr>
            <w:tcW w:w="540" w:type="dxa"/>
            <w:vAlign w:val="bottom"/>
            <w:gridSpan w:val="5"/>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16. Stockholders' Equity</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17. Supplemental Cash Flow Information</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19"/>
          </w:tcPr>
          <w:p>
            <w:pPr>
              <w:spacing w:after="0"/>
              <w:rPr>
                <w:sz w:val="20"/>
                <w:szCs w:val="20"/>
                <w:color w:val="auto"/>
              </w:rPr>
            </w:pPr>
            <w:r>
              <w:rPr>
                <w:rFonts w:ascii="Arial" w:cs="Arial" w:eastAsia="Arial" w:hAnsi="Arial"/>
                <w:sz w:val="14"/>
                <w:szCs w:val="14"/>
                <w:color w:val="0000FF"/>
              </w:rPr>
              <w:t>18. Acquisitions and Divestitures</w:t>
            </w:r>
          </w:p>
        </w:tc>
        <w:tc>
          <w:tcPr>
            <w:tcW w:w="6140" w:type="dxa"/>
            <w:vAlign w:val="bottom"/>
            <w:gridSpan w:val="1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0000FF"/>
              </w:rPr>
              <w:t>19. Segments</w:t>
            </w:r>
          </w:p>
        </w:tc>
        <w:tc>
          <w:tcPr>
            <w:tcW w:w="1140" w:type="dxa"/>
            <w:vAlign w:val="bottom"/>
            <w:gridSpan w:val="10"/>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3"/>
          </w:tcPr>
          <w:p>
            <w:pPr>
              <w:spacing w:after="0"/>
              <w:rPr>
                <w:sz w:val="20"/>
                <w:szCs w:val="20"/>
                <w:color w:val="auto"/>
              </w:rPr>
            </w:pPr>
            <w:r>
              <w:rPr>
                <w:rFonts w:ascii="Arial" w:cs="Arial" w:eastAsia="Arial" w:hAnsi="Arial"/>
                <w:sz w:val="14"/>
                <w:szCs w:val="14"/>
                <w:color w:val="0000FF"/>
              </w:rPr>
              <w:t>ITEM 2. MANAGEMENT’S DISCUSSION AND ANALYSIS OF FINANCIAL CONDITION AND RESULTS OF OPERATIONS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40" w:type="dxa"/>
            <w:vAlign w:val="bottom"/>
            <w:tcBorders>
              <w:top w:val="single" w:sz="8" w:color="0000FF"/>
            </w:tcBorders>
            <w:gridSpan w:val="31"/>
          </w:tcPr>
          <w:p>
            <w:pPr>
              <w:spacing w:after="0"/>
              <w:rPr>
                <w:sz w:val="20"/>
                <w:szCs w:val="20"/>
                <w:color w:val="auto"/>
              </w:rPr>
            </w:pPr>
            <w:r>
              <w:rPr>
                <w:rFonts w:ascii="Arial" w:cs="Arial" w:eastAsia="Arial" w:hAnsi="Arial"/>
                <w:sz w:val="14"/>
                <w:szCs w:val="14"/>
                <w:color w:val="0000FF"/>
              </w:rPr>
              <w:t>Overview</w:t>
            </w:r>
          </w:p>
        </w:tc>
        <w:tc>
          <w:tcPr>
            <w:tcW w:w="1040" w:type="dxa"/>
            <w:vAlign w:val="bottom"/>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27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Recent Development</w:t>
            </w:r>
            <w:r>
              <w:rPr>
                <w:rFonts w:ascii="Arial" w:cs="Arial" w:eastAsia="Arial" w:hAnsi="Arial"/>
                <w:sz w:val="14"/>
                <w:szCs w:val="14"/>
                <w:color w:val="0E32E1"/>
              </w:rPr>
              <w:t>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27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28"/>
          </w:tcPr>
          <w:p>
            <w:pPr>
              <w:spacing w:after="0"/>
              <w:rPr>
                <w:sz w:val="20"/>
                <w:szCs w:val="20"/>
                <w:color w:val="auto"/>
              </w:rPr>
            </w:pPr>
            <w:r>
              <w:rPr>
                <w:rFonts w:ascii="Arial" w:cs="Arial" w:eastAsia="Arial" w:hAnsi="Arial"/>
                <w:sz w:val="14"/>
                <w:szCs w:val="14"/>
                <w:color w:val="0000FF"/>
              </w:rPr>
              <w:t>Factors Affecting Our Financial Condition and Results of Operations</w:t>
            </w:r>
          </w:p>
        </w:tc>
        <w:tc>
          <w:tcPr>
            <w:tcW w:w="4340" w:type="dxa"/>
            <w:vAlign w:val="bottom"/>
            <w:gridSpan w:val="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27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9"/>
          </w:tcPr>
          <w:p>
            <w:pPr>
              <w:spacing w:after="0"/>
              <w:rPr>
                <w:sz w:val="20"/>
                <w:szCs w:val="20"/>
                <w:color w:val="auto"/>
              </w:rPr>
            </w:pPr>
            <w:r>
              <w:rPr>
                <w:rFonts w:ascii="Arial" w:cs="Arial" w:eastAsia="Arial" w:hAnsi="Arial"/>
                <w:sz w:val="14"/>
                <w:szCs w:val="14"/>
                <w:color w:val="0000FF"/>
              </w:rPr>
              <w:t>Results of Operations</w:t>
            </w:r>
          </w:p>
        </w:tc>
        <w:tc>
          <w:tcPr>
            <w:tcW w:w="2940" w:type="dxa"/>
            <w:vAlign w:val="bottom"/>
            <w:gridSpan w:val="19"/>
          </w:tcPr>
          <w:p>
            <w:pPr>
              <w:spacing w:after="0"/>
              <w:rPr>
                <w:sz w:val="15"/>
                <w:szCs w:val="15"/>
                <w:color w:val="auto"/>
              </w:rPr>
            </w:pPr>
          </w:p>
        </w:tc>
        <w:tc>
          <w:tcPr>
            <w:tcW w:w="4340" w:type="dxa"/>
            <w:vAlign w:val="bottom"/>
            <w:gridSpan w:val="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5"/>
          </w:tcPr>
          <w:p>
            <w:pPr>
              <w:spacing w:after="0"/>
              <w:rPr>
                <w:sz w:val="20"/>
                <w:szCs w:val="20"/>
                <w:color w:val="auto"/>
              </w:rPr>
            </w:pPr>
            <w:r>
              <w:rPr>
                <w:rFonts w:ascii="Arial" w:cs="Arial" w:eastAsia="Arial" w:hAnsi="Arial"/>
                <w:sz w:val="14"/>
                <w:szCs w:val="14"/>
                <w:color w:val="0000FF"/>
              </w:rPr>
              <w:t>Liquidity and Capital Resources</w:t>
            </w: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8"/>
          </w:tcPr>
          <w:p>
            <w:pPr>
              <w:spacing w:after="0"/>
              <w:rPr>
                <w:sz w:val="20"/>
                <w:szCs w:val="20"/>
                <w:color w:val="auto"/>
              </w:rPr>
            </w:pPr>
            <w:r>
              <w:rPr>
                <w:rFonts w:ascii="Arial" w:cs="Arial" w:eastAsia="Arial" w:hAnsi="Arial"/>
                <w:sz w:val="14"/>
                <w:szCs w:val="14"/>
                <w:color w:val="0000FF"/>
              </w:rPr>
              <w:t>Cash Flow Activities</w:t>
            </w:r>
          </w:p>
        </w:tc>
        <w:tc>
          <w:tcPr>
            <w:tcW w:w="740" w:type="dxa"/>
            <w:vAlign w:val="bottom"/>
            <w:gridSpan w:val="7"/>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21"/>
          </w:tcPr>
          <w:p>
            <w:pPr>
              <w:spacing w:after="0"/>
              <w:rPr>
                <w:sz w:val="20"/>
                <w:szCs w:val="20"/>
                <w:color w:val="auto"/>
              </w:rPr>
            </w:pPr>
            <w:r>
              <w:rPr>
                <w:rFonts w:ascii="Arial" w:cs="Arial" w:eastAsia="Arial" w:hAnsi="Arial"/>
                <w:sz w:val="14"/>
                <w:szCs w:val="14"/>
                <w:color w:val="0000FF"/>
                <w:w w:val="99"/>
              </w:rPr>
              <w:t>Contractual Obligations and Commitments</w:t>
            </w: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13"/>
          </w:tcPr>
          <w:p>
            <w:pPr>
              <w:spacing w:after="0"/>
              <w:rPr>
                <w:sz w:val="20"/>
                <w:szCs w:val="20"/>
                <w:color w:val="auto"/>
              </w:rPr>
            </w:pPr>
            <w:r>
              <w:rPr>
                <w:rFonts w:ascii="Arial" w:cs="Arial" w:eastAsia="Arial" w:hAnsi="Arial"/>
                <w:sz w:val="14"/>
                <w:szCs w:val="14"/>
                <w:color w:val="0000FF"/>
                <w:w w:val="98"/>
              </w:rPr>
              <w:t>Non-GAAP Financial Measure</w:t>
            </w:r>
          </w:p>
        </w:tc>
        <w:tc>
          <w:tcPr>
            <w:tcW w:w="780" w:type="dxa"/>
            <w:vAlign w:val="bottom"/>
            <w:gridSpan w:val="8"/>
          </w:tcPr>
          <w:p>
            <w:pPr>
              <w:spacing w:after="0"/>
              <w:rPr>
                <w:sz w:val="15"/>
                <w:szCs w:val="15"/>
                <w:color w:val="auto"/>
              </w:rPr>
            </w:pP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2"/>
          </w:tcPr>
          <w:p>
            <w:pPr>
              <w:spacing w:after="0"/>
              <w:rPr>
                <w:sz w:val="20"/>
                <w:szCs w:val="20"/>
                <w:color w:val="auto"/>
              </w:rPr>
            </w:pPr>
            <w:r>
              <w:rPr>
                <w:rFonts w:ascii="Arial" w:cs="Arial" w:eastAsia="Arial" w:hAnsi="Arial"/>
                <w:sz w:val="14"/>
                <w:szCs w:val="14"/>
                <w:color w:val="0000FF"/>
              </w:rPr>
              <w:t>Critical Accounting Policies and Estimates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31"/>
          </w:tcPr>
          <w:p>
            <w:pPr>
              <w:spacing w:after="0"/>
              <w:rPr>
                <w:sz w:val="20"/>
                <w:szCs w:val="20"/>
                <w:color w:val="auto"/>
              </w:rPr>
            </w:pPr>
            <w:r>
              <w:rPr>
                <w:rFonts w:ascii="Arial" w:cs="Arial" w:eastAsia="Arial" w:hAnsi="Arial"/>
                <w:sz w:val="14"/>
                <w:szCs w:val="14"/>
                <w:color w:val="0000FF"/>
              </w:rPr>
              <w:t>ITEM 3. QUANTITATIVE AND QUALITATIVE DISCLOSURES ABOUT MARKET RISK</w:t>
            </w:r>
          </w:p>
        </w:tc>
        <w:tc>
          <w:tcPr>
            <w:tcW w:w="3380" w:type="dxa"/>
            <w:vAlign w:val="bottom"/>
            <w:gridSpan w:val="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31"/>
          </w:tcPr>
          <w:p>
            <w:pPr>
              <w:spacing w:after="0"/>
              <w:rPr>
                <w:sz w:val="20"/>
                <w:szCs w:val="20"/>
                <w:color w:val="auto"/>
              </w:rPr>
            </w:pPr>
            <w:r>
              <w:rPr>
                <w:rFonts w:ascii="Arial" w:cs="Arial" w:eastAsia="Arial" w:hAnsi="Arial"/>
                <w:sz w:val="14"/>
                <w:szCs w:val="14"/>
                <w:color w:val="0000FF"/>
              </w:rPr>
              <w:t>ITEM 4. CONTROLS AND PROCEDURES</w:t>
            </w:r>
          </w:p>
        </w:tc>
        <w:tc>
          <w:tcPr>
            <w:tcW w:w="3380" w:type="dxa"/>
            <w:vAlign w:val="bottom"/>
            <w:gridSpan w:val="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4"/>
          </w:tcPr>
          <w:p>
            <w:pPr>
              <w:spacing w:after="0"/>
              <w:rPr>
                <w:sz w:val="20"/>
                <w:szCs w:val="20"/>
                <w:color w:val="auto"/>
              </w:rPr>
            </w:pPr>
            <w:r>
              <w:rPr>
                <w:rFonts w:ascii="Arial" w:cs="Arial" w:eastAsia="Arial" w:hAnsi="Arial"/>
                <w:sz w:val="14"/>
                <w:szCs w:val="14"/>
                <w:color w:val="0000FF"/>
              </w:rPr>
              <w:t>PART II. OTHER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14"/>
          </w:tcPr>
          <w:p>
            <w:pPr>
              <w:spacing w:after="0"/>
              <w:rPr>
                <w:sz w:val="20"/>
                <w:szCs w:val="20"/>
                <w:color w:val="auto"/>
              </w:rPr>
            </w:pPr>
            <w:r>
              <w:rPr>
                <w:rFonts w:ascii="Arial" w:cs="Arial" w:eastAsia="Arial" w:hAnsi="Arial"/>
                <w:sz w:val="14"/>
                <w:szCs w:val="14"/>
                <w:color w:val="0000FF"/>
                <w:w w:val="99"/>
              </w:rPr>
              <w:t>ITEM 1. LEGAL PROCEEDINGS</w:t>
            </w:r>
          </w:p>
        </w:tc>
        <w:tc>
          <w:tcPr>
            <w:tcW w:w="6800" w:type="dxa"/>
            <w:vAlign w:val="bottom"/>
            <w:gridSpan w:val="19"/>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11"/>
          </w:tcPr>
          <w:p>
            <w:pPr>
              <w:spacing w:after="0"/>
              <w:rPr>
                <w:sz w:val="20"/>
                <w:szCs w:val="20"/>
                <w:color w:val="auto"/>
              </w:rPr>
            </w:pPr>
            <w:r>
              <w:rPr>
                <w:rFonts w:ascii="Arial" w:cs="Arial" w:eastAsia="Arial" w:hAnsi="Arial"/>
                <w:sz w:val="14"/>
                <w:szCs w:val="14"/>
                <w:color w:val="0000FF"/>
              </w:rPr>
              <w:t>ITEM 1A. RISK FACTORS</w:t>
            </w:r>
          </w:p>
        </w:tc>
        <w:tc>
          <w:tcPr>
            <w:tcW w:w="380" w:type="dxa"/>
            <w:vAlign w:val="bottom"/>
            <w:gridSpan w:val="3"/>
          </w:tcPr>
          <w:p>
            <w:pPr>
              <w:spacing w:after="0"/>
              <w:rPr>
                <w:sz w:val="15"/>
                <w:szCs w:val="15"/>
                <w:color w:val="auto"/>
              </w:rPr>
            </w:pPr>
          </w:p>
        </w:tc>
        <w:tc>
          <w:tcPr>
            <w:tcW w:w="6800" w:type="dxa"/>
            <w:vAlign w:val="bottom"/>
            <w:gridSpan w:val="19"/>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80" w:type="dxa"/>
            <w:vAlign w:val="bottom"/>
            <w:gridSpan w:val="30"/>
          </w:tcPr>
          <w:p>
            <w:pPr>
              <w:spacing w:after="0"/>
              <w:rPr>
                <w:sz w:val="20"/>
                <w:szCs w:val="20"/>
                <w:color w:val="auto"/>
              </w:rPr>
            </w:pPr>
            <w:r>
              <w:rPr>
                <w:rFonts w:ascii="Arial" w:cs="Arial" w:eastAsia="Arial" w:hAnsi="Arial"/>
                <w:sz w:val="14"/>
                <w:szCs w:val="14"/>
                <w:color w:val="0000FF"/>
              </w:rPr>
              <w:t>ITEM 2. UNREGISTERED SALES OF EQUITY AND USE OF PROCEEDS</w:t>
            </w:r>
          </w:p>
        </w:tc>
        <w:tc>
          <w:tcPr>
            <w:tcW w:w="410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24"/>
          </w:tcPr>
          <w:p>
            <w:pPr>
              <w:spacing w:after="0"/>
              <w:rPr>
                <w:sz w:val="20"/>
                <w:szCs w:val="20"/>
                <w:color w:val="auto"/>
              </w:rPr>
            </w:pPr>
            <w:r>
              <w:rPr>
                <w:rFonts w:ascii="Arial" w:cs="Arial" w:eastAsia="Arial" w:hAnsi="Arial"/>
                <w:sz w:val="14"/>
                <w:szCs w:val="14"/>
                <w:color w:val="0000FF"/>
              </w:rPr>
              <w:t>ITEM 3. DEFAULTS UPON SENIOR SECURITIES</w:t>
            </w:r>
          </w:p>
        </w:tc>
        <w:tc>
          <w:tcPr>
            <w:tcW w:w="1540" w:type="dxa"/>
            <w:vAlign w:val="bottom"/>
            <w:gridSpan w:val="6"/>
          </w:tcPr>
          <w:p>
            <w:pPr>
              <w:spacing w:after="0"/>
              <w:rPr>
                <w:sz w:val="15"/>
                <w:szCs w:val="15"/>
                <w:color w:val="auto"/>
              </w:rPr>
            </w:pPr>
          </w:p>
        </w:tc>
        <w:tc>
          <w:tcPr>
            <w:tcW w:w="410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9"/>
          </w:tcPr>
          <w:p>
            <w:pPr>
              <w:spacing w:after="0"/>
              <w:rPr>
                <w:sz w:val="20"/>
                <w:szCs w:val="20"/>
                <w:color w:val="auto"/>
              </w:rPr>
            </w:pPr>
            <w:r>
              <w:rPr>
                <w:rFonts w:ascii="Arial" w:cs="Arial" w:eastAsia="Arial" w:hAnsi="Arial"/>
                <w:sz w:val="14"/>
                <w:szCs w:val="14"/>
                <w:color w:val="0000FF"/>
              </w:rPr>
              <w:t>ITEM 4. MINE SAFETY DISCLOSURES</w:t>
            </w:r>
          </w:p>
        </w:tc>
        <w:tc>
          <w:tcPr>
            <w:tcW w:w="660" w:type="dxa"/>
            <w:vAlign w:val="bottom"/>
            <w:gridSpan w:val="5"/>
          </w:tcPr>
          <w:p>
            <w:pPr>
              <w:spacing w:after="0"/>
              <w:rPr>
                <w:sz w:val="15"/>
                <w:szCs w:val="15"/>
                <w:color w:val="auto"/>
              </w:rPr>
            </w:pPr>
          </w:p>
        </w:tc>
        <w:tc>
          <w:tcPr>
            <w:tcW w:w="5640" w:type="dxa"/>
            <w:vAlign w:val="bottom"/>
            <w:gridSpan w:val="9"/>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9"/>
          </w:tcPr>
          <w:p>
            <w:pPr>
              <w:spacing w:after="0"/>
              <w:rPr>
                <w:sz w:val="20"/>
                <w:szCs w:val="20"/>
                <w:color w:val="auto"/>
              </w:rPr>
            </w:pPr>
            <w:r>
              <w:rPr>
                <w:rFonts w:ascii="Arial" w:cs="Arial" w:eastAsia="Arial" w:hAnsi="Arial"/>
                <w:sz w:val="14"/>
                <w:szCs w:val="14"/>
                <w:color w:val="0000FF"/>
              </w:rPr>
              <w:t>ITEM 5. OTHER INFORMATION</w:t>
            </w: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14"/>
          </w:tcPr>
          <w:p>
            <w:pPr>
              <w:spacing w:after="0"/>
              <w:rPr>
                <w:sz w:val="20"/>
                <w:szCs w:val="20"/>
                <w:color w:val="auto"/>
              </w:rPr>
            </w:pPr>
            <w:r>
              <w:rPr>
                <w:rFonts w:ascii="Arial" w:cs="Arial" w:eastAsia="Arial" w:hAnsi="Arial"/>
                <w:sz w:val="14"/>
                <w:szCs w:val="14"/>
                <w:color w:val="0000FF"/>
              </w:rPr>
              <w:t>ITEM 6. EXHIBITS</w:t>
            </w:r>
          </w:p>
        </w:tc>
        <w:tc>
          <w:tcPr>
            <w:tcW w:w="6800" w:type="dxa"/>
            <w:vAlign w:val="bottom"/>
            <w:gridSpan w:val="19"/>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1660" w:type="dxa"/>
            <w:vAlign w:val="bottom"/>
            <w:gridSpan w:val="15"/>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4"/>
          </w:tcPr>
          <w:p>
            <w:pPr>
              <w:spacing w:after="0"/>
              <w:rPr>
                <w:sz w:val="20"/>
                <w:szCs w:val="20"/>
                <w:color w:val="auto"/>
              </w:rPr>
            </w:pPr>
            <w:r>
              <w:rPr>
                <w:rFonts w:ascii="Arial" w:cs="Arial" w:eastAsia="Arial" w:hAnsi="Arial"/>
                <w:sz w:val="14"/>
                <w:szCs w:val="14"/>
                <w:color w:val="0000FF"/>
              </w:rPr>
              <w:t>GLOSSARY OF TERMS AND ABBREVIATIONS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80" w:type="dxa"/>
            <w:vAlign w:val="bottom"/>
            <w:gridSpan w:val="20"/>
            <w:shd w:val="clear" w:color="auto" w:fill="0000FF"/>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120" w:type="dxa"/>
            <w:vAlign w:val="bottom"/>
            <w:gridSpan w:val="23"/>
          </w:tcPr>
          <w:p>
            <w:pPr>
              <w:spacing w:after="0"/>
              <w:rPr>
                <w:sz w:val="20"/>
                <w:szCs w:val="20"/>
                <w:color w:val="auto"/>
              </w:rPr>
            </w:pPr>
            <w:r>
              <w:rPr>
                <w:rFonts w:ascii="Arial" w:cs="Arial" w:eastAsia="Arial" w:hAnsi="Arial"/>
                <w:sz w:val="14"/>
                <w:szCs w:val="14"/>
                <w:color w:val="0000FF"/>
              </w:rPr>
              <w:t>SIGNATURES</w:t>
            </w: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175"/>
        </w:trPr>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INFORMATION</w:t>
      </w:r>
    </w:p>
    <w:p>
      <w:pPr>
        <w:spacing w:after="0" w:line="16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This Quarterly Report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spacing w:after="0" w:line="12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risks, uncertainties, and other factors that could cause actual results to differ materially from the forward-looking statements made by us include those discussed in this Report, as well as the items discussed in the sections entitled “Item 1A. Risk Factors” in this Report and our most recent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spacing w:after="0" w:line="12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INDUSTRY DATA</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3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as well as the items discussed in the sections entitled “Item 1A. Risk Factors” in this Report and our most recent Annual Report on Form 10-K.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1.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2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(108)</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4)</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509</w:t>
            </w:r>
          </w:p>
        </w:tc>
      </w:tr>
      <w:tr>
        <w:trPr>
          <w:trHeight w:val="56"/>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(212)</w:t>
            </w:r>
          </w:p>
        </w:tc>
      </w:tr>
      <w:tr>
        <w:trPr>
          <w:trHeight w:val="56"/>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8)</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7)</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18)</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(187)</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388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319</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294</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5.00</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4.84</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Weighted-Average Number of Common Shares Outstanding - Basic (in thousands)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45,849</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58,807</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Number of Common Shares Outstanding - Diluted (in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p>
      <w:pPr>
        <w:spacing w:after="0" w:line="239"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32385</wp:posOffset>
            </wp:positionV>
            <wp:extent cx="1843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tcBorders>
              <w:bottom w:val="single" w:sz="8" w:color="E1E1E2"/>
            </w:tcBorders>
            <w:gridSpan w:val="2"/>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22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319</w:t>
            </w:r>
          </w:p>
        </w:tc>
      </w:tr>
      <w:tr>
        <w:trPr>
          <w:trHeight w:val="201"/>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 (Note 7)</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Gains (losses) arising during the period, net of tax</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Available-for-sale securities unrealized (gain) loss, net (Note 7)</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prior service (credits) costs, net (Note 13)</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from AOCI, net of tax</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r>
      <w:tr>
        <w:trPr>
          <w:trHeight w:val="19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Other Comprehensive Income (Loss)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96"/>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315</w:t>
            </w:r>
          </w:p>
        </w:tc>
      </w:tr>
      <w:tr>
        <w:trPr>
          <w:trHeight w:val="19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10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4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 Attributable to Stockholders</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E1E1E2"/>
          </w:tcPr>
          <w:p>
            <w:pPr>
              <w:spacing w:after="0"/>
              <w:rPr>
                <w:sz w:val="21"/>
                <w:szCs w:val="21"/>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290</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 (Note 17)</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 (Note 4)</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 (Note 6)</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3 and 12)</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 (Note 8)</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3,138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(Notes 7 and 12)</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3 and 12)</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5,865</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 (Notes 11 and 12)</w:t>
            </w: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3 and 12)</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(Notes 11 and 12)</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2,975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2,987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3 and 12)</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obligations</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305</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accrued environmental costs (Note 9)</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4,685</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4,719</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 (Note 10)</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6"/>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 (Note 16)</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1,718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1,387</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5,865</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45,509,780 and 45,961,910 shares issued and outstanding as of March 31, 2025 and December 31, 2024,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2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Unrealized (gains) losses on derivative instruments (Note 3)</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 (Note 17)</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 (Note 8)</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(excluding interest and fees) (Note 7)</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AWS Data Campus Sale (Note 18)</w:t>
            </w:r>
          </w:p>
        </w:tc>
        <w:tc>
          <w:tcPr>
            <w:tcW w:w="3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Other (Note 17)</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Collateral received (posted), net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173</w:t>
            </w:r>
          </w:p>
        </w:tc>
      </w:tr>
      <w:tr>
        <w:trPr>
          <w:trHeight w:val="237"/>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investment purchases (Note 7)</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(564)</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investment sale proceeds (Note 7)</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expenditures (Note 8)</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expenditures (Note 8)</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AWS Data Campus Sale (Note 18)</w:t>
            </w:r>
          </w:p>
        </w:tc>
        <w:tc>
          <w:tcPr>
            <w:tcW w:w="3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339</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265</w:t>
            </w:r>
          </w:p>
        </w:tc>
      </w:tr>
      <w:tr>
        <w:trPr>
          <w:trHeight w:val="34"/>
        </w:trPr>
        <w:tc>
          <w:tcPr>
            <w:tcW w:w="8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Share repurchases (Note 16)</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financing costs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Debt repayments (Note 11)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Cumulus Digital TLF repayment</w:t>
            </w:r>
          </w:p>
        </w:tc>
        <w:tc>
          <w:tcPr>
            <w:tcW w:w="3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Repurchase of noncontrolling interest</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179</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Beginning of period cash and cash equivalents and restricted cash and cash equivalents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End of period cash and cash equivalents and restricted cash and cash equivalents</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1,080</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17 for supplemental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controlling</w:t>
            </w: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rPr>
              <w:t>stock shares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vMerge w:val="restart"/>
          </w:tcPr>
          <w:p>
            <w:pPr>
              <w:spacing w:after="0"/>
              <w:rPr>
                <w:sz w:val="20"/>
                <w:szCs w:val="20"/>
                <w:color w:val="auto"/>
              </w:rPr>
            </w:pPr>
            <w:r>
              <w:rPr>
                <w:rFonts w:ascii="Arial" w:cs="Arial" w:eastAsia="Arial" w:hAnsi="Arial"/>
                <w:sz w:val="11"/>
                <w:szCs w:val="11"/>
                <w:b w:val="1"/>
                <w:bCs w:val="1"/>
                <w:color w:val="auto"/>
              </w:rPr>
              <w:t>(Millions of Dollars, except share data)</w:t>
            </w:r>
          </w:p>
        </w:tc>
        <w:tc>
          <w:tcPr>
            <w:tcW w:w="14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(deficit)</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00" w:type="dxa"/>
            <w:vAlign w:val="bottom"/>
            <w:gridSpan w:val="2"/>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Interest</w:t>
            </w:r>
          </w:p>
        </w:tc>
        <w:tc>
          <w:tcPr>
            <w:tcW w:w="100" w:type="dxa"/>
            <w:vAlign w:val="bottom"/>
            <w:vMerge w:val="restart"/>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2"/>
        </w:trPr>
        <w:tc>
          <w:tcPr>
            <w:tcW w:w="2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E1E1E2"/>
            </w:tcBorders>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E1E1E2"/>
            </w:tcBorders>
          </w:tcPr>
          <w:p>
            <w:pPr>
              <w:spacing w:after="0"/>
              <w:rPr>
                <w:sz w:val="5"/>
                <w:szCs w:val="5"/>
                <w:color w:val="auto"/>
              </w:rPr>
            </w:pPr>
          </w:p>
        </w:tc>
        <w:tc>
          <w:tcPr>
            <w:tcW w:w="60" w:type="dxa"/>
            <w:vAlign w:val="bottom"/>
            <w:tcBorders>
              <w:bottom w:val="single" w:sz="8" w:color="E1E1E2"/>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gridSpan w:val="2"/>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E1E1E2"/>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1E1E2"/>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E1E1E2"/>
          </w:tcPr>
          <w:p>
            <w:pPr>
              <w:spacing w:after="0"/>
              <w:rPr>
                <w:sz w:val="17"/>
                <w:szCs w:val="17"/>
                <w:color w:val="auto"/>
              </w:rPr>
            </w:pPr>
          </w:p>
        </w:tc>
        <w:tc>
          <w:tcPr>
            <w:tcW w:w="4140" w:type="dxa"/>
            <w:vAlign w:val="bottom"/>
            <w:gridSpan w:val="3"/>
            <w:shd w:val="clear" w:color="auto" w:fill="E1E1E2"/>
          </w:tcPr>
          <w:p>
            <w:pPr>
              <w:spacing w:after="0"/>
              <w:rPr>
                <w:sz w:val="20"/>
                <w:szCs w:val="20"/>
                <w:color w:val="auto"/>
              </w:rPr>
            </w:pPr>
            <w:r>
              <w:rPr>
                <w:rFonts w:ascii="Arial" w:cs="Arial" w:eastAsia="Arial" w:hAnsi="Arial"/>
                <w:sz w:val="14"/>
                <w:szCs w:val="14"/>
                <w:b w:val="1"/>
                <w:bCs w:val="1"/>
                <w:color w:val="auto"/>
              </w:rPr>
              <w:t>December 31, 2024</w:t>
            </w:r>
          </w:p>
        </w:tc>
        <w:tc>
          <w:tcPr>
            <w:tcW w:w="960" w:type="dxa"/>
            <w:vAlign w:val="bottom"/>
            <w:gridSpan w:val="2"/>
            <w:shd w:val="clear" w:color="auto" w:fill="E1E1E2"/>
          </w:tcPr>
          <w:p>
            <w:pPr>
              <w:jc w:val="right"/>
              <w:ind w:right="12"/>
              <w:spacing w:after="0"/>
              <w:rPr>
                <w:sz w:val="20"/>
                <w:szCs w:val="20"/>
                <w:color w:val="auto"/>
              </w:rPr>
            </w:pPr>
            <w:r>
              <w:rPr>
                <w:rFonts w:ascii="Arial" w:cs="Arial" w:eastAsia="Arial" w:hAnsi="Arial"/>
                <w:sz w:val="14"/>
                <w:szCs w:val="14"/>
                <w:b w:val="1"/>
                <w:bCs w:val="1"/>
                <w:color w:val="auto"/>
              </w:rPr>
              <w:t>45,962</w:t>
            </w:r>
          </w:p>
        </w:tc>
        <w:tc>
          <w:tcPr>
            <w:tcW w:w="20" w:type="dxa"/>
            <w:vAlign w:val="bottom"/>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1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1,725</w:t>
            </w:r>
          </w:p>
        </w:tc>
        <w:tc>
          <w:tcPr>
            <w:tcW w:w="40" w:type="dxa"/>
            <w:vAlign w:val="bottom"/>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(326)</w:t>
            </w:r>
          </w:p>
        </w:tc>
        <w:tc>
          <w:tcPr>
            <w:tcW w:w="80" w:type="dxa"/>
            <w:vAlign w:val="bottom"/>
            <w:shd w:val="clear" w:color="auto" w:fill="E1E1E2"/>
          </w:tcPr>
          <w:p>
            <w:pPr>
              <w:spacing w:after="0"/>
              <w:rPr>
                <w:sz w:val="17"/>
                <w:szCs w:val="17"/>
                <w:color w:val="auto"/>
              </w:rPr>
            </w:pPr>
          </w:p>
        </w:tc>
        <w:tc>
          <w:tcPr>
            <w:tcW w:w="120" w:type="dxa"/>
            <w:vAlign w:val="bottom"/>
            <w:gridSpan w:val="2"/>
            <w:shd w:val="clear" w:color="auto" w:fill="E1E1E2"/>
          </w:tcPr>
          <w:p>
            <w:pPr>
              <w:jc w:val="right"/>
              <w:ind w:right="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E1E1E2"/>
          </w:tcPr>
          <w:p>
            <w:pPr>
              <w:spacing w:after="0"/>
              <w:rPr>
                <w:sz w:val="17"/>
                <w:szCs w:val="17"/>
                <w:color w:val="auto"/>
              </w:rPr>
            </w:pPr>
          </w:p>
        </w:tc>
        <w:tc>
          <w:tcPr>
            <w:tcW w:w="1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4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7"/>
        </w:trPr>
        <w:tc>
          <w:tcPr>
            <w:tcW w:w="20" w:type="dxa"/>
            <w:vAlign w:val="bottom"/>
            <w:shd w:val="clear" w:color="auto" w:fill="E1E1E2"/>
          </w:tcPr>
          <w:p>
            <w:pPr>
              <w:spacing w:after="0"/>
              <w:rPr>
                <w:sz w:val="17"/>
                <w:szCs w:val="17"/>
                <w:color w:val="auto"/>
              </w:rPr>
            </w:pPr>
          </w:p>
        </w:tc>
        <w:tc>
          <w:tcPr>
            <w:tcW w:w="4140" w:type="dxa"/>
            <w:vAlign w:val="bottom"/>
            <w:gridSpan w:val="3"/>
            <w:shd w:val="clear" w:color="auto" w:fill="E1E1E2"/>
          </w:tcPr>
          <w:p>
            <w:pPr>
              <w:spacing w:after="0"/>
              <w:rPr>
                <w:sz w:val="20"/>
                <w:szCs w:val="20"/>
                <w:color w:val="auto"/>
              </w:rPr>
            </w:pPr>
            <w:r>
              <w:rPr>
                <w:rFonts w:ascii="Arial" w:cs="Arial" w:eastAsia="Arial" w:hAnsi="Arial"/>
                <w:sz w:val="14"/>
                <w:szCs w:val="14"/>
                <w:color w:val="auto"/>
              </w:rPr>
              <w:t>Other comprehensive income (loss)</w:t>
            </w:r>
          </w:p>
        </w:tc>
        <w:tc>
          <w:tcPr>
            <w:tcW w:w="40" w:type="dxa"/>
            <w:vAlign w:val="bottom"/>
            <w:shd w:val="clear" w:color="auto" w:fill="E1E1E2"/>
          </w:tcPr>
          <w:p>
            <w:pPr>
              <w:spacing w:after="0"/>
              <w:rPr>
                <w:sz w:val="17"/>
                <w:szCs w:val="17"/>
                <w:color w:val="auto"/>
              </w:rPr>
            </w:pPr>
          </w:p>
        </w:tc>
        <w:tc>
          <w:tcPr>
            <w:tcW w:w="1000" w:type="dxa"/>
            <w:vAlign w:val="bottom"/>
            <w:gridSpan w:val="3"/>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20" w:type="dxa"/>
            <w:vAlign w:val="bottom"/>
            <w:gridSpan w:val="3"/>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160" w:type="dxa"/>
            <w:vAlign w:val="bottom"/>
            <w:gridSpan w:val="2"/>
            <w:shd w:val="clear" w:color="auto" w:fill="E1E1E2"/>
          </w:tcPr>
          <w:p>
            <w:pPr>
              <w:ind w:left="86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3"/>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Share repurchases</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7"/>
        </w:trPr>
        <w:tc>
          <w:tcPr>
            <w:tcW w:w="20" w:type="dxa"/>
            <w:vAlign w:val="bottom"/>
            <w:shd w:val="clear" w:color="auto" w:fill="E1E1E2"/>
          </w:tcPr>
          <w:p>
            <w:pPr>
              <w:spacing w:after="0"/>
              <w:rPr>
                <w:sz w:val="17"/>
                <w:szCs w:val="17"/>
                <w:color w:val="auto"/>
              </w:rPr>
            </w:pPr>
          </w:p>
        </w:tc>
        <w:tc>
          <w:tcPr>
            <w:tcW w:w="4140" w:type="dxa"/>
            <w:vAlign w:val="bottom"/>
            <w:gridSpan w:val="3"/>
            <w:shd w:val="clear" w:color="auto" w:fill="E1E1E2"/>
          </w:tcPr>
          <w:p>
            <w:pPr>
              <w:spacing w:after="0"/>
              <w:rPr>
                <w:sz w:val="20"/>
                <w:szCs w:val="20"/>
                <w:color w:val="auto"/>
              </w:rPr>
            </w:pPr>
            <w:r>
              <w:rPr>
                <w:rFonts w:ascii="Arial" w:cs="Arial" w:eastAsia="Arial" w:hAnsi="Arial"/>
                <w:sz w:val="14"/>
                <w:szCs w:val="14"/>
                <w:color w:val="auto"/>
              </w:rPr>
              <w:t>Retirement of treasury stock</w:t>
            </w:r>
          </w:p>
        </w:tc>
        <w:tc>
          <w:tcPr>
            <w:tcW w:w="40" w:type="dxa"/>
            <w:vAlign w:val="bottom"/>
            <w:shd w:val="clear" w:color="auto" w:fill="E1E1E2"/>
          </w:tcPr>
          <w:p>
            <w:pPr>
              <w:spacing w:after="0"/>
              <w:rPr>
                <w:sz w:val="17"/>
                <w:szCs w:val="17"/>
                <w:color w:val="auto"/>
              </w:rPr>
            </w:pPr>
          </w:p>
        </w:tc>
        <w:tc>
          <w:tcPr>
            <w:tcW w:w="1000" w:type="dxa"/>
            <w:vAlign w:val="bottom"/>
            <w:gridSpan w:val="3"/>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E1E1E2"/>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E1E1E2"/>
            </w:tcBorders>
          </w:tcPr>
          <w:p>
            <w:pPr>
              <w:spacing w:after="0"/>
              <w:rPr>
                <w:sz w:val="17"/>
                <w:szCs w:val="17"/>
                <w:color w:val="auto"/>
              </w:rPr>
            </w:pPr>
          </w:p>
        </w:tc>
        <w:tc>
          <w:tcPr>
            <w:tcW w:w="60" w:type="dxa"/>
            <w:vAlign w:val="bottom"/>
            <w:tcBorders>
              <w:bottom w:val="single" w:sz="8" w:color="E1E1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9"/>
        </w:trPr>
        <w:tc>
          <w:tcPr>
            <w:tcW w:w="20" w:type="dxa"/>
            <w:vAlign w:val="bottom"/>
            <w:shd w:val="clear" w:color="auto" w:fill="E1E1E2"/>
          </w:tcPr>
          <w:p>
            <w:pPr>
              <w:spacing w:after="0"/>
              <w:rPr>
                <w:sz w:val="19"/>
                <w:szCs w:val="19"/>
                <w:color w:val="auto"/>
              </w:rPr>
            </w:pPr>
          </w:p>
        </w:tc>
        <w:tc>
          <w:tcPr>
            <w:tcW w:w="4140" w:type="dxa"/>
            <w:vAlign w:val="bottom"/>
            <w:gridSpan w:val="3"/>
            <w:shd w:val="clear" w:color="auto" w:fill="E1E1E2"/>
          </w:tcPr>
          <w:p>
            <w:pPr>
              <w:spacing w:after="0"/>
              <w:rPr>
                <w:sz w:val="20"/>
                <w:szCs w:val="20"/>
                <w:color w:val="auto"/>
              </w:rPr>
            </w:pPr>
            <w:r>
              <w:rPr>
                <w:rFonts w:ascii="Arial" w:cs="Arial" w:eastAsia="Arial" w:hAnsi="Arial"/>
                <w:sz w:val="14"/>
                <w:szCs w:val="14"/>
                <w:b w:val="1"/>
                <w:bCs w:val="1"/>
                <w:color w:val="auto"/>
              </w:rPr>
              <w:t>March 31, 2025</w:t>
            </w:r>
          </w:p>
        </w:tc>
        <w:tc>
          <w:tcPr>
            <w:tcW w:w="960" w:type="dxa"/>
            <w:vAlign w:val="bottom"/>
            <w:gridSpan w:val="2"/>
            <w:shd w:val="clear" w:color="auto" w:fill="E1E1E2"/>
          </w:tcPr>
          <w:p>
            <w:pPr>
              <w:jc w:val="right"/>
              <w:ind w:right="12"/>
              <w:spacing w:after="0"/>
              <w:rPr>
                <w:sz w:val="20"/>
                <w:szCs w:val="20"/>
                <w:color w:val="auto"/>
              </w:rPr>
            </w:pPr>
            <w:r>
              <w:rPr>
                <w:rFonts w:ascii="Arial" w:cs="Arial" w:eastAsia="Arial" w:hAnsi="Arial"/>
                <w:sz w:val="14"/>
                <w:szCs w:val="14"/>
                <w:b w:val="1"/>
                <w:bCs w:val="1"/>
                <w:color w:val="auto"/>
              </w:rPr>
              <w:t>45,510</w:t>
            </w:r>
          </w:p>
        </w:tc>
        <w:tc>
          <w:tcPr>
            <w:tcW w:w="20" w:type="dxa"/>
            <w:vAlign w:val="bottom"/>
            <w:shd w:val="clear" w:color="auto" w:fill="E1E1E2"/>
          </w:tcPr>
          <w:p>
            <w:pPr>
              <w:spacing w:after="0"/>
              <w:rPr>
                <w:sz w:val="19"/>
                <w:szCs w:val="19"/>
                <w:color w:val="auto"/>
              </w:rPr>
            </w:pPr>
          </w:p>
        </w:tc>
        <w:tc>
          <w:tcPr>
            <w:tcW w:w="60" w:type="dxa"/>
            <w:vAlign w:val="bottom"/>
            <w:shd w:val="clear" w:color="auto" w:fill="E1E1E2"/>
          </w:tcPr>
          <w:p>
            <w:pPr>
              <w:spacing w:after="0"/>
              <w:rPr>
                <w:sz w:val="19"/>
                <w:szCs w:val="19"/>
                <w:color w:val="auto"/>
              </w:rPr>
            </w:pPr>
          </w:p>
        </w:tc>
        <w:tc>
          <w:tcPr>
            <w:tcW w:w="1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1,718</w:t>
            </w:r>
          </w:p>
        </w:tc>
        <w:tc>
          <w:tcPr>
            <w:tcW w:w="40" w:type="dxa"/>
            <w:vAlign w:val="bottom"/>
            <w:shd w:val="clear" w:color="auto" w:fill="E1E1E2"/>
          </w:tcPr>
          <w:p>
            <w:pPr>
              <w:spacing w:after="0"/>
              <w:rPr>
                <w:sz w:val="19"/>
                <w:szCs w:val="19"/>
                <w:color w:val="auto"/>
              </w:rPr>
            </w:pPr>
          </w:p>
        </w:tc>
        <w:tc>
          <w:tcPr>
            <w:tcW w:w="60" w:type="dxa"/>
            <w:vAlign w:val="bottom"/>
            <w:shd w:val="clear" w:color="auto" w:fill="E1E1E2"/>
          </w:tcPr>
          <w:p>
            <w:pPr>
              <w:spacing w:after="0"/>
              <w:rPr>
                <w:sz w:val="19"/>
                <w:szCs w:val="19"/>
                <w:color w:val="auto"/>
              </w:rPr>
            </w:pPr>
          </w:p>
        </w:tc>
        <w:tc>
          <w:tcPr>
            <w:tcW w:w="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(528)</w:t>
            </w:r>
          </w:p>
        </w:tc>
        <w:tc>
          <w:tcPr>
            <w:tcW w:w="80" w:type="dxa"/>
            <w:vAlign w:val="bottom"/>
            <w:shd w:val="clear" w:color="auto" w:fill="E1E1E2"/>
          </w:tcPr>
          <w:p>
            <w:pPr>
              <w:spacing w:after="0"/>
              <w:rPr>
                <w:sz w:val="19"/>
                <w:szCs w:val="19"/>
                <w:color w:val="auto"/>
              </w:rPr>
            </w:pPr>
          </w:p>
        </w:tc>
        <w:tc>
          <w:tcPr>
            <w:tcW w:w="120" w:type="dxa"/>
            <w:vAlign w:val="bottom"/>
            <w:gridSpan w:val="2"/>
            <w:shd w:val="clear" w:color="auto" w:fill="E1E1E2"/>
          </w:tcPr>
          <w:p>
            <w:pPr>
              <w:jc w:val="right"/>
              <w:ind w:right="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shd w:val="clear" w:color="auto" w:fill="E1E1E2"/>
          </w:tcPr>
          <w:p>
            <w:pPr>
              <w:spacing w:after="0"/>
              <w:rPr>
                <w:sz w:val="19"/>
                <w:szCs w:val="19"/>
                <w:color w:val="auto"/>
              </w:rPr>
            </w:pPr>
          </w:p>
        </w:tc>
        <w:tc>
          <w:tcPr>
            <w:tcW w:w="1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1,180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60" w:type="dxa"/>
            <w:vAlign w:val="bottom"/>
            <w:tcBorders>
              <w:top w:val="single" w:sz="8" w:color="E1E1E2"/>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1E1E2"/>
            </w:tcBorders>
          </w:tcPr>
          <w:p>
            <w:pPr>
              <w:spacing w:after="0" w:line="20" w:lineRule="exact"/>
              <w:rPr>
                <w:sz w:val="1"/>
                <w:szCs w:val="1"/>
                <w:color w:val="auto"/>
              </w:rPr>
            </w:pPr>
          </w:p>
        </w:tc>
        <w:tc>
          <w:tcPr>
            <w:tcW w:w="60" w:type="dxa"/>
            <w:vAlign w:val="bottom"/>
            <w:tcBorders>
              <w:top w:val="single" w:sz="8" w:color="E1E1E2"/>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1E1E2"/>
            </w:tcBorders>
          </w:tcPr>
          <w:p>
            <w:pPr>
              <w:spacing w:after="0" w:line="20" w:lineRule="exact"/>
              <w:rPr>
                <w:sz w:val="1"/>
                <w:szCs w:val="1"/>
                <w:color w:val="auto"/>
              </w:rPr>
            </w:pPr>
          </w:p>
        </w:tc>
        <w:tc>
          <w:tcPr>
            <w:tcW w:w="60" w:type="dxa"/>
            <w:vAlign w:val="bottom"/>
            <w:tcBorders>
              <w:top w:val="single" w:sz="8" w:color="E1E1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4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59,029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2,346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ind w:lef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2,534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40" w:type="dxa"/>
            <w:vAlign w:val="bottom"/>
            <w:shd w:val="clear" w:color="auto" w:fill="E1E1E2"/>
          </w:tcPr>
          <w:p>
            <w:pPr>
              <w:spacing w:after="0"/>
              <w:rPr>
                <w:sz w:val="17"/>
                <w:szCs w:val="17"/>
                <w:color w:val="auto"/>
              </w:rPr>
            </w:pPr>
          </w:p>
        </w:tc>
        <w:tc>
          <w:tcPr>
            <w:tcW w:w="1000" w:type="dxa"/>
            <w:vAlign w:val="bottom"/>
            <w:gridSpan w:val="3"/>
            <w:shd w:val="clear" w:color="auto" w:fill="E1E1E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20" w:type="dxa"/>
            <w:vAlign w:val="bottom"/>
            <w:gridSpan w:val="3"/>
            <w:shd w:val="clear" w:color="auto" w:fill="E1E1E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w:t>
            </w:r>
          </w:p>
        </w:tc>
        <w:tc>
          <w:tcPr>
            <w:tcW w:w="8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3"/>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3"/>
          </w:tcPr>
          <w:p>
            <w:pPr>
              <w:ind w:left="2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tcBorders>
              <w:bottom w:val="single" w:sz="8" w:color="E1E1E2"/>
            </w:tcBorders>
            <w:gridSpan w:val="3"/>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980" w:type="dxa"/>
            <w:vAlign w:val="bottom"/>
            <w:tcBorders>
              <w:bottom w:val="single" w:sz="8" w:color="E1E1E2"/>
            </w:tcBorders>
            <w:gridSpan w:val="3"/>
            <w:shd w:val="clear" w:color="auto" w:fill="E1E1E2"/>
          </w:tcPr>
          <w:p>
            <w:pPr>
              <w:jc w:val="right"/>
              <w:ind w:right="20"/>
              <w:spacing w:after="0"/>
              <w:rPr>
                <w:sz w:val="20"/>
                <w:szCs w:val="20"/>
                <w:color w:val="auto"/>
              </w:rPr>
            </w:pPr>
            <w:r>
              <w:rPr>
                <w:rFonts w:ascii="Arial" w:cs="Arial" w:eastAsia="Arial" w:hAnsi="Arial"/>
                <w:sz w:val="14"/>
                <w:szCs w:val="14"/>
                <w:color w:val="auto"/>
              </w:rPr>
              <w:t>(493)</w:t>
            </w:r>
          </w:p>
        </w:tc>
        <w:tc>
          <w:tcPr>
            <w:tcW w:w="60" w:type="dxa"/>
            <w:vAlign w:val="bottom"/>
            <w:tcBorders>
              <w:bottom w:val="single" w:sz="8" w:color="E1E1E2"/>
            </w:tcBorders>
            <w:shd w:val="clear" w:color="auto" w:fill="E1E1E2"/>
          </w:tcPr>
          <w:p>
            <w:pPr>
              <w:spacing w:after="0"/>
              <w:rPr>
                <w:sz w:val="18"/>
                <w:szCs w:val="18"/>
                <w:color w:val="auto"/>
              </w:rPr>
            </w:pPr>
          </w:p>
        </w:tc>
        <w:tc>
          <w:tcPr>
            <w:tcW w:w="40" w:type="dxa"/>
            <w:vAlign w:val="bottom"/>
            <w:tcBorders>
              <w:bottom w:val="single" w:sz="8" w:color="E1E1E2"/>
            </w:tcBorders>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920" w:type="dxa"/>
            <w:vAlign w:val="bottom"/>
            <w:tcBorders>
              <w:bottom w:val="single" w:sz="8" w:color="E1E1E2"/>
            </w:tcBorders>
            <w:gridSpan w:val="3"/>
            <w:shd w:val="clear" w:color="auto" w:fill="E1E1E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E1E1E2"/>
            </w:tcBorders>
            <w:shd w:val="clear" w:color="auto" w:fill="E1E1E2"/>
          </w:tcPr>
          <w:p>
            <w:pPr>
              <w:spacing w:after="0"/>
              <w:rPr>
                <w:sz w:val="18"/>
                <w:szCs w:val="18"/>
                <w:color w:val="auto"/>
              </w:rPr>
            </w:pPr>
          </w:p>
        </w:tc>
        <w:tc>
          <w:tcPr>
            <w:tcW w:w="1160" w:type="dxa"/>
            <w:vAlign w:val="bottom"/>
            <w:tcBorders>
              <w:bottom w:val="single" w:sz="8" w:color="E1E1E2"/>
            </w:tcBorders>
            <w:gridSpan w:val="2"/>
            <w:shd w:val="clear" w:color="auto" w:fill="E1E1E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1E1E2"/>
            </w:tcBorders>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580" w:type="dxa"/>
            <w:vAlign w:val="bottom"/>
            <w:tcBorders>
              <w:bottom w:val="single" w:sz="8" w:color="E1E1E2"/>
            </w:tcBorders>
            <w:gridSpan w:val="2"/>
            <w:shd w:val="clear" w:color="auto" w:fill="E1E1E2"/>
          </w:tcPr>
          <w:p>
            <w:pPr>
              <w:ind w:left="3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E1E1E2"/>
            </w:tcBorders>
            <w:shd w:val="clear" w:color="auto" w:fill="E1E1E2"/>
          </w:tcPr>
          <w:p>
            <w:pPr>
              <w:spacing w:after="0"/>
              <w:rPr>
                <w:sz w:val="18"/>
                <w:szCs w:val="18"/>
                <w:color w:val="auto"/>
              </w:rPr>
            </w:pPr>
          </w:p>
        </w:tc>
        <w:tc>
          <w:tcPr>
            <w:tcW w:w="760" w:type="dxa"/>
            <w:vAlign w:val="bottom"/>
            <w:tcBorders>
              <w:bottom w:val="single" w:sz="8" w:color="E1E1E2"/>
            </w:tcBorders>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bottom w:val="single" w:sz="8" w:color="E1E1E2"/>
            </w:tcBorders>
            <w:shd w:val="clear" w:color="auto" w:fill="E1E1E2"/>
          </w:tcPr>
          <w:p>
            <w:pPr>
              <w:spacing w:after="0"/>
              <w:rPr>
                <w:sz w:val="18"/>
                <w:szCs w:val="18"/>
                <w:color w:val="auto"/>
              </w:rPr>
            </w:pPr>
          </w:p>
        </w:tc>
        <w:tc>
          <w:tcPr>
            <w:tcW w:w="8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E1E1E2"/>
            </w:tcBorders>
            <w:shd w:val="clear" w:color="auto" w:fill="E1E1E2"/>
          </w:tcPr>
          <w:p>
            <w:pPr>
              <w:spacing w:after="0"/>
              <w:rPr>
                <w:sz w:val="18"/>
                <w:szCs w:val="18"/>
                <w:color w:val="auto"/>
              </w:rPr>
            </w:pPr>
          </w:p>
        </w:tc>
        <w:tc>
          <w:tcPr>
            <w:tcW w:w="980" w:type="dxa"/>
            <w:vAlign w:val="bottom"/>
            <w:tcBorders>
              <w:bottom w:val="single" w:sz="8" w:color="E1E1E2"/>
            </w:tcBorders>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E1E1E2"/>
            </w:tcBorders>
            <w:shd w:val="clear" w:color="auto" w:fill="E1E1E2"/>
          </w:tcPr>
          <w:p>
            <w:pPr>
              <w:spacing w:after="0"/>
              <w:rPr>
                <w:sz w:val="18"/>
                <w:szCs w:val="18"/>
                <w:color w:val="auto"/>
              </w:rPr>
            </w:pPr>
          </w:p>
        </w:tc>
        <w:tc>
          <w:tcPr>
            <w:tcW w:w="600" w:type="dxa"/>
            <w:vAlign w:val="bottom"/>
            <w:tcBorders>
              <w:bottom w:val="single" w:sz="8" w:color="E1E1E2"/>
            </w:tcBorders>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3"/>
          </w:tcPr>
          <w:p>
            <w:pPr>
              <w:ind w:left="20"/>
              <w:spacing w:after="0"/>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9"/>
                <w:szCs w:val="9"/>
                <w:color w:val="auto"/>
              </w:rPr>
              <w:t>(b)</w:t>
            </w:r>
          </w:p>
        </w:tc>
        <w:tc>
          <w:tcPr>
            <w:tcW w:w="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Cash distributions</w:t>
            </w:r>
          </w:p>
        </w:tc>
        <w:tc>
          <w:tcPr>
            <w:tcW w:w="40" w:type="dxa"/>
            <w:vAlign w:val="bottom"/>
            <w:shd w:val="clear" w:color="auto" w:fill="E1E1E2"/>
          </w:tcPr>
          <w:p>
            <w:pPr>
              <w:spacing w:after="0"/>
              <w:rPr>
                <w:sz w:val="17"/>
                <w:szCs w:val="17"/>
                <w:color w:val="auto"/>
              </w:rPr>
            </w:pPr>
          </w:p>
        </w:tc>
        <w:tc>
          <w:tcPr>
            <w:tcW w:w="1000" w:type="dxa"/>
            <w:vAlign w:val="bottom"/>
            <w:gridSpan w:val="3"/>
            <w:shd w:val="clear" w:color="auto" w:fill="E1E1E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20" w:type="dxa"/>
            <w:vAlign w:val="bottom"/>
            <w:gridSpan w:val="3"/>
            <w:shd w:val="clear" w:color="auto" w:fill="E1E1E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160" w:type="dxa"/>
            <w:vAlign w:val="bottom"/>
            <w:gridSpan w:val="2"/>
            <w:shd w:val="clear" w:color="auto" w:fill="E1E1E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3"/>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3"/>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9"/>
                <w:szCs w:val="9"/>
                <w:color w:val="auto"/>
              </w:rPr>
              <w:t>(c)</w:t>
            </w:r>
          </w:p>
        </w:tc>
        <w:tc>
          <w:tcPr>
            <w:tcW w:w="4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auto"/>
            </w:tcBorders>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w:t>
            </w:r>
          </w:p>
        </w:tc>
        <w:tc>
          <w:tcPr>
            <w:tcW w:w="60" w:type="dxa"/>
            <w:vAlign w:val="bottom"/>
            <w:shd w:val="clear" w:color="auto" w:fill="E1E1E2"/>
          </w:tcPr>
          <w:p>
            <w:pPr>
              <w:spacing w:after="0"/>
              <w:rPr>
                <w:sz w:val="17"/>
                <w:szCs w:val="17"/>
                <w:color w:val="auto"/>
              </w:rPr>
            </w:pPr>
          </w:p>
        </w:tc>
        <w:tc>
          <w:tcPr>
            <w:tcW w:w="40" w:type="dxa"/>
            <w:vAlign w:val="bottom"/>
            <w:shd w:val="clear" w:color="auto" w:fill="E1E1E2"/>
          </w:tcPr>
          <w:p>
            <w:pPr>
              <w:spacing w:after="0"/>
              <w:rPr>
                <w:sz w:val="17"/>
                <w:szCs w:val="17"/>
                <w:color w:val="auto"/>
              </w:rPr>
            </w:pPr>
          </w:p>
        </w:tc>
        <w:tc>
          <w:tcPr>
            <w:tcW w:w="940" w:type="dxa"/>
            <w:vAlign w:val="bottom"/>
            <w:tcBorders>
              <w:bottom w:val="single" w:sz="8" w:color="auto"/>
            </w:tcBorders>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1E1E2"/>
          </w:tcPr>
          <w:p>
            <w:pPr>
              <w:spacing w:after="0"/>
              <w:rPr>
                <w:sz w:val="17"/>
                <w:szCs w:val="17"/>
                <w:color w:val="auto"/>
              </w:rPr>
            </w:pPr>
          </w:p>
        </w:tc>
        <w:tc>
          <w:tcPr>
            <w:tcW w:w="4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8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auto"/>
            </w:tcBorders>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2024</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58,536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2,339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428</w:t>
            </w: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2,766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3" w:lineRule="exact"/>
        <w:rPr>
          <w:rFonts w:ascii="Arial" w:cs="Arial" w:eastAsia="Arial" w:hAnsi="Arial"/>
          <w:sz w:val="13"/>
          <w:szCs w:val="13"/>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Relates to the purchase of remaining equity in Cumulus Digital held by Orion Energy Partners and two former member of Talen senior management.</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Relates to distributions of Bitcoin to TeraWulf.</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INTERIM FINANCIAL STATEMENTS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Capitalized terms and abbreviations appearing in these notes to the Interim Financial Statements are defined in the glossary. Dollars are in millions, unless otherwise noted.</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“TEC” refers to Talen Energy Corporation. “TES” refers to Talen Energy Supply, LLC.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8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10.7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and Montana. Talen is headquartered in Houston, Texas.</w:t>
      </w:r>
    </w:p>
    <w:p>
      <w:pPr>
        <w:spacing w:after="0" w:line="119" w:lineRule="exact"/>
        <w:rPr>
          <w:sz w:val="20"/>
          <w:szCs w:val="20"/>
          <w:color w:val="auto"/>
        </w:rPr>
      </w:pPr>
    </w:p>
    <w:p>
      <w:pPr>
        <w:ind w:right="5620"/>
        <w:spacing w:after="0" w:line="466" w:lineRule="auto"/>
        <w:rPr>
          <w:sz w:val="20"/>
          <w:szCs w:val="20"/>
          <w:color w:val="auto"/>
        </w:rPr>
      </w:pPr>
      <w:r>
        <w:rPr>
          <w:rFonts w:ascii="Arial" w:cs="Arial" w:eastAsia="Arial" w:hAnsi="Arial"/>
          <w:sz w:val="16"/>
          <w:szCs w:val="16"/>
          <w:b w:val="1"/>
          <w:bCs w:val="1"/>
          <w:color w:val="auto"/>
        </w:rPr>
        <w:t xml:space="preserve">2. Basis of Presentation and Summary of Significant Accounting Policies </w:t>
      </w:r>
      <w:r>
        <w:rPr>
          <w:rFonts w:ascii="Arial" w:cs="Arial" w:eastAsia="Arial" w:hAnsi="Arial"/>
          <w:sz w:val="16"/>
          <w:szCs w:val="16"/>
          <w:b w:val="1"/>
          <w:bCs w:val="1"/>
          <w:i w:val="1"/>
          <w:iCs w:val="1"/>
          <w:color w:val="auto"/>
        </w:rPr>
        <w:t>Basis of Presentation and Principles of Consolidation</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These Interim Financial Statements, which are prepared in accordance with GAAP and pursuant to the rules and regulations of the SEC for Quarterly Reports on Form 10-Q,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 Certain information and note disclosures have been condensed or omitted from the Interim Financial Statements in accordance with GAAP.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various other factors.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79" w:lineRule="exact"/>
        <w:rPr>
          <w:sz w:val="20"/>
          <w:szCs w:val="20"/>
          <w:color w:val="auto"/>
        </w:rPr>
      </w:pPr>
    </w:p>
    <w:p>
      <w:pPr>
        <w:ind w:right="980"/>
        <w:spacing w:after="0" w:line="286"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prior period financial statements were reclassified to conform to the current period’s presentation.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reclassifications did not affect operating income, net income, total assets, total liabilities, net equity, or cash flows.</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24" w:lineRule="exact"/>
        <w:rPr>
          <w:sz w:val="20"/>
          <w:szCs w:val="20"/>
          <w:color w:val="auto"/>
        </w:rPr>
      </w:pPr>
    </w:p>
    <w:p>
      <w:pPr>
        <w:ind w:right="3600"/>
        <w:spacing w:after="0" w:line="564" w:lineRule="auto"/>
        <w:rPr>
          <w:sz w:val="20"/>
          <w:szCs w:val="20"/>
          <w:color w:val="auto"/>
        </w:rPr>
      </w:pPr>
      <w:r>
        <w:rPr>
          <w:rFonts w:ascii="Arial" w:cs="Arial" w:eastAsia="Arial" w:hAnsi="Arial"/>
          <w:sz w:val="16"/>
          <w:szCs w:val="16"/>
          <w:color w:val="auto"/>
        </w:rPr>
        <w:t xml:space="preserve">See Note 2 to the Annual Financial Statements for additional information on significant accounting policies. </w:t>
      </w:r>
      <w:r>
        <w:rPr>
          <w:rFonts w:ascii="Arial" w:cs="Arial" w:eastAsia="Arial" w:hAnsi="Arial"/>
          <w:sz w:val="16"/>
          <w:szCs w:val="16"/>
          <w:b w:val="1"/>
          <w:bCs w:val="1"/>
          <w:color w:val="auto"/>
        </w:rPr>
        <w:t xml:space="preserve">3. Risk Management, Derivative Instruments and Hedging Activities </w:t>
      </w:r>
      <w:r>
        <w:rPr>
          <w:rFonts w:ascii="Arial" w:cs="Arial" w:eastAsia="Arial" w:hAnsi="Arial"/>
          <w:sz w:val="16"/>
          <w:szCs w:val="16"/>
          <w:b w:val="1"/>
          <w:bCs w:val="1"/>
          <w:i w:val="1"/>
          <w:iCs w:val="1"/>
          <w:color w:val="auto"/>
        </w:rPr>
        <w:t>Risk Management Objectives</w:t>
      </w:r>
    </w:p>
    <w:p>
      <w:pPr>
        <w:spacing w:after="0" w:line="20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3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Board of Directors, including the risk committee, and management have established procedures to monitor, measure, and manage hedging activities and credit risk in accordance with the risk policy.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 xml:space="preserve">Market and Commodity Price Risk. </w:t>
      </w:r>
      <w:r>
        <w:rPr>
          <w:rFonts w:ascii="Arial" w:cs="Arial" w:eastAsia="Arial" w:hAnsi="Arial"/>
          <w:sz w:val="16"/>
          <w:szCs w:val="16"/>
          <w:color w:val="auto"/>
        </w:rPr>
        <w:t>Volatility in the wholesale power markets provides uncertainty in the future earnings and cash flows of the business.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 (v) market liquidity; and (vi) federal, regional, and state regulations.</w:t>
      </w:r>
    </w:p>
    <w:p>
      <w:pPr>
        <w:spacing w:after="0" w:line="11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Open commodity purchase (sales) derivatives range in maturity through 2027. The net notional volumes of open commodity derivatives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9"/>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9"/>
                <w:szCs w:val="9"/>
                <w:b w:val="1"/>
                <w:bCs w:val="1"/>
                <w:color w:val="auto"/>
              </w:rPr>
              <w:t>(a)</w:t>
            </w:r>
          </w:p>
        </w:tc>
      </w:tr>
      <w:tr>
        <w:trPr>
          <w:trHeight w:val="19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Power (MWh)</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(55,477,003)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(38,615,192)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Natural gas (MMBtu)</w:t>
            </w:r>
          </w:p>
        </w:tc>
        <w:tc>
          <w:tcPr>
            <w:tcW w:w="1400" w:type="dxa"/>
            <w:vAlign w:val="bottom"/>
          </w:tcPr>
          <w:p>
            <w:pPr>
              <w:jc w:val="right"/>
              <w:spacing w:after="0"/>
              <w:rPr>
                <w:sz w:val="20"/>
                <w:szCs w:val="20"/>
                <w:color w:val="auto"/>
              </w:rPr>
            </w:pPr>
            <w:r>
              <w:rPr>
                <w:rFonts w:ascii="Arial" w:cs="Arial" w:eastAsia="Arial" w:hAnsi="Arial"/>
                <w:sz w:val="14"/>
                <w:szCs w:val="14"/>
                <w:color w:val="auto"/>
              </w:rPr>
              <w:t>111,394,540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32,405,460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Emission allowances (tons)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100,000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volumes may be less than the contractual volumes, as the probability that option contracts will be exercised is considered in the volumes displayed.</w:t>
      </w:r>
    </w:p>
    <w:p>
      <w:pPr>
        <w:spacing w:after="0" w:line="16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Talen is exposed to interest rate risk from the possibility that changes in interest rates will affect future cash flows associated with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Open interest rate derivatives mature in 2026 and 2029. The net notional volumes of open interest rate derivatives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268"/>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(in millions)</w:t>
            </w:r>
          </w:p>
        </w:tc>
        <w:tc>
          <w:tcPr>
            <w:tcW w:w="100" w:type="dxa"/>
            <w:vAlign w:val="bottom"/>
            <w:shd w:val="clear" w:color="auto" w:fill="E1E1E2"/>
          </w:tcPr>
          <w:p>
            <w:pPr>
              <w:spacing w:after="0"/>
              <w:rPr>
                <w:sz w:val="16"/>
                <w:szCs w:val="16"/>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290</w:t>
            </w:r>
          </w:p>
        </w:tc>
      </w:tr>
    </w:tbl>
    <w:p>
      <w:pPr>
        <w:spacing w:after="0" w:line="22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which is the risk of financial loss if a customer, counterparty, or financial institution is unable to perform or pay amounts due,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spacing w:after="0" w:line="13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2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March 31, 2025 and December 31, 2024.</w:t>
      </w:r>
    </w:p>
    <w:p>
      <w:pPr>
        <w:spacing w:after="0" w:line="118"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As of March 31, 2025, Talen’s aggregate credit exposure, which excludes the effects of netting arrangements, cash collateral, LCs, and any allowances for doubtful collections, was $453 million and its credit exposure including such netting effects was $53 million. Excluding ISO and RTO counterparties, whose accounts receivable settlements and congestion products are subject to applicable market controls, the ten largest single net credit exposures account for 90% of Talen’s total net credit exposure, which are primarily with entities assigned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March 31, 2025 and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 Presentation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Balance Sheets Presentation. </w:t>
      </w:r>
      <w:r>
        <w:rPr>
          <w:rFonts w:ascii="Arial" w:cs="Arial" w:eastAsia="Arial" w:hAnsi="Arial"/>
          <w:sz w:val="16"/>
          <w:szCs w:val="16"/>
          <w:color w:val="auto"/>
        </w:rPr>
        <w:t>The fair value of derivative instruments presented within assets and liabilities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Liabilities</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derivative instruments</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92</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non-current derivative instruments</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2"/>
        </w:trPr>
        <w:tc>
          <w:tcPr>
            <w:tcW w:w="5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See Note 12 for additional information on fair value.</w:t>
      </w:r>
    </w:p>
    <w:p>
      <w:pPr>
        <w:spacing w:after="0" w:line="2" w:lineRule="exact"/>
        <w:rPr>
          <w:sz w:val="20"/>
          <w:szCs w:val="20"/>
          <w:color w:val="auto"/>
        </w:rPr>
      </w:pPr>
    </w:p>
    <w:p>
      <w:pPr>
        <w:jc w:val="both"/>
        <w:ind w:right="140"/>
        <w:spacing w:after="0" w:line="270" w:lineRule="auto"/>
        <w:rPr>
          <w:sz w:val="20"/>
          <w:szCs w:val="20"/>
          <w:color w:val="auto"/>
        </w:rPr>
      </w:pPr>
      <w:r>
        <w:rPr>
          <w:rFonts w:ascii="Arial" w:cs="Arial" w:eastAsia="Arial" w:hAnsi="Arial"/>
          <w:sz w:val="16"/>
          <w:szCs w:val="16"/>
          <w:color w:val="auto"/>
        </w:rPr>
        <w:t>Changes in the fair value and realized settlements on interest rate derivative instruments are presented as “Interest expense and other finance charge</w:t>
      </w:r>
      <w:r>
        <w:rPr>
          <w:rFonts w:ascii="Arial" w:cs="Arial" w:eastAsia="Arial" w:hAnsi="Arial"/>
          <w:sz w:val="16"/>
          <w:szCs w:val="16"/>
          <w:i w:val="1"/>
          <w:iCs w:val="1"/>
          <w:color w:val="auto"/>
        </w:rPr>
        <w:t>s</w:t>
      </w:r>
      <w:r>
        <w:rPr>
          <w:rFonts w:ascii="Arial" w:cs="Arial" w:eastAsia="Arial" w:hAnsi="Arial"/>
          <w:sz w:val="16"/>
          <w:szCs w:val="16"/>
          <w:color w:val="auto"/>
        </w:rPr>
        <w:t>” on the Consolidated Statements of Operations.</w:t>
      </w:r>
    </w:p>
    <w:p>
      <w:pPr>
        <w:spacing w:after="0" w:line="127"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i w:val="1"/>
          <w:iCs w:val="1"/>
          <w:color w:val="auto"/>
        </w:rPr>
        <w:t xml:space="preserve">Effect of Netting. </w:t>
      </w:r>
      <w:r>
        <w:rPr>
          <w:rFonts w:ascii="Arial" w:cs="Arial" w:eastAsia="Arial" w:hAnsi="Arial"/>
          <w:sz w:val="16"/>
          <w:szCs w:val="16"/>
          <w:color w:val="auto"/>
        </w:rPr>
        <w:t>Generally, the right of setoff within master netting arrangements permits the fair value of derivative assets to be offset with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election, derivative assets and derivative liabilities are presented on the Consolidated Balance Sheets with the effect of such permitted netting as of March 31, 2025 and December 31, 2024.</w:t>
      </w:r>
    </w:p>
    <w:p>
      <w:pPr>
        <w:spacing w:after="0" w:line="131" w:lineRule="exact"/>
        <w:rPr>
          <w:sz w:val="20"/>
          <w:szCs w:val="20"/>
          <w:color w:val="auto"/>
        </w:rPr>
      </w:pPr>
    </w:p>
    <w:p>
      <w:pPr>
        <w:jc w:val="both"/>
        <w:ind w:right="460"/>
        <w:spacing w:after="0" w:line="286" w:lineRule="auto"/>
        <w:rPr>
          <w:sz w:val="20"/>
          <w:szCs w:val="20"/>
          <w:color w:val="auto"/>
        </w:rPr>
      </w:pPr>
      <w:r>
        <w:rPr>
          <w:rFonts w:ascii="Arial" w:cs="Arial" w:eastAsia="Arial" w:hAnsi="Arial"/>
          <w:sz w:val="16"/>
          <w:szCs w:val="16"/>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Derivative</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Eligible for Offset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Derivative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Collateral (Posted)</w:t>
            </w:r>
          </w:p>
        </w:tc>
        <w:tc>
          <w:tcPr>
            <w:tcW w:w="18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Received</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i w:val="1"/>
          <w:iCs w:val="1"/>
          <w:color w:val="auto"/>
        </w:rPr>
        <w:t xml:space="preserve">Statements of Operations Presentation. </w:t>
      </w:r>
      <w:r>
        <w:rPr>
          <w:rFonts w:ascii="Arial" w:cs="Arial" w:eastAsia="Arial" w:hAnsi="Arial"/>
          <w:sz w:val="16"/>
          <w:szCs w:val="16"/>
          <w:color w:val="auto"/>
        </w:rPr>
        <w:t>The location and pre-tax effect of “Derivative instruments” presented on the Consolidated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periods were: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gain (loss) on commodity contracts</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revenues </w:t>
            </w:r>
            <w:r>
              <w:rPr>
                <w:rFonts w:ascii="Arial" w:cs="Arial" w:eastAsia="Arial" w:hAnsi="Arial"/>
                <w:sz w:val="18"/>
                <w:szCs w:val="18"/>
                <w:color w:val="auto"/>
                <w:vertAlign w:val="superscript"/>
              </w:rPr>
              <w:t>(a)</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03"/>
        </w:trPr>
        <w:tc>
          <w:tcPr>
            <w:tcW w:w="83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Fuel and energy purchases </w:t>
            </w:r>
            <w:r>
              <w:rPr>
                <w:rFonts w:ascii="Arial" w:cs="Arial" w:eastAsia="Arial" w:hAnsi="Arial"/>
                <w:sz w:val="18"/>
                <w:szCs w:val="18"/>
                <w:color w:val="auto"/>
                <w:vertAlign w:val="superscript"/>
              </w:rPr>
              <w:t>(a)</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202"/>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commodity contracts</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8340" w:type="dxa"/>
            <w:vAlign w:val="bottom"/>
            <w:gridSpan w:val="2"/>
            <w:shd w:val="clear" w:color="auto" w:fill="E1E1E2"/>
          </w:tcPr>
          <w:p>
            <w:pPr>
              <w:ind w:left="20"/>
              <w:spacing w:after="0" w:line="203"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(b)</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w w:val="97"/>
              </w:rPr>
              <w:t>(108)</w:t>
            </w: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expenses </w:t>
            </w:r>
            <w:r>
              <w:rPr>
                <w:rFonts w:ascii="Arial" w:cs="Arial" w:eastAsia="Arial" w:hAnsi="Arial"/>
                <w:sz w:val="18"/>
                <w:szCs w:val="18"/>
                <w:color w:val="auto"/>
                <w:vertAlign w:val="superscript"/>
              </w:rPr>
              <w:t>(b)</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and unrealized gain (loss) on interest rate contracts</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Does not include those derivative instruments that settle through physical delivery.</w:t>
      </w: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Presented as “Unrealized gain (loss) on derivative instruments”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operating revenues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Electricity sales and ancillary services, ISO/RTO</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Physical electricity sales, bilateral contracts, other</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 from customers</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revenue from contracts with customers</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654</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416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Realized and unrealized gain (loss) on derivative instruments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940" w:type="dxa"/>
            <w:vAlign w:val="bottom"/>
            <w:shd w:val="clear" w:color="auto" w:fill="E1E1E2"/>
          </w:tcPr>
          <w:p>
            <w:pPr>
              <w:spacing w:after="0"/>
              <w:rPr>
                <w:sz w:val="17"/>
                <w:szCs w:val="17"/>
                <w:color w:val="auto"/>
              </w:rPr>
            </w:pPr>
          </w:p>
        </w:tc>
        <w:tc>
          <w:tcPr>
            <w:tcW w:w="5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revenues</w:t>
            </w: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390</w:t>
            </w:r>
          </w:p>
        </w:tc>
        <w:tc>
          <w:tcPr>
            <w:tcW w:w="100" w:type="dxa"/>
            <w:vAlign w:val="bottom"/>
            <w:shd w:val="clear" w:color="auto" w:fill="E1E1E2"/>
          </w:tcPr>
          <w:p>
            <w:pPr>
              <w:spacing w:after="0"/>
              <w:rPr>
                <w:sz w:val="19"/>
                <w:szCs w:val="19"/>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509</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Customer accounts receivable</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accounts receivable</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123</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three months ended March 31, 2025 and 2024, there were no significant changes in accounts receivable other than normal receivable recognition and collection transactions. See Note 3 for additional information on Talen’s credit risk on the carrying value of its 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Performance Obligations</w:t>
      </w:r>
    </w:p>
    <w:p>
      <w:pPr>
        <w:spacing w:after="0" w:line="16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the normal course of business, Talen has future performance obligations for capacity sales awarded through market-based capacity auctions and (or) for capacity sales under bilateral contractual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the expected future period capacity revenues subject to unsatisfied or partially unsatisfied performance obligations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9"/>
                <w:szCs w:val="9"/>
                <w:b w:val="1"/>
                <w:bCs w:val="1"/>
                <w:color w:val="auto"/>
              </w:rPr>
              <w:t>(a)</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2026 </w:t>
            </w:r>
            <w:r>
              <w:rPr>
                <w:rFonts w:ascii="Arial" w:cs="Arial" w:eastAsia="Arial" w:hAnsi="Arial"/>
                <w:sz w:val="9"/>
                <w:szCs w:val="9"/>
                <w:b w:val="1"/>
                <w:bCs w:val="1"/>
                <w:color w:val="auto"/>
              </w:rPr>
              <w:t>(b)</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2028</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2029</w:t>
            </w:r>
          </w:p>
        </w:tc>
      </w:tr>
      <w:tr>
        <w:trPr>
          <w:trHeight w:val="193"/>
        </w:trPr>
        <w:tc>
          <w:tcPr>
            <w:tcW w:w="43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Expected capacity revenues</w:t>
            </w:r>
          </w:p>
        </w:tc>
        <w:tc>
          <w:tcPr>
            <w:tcW w:w="80" w:type="dxa"/>
            <w:vAlign w:val="bottom"/>
            <w:shd w:val="clear" w:color="auto" w:fill="E1E1E2"/>
          </w:tcPr>
          <w:p>
            <w:pPr>
              <w:spacing w:after="0"/>
              <w:rPr>
                <w:sz w:val="16"/>
                <w:szCs w:val="16"/>
                <w:color w:val="auto"/>
              </w:rPr>
            </w:pPr>
          </w:p>
        </w:tc>
        <w:tc>
          <w:tcPr>
            <w:tcW w:w="940" w:type="dxa"/>
            <w:vAlign w:val="bottom"/>
            <w:tcBorders>
              <w:bottom w:val="single" w:sz="8" w:color="auto"/>
            </w:tcBorders>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421</w:t>
            </w:r>
          </w:p>
        </w:tc>
        <w:tc>
          <w:tcPr>
            <w:tcW w:w="80" w:type="dxa"/>
            <w:vAlign w:val="bottom"/>
            <w:shd w:val="clear" w:color="auto" w:fill="E1E1E2"/>
          </w:tcPr>
          <w:p>
            <w:pPr>
              <w:spacing w:after="0"/>
              <w:rPr>
                <w:sz w:val="16"/>
                <w:szCs w:val="16"/>
                <w:color w:val="auto"/>
              </w:rPr>
            </w:pPr>
          </w:p>
        </w:tc>
        <w:tc>
          <w:tcPr>
            <w:tcW w:w="940" w:type="dxa"/>
            <w:vAlign w:val="bottom"/>
            <w:tcBorders>
              <w:bottom w:val="single" w:sz="8" w:color="auto"/>
            </w:tcBorders>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E1E1E2"/>
          </w:tcPr>
          <w:p>
            <w:pPr>
              <w:spacing w:after="0"/>
              <w:rPr>
                <w:sz w:val="16"/>
                <w:szCs w:val="16"/>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6"/>
                <w:szCs w:val="16"/>
                <w:color w:val="auto"/>
              </w:rPr>
            </w:pPr>
          </w:p>
        </w:tc>
        <w:tc>
          <w:tcPr>
            <w:tcW w:w="960" w:type="dxa"/>
            <w:vAlign w:val="bottom"/>
            <w:tcBorders>
              <w:bottom w:val="single" w:sz="8" w:color="auto"/>
            </w:tcBorders>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6"/>
                <w:szCs w:val="16"/>
                <w:color w:val="auto"/>
              </w:rPr>
            </w:pPr>
          </w:p>
        </w:tc>
        <w:tc>
          <w:tcPr>
            <w:tcW w:w="28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Estimated for the period from April 1, 2025 through December 31, 2025.</w:t>
      </w: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PJM capacity revenues are estimated for the period from January 1, 2026 through May 31, 2026 for the remainder of the 2025/2026 PJM Capacity Year.</w:t>
      </w:r>
    </w:p>
    <w:p>
      <w:pPr>
        <w:spacing w:after="0" w:line="234"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No PJM BRAs have been held since the 2025/2026 PJM BRA. The 2026/2027 PJM BRA has been postponed to July 2025. See Note 10 for additional information on the PJM BRAs.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Effective Tax Rate Reconciliations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reconciliations of the effective tax rate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0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(loss) before income taxes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388</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980" w:type="dxa"/>
            <w:vAlign w:val="bottom"/>
          </w:tcPr>
          <w:p>
            <w:pPr>
              <w:spacing w:after="0"/>
              <w:rPr>
                <w:sz w:val="17"/>
                <w:szCs w:val="17"/>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234"/>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Effective tax rate</w:t>
            </w:r>
          </w:p>
        </w:tc>
        <w:tc>
          <w:tcPr>
            <w:tcW w:w="980" w:type="dxa"/>
            <w:vAlign w:val="bottom"/>
            <w:shd w:val="clear" w:color="auto" w:fill="E1E1E2"/>
          </w:tcPr>
          <w:p>
            <w:pPr>
              <w:spacing w:after="0"/>
              <w:rPr>
                <w:sz w:val="20"/>
                <w:szCs w:val="20"/>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27.8 %</w:t>
            </w:r>
          </w:p>
        </w:tc>
        <w:tc>
          <w:tcPr>
            <w:tcW w:w="10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17.8 %</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Federal income tax statutory tax rate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 benefit (expense) computed at the federal income tax statutory tax rate</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(82)</w:t>
            </w:r>
          </w:p>
        </w:tc>
      </w:tr>
      <w:tr>
        <w:trPr>
          <w:trHeight w:val="20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increase (decrease) due to:</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permanent differences</w:t>
            </w:r>
          </w:p>
        </w:tc>
        <w:tc>
          <w:tcPr>
            <w:tcW w:w="980" w:type="dxa"/>
            <w:vAlign w:val="bottom"/>
            <w:shd w:val="clear" w:color="auto" w:fill="E1E1E2"/>
          </w:tcPr>
          <w:p>
            <w:pPr>
              <w:spacing w:after="0"/>
              <w:rPr>
                <w:sz w:val="20"/>
                <w:szCs w:val="20"/>
                <w:color w:val="auto"/>
              </w:rPr>
            </w:pPr>
          </w:p>
        </w:tc>
        <w:tc>
          <w:tcPr>
            <w:tcW w:w="5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7</w:t>
            </w:r>
          </w:p>
        </w:tc>
      </w:tr>
      <w:tr>
        <w:trPr>
          <w:trHeight w:val="22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980" w:type="dxa"/>
            <w:vAlign w:val="bottom"/>
          </w:tcPr>
          <w:p>
            <w:pPr>
              <w:spacing w:after="0"/>
              <w:rPr>
                <w:sz w:val="19"/>
                <w:szCs w:val="19"/>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w:t>
            </w:r>
          </w:p>
        </w:tc>
      </w:tr>
      <w:tr>
        <w:trPr>
          <w:trHeight w:val="233"/>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NDT taxes</w:t>
            </w:r>
          </w:p>
        </w:tc>
        <w:tc>
          <w:tcPr>
            <w:tcW w:w="980" w:type="dxa"/>
            <w:vAlign w:val="bottom"/>
            <w:shd w:val="clear" w:color="auto" w:fill="E1E1E2"/>
          </w:tcPr>
          <w:p>
            <w:pPr>
              <w:spacing w:after="0"/>
              <w:rPr>
                <w:sz w:val="20"/>
                <w:szCs w:val="20"/>
                <w:color w:val="auto"/>
              </w:rPr>
            </w:pPr>
          </w:p>
        </w:tc>
        <w:tc>
          <w:tcPr>
            <w:tcW w:w="5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(11)</w:t>
            </w:r>
          </w:p>
        </w:tc>
      </w:tr>
      <w:tr>
        <w:trPr>
          <w:trHeight w:val="22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98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w:t>
            </w:r>
          </w:p>
        </w:tc>
      </w:tr>
      <w:tr>
        <w:trPr>
          <w:trHeight w:val="229"/>
        </w:trPr>
        <w:tc>
          <w:tcPr>
            <w:tcW w:w="80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80" w:type="dxa"/>
            <w:vAlign w:val="bottom"/>
            <w:shd w:val="clear" w:color="auto" w:fill="E1E1E2"/>
          </w:tcPr>
          <w:p>
            <w:pPr>
              <w:spacing w:after="0"/>
              <w:rPr>
                <w:sz w:val="19"/>
                <w:szCs w:val="19"/>
                <w:color w:val="auto"/>
              </w:rPr>
            </w:pPr>
          </w:p>
        </w:tc>
        <w:tc>
          <w:tcPr>
            <w:tcW w:w="980" w:type="dxa"/>
            <w:vAlign w:val="bottom"/>
            <w:tcBorders>
              <w:bottom w:val="single" w:sz="8" w:color="auto"/>
            </w:tcBorders>
            <w:shd w:val="clear" w:color="auto" w:fill="E1E1E2"/>
          </w:tcPr>
          <w:p>
            <w:pPr>
              <w:spacing w:after="0"/>
              <w:rPr>
                <w:sz w:val="19"/>
                <w:szCs w:val="19"/>
                <w:color w:val="auto"/>
              </w:rPr>
            </w:pPr>
          </w:p>
        </w:tc>
        <w:tc>
          <w:tcPr>
            <w:tcW w:w="52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spacing w:after="0"/>
              <w:rPr>
                <w:sz w:val="19"/>
                <w:szCs w:val="19"/>
                <w:color w:val="auto"/>
              </w:rPr>
            </w:pPr>
          </w:p>
        </w:tc>
        <w:tc>
          <w:tcPr>
            <w:tcW w:w="116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8</w:t>
            </w:r>
          </w:p>
        </w:tc>
      </w:tr>
      <w:tr>
        <w:trPr>
          <w:trHeight w:val="226"/>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(69)</w:t>
            </w:r>
          </w:p>
        </w:tc>
      </w:tr>
      <w:tr>
        <w:trPr>
          <w:trHeight w:val="22"/>
        </w:trPr>
        <w:tc>
          <w:tcPr>
            <w:tcW w:w="8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Inventory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Oil products</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inventory for electric generation</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Materials and supplies, net</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 net</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302</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Nuclear Decommissioning Trust Funds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securities</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622</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615</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Receivables (payables), net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1,143</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627</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1,717</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1,132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654</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1,724</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See Note 12 for additional information on the NDT fair value. There were no available-for-sale debt securities with credit losses as of March 31, 2025 and December 31, 2024.</w:t>
      </w:r>
    </w:p>
    <w:p>
      <w:pPr>
        <w:spacing w:after="0" w:line="115"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As of March 31, 2025,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March 31, 2025 were: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Unrealized Losses</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debt securities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Municipal debt securities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in unrealized loss position</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As of March 31, 2025, the aggregate fair value of debt securities in a loss position for a duration of one year or longer were $42 million and the unrealized losses were non-material.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contractual maturities for available-for-sale debt securities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Maturities within one year</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82</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Maturities within two to five years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Maturities thereafter</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309</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fair value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611</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sales proceeds, gains, and losses for available-for-sale debt securities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Sales proceeds of NDT funds investments </w:t>
            </w:r>
            <w:r>
              <w:rPr>
                <w:rFonts w:ascii="Arial" w:cs="Arial" w:eastAsia="Arial" w:hAnsi="Arial"/>
                <w:sz w:val="9"/>
                <w:szCs w:val="9"/>
                <w:color w:val="auto"/>
              </w:rPr>
              <w:t>(a)</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Gross realized gains</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Gross realized losses</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Sales proceeds are used to pay income taxes and trust management fees. Remaining proceeds are reinvested in the NDT.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March 31, 2025</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Gross Value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3-27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3,057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(340)</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2,717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3,030</w:t>
            </w:r>
          </w:p>
        </w:tc>
        <w:tc>
          <w:tcPr>
            <w:tcW w:w="240" w:type="dxa"/>
            <w:vAlign w:val="bottom"/>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Nuclear fuel</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property and equipment</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1-26</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169</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3,676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(538)</w:t>
            </w:r>
          </w:p>
        </w:tc>
        <w:tc>
          <w:tcPr>
            <w:tcW w:w="8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3,138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3,619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21"/>
        </w:trPr>
        <w:tc>
          <w:tcPr>
            <w:tcW w:w="2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“Depreciation, amortization and accretion</w:t>
      </w:r>
      <w:r>
        <w:rPr>
          <w:rFonts w:ascii="Arial" w:cs="Arial" w:eastAsia="Arial" w:hAnsi="Arial"/>
          <w:sz w:val="16"/>
          <w:szCs w:val="16"/>
          <w:i w:val="1"/>
          <w:iCs w:val="1"/>
          <w:color w:val="auto"/>
        </w:rPr>
        <w:t>”</w:t>
      </w:r>
      <w:r>
        <w:rPr>
          <w:rFonts w:ascii="Arial" w:cs="Arial" w:eastAsia="Arial" w:hAnsi="Arial"/>
          <w:sz w:val="16"/>
          <w:szCs w:val="16"/>
          <w:color w:val="auto"/>
        </w:rPr>
        <w:t xml:space="preserve"> presented on the Consolidated Statements of Operations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18"/>
                <w:szCs w:val="18"/>
                <w:color w:val="auto"/>
                <w:vertAlign w:val="superscript"/>
              </w:rPr>
              <w:t>(a)</w:t>
            </w: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Amortization expense </w:t>
            </w:r>
            <w:r>
              <w:rPr>
                <w:rFonts w:ascii="Arial" w:cs="Arial" w:eastAsia="Arial" w:hAnsi="Arial"/>
                <w:sz w:val="18"/>
                <w:szCs w:val="18"/>
                <w:color w:val="auto"/>
                <w:vertAlign w:val="superscript"/>
              </w:rPr>
              <w:t>(b)</w:t>
            </w: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2"/>
        </w:trPr>
        <w:tc>
          <w:tcPr>
            <w:tcW w:w="8240" w:type="dxa"/>
            <w:vAlign w:val="bottom"/>
            <w:tcBorders>
              <w:bottom w:val="single" w:sz="8" w:color="auto"/>
            </w:tcBorders>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Accretion expense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r>
      <w:tr>
        <w:trPr>
          <w:trHeight w:val="19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Electric generation and other property and equipment.</w:t>
      </w: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Intangible assets and capitalized software.</w:t>
      </w: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ARO and accrued environmental cost accretion. See Note 9 for additional information.</w:t>
      </w:r>
    </w:p>
    <w:p>
      <w:pPr>
        <w:spacing w:after="0" w:line="15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cost of nuclear fuel and the amortization of nuclear fuel intangible assets are presented as “Nuclear fuel amortization” on the Consolidated Statements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Reliability Impact Assessments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Brandon Shores and H.A. Wagner RMR Arrangements. </w:t>
      </w:r>
      <w:r>
        <w:rPr>
          <w:rFonts w:ascii="Arial" w:cs="Arial" w:eastAsia="Arial" w:hAnsi="Arial"/>
          <w:sz w:val="16"/>
          <w:szCs w:val="16"/>
          <w:color w:val="auto"/>
        </w:rPr>
        <w:t>In 2023, we notified PJM of our intent to deactivate electric generation at both our Brandon Shores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H.A. Wagner facilities on June 1, 2025. However, PJM subsequently notified us that both Brandon Shores and H.A. Wagner are needed past their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previously planned retirement dates to maintain reliability in PJM. In January 2025, we reached a settlement with key stakeholders on the terms of an RMR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arrangement and filed with FERC the resulting Joint Offers of Settlement regarding both facilities’ RMR Continuing Operations Rates Schedules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“CORS”). On May 1, 2025, the FERC approved the terms under which Talen will operate these plants through May 31, 2029, or until such time as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necessary transmission upgrades are placed into service. Beginning June 1, 2025, the CORS will provide an annual fixed-cost payment of $145 million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($312/MWd) for Brandon Shores and $35 million ($137/MWd) for H.A. Wagner, which includes a performance “hold back” of $5 million per year for Brandon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Shores and $2 million per year for H.A. Wagner, each to be paid out based on unit performance. We will also receive separate reimbursement for variable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costs and approved project investments.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Asset Retirement Obligations and Accrued Environmental Costs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environmental costs</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 retirement obligations and accrued environmental costs</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529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519</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Less: asset retirement obligations and accrued environmental costs due within one year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 retirement obligations and accrued environmental costs due after one year</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468</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Presented as “Other current liabilities” on the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Retirement Obligations</w:t>
      </w:r>
    </w:p>
    <w:p>
      <w:pPr>
        <w:spacing w:after="0" w:line="17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Certain subsidiaries of the Company have legal retirement obligations for the decommissioning and environmental remediation costs associated with our current and former generation,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(which the NDT is expected to fund) and coal ash disposal units associated with legacy coal-fired generation facilities (for which the Company has posted surety bonds and letters of credit for certain facilities). The carrying value of these obligations include assumptions of estimated future ARO cash expenditures, cost escalation rates, probabilistic cash flow models, and discount rates. The carrying value of AROs associated with legacy coal-fired generation facilities may be impacted by current or future EPA rulemaking. Additionally, as of March 31, 2025, the fair values of certain AROs as a result of the EPA CCR Rule cannot be determined. See Note 10 for additional information on the EPA CCR Rule and the regulatory timeline that is expected to determine the associated scope of work.</w:t>
      </w:r>
    </w:p>
    <w:p>
      <w:pPr>
        <w:spacing w:after="0" w:line="12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changes of the ARO carrying value during the period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498</w:t>
            </w: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Obligations settled</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Accretion expense</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2025</w:t>
            </w:r>
          </w:p>
        </w:tc>
        <w:tc>
          <w:tcPr>
            <w:tcW w:w="600" w:type="dxa"/>
            <w:vAlign w:val="bottom"/>
            <w:shd w:val="clear" w:color="auto" w:fill="E1E1E2"/>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508</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information for the ARO: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 xml:space="preserve">Nuclear </w:t>
            </w:r>
            <w:r>
              <w:rPr>
                <w:rFonts w:ascii="Arial" w:cs="Arial" w:eastAsia="Arial" w:hAnsi="Arial"/>
                <w:sz w:val="9"/>
                <w:szCs w:val="9"/>
                <w:color w:val="auto"/>
              </w:rPr>
              <w:t>(a)</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Non-Nuclear </w:t>
            </w:r>
            <w:r>
              <w:rPr>
                <w:rFonts w:ascii="Arial" w:cs="Arial" w:eastAsia="Arial" w:hAnsi="Arial"/>
                <w:sz w:val="9"/>
                <w:szCs w:val="9"/>
                <w:color w:val="auto"/>
              </w:rPr>
              <w:t>(b)</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256</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508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498</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Obligations are expected to be settled with available funds in the NDT at the time of decommissioning. See Note 12 for additional information on the NDT.</w:t>
      </w:r>
    </w:p>
    <w:p>
      <w:pPr>
        <w:ind w:left="320" w:hanging="312"/>
        <w:spacing w:after="0"/>
        <w:tabs>
          <w:tab w:leader="none" w:pos="3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Certain obligations are: (i) partially supported by surety bonds, some of which have been collateralized with cash and (or) LCs; or (ii) partially prefunded under phased installment agreements.</w:t>
      </w:r>
    </w:p>
    <w:p>
      <w:pPr>
        <w:spacing w:after="0" w:line="178"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As a result of environmental regulations issued by the EPA or other rule-making entities, the Company may be required to revise and (or) recognize new AROs. See “Environmental Matters” in Note 10 for additional information. See “Talen Montana Financial Assurance” in Note 10 for information on Talen Montana’s requirement to provide financial assurance for certain environmental decommissioning and remediation liabilities related to Colstrip.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Matters</w:t>
      </w:r>
    </w:p>
    <w:p>
      <w:pPr>
        <w:spacing w:after="0" w:line="17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spacing w:after="0" w:line="13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i w:val="1"/>
          <w:iCs w:val="1"/>
          <w:color w:val="auto"/>
        </w:rPr>
        <w:t xml:space="preserve">Brunner Island CCR Litigation. </w:t>
      </w:r>
      <w:r>
        <w:rPr>
          <w:rFonts w:ascii="Arial" w:cs="Arial" w:eastAsia="Arial" w:hAnsi="Arial"/>
          <w:sz w:val="16"/>
          <w:szCs w:val="16"/>
          <w:color w:val="auto"/>
        </w:rPr>
        <w:t>On April 2, 2025, the Center for Biological Diversity (the “CBD”) filed a citizen suit in the U.S. District Court for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Pennsylvania alleging that the Company and its subsidiary, Brunner Island, LLC, have failed to comply with groundwater monitoring and corrective action requirements at Brunner Island’s Ash Basin 5 and have therefore violated the Resource Conservation and Recovery Act (“RCRA”) and the EPA CCR Rule. The complaint seeks declaratory and injunctive relief. Talen believes the alleged claims are without merit and that the CBD’s factual and legal conclusions are incorrect. At this time, no assurance can be provided as to the outcome of the litigation or its impacts on Talen’s operations.</w:t>
      </w:r>
    </w:p>
    <w:p>
      <w:pPr>
        <w:spacing w:after="0" w:line="137"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ERCOT Weather Event (Winter Storm Uri) Lawsuits. </w:t>
      </w:r>
      <w:r>
        <w:rPr>
          <w:rFonts w:ascii="Arial" w:cs="Arial" w:eastAsia="Arial" w:hAnsi="Arial"/>
          <w:sz w:val="16"/>
          <w:szCs w:val="16"/>
          <w:color w:val="auto"/>
        </w:rPr>
        <w:t>In connection with the ERCOT Sale, the Company retained certain potential liabilities relating to claims</w:t>
      </w:r>
      <w:r>
        <w:rPr>
          <w:rFonts w:ascii="Arial" w:cs="Arial" w:eastAsia="Arial" w:hAnsi="Arial"/>
          <w:sz w:val="16"/>
          <w:szCs w:val="16"/>
          <w:i w:val="1"/>
          <w:iCs w:val="1"/>
          <w:color w:val="auto"/>
        </w:rPr>
        <w:t xml:space="preserve"> </w:t>
      </w:r>
      <w:r>
        <w:rPr>
          <w:rFonts w:ascii="Arial" w:cs="Arial" w:eastAsia="Arial" w:hAnsi="Arial"/>
          <w:sz w:val="16"/>
          <w:szCs w:val="16"/>
          <w:color w:val="auto"/>
        </w:rPr>
        <w:t>filed from 2021 onward against its former Texas subsidiaries seeking unspecified damages for alleged losses caused by the defendants’ failure to provide sufficient power to the grid during Winter Storm Uri. The claims also allege similar liability against numerous other ERCOT power market participants. In December 2023, five multi-district litigation (“MDL”) bellwether lawsuits, which were selected by the MDL court as representative of all 58 cases filed in the Uri litigation, were dismissed by the MDL court, a ruling subsequently upheld by the Texas First Court of Appeals. In January and February 2025, the plaintiffs (in two groups) filed for relief in the Texas Supreme Court, seeking to overturn the lower courts. If affirmed by the Texas Supreme Court, Talen expects the dismissal ruling to apply broadly to all Uri cases against Talen’s former subsidiaries. Pursuant to the Plan of Reorganization, Talen’s maximum potential damages on prepetition Uri claims are expressly limited to payments from Talen’s insurers. However, claims filed after the Restructuring by plaintiffs who did not receive effective notice of the Restructuring, if any, may not be subject to the limitations in the Plan of Reorganization.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Matters</w:t>
      </w:r>
    </w:p>
    <w:p>
      <w:pPr>
        <w:spacing w:after="0" w:line="17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FERC; the Department of Energy; the NRC;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PJM Capacity Market Reform. </w:t>
      </w:r>
      <w:r>
        <w:rPr>
          <w:rFonts w:ascii="Arial" w:cs="Arial" w:eastAsia="Arial" w:hAnsi="Arial"/>
          <w:sz w:val="16"/>
          <w:szCs w:val="16"/>
          <w:color w:val="auto"/>
        </w:rPr>
        <w:t>In June 2023, FERC accepted a request by PJM to delay certain PJM Base Residual Auctions in order for PJM to propose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reforms. PJM filed its market reform proposals with FERC in October 2023. In early 2024, FERC accepted portions of PJM’s proposed market changes. PJM held the PJM BRA for the 2025/2026 PJM Capacity Year in July 2024 which incorporated the FERC accepted changes. The PJM BRAs for the 2026/2027, 2027/2028, and 2028/2029 PJM Capacity Years were previously scheduled for December 2024, June 2025 (later changed to July 2025), and December 2025, respectively; however in September 2024, the Sierra Club and other organizations filed a complaint at FERC challenging PJM’s rules establishing must-offer exceptions for PJM BRA participation by RMR resources and seeking to delay the 2026/2027 PJM BRA pending resolution of its complaint. In October 2024, PJM announced it had concerns about FERC considering the Sierra Club’s complaints about RMR resources in isolation and therefore intended to file a Section 205 proceeding under the Federal Power Act seeking FERC’s approval of to-be-determined market reforms, including but not limited to potential revisions to the treatment of RMR resources. As a result, in October 2024 PJM formally requested that FERC approve six-month delays in the PJM BRAs for the 2026/2027, 2027/2028, 2028/2029, and 2029/2030 PJM Capacity Years and in November 2024, FERC approved the auction delays. The planning parameters for the 2026/2027 PJM BRA were issued in March 2025. Talen can provide no assurance that the four scheduled auctions will be held as scheduled or at all.</w:t>
      </w:r>
    </w:p>
    <w:p>
      <w:pPr>
        <w:spacing w:after="0" w:line="14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 series of filings aimed at reforming the PJM capacity market were filed at FERC. In November 2024, the Joint Consumer Advocates, comprised of consumer advocacy groups and government entities from Illinois, Maryland, New Jersey, Ohio, and the District of Columbia filed a complaint against PJM asking FERC to find that PJM’s existing capacity market rules are unjust and unreasonable and issue an order requiring certain short-term and longer-term changes to PJM’s capacity market rules.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response, PJM made two FERC filings in December 2024 to address what they perceive as capacity market design issues (the “PJM Capacity Market 205 Proceeding”). PJM proposed to retain the dual fuel combustion turbine as the reference resource and to implement a uniform non-performance charge throughout the RTO for the 2026/2027 and 2027/2028 delivery years, and to administratively include RMR units that meet certain criteria as price takers in the capacity auctions for the next two delivery years and will not assess penalties or pay bonuses to these RMR units.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In February 2025, FERC accepted PJM’s proposals in the PJM Capacity Market 205 Proceeding and as a result, the changes to the PJM BRA parameters described above as part of that proceeding will be adopted for the 2026/2027 and 2027/2028 PJM Capacity Years.</w:t>
      </w:r>
    </w:p>
    <w:p>
      <w:pPr>
        <w:spacing w:after="0" w:line="13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Following the above filings, in December 2024, the Pennsylvania Governor filed a complaint against PJM at FERC to address alleged elevated costs to consumers from the PJM capacity market in the 2026/2027 and 2027/2028 delivery years. Among other things, the Governor’s complaint proposed to lower the capacity price cap and reopen the closed interconnection queue to get new projects online. In January 2025, the Governor filed a motion to consolidate his complaint with the Joint Consumer Advocates complaint and two PJM filings referenced above. On January 28, 2025, the Governor and PJM announced they had reached an agreement to resolve the Governor’s complaint. That agreement would impose a collar on the capacity prices in the 2026/2027 and 2027/2028 PJM BRAs, with a minimum capacity price of $175/MWd and a maximum price of $325/MWd. On February 14, 2025, the Pennsylvania Governor withdrew the complaint at FERC as a result of the agreement with PJM. In April 2025, FERC accepted PJM’s proposals on a new PJM Capacity Market 205 Proceeding and, as a result, the changes to the PJM BRA parameters imposing the collar will be adopted for the 2026/2027 and 2027/2028 PJM Capacity Years.</w:t>
      </w:r>
    </w:p>
    <w:p>
      <w:pPr>
        <w:spacing w:after="0" w:line="12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On February 20, 2025, FERC initiated a technical conference docket to consider broad resource adequacy issues across all RTOs, with the initial proceedings to take place on June 4 and 5, 2025. The Company has intervened in the new technical conference docket and intends to participate in those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Extensive federal, state, and local environmental laws and regulations are applicable to our business, including those related to air emissions, water discharges, and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However, future provisions, implementation, and enforcement of these executive actions and the environmental rules remains uncertain at this time. Further, costs may increase significantly if the requirements or scope of environmental laws or regulations, or similar rules, are expanded or changed in other ways.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i w:val="1"/>
          <w:iCs w:val="1"/>
          <w:color w:val="auto"/>
        </w:rPr>
        <w:t xml:space="preserve">EPA CSAPR and Nitrogen Oxides (“NOx”) Requirements. </w:t>
      </w:r>
      <w:r>
        <w:rPr>
          <w:rFonts w:ascii="Arial" w:cs="Arial" w:eastAsia="Arial" w:hAnsi="Arial"/>
          <w:sz w:val="16"/>
          <w:szCs w:val="16"/>
          <w:color w:val="auto"/>
        </w:rPr>
        <w:t>Coal-fired generation facilities, including those in which Talen has ownership, have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Pennsylvania, and New Jersey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After initially denying EPA’s request in February 2025, on April 14, 2025 the D.C. Circuit Court of Appeals granted the EPA’s motion requesting the Good Neighbor Plan litigation be held in abeyance pending the EPA’s review of the stayed rule and further orders by the court. As a result, future implementation and enforcement of the Good Neighbor Plan remains uncertain at this time.</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i w:val="1"/>
          <w:iCs w:val="1"/>
          <w:color w:val="auto"/>
        </w:rPr>
        <w:t xml:space="preserve">EPA MATS Rule. </w:t>
      </w:r>
      <w:r>
        <w:rPr>
          <w:rFonts w:ascii="Arial" w:cs="Arial" w:eastAsia="Arial" w:hAnsi="Arial"/>
          <w:sz w:val="16"/>
          <w:szCs w:val="16"/>
          <w:color w:val="auto"/>
        </w:rPr>
        <w:t>In May 2024, the EPA published a rule that requires coal-fired generation facilities to reduce particulate matter emissions by the middle of</w:t>
      </w:r>
      <w:r>
        <w:rPr>
          <w:rFonts w:ascii="Arial" w:cs="Arial" w:eastAsia="Arial" w:hAnsi="Arial"/>
          <w:sz w:val="16"/>
          <w:szCs w:val="16"/>
          <w:i w:val="1"/>
          <w:iCs w:val="1"/>
          <w:color w:val="auto"/>
        </w:rPr>
        <w:t xml:space="preserve"> </w:t>
      </w:r>
      <w:r>
        <w:rPr>
          <w:rFonts w:ascii="Arial" w:cs="Arial" w:eastAsia="Arial" w:hAnsi="Arial"/>
          <w:sz w:val="16"/>
          <w:szCs w:val="16"/>
          <w:color w:val="auto"/>
        </w:rPr>
        <w:t>2027 (or 2028, if an extension is approved). Colstrip is not expected to meet the new particulate matter standard without substantial upgrades to its control equipment. As a result, Talen Montana and the other Colstrip co-owners face the decision either to invest in new cost-prohibitive control equipment or retire the Colstrip facility. Such decision must be evaluated in conjunction with compliance requirements under the May 2024 EPA GHG Rule due to timing and costs. Challenges to the EPA MATS Rule have been filed in the D.C. Circuit Court of Appeals, including by Talen and 23 states. After motions to stay the EPA MATS Rule during the pendency of the litigation were denied by the D.C. Circuit Court of Appeals, Talen and other parties filed emergency stay request applications with the U.S. Supreme Court in September 2024, which were denied in October 2024. The appeal on the merits of the new rule remains pending in the D.C. Circuit Court of Appeals. In February 2025, the D.C. Circuit Court of Appeals granted the EPA’s unopposed motion to hold the MATS litigation in abeyance for 90 days. No assurance can be provided as to when the challenges to the EPA MATS Rule will be resolved or whether such challenges will be resolved in the Company’s favor.</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March 2025, the EPA announced that it was reconsidering the EPA MATS Rule as part of its deregulation agenda. Concurrently, the Trump administration announced it was considering a two-year exemption from compliance obligations via Section 112(i)(4) of the Clean Air Act for affected power plants while the EPA reconsiders the rule. Talen applied for the exemption and received official notification that the request had been granted on April 14, 2025. This authorization affords more time for the Colstrip owners to consider the operational future of Colstrip. Anticipating the authorization will be the subject of legal challenges, and the EPA’s regulatory reconsideration will take time and could also be challenged in court, the Company could be forced to make operating decisions about the future of Colstrip before clarity is obtained on related litigation outcomes. In May 2025, the EPA submitted an EPA MATS Rule repeal proposal to the White House Office of Management and Budget.</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EPA GHG Rule. </w:t>
      </w:r>
      <w:r>
        <w:rPr>
          <w:rFonts w:ascii="Arial" w:cs="Arial" w:eastAsia="Arial" w:hAnsi="Arial"/>
          <w:sz w:val="16"/>
          <w:szCs w:val="16"/>
          <w:color w:val="auto"/>
        </w:rPr>
        <w:t>In May 2024, the EPA published a rule that establishes carbon dioxide limits for new electric generating units (“EGUs”) and GHG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spacing w:after="0" w:line="13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February 2025, the D.C. Circuit Court of Appeals granted the EPA’s unopposed motion to hold the litigation in abeyance for 60 days, and the EPA filed another unopposed motion in April 2025 to extend the litigation abeyance while it reconsiders the rule, which the court granted. No assurance can be provided as to when the challenges to the EPA GHG Rule will be resolved or whether such challenges will be resolved in the Company’s favor. Additionally, the EPA has formally announced it will reconsider the EPA GHG Rule. According to the EPA’s website, the EPA intends to issue a proposed reconsideration rule in the Spring of 2025 and a final rule by December 2025. In May 2025, the EPA sent a proposal to the White House Office of Management and Budget to repeal the EPA GHG Rule.The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regulatory reconsideration.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Pennsylvania RGGI. </w:t>
      </w:r>
      <w:r>
        <w:rPr>
          <w:rFonts w:ascii="Arial" w:cs="Arial" w:eastAsia="Arial" w:hAnsi="Arial"/>
          <w:sz w:val="16"/>
          <w:szCs w:val="16"/>
          <w:color w:val="auto"/>
        </w:rPr>
        <w:t>In October 2019, the then-Governor of Pennsylvania signed an executive order directing the Pennsylvania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The litigation is ongoing.</w:t>
      </w:r>
    </w:p>
    <w:p>
      <w:pPr>
        <w:spacing w:after="0" w:line="13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i w:val="1"/>
          <w:iCs w:val="1"/>
          <w:color w:val="auto"/>
        </w:rPr>
        <w:t xml:space="preserve">EPA ELG Rule. </w:t>
      </w:r>
      <w:r>
        <w:rPr>
          <w:rFonts w:ascii="Arial" w:cs="Arial" w:eastAsia="Arial" w:hAnsi="Arial"/>
          <w:sz w:val="16"/>
          <w:szCs w:val="16"/>
          <w:color w:val="auto"/>
        </w:rPr>
        <w:t>In November 2015, the EPA revised the effluent limitation guidelines for certain power generation facilities, which imposed more stringent</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w:t>
      </w:r>
    </w:p>
    <w:p>
      <w:pPr>
        <w:spacing w:after="0" w:line="32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Multiple challenges, including stay requests, to the EPA ELG Rule have been filed in various U.S. Courts of Appeal by parties that include 15 states, environmental groups, and industry groups, including the Utility Water Act Group, of which Talen is a member. The appeals have been consolidated in the U.S. Court of Appeals for the Eighth Circuit, which denied requests to stay the rule in October 2024. In February 2025, the Eighth Circuit granted the EPA’s motion to hold the consolidated challenges in abeyance for 60 days while it reconsiders the rule. In March 2025, the EPA announced that it will revise the EPA ELG Rule as part of its deregulation agenda while considering immediate relief from some of the existing leachate requirements. No assurance can be provided as to what changes will come from the EPA’s regulatory reconsideration of the rule, when the challenges to the EPA ELG Rule merits will be resolved, or whether such changes and challenges will be resolved in the Company’s favor.</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EPA CCR Rule. </w:t>
      </w:r>
      <w:r>
        <w:rPr>
          <w:rFonts w:ascii="Arial" w:cs="Arial" w:eastAsia="Arial" w:hAnsi="Arial"/>
          <w:sz w:val="16"/>
          <w:szCs w:val="16"/>
          <w:color w:val="auto"/>
        </w:rPr>
        <w:t>In April 2015, the EPA established regulations under the RCRA to identify CCRs as nonhazardous solid waste and provided CCR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In December 2024, the U.S. Supreme Court denied a requested stay of the Legacy CCR Rule. In February 2025, the D.C Circuit Court of Appeals granted the EPA’s unopposed motion to hold the litigation in abeyance for 120 days. Additionally, the EPA is being challenged by other industry parties on new regulatory interpretations that could be consequential to CCR unit closure practices and costs. In March 2025, the EPA announced that it will prioritize the coal ash program by expediting state permit reviews and complete a rule change within a year. No assurance can be provided at this time as to when and how the regulations will change, when the legal challenges to the Legacy CCR Rule and the EPA’s interpretations will be resolved, or whether such challenges will be decided in the Company’s favor.</w:t>
      </w:r>
    </w:p>
    <w:p>
      <w:pPr>
        <w:spacing w:after="0" w:line="34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Talen continues to review the new Legacy CCR Rule provisions that went into effect in 2024, perform the required applicability assessments, and await additional information and guidance from the EPA concerning the rule’s requirements. Pursuant to the regulations, initial facility evaluation reports to identify CCR areas which may become regulated and subject to the rule’s requirements are due in February 2026. Following that, site investigation may be required to further investigate applicability, and a subsequent facility report is due in February 2027. The Company has initiated reviews under the facility evaluation report requirements at locations with ash impoundments that have long since ceased coal operations as well as at locations with current coal operations. No assurance can be provided as to whether any specific ash impoundments owned by the Company may or may not be within scope of the updated Legacy CCR Rule until the Company completes its assessments within the regulatory timeframe.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of March 31, 2025, the Company has identified required cost estimates in order to comply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pacing w:after="0" w:line="33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April 2025, a citizen suit was filed in the U.S. District Court for the Middle District of Pennsylvania alleging that the Company and its subsidiary, Brunner Island, LLC, are in violation of RCRA and the EPA CCR Rule. See the “Legal Matters” section above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Resolved Matters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See Note 12 to the Annual Financial Statements for certain legal matters previously resolved.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Guarantees and Other Assurances</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w:t>
      </w:r>
    </w:p>
    <w:p>
      <w:pPr>
        <w:spacing w:after="0" w:line="13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i w:val="1"/>
          <w:iCs w:val="1"/>
          <w:color w:val="auto"/>
        </w:rPr>
        <w:t xml:space="preserve">Surety Bonds. </w:t>
      </w:r>
      <w:r>
        <w:rPr>
          <w:rFonts w:ascii="Arial" w:cs="Arial" w:eastAsia="Arial" w:hAnsi="Arial"/>
          <w:sz w:val="16"/>
          <w:szCs w:val="16"/>
          <w:color w:val="auto"/>
        </w:rPr>
        <w:t>Surety bonds provide financial performance assurance to third parties on behalf of certain Company subsidiaries for obligations including but</w:t>
      </w:r>
      <w:r>
        <w:rPr>
          <w:rFonts w:ascii="Arial" w:cs="Arial" w:eastAsia="Arial" w:hAnsi="Arial"/>
          <w:sz w:val="16"/>
          <w:szCs w:val="16"/>
          <w:i w:val="1"/>
          <w:iCs w:val="1"/>
          <w:color w:val="auto"/>
        </w:rPr>
        <w:t xml:space="preserve"> </w:t>
      </w:r>
      <w:r>
        <w:rPr>
          <w:rFonts w:ascii="Arial" w:cs="Arial" w:eastAsia="Arial" w:hAnsi="Arial"/>
          <w:sz w:val="16"/>
          <w:szCs w:val="16"/>
          <w:color w:val="auto"/>
        </w:rPr>
        <w:t>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March 31, 2025 and December 31, 2024, the aggregate amount of surety bonds outstanding was $238 million and $234 million, respectively, including surety bonds posted on behalf of Talen Montana as discussed below.</w:t>
      </w:r>
    </w:p>
    <w:p>
      <w:pPr>
        <w:spacing w:after="0" w:line="12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i w:val="1"/>
          <w:iCs w:val="1"/>
          <w:color w:val="auto"/>
        </w:rPr>
        <w:t xml:space="preserve">Talen Montana Financial Assurance. </w:t>
      </w:r>
      <w:r>
        <w:rPr>
          <w:rFonts w:ascii="Arial" w:cs="Arial" w:eastAsia="Arial" w:hAnsi="Arial"/>
          <w:sz w:val="16"/>
          <w:szCs w:val="16"/>
          <w:color w:val="auto"/>
        </w:rPr>
        <w:t>Pursuant to the Colstrip Administrative Order on Consent (the “Colstrip AOC”), Talen Montana, in its capacity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w:t>
      </w:r>
    </w:p>
    <w:p>
      <w:pPr>
        <w:spacing w:after="0" w:line="12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aggregate amount of surety bonds posted to the MDEQ on behalf of Talen Montana’s proportionate share of such activities was $114 million and $125 million as of March 31, 2025 and December 31, 2024,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9 for additional information on Colstrip AROs.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Other Commitments and Contingencies</w:t>
      </w:r>
    </w:p>
    <w:p>
      <w:pPr>
        <w:spacing w:after="0" w:line="18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i w:val="1"/>
          <w:iCs w:val="1"/>
          <w:color w:val="auto"/>
        </w:rPr>
        <w:t xml:space="preserve">Talen Montana Fuel Supply. </w:t>
      </w:r>
      <w:r>
        <w:rPr>
          <w:rFonts w:ascii="Arial" w:cs="Arial" w:eastAsia="Arial" w:hAnsi="Arial"/>
          <w:sz w:val="16"/>
          <w:szCs w:val="16"/>
          <w:color w:val="auto"/>
        </w:rPr>
        <w:t>Talen Montana purchases coal from a mine owned by Westmoreland Rosebud Mining, LLC (the “Rosebud Mine”) for its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Colstrip Units 3 and 4 under a full requirements contract with the mine operator. Two lawsuits have been brought against the Rosebud Mine challenging permits issued to it by the State of Montana. Talen Montana is not party to either lawsuit but is monitoring the progress of each to assess the impact to its operations. In the first lawsuit, the Montana Supreme Court affirmed a lower court’s ruling to vacate a mining permit and require the Montana Board of Environmental Review to perform an additional review of the permit. In the second lawsuit, the Montana Federal District Court ordered a branch of the U.S. Department of the Interior to complete an updated Environmental Impact Statement (“EIS”). In December 2024, the Montana Federal District Court granted an extension to the EIS completion date to October 7, 2025. At this time, Talen cannot predict the effect that an adverse outcome of these lawsuits to Rosebud Mine would have on: (i) Talen Montana’s ability to source fuel for its share of Colstrip operations; or (ii) Talen Montana’s operations,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Long-Term Debt and Other Credit Facilities</w:t>
      </w:r>
    </w:p>
    <w:p>
      <w:pPr>
        <w:spacing w:after="0" w:line="167"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TES is the borrower/issuer under all the Company’s debt and credit facilities. As of March 31, 2025, TES was not in default under any of its debt or credit agreements.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(a)</w:t>
            </w:r>
          </w:p>
        </w:tc>
        <w:tc>
          <w:tcPr>
            <w:tcW w:w="2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8"/>
                <w:szCs w:val="18"/>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22"/>
        </w:trPr>
        <w:tc>
          <w:tcPr>
            <w:tcW w:w="67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2024</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6.82 %</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857</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TLB-2</w:t>
            </w:r>
          </w:p>
        </w:tc>
        <w:tc>
          <w:tcPr>
            <w:tcW w:w="1400" w:type="dxa"/>
            <w:vAlign w:val="bottom"/>
          </w:tcPr>
          <w:p>
            <w:pPr>
              <w:jc w:val="center"/>
              <w:spacing w:after="0"/>
              <w:rPr>
                <w:sz w:val="20"/>
                <w:szCs w:val="20"/>
                <w:color w:val="auto"/>
              </w:rPr>
            </w:pPr>
            <w:r>
              <w:rPr>
                <w:rFonts w:ascii="Arial" w:cs="Arial" w:eastAsia="Arial" w:hAnsi="Arial"/>
                <w:sz w:val="14"/>
                <w:szCs w:val="14"/>
                <w:color w:val="auto"/>
              </w:rPr>
              <w:t>6.82 %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8.63 %</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PEDFA 2009B Bonds</w:t>
            </w:r>
          </w:p>
        </w:tc>
        <w:tc>
          <w:tcPr>
            <w:tcW w:w="1400" w:type="dxa"/>
            <w:vAlign w:val="bottom"/>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PEDFA 2009C Bonds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principal</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3,038</w:t>
            </w:r>
          </w:p>
        </w:tc>
      </w:tr>
      <w:tr>
        <w:trPr>
          <w:trHeight w:val="200"/>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Unamortized deferred financing costs and original issuance discounts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carrying value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2,992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3,004</w:t>
            </w: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Less: long-term debt, due within one year</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debt</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2,975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2,987</w:t>
            </w:r>
          </w:p>
        </w:tc>
      </w:tr>
      <w:tr>
        <w:trPr>
          <w:trHeight w:val="21"/>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Computed interest rate as of March 31, 2025.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Long-term debt maturities as of March 31, 2025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(a)</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2028</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2029</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92"/>
        </w:trPr>
        <w:tc>
          <w:tcPr>
            <w:tcW w:w="2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Principal debt maturities</w:t>
            </w:r>
          </w:p>
        </w:tc>
        <w:tc>
          <w:tcPr>
            <w:tcW w:w="100" w:type="dxa"/>
            <w:vAlign w:val="bottom"/>
            <w:shd w:val="clear" w:color="auto" w:fill="E1E1E2"/>
          </w:tcPr>
          <w:p>
            <w:pPr>
              <w:spacing w:after="0"/>
              <w:rPr>
                <w:sz w:val="16"/>
                <w:szCs w:val="16"/>
                <w:color w:val="auto"/>
              </w:rPr>
            </w:pPr>
          </w:p>
        </w:tc>
        <w:tc>
          <w:tcPr>
            <w:tcW w:w="780" w:type="dxa"/>
            <w:vAlign w:val="bottom"/>
            <w:tcBorders>
              <w:bottom w:val="single" w:sz="8" w:color="auto"/>
            </w:tcBorders>
            <w:shd w:val="clear" w:color="auto" w:fill="E1E1E2"/>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6"/>
                <w:szCs w:val="16"/>
                <w:color w:val="auto"/>
              </w:rPr>
            </w:pPr>
          </w:p>
        </w:tc>
        <w:tc>
          <w:tcPr>
            <w:tcW w:w="760" w:type="dxa"/>
            <w:vAlign w:val="bottom"/>
            <w:tcBorders>
              <w:bottom w:val="single" w:sz="8" w:color="auto"/>
            </w:tcBorders>
            <w:shd w:val="clear" w:color="auto" w:fill="E1E1E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6"/>
                <w:szCs w:val="16"/>
                <w:color w:val="auto"/>
              </w:rPr>
            </w:pPr>
          </w:p>
        </w:tc>
        <w:tc>
          <w:tcPr>
            <w:tcW w:w="780" w:type="dxa"/>
            <w:vAlign w:val="bottom"/>
            <w:tcBorders>
              <w:bottom w:val="single" w:sz="8" w:color="auto"/>
            </w:tcBorders>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2,953</w:t>
            </w:r>
          </w:p>
        </w:tc>
        <w:tc>
          <w:tcPr>
            <w:tcW w:w="10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3,034</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the period from April 1 through December 31, 2025.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and Other Facilities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December 31, 2024</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Committed</w:t>
            </w:r>
          </w:p>
        </w:tc>
        <w:tc>
          <w:tcPr>
            <w:tcW w:w="12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Direct Cash</w:t>
            </w:r>
          </w:p>
        </w:tc>
        <w:tc>
          <w:tcPr>
            <w:tcW w:w="10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LCs Issued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Unused</w:t>
            </w:r>
          </w:p>
        </w:tc>
        <w:tc>
          <w:tcPr>
            <w:tcW w:w="100" w:type="dxa"/>
            <w:vAlign w:val="bottom"/>
          </w:tcPr>
          <w:p>
            <w:pPr>
              <w:spacing w:after="0"/>
              <w:rPr>
                <w:sz w:val="12"/>
                <w:szCs w:val="12"/>
                <w:color w:val="auto"/>
              </w:rPr>
            </w:pPr>
          </w:p>
        </w:tc>
        <w:tc>
          <w:tcPr>
            <w:tcW w:w="90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Direct Cash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LCs Issued</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88"/>
              <w:spacing w:after="0" w:line="145" w:lineRule="exact"/>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201"/>
        </w:trPr>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Capacity</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1E1E2"/>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196"/>
        </w:trPr>
        <w:tc>
          <w:tcPr>
            <w:tcW w:w="1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RCF</w:t>
            </w:r>
          </w:p>
        </w:tc>
        <w:tc>
          <w:tcPr>
            <w:tcW w:w="160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December 2029</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700</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1E1E2"/>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ind w:left="740"/>
              <w:spacing w:after="0"/>
              <w:rPr>
                <w:sz w:val="20"/>
                <w:szCs w:val="20"/>
                <w:color w:val="auto"/>
              </w:rPr>
            </w:pPr>
            <w:r>
              <w:rPr>
                <w:rFonts w:ascii="Arial" w:cs="Arial" w:eastAsia="Arial" w:hAnsi="Arial"/>
                <w:sz w:val="14"/>
                <w:szCs w:val="14"/>
                <w:color w:val="auto"/>
                <w:w w:val="99"/>
              </w:rPr>
              <w:t>—</w:t>
            </w:r>
          </w:p>
        </w:tc>
        <w:tc>
          <w:tcPr>
            <w:tcW w:w="280" w:type="dxa"/>
            <w:vAlign w:val="bottom"/>
            <w:gridSpan w:val="3"/>
            <w:shd w:val="clear" w:color="auto" w:fill="E1E1E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LCF</w:t>
            </w:r>
          </w:p>
        </w:tc>
        <w:tc>
          <w:tcPr>
            <w:tcW w:w="100" w:type="dxa"/>
            <w:vAlign w:val="bottom"/>
            <w:tcBorders>
              <w:bottom w:val="single" w:sz="8" w:color="E1E1E2"/>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2026</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900</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50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1,600</w:t>
            </w:r>
          </w:p>
        </w:tc>
        <w:tc>
          <w:tcPr>
            <w:tcW w:w="8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E1E1E2"/>
          </w:tcPr>
          <w:p>
            <w:pPr>
              <w:ind w:left="7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425</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1,175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ind w:left="740"/>
              <w:spacing w:after="0"/>
              <w:rPr>
                <w:sz w:val="20"/>
                <w:szCs w:val="20"/>
                <w:color w:val="auto"/>
              </w:rPr>
            </w:pPr>
            <w:r>
              <w:rPr>
                <w:rFonts w:ascii="Arial" w:cs="Arial" w:eastAsia="Arial" w:hAnsi="Arial"/>
                <w:sz w:val="14"/>
                <w:szCs w:val="14"/>
                <w:b w:val="1"/>
                <w:bCs w:val="1"/>
                <w:color w:val="auto"/>
                <w:w w:val="99"/>
              </w:rPr>
              <w:t>—</w:t>
            </w:r>
          </w:p>
        </w:tc>
        <w:tc>
          <w:tcPr>
            <w:tcW w:w="280" w:type="dxa"/>
            <w:vAlign w:val="bottom"/>
            <w:gridSpan w:val="3"/>
            <w:shd w:val="clear" w:color="auto" w:fill="E1E1E2"/>
          </w:tcPr>
          <w:p>
            <w:pPr>
              <w:jc w:val="right"/>
              <w:ind w:righ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374</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1,226</w:t>
            </w:r>
          </w:p>
        </w:tc>
        <w:tc>
          <w:tcPr>
            <w:tcW w:w="0" w:type="dxa"/>
            <w:vAlign w:val="bottom"/>
          </w:tcPr>
          <w:p>
            <w:pPr>
              <w:spacing w:after="0"/>
              <w:rPr>
                <w:sz w:val="1"/>
                <w:szCs w:val="1"/>
                <w:color w:val="auto"/>
              </w:rPr>
            </w:pP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 Direct cash borrowings are not permitted under the LCF, which can only be used for LCs.</w:t>
      </w: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December 2024, the TLC LCF and Bilateral LCF were terminated. However, as certain LCs remained outstanding under these facilities pending their transition to the LCF, corresponding backstop LCs were issued under the LCF. As of March 31, 2025 and December 31, 2024, the amounts of such backstop LCs issued under the LCF were $81 million and $297 million, respectively (which are included in the totals above).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Transactions</w:t>
      </w:r>
    </w:p>
    <w:p>
      <w:pPr>
        <w:spacing w:after="0" w:line="16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i w:val="1"/>
          <w:iCs w:val="1"/>
          <w:color w:val="auto"/>
        </w:rPr>
        <w:t xml:space="preserve">Secured Notes. </w:t>
      </w:r>
      <w:r>
        <w:rPr>
          <w:rFonts w:ascii="Arial" w:cs="Arial" w:eastAsia="Arial" w:hAnsi="Arial"/>
          <w:sz w:val="16"/>
          <w:szCs w:val="16"/>
          <w:color w:val="auto"/>
        </w:rPr>
        <w:t>In January 2025, the Indenture governing the Secured Notes was amended to, among other things: (i) modify certain provisions,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covenants and related definitions, in order to substantially conform to the corresponding amendments to the Credit Agreement obtained in the December 2024 transactions discussed in Note 13 to the Annual Financial Statements; and (ii) waive TES’s right to optionally redeem up to 10% of the Secured Notes at a price of 103% of par prior to June 1, 2025.</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Material Terms; Security Interests</w:t>
      </w:r>
    </w:p>
    <w:p>
      <w:pPr>
        <w:spacing w:after="0" w:line="165"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See Note 13 to the Annual Financial Statements for a description of the other material terms of the obligations outlined above and for additional information on the security interests and guarantees supporting these obligations. In addition to the obligations outlined under “Long-Term Debt” and “Revolving Credit and Other Facilities” above, secured obligations included approximately $119 million under Secured ISDAs as of March 31, 2025.</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79"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Financial assets and liabilities reported at fair value on a recurring basis primarily include energy commodity derivatives, interest rate derivatives, and investments held within the NDT.</w:t>
      </w:r>
    </w:p>
    <w:p>
      <w:pPr>
        <w:spacing w:after="0" w:line="115" w:lineRule="exact"/>
        <w:rPr>
          <w:sz w:val="20"/>
          <w:szCs w:val="20"/>
          <w:color w:val="auto"/>
        </w:rPr>
      </w:pPr>
    </w:p>
    <w:p>
      <w:pPr>
        <w:jc w:val="both"/>
        <w:ind w:left="660" w:right="240" w:hanging="328"/>
        <w:spacing w:after="0" w:line="26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1 derivative assets and liabilities primarily represent exchange-traded futures and options that are valued using unadjusted prices available from the underlying exchange. Level 1 financial assets also include investments in equity securities and available-for-sale U.S. government debt securities, which are valued using exchange prices.</w:t>
      </w:r>
    </w:p>
    <w:p>
      <w:pPr>
        <w:spacing w:after="0" w:line="130" w:lineRule="exact"/>
        <w:rPr>
          <w:rFonts w:ascii="Arial" w:cs="Arial" w:eastAsia="Arial" w:hAnsi="Arial"/>
          <w:sz w:val="16"/>
          <w:szCs w:val="16"/>
          <w:color w:val="auto"/>
        </w:rPr>
      </w:pPr>
    </w:p>
    <w:p>
      <w:pPr>
        <w:ind w:left="660" w:right="160" w:hanging="328"/>
        <w:spacing w:after="0" w:line="26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derivative assets and liabilities primarily represent over-the-counter swaps, options, and forward purchase and sale contracts that are valued using adjusted exchange prices, prices provided by brokers, or pricing service companies that are all corroborated by market data. Level 2 financial assets also include investments in available-for-sale debt securities, including investments in corporate and municipal bonds, that are valued using pricing provided by brokers or pricing service companies and corroborated with market data.</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classifications of recurring fair value measurements within the fair value hierarchy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 2025</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7"/>
        </w:trPr>
        <w:tc>
          <w:tcPr>
            <w:tcW w:w="2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NAV</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NAV</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r>
      <w:tr>
        <w:trPr>
          <w:trHeight w:val="199"/>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Equity securities </w:t>
            </w:r>
            <w:r>
              <w:rPr>
                <w:rFonts w:ascii="Arial" w:cs="Arial" w:eastAsia="Arial" w:hAnsi="Arial"/>
                <w:sz w:val="18"/>
                <w:szCs w:val="18"/>
                <w:color w:val="auto"/>
                <w:vertAlign w:val="superscript"/>
              </w:rPr>
              <w:t>(b)</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r>
      <w:tr>
        <w:trPr>
          <w:trHeight w:val="199"/>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U.S. government debt securities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0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Municipal debt securities</w:t>
            </w: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9"/>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6"/>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1,067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1,724</w:t>
            </w:r>
          </w:p>
        </w:tc>
      </w:tr>
      <w:tr>
        <w:trPr>
          <w:trHeight w:val="97"/>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(314)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1,334</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368</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366</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(314)</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1,755</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1,245</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351</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(156)</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1,795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169</w:t>
            </w:r>
          </w:p>
        </w:tc>
        <w:tc>
          <w:tcPr>
            <w:tcW w:w="240" w:type="dxa"/>
            <w:vAlign w:val="bottom"/>
            <w:gridSpan w:val="2"/>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(391)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345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180</w:t>
            </w:r>
          </w:p>
        </w:tc>
        <w:tc>
          <w:tcPr>
            <w:tcW w:w="240" w:type="dxa"/>
            <w:vAlign w:val="bottom"/>
            <w:gridSpan w:val="2"/>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(391)</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29</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Amounts represent netting pursuant to master netting arrangements and cash collateral held or placed with the same counterparty.</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fixed income funds and real estate investment trusts.</w:t>
      </w:r>
    </w:p>
    <w:p>
      <w:pPr>
        <w:ind w:left="340" w:hanging="332"/>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recurring fair value measurements classified as Level 3 as of March 31, 2025 and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Nonrecurring Fair Value Measurements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nonrecurring fair value measurements related to impairments of long-lived assets during the three months ended March 31, 2025 and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Reported Fair Value</w:t>
      </w:r>
    </w:p>
    <w:p>
      <w:pPr>
        <w:spacing w:after="0" w:line="17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carrying value of certain financial assets and liabilities on the Consolidated Balance Sheets, including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“Restricted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“Accounts receivable</w:t>
      </w:r>
      <w:r>
        <w:rPr>
          <w:rFonts w:ascii="Arial" w:cs="Arial" w:eastAsia="Arial" w:hAnsi="Arial"/>
          <w:sz w:val="16"/>
          <w:szCs w:val="16"/>
          <w:i w:val="1"/>
          <w:iCs w:val="1"/>
          <w:color w:val="auto"/>
        </w:rPr>
        <w:t>,</w:t>
      </w:r>
      <w:r>
        <w:rPr>
          <w:rFonts w:ascii="Arial" w:cs="Arial" w:eastAsia="Arial" w:hAnsi="Arial"/>
          <w:sz w:val="16"/>
          <w:szCs w:val="16"/>
          <w:color w:val="auto"/>
        </w:rPr>
        <w:t>” and “Accounts payable and other accrued liabilities” approximate fair value.</w:t>
      </w:r>
    </w:p>
    <w:p>
      <w:pPr>
        <w:spacing w:after="0" w:line="102"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and fair value of indebtedness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5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9"/>
                <w:szCs w:val="9"/>
                <w:color w:val="auto"/>
              </w:rPr>
              <w:t>(a)</w:t>
            </w:r>
          </w:p>
        </w:tc>
        <w:tc>
          <w:tcPr>
            <w:tcW w:w="100" w:type="dxa"/>
            <w:vAlign w:val="bottom"/>
            <w:shd w:val="clear" w:color="auto" w:fill="E1E1E2"/>
          </w:tcPr>
          <w:p>
            <w:pPr>
              <w:spacing w:after="0"/>
              <w:rPr>
                <w:sz w:val="16"/>
                <w:szCs w:val="16"/>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2,992</w:t>
            </w:r>
          </w:p>
        </w:tc>
        <w:tc>
          <w:tcPr>
            <w:tcW w:w="10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3,109</w:t>
            </w:r>
          </w:p>
        </w:tc>
        <w:tc>
          <w:tcPr>
            <w:tcW w:w="100" w:type="dxa"/>
            <w:vAlign w:val="bottom"/>
            <w:shd w:val="clear" w:color="auto" w:fill="E1E1E2"/>
          </w:tcPr>
          <w:p>
            <w:pPr>
              <w:spacing w:after="0"/>
              <w:rPr>
                <w:sz w:val="16"/>
                <w:szCs w:val="16"/>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3,120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Aggregate value of “Long-term debt” and “Long-term debt, due within one year” presented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Postretirement Benefit Obligations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TES and certain subsidiaries sponsor postemployment benefits which include defined benefit pension plans, health and welfare postretirement plans (other postretirement benefit plans), and a defined contribution plan.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Postretirement benefits service cost </w:t>
            </w:r>
            <w:r>
              <w:rPr>
                <w:rFonts w:ascii="Arial" w:cs="Arial" w:eastAsia="Arial" w:hAnsi="Arial"/>
                <w:sz w:val="18"/>
                <w:szCs w:val="18"/>
                <w:b w:val="1"/>
                <w:bCs w:val="1"/>
                <w:color w:val="auto"/>
                <w:vertAlign w:val="superscript"/>
              </w:rPr>
              <w:t>(a)</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r>
      <w:tr>
        <w:trPr>
          <w:trHeight w:val="25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Postretirement benefit (gain) loss</w:t>
            </w: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Amortization of:</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Postretirement prior service cost (credit)</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34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Postretirement benefit (gain) loss, net </w:t>
            </w:r>
            <w:r>
              <w:rPr>
                <w:rFonts w:ascii="Arial" w:cs="Arial" w:eastAsia="Arial" w:hAnsi="Arial"/>
                <w:sz w:val="18"/>
                <w:szCs w:val="18"/>
                <w:b w:val="1"/>
                <w:bCs w:val="1"/>
                <w:color w:val="auto"/>
                <w:vertAlign w:val="superscript"/>
              </w:rPr>
              <w:t>(b)</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54"/>
        </w:trPr>
        <w:tc>
          <w:tcPr>
            <w:tcW w:w="8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19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Activity presented as “Operation, maintenance and development” on the Consolidated Statements of Operations.</w:t>
      </w: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Activity presented as “Other non-operating income (expense), net” on the Consolidated Statements of Operations.</w:t>
      </w:r>
    </w:p>
    <w:p>
      <w:pPr>
        <w:spacing w:after="0" w:line="153"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During the three months ended March 31, 2025, the Company made a contribution of $13 million to the Talen Energy Retirement Plan (Talen’s principal defined-benefit pension plan) that is presented as “Postretirement benefit obligations” on the Consolidated Balance Sheets as of March 31, 2025.</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Stock-Based Compensation</w:t>
      </w:r>
    </w:p>
    <w:p>
      <w:pPr>
        <w:spacing w:after="0" w:line="16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presented as “General and administrative” on the Consolidated Statement of Operations for the periods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center"/>
              <w:ind w:left="28"/>
              <w:spacing w:after="0"/>
              <w:rPr>
                <w:sz w:val="20"/>
                <w:szCs w:val="20"/>
                <w:color w:val="auto"/>
              </w:rPr>
            </w:pPr>
            <w:r>
              <w:rPr>
                <w:rFonts w:ascii="Arial" w:cs="Arial" w:eastAsia="Arial" w:hAnsi="Arial"/>
                <w:sz w:val="14"/>
                <w:szCs w:val="14"/>
                <w:color w:val="auto"/>
              </w:rPr>
              <w:t>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(2)</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After-tax stock-based compensation expense</w:t>
            </w: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E1E1E2"/>
          </w:tcPr>
          <w:p>
            <w:pPr>
              <w:spacing w:after="0"/>
              <w:rPr>
                <w:sz w:val="19"/>
                <w:szCs w:val="19"/>
                <w:color w:val="auto"/>
              </w:rPr>
            </w:pP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1E1E2"/>
          </w:tcPr>
          <w:p>
            <w:pPr>
              <w:jc w:val="center"/>
              <w:ind w:left="28"/>
              <w:spacing w:after="0"/>
              <w:rPr>
                <w:sz w:val="20"/>
                <w:szCs w:val="20"/>
                <w:color w:val="auto"/>
              </w:rPr>
            </w:pPr>
            <w:r>
              <w:rPr>
                <w:rFonts w:ascii="Arial" w:cs="Arial" w:eastAsia="Arial" w:hAnsi="Arial"/>
                <w:sz w:val="14"/>
                <w:szCs w:val="14"/>
                <w:b w:val="1"/>
                <w:bCs w:val="1"/>
                <w:color w:val="auto"/>
              </w:rPr>
              <w:t>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6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PSUs have three-year ratable or a two-year cliff vesting schedules or vest upon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period: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Units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76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w:t>
            </w:r>
          </w:p>
        </w:tc>
        <w:tc>
          <w:tcPr>
            <w:tcW w:w="1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956,347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54.23</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Granted</w:t>
            </w:r>
          </w:p>
        </w:tc>
        <w:tc>
          <w:tcPr>
            <w:tcW w:w="80" w:type="dxa"/>
            <w:vAlign w:val="bottom"/>
            <w:tcBorders>
              <w:bottom w:val="single" w:sz="8" w:color="E1E1E2"/>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101,825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463.10</w:t>
            </w:r>
          </w:p>
        </w:tc>
        <w:tc>
          <w:tcPr>
            <w:tcW w:w="0" w:type="dxa"/>
            <w:vAlign w:val="bottom"/>
          </w:tcPr>
          <w:p>
            <w:pPr>
              <w:spacing w:after="0"/>
              <w:rPr>
                <w:sz w:val="1"/>
                <w:szCs w:val="1"/>
                <w:color w:val="auto"/>
              </w:rPr>
            </w:pPr>
          </w:p>
        </w:tc>
      </w:tr>
      <w:tr>
        <w:trPr>
          <w:trHeight w:val="219"/>
        </w:trPr>
        <w:tc>
          <w:tcPr>
            <w:tcW w:w="76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March 31, 2025</w:t>
            </w:r>
          </w:p>
        </w:tc>
        <w:tc>
          <w:tcPr>
            <w:tcW w:w="1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1,058,172</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93.58</w:t>
            </w:r>
          </w:p>
        </w:tc>
        <w:tc>
          <w:tcPr>
            <w:tcW w:w="0" w:type="dxa"/>
            <w:vAlign w:val="bottom"/>
          </w:tcPr>
          <w:p>
            <w:pPr>
              <w:spacing w:after="0"/>
              <w:rPr>
                <w:sz w:val="1"/>
                <w:szCs w:val="1"/>
                <w:color w:val="auto"/>
              </w:rPr>
            </w:pPr>
          </w:p>
        </w:tc>
      </w:tr>
      <w:tr>
        <w:trPr>
          <w:trHeight w:val="20"/>
        </w:trPr>
        <w:tc>
          <w:tcPr>
            <w:tcW w:w="7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As of March 31, 2025, $64 million of unrecognized compensation cost related to unvested PSUs granted are expected to be recognized over a weighted average period of approximately 1.2 years.</w:t>
      </w:r>
    </w:p>
    <w:p>
      <w:pPr>
        <w:spacing w:after="0" w:line="10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fair value of the PSUs was determined using a Monte Carlo valuation methodology based on the fair value of the underlying stock price at the grant date and the significant inputs and assumptions summarized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94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 2025</w:t>
            </w:r>
          </w:p>
        </w:tc>
      </w:tr>
      <w:tr>
        <w:trPr>
          <w:trHeight w:val="196"/>
        </w:trPr>
        <w:tc>
          <w:tcPr>
            <w:tcW w:w="95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Volatility </w:t>
            </w:r>
            <w:r>
              <w:rPr>
                <w:rFonts w:ascii="Arial" w:cs="Arial" w:eastAsia="Arial" w:hAnsi="Arial"/>
                <w:sz w:val="9"/>
                <w:szCs w:val="9"/>
                <w:color w:val="auto"/>
              </w:rPr>
              <w:t>(a)</w:t>
            </w:r>
          </w:p>
        </w:tc>
        <w:tc>
          <w:tcPr>
            <w:tcW w:w="17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40 %</w:t>
            </w:r>
          </w:p>
        </w:tc>
      </w:tr>
      <w:tr>
        <w:trPr>
          <w:trHeight w:val="198"/>
        </w:trPr>
        <w:tc>
          <w:tcPr>
            <w:tcW w:w="952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w:t>
            </w:r>
          </w:p>
        </w:tc>
      </w:tr>
      <w:tr>
        <w:trPr>
          <w:trHeight w:val="203"/>
        </w:trPr>
        <w:tc>
          <w:tcPr>
            <w:tcW w:w="94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Risk-free rate </w:t>
            </w:r>
            <w:r>
              <w:rPr>
                <w:rFonts w:ascii="Arial" w:cs="Arial" w:eastAsia="Arial" w:hAnsi="Arial"/>
                <w:sz w:val="9"/>
                <w:szCs w:val="9"/>
                <w:color w:val="auto"/>
              </w:rPr>
              <w:t>(b)</w:t>
            </w:r>
          </w:p>
        </w:tc>
        <w:tc>
          <w:tcPr>
            <w:tcW w:w="100" w:type="dxa"/>
            <w:vAlign w:val="bottom"/>
            <w:shd w:val="clear" w:color="auto" w:fill="E1E1E2"/>
          </w:tcPr>
          <w:p>
            <w:pPr>
              <w:spacing w:after="0"/>
              <w:rPr>
                <w:sz w:val="17"/>
                <w:szCs w:val="17"/>
                <w:color w:val="auto"/>
              </w:rPr>
            </w:pPr>
          </w:p>
        </w:tc>
        <w:tc>
          <w:tcPr>
            <w:tcW w:w="17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3.99 %</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Derived from an option pricing method based on the average asset volatility of peer companies and the Company’s leverage ratio.</w:t>
      </w: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the U.S. constant maturity treasury rate with a term matching the expected time to the end of the performance measurement period.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7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RSUs have three-year ratable or two-year cliff vesting schedules beginning on the grant date, with restrictions on transferring settled shares prior to the final scheduled vesting date for each award. The fair value of the RSUs granted is derived from the closing price of TEC common stock on the grant date. The following table summarizes the Company’s non-vested RSUs and changes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Units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8780" w:type="dxa"/>
            <w:vAlign w:val="bottom"/>
            <w:gridSpan w:val="3"/>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w:t>
            </w: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549,405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55.07</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Granted</w:t>
            </w:r>
          </w:p>
        </w:tc>
        <w:tc>
          <w:tcPr>
            <w:tcW w:w="8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52,514</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207.95</w:t>
            </w:r>
          </w:p>
        </w:tc>
        <w:tc>
          <w:tcPr>
            <w:tcW w:w="0" w:type="dxa"/>
            <w:vAlign w:val="bottom"/>
          </w:tcPr>
          <w:p>
            <w:pPr>
              <w:spacing w:after="0"/>
              <w:rPr>
                <w:sz w:val="1"/>
                <w:szCs w:val="1"/>
                <w:color w:val="auto"/>
              </w:rPr>
            </w:pPr>
          </w:p>
        </w:tc>
      </w:tr>
      <w:tr>
        <w:trPr>
          <w:trHeight w:val="219"/>
        </w:trPr>
        <w:tc>
          <w:tcPr>
            <w:tcW w:w="8780" w:type="dxa"/>
            <w:vAlign w:val="bottom"/>
            <w:gridSpan w:val="3"/>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March 31, 2025</w:t>
            </w: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601,919</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68.41</w:t>
            </w:r>
          </w:p>
        </w:tc>
        <w:tc>
          <w:tcPr>
            <w:tcW w:w="0" w:type="dxa"/>
            <w:vAlign w:val="bottom"/>
          </w:tcPr>
          <w:p>
            <w:pPr>
              <w:spacing w:after="0"/>
              <w:rPr>
                <w:sz w:val="1"/>
                <w:szCs w:val="1"/>
                <w:color w:val="auto"/>
              </w:rPr>
            </w:pPr>
          </w:p>
        </w:tc>
      </w:tr>
      <w:tr>
        <w:trPr>
          <w:trHeight w:val="20"/>
        </w:trPr>
        <w:tc>
          <w:tcPr>
            <w:tcW w:w="7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As of March 31, 2025, $28 million of unrecognized compensation cost related to unvested RSUs granted are expected to be recognized over a weighted average period of approximately 1.2 years.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Earnings Per Share</w:t>
      </w:r>
    </w:p>
    <w:p>
      <w:pPr>
        <w:spacing w:after="0" w:line="167"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Numerator: (Millions of Dollars)</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Less:</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Borders>
              <w:bottom w:val="single" w:sz="8" w:color="E1E1E2"/>
            </w:tcBorders>
            <w:shd w:val="clear" w:color="auto" w:fill="E1E1E2"/>
          </w:tcPr>
          <w:p>
            <w:pPr>
              <w:spacing w:after="0"/>
              <w:rPr>
                <w:sz w:val="19"/>
                <w:szCs w:val="19"/>
                <w:color w:val="auto"/>
              </w:rPr>
            </w:pPr>
          </w:p>
        </w:tc>
        <w:tc>
          <w:tcPr>
            <w:tcW w:w="880" w:type="dxa"/>
            <w:vAlign w:val="bottom"/>
            <w:tcBorders>
              <w:bottom w:val="single" w:sz="8" w:color="auto"/>
            </w:tcBorders>
            <w:shd w:val="clear" w:color="auto" w:fill="E1E1E2"/>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294</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 (Thousands)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Basic</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45,849</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58,807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8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stock units</w:t>
            </w:r>
          </w:p>
        </w:tc>
        <w:tc>
          <w:tcPr>
            <w:tcW w:w="880" w:type="dxa"/>
            <w:vAlign w:val="bottom"/>
            <w:shd w:val="clear" w:color="auto" w:fill="E1E1E2"/>
          </w:tcPr>
          <w:p>
            <w:pPr>
              <w:spacing w:after="0"/>
              <w:rPr>
                <w:sz w:val="17"/>
                <w:szCs w:val="17"/>
                <w:color w:val="auto"/>
              </w:rPr>
            </w:pPr>
          </w:p>
        </w:tc>
        <w:tc>
          <w:tcPr>
            <w:tcW w:w="6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427</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Performance stock units</w:t>
            </w: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Diluted</w:t>
            </w:r>
          </w:p>
        </w:tc>
        <w:tc>
          <w:tcPr>
            <w:tcW w:w="100" w:type="dxa"/>
            <w:vAlign w:val="bottom"/>
            <w:tcBorders>
              <w:bottom w:val="single" w:sz="8" w:color="E1E1E2"/>
            </w:tcBorders>
            <w:shd w:val="clear" w:color="auto" w:fill="E1E1E2"/>
          </w:tcPr>
          <w:p>
            <w:pPr>
              <w:spacing w:after="0"/>
              <w:rPr>
                <w:sz w:val="19"/>
                <w:szCs w:val="19"/>
                <w:color w:val="auto"/>
              </w:rPr>
            </w:pPr>
          </w:p>
        </w:tc>
        <w:tc>
          <w:tcPr>
            <w:tcW w:w="880" w:type="dxa"/>
            <w:vAlign w:val="bottom"/>
            <w:tcBorders>
              <w:bottom w:val="single" w:sz="8" w:color="auto"/>
            </w:tcBorders>
            <w:shd w:val="clear" w:color="auto" w:fill="E1E1E2"/>
          </w:tcPr>
          <w:p>
            <w:pPr>
              <w:spacing w:after="0"/>
              <w:rPr>
                <w:sz w:val="19"/>
                <w:szCs w:val="19"/>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45,849</w:t>
            </w:r>
          </w:p>
        </w:tc>
        <w:tc>
          <w:tcPr>
            <w:tcW w:w="10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60,716</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 - Basic</w:t>
            </w:r>
          </w:p>
        </w:tc>
        <w:tc>
          <w:tcPr>
            <w:tcW w:w="8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(2.94)</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5.00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Earnings per Share - Diluted</w:t>
            </w:r>
          </w:p>
        </w:tc>
        <w:tc>
          <w:tcPr>
            <w:tcW w:w="100" w:type="dxa"/>
            <w:vAlign w:val="bottom"/>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(2.94)</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4.84</w:t>
            </w:r>
          </w:p>
        </w:tc>
      </w:tr>
    </w:tbl>
    <w:p>
      <w:pPr>
        <w:spacing w:after="0" w:line="242"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As there is a Net Loss Attributable to Stockholders for the three months ended March 31, 2025,the computation of diluted EPS excludes 486,688 RSUs and 2,109,479 PSUs. Diluted EPS for the three months ended March 31, 2024 excludes the impact of 10,125 RSUs outstanding due to their anti-dilutive nature.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Stockholders’ Equity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Share Repurchases and Retirements. </w:t>
      </w:r>
      <w:r>
        <w:rPr>
          <w:rFonts w:ascii="Arial" w:cs="Arial" w:eastAsia="Arial" w:hAnsi="Arial"/>
          <w:sz w:val="16"/>
          <w:szCs w:val="16"/>
          <w:color w:val="auto"/>
        </w:rPr>
        <w:t>Summary of activity under the SRP: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Three Months Ended March 31, 2025</w:t>
            </w:r>
          </w:p>
        </w:tc>
      </w:tr>
      <w:tr>
        <w:trPr>
          <w:trHeight w:val="197"/>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8"/>
              <w:spacing w:after="0" w:line="197" w:lineRule="exact"/>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 Amount</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 retirements</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Weighted average price per share, including transaction costs and excise taxes.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of May 8, 2025, TEC had 45,509,780 shares of common stock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of March 31, 2025, the Company had repurchased approximately 23% of its outstanding shares of common stock for a total of approximately $2.0 billion, exclusive of transaction costs and excise taxes. The Board of Directors approved an $850 million portion of the share repurchases executed with Rubric in December 2024 outside of the existing authorization in the SRP. The remaining capacity of the SRP as of March 31, 2025 is $995 million. See Note 18 to the Annual Financial Statements for additional information relating to the SRP.</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Accumulated Other Comprehensive Income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Beginning balance</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Gains (losses) arising during the period</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Reclassifications to Consolidated Statements of Operations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r>
      <w:tr>
        <w:trPr>
          <w:trHeight w:val="19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AOCI, net of tax, as of March 31,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Reclassification adjustments from AOCI to the Consolidated Statements of Operations were non-material amounts for the three months ended March 31, 2025 and 2024.</w:t>
      </w:r>
    </w:p>
    <w:p>
      <w:pPr>
        <w:spacing w:after="0" w:line="87"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postretirement obligations components of AOCI are not presented in their entirety on the Consolidated Statements of Operations during the periods; rather, they are included in the computation of net periodic defined benefit costs (credits). See Note 13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Supplemental Cash Flow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information for the Consolidated Statements of Cash Flows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paid during the period</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Interest and other finance charges, net of capitalized interest </w:t>
            </w:r>
            <w:r>
              <w:rPr>
                <w:rFonts w:ascii="Arial" w:cs="Arial" w:eastAsia="Arial" w:hAnsi="Arial"/>
                <w:sz w:val="18"/>
                <w:szCs w:val="18"/>
                <w:color w:val="auto"/>
                <w:vertAlign w:val="superscript"/>
              </w:rPr>
              <w:t>(a)</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83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Income taxes, net </w:t>
            </w:r>
            <w:r>
              <w:rPr>
                <w:rFonts w:ascii="Arial" w:cs="Arial" w:eastAsia="Arial" w:hAnsi="Arial"/>
                <w:sz w:val="18"/>
                <w:szCs w:val="18"/>
                <w:color w:val="auto"/>
                <w:vertAlign w:val="superscript"/>
              </w:rPr>
              <w:t>(b)</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363"/>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derivative instruments included on the Statements of Cash Flows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4"/>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134</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swap contracts (interest expense)</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128</w:t>
            </w:r>
          </w:p>
        </w:tc>
      </w:tr>
      <w:tr>
        <w:trPr>
          <w:trHeight w:val="34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 included on the Statements of Cash Flows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74</w:t>
            </w:r>
          </w:p>
        </w:tc>
      </w:tr>
      <w:tr>
        <w:trPr>
          <w:trHeight w:val="34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other non-cash operating activities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option premium amortization</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Bitcoin revenue</w:t>
            </w:r>
          </w:p>
        </w:tc>
        <w:tc>
          <w:tcPr>
            <w:tcW w:w="98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(42)</w:t>
            </w:r>
          </w:p>
        </w:tc>
      </w:tr>
      <w:tr>
        <w:trPr>
          <w:trHeight w:val="143"/>
        </w:trPr>
        <w:tc>
          <w:tcPr>
            <w:tcW w:w="8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 accrual increase (decrease)</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Capitalized interest was $1 million and $3 million for the three months ended March 31, 2025 and 2024, respectively.</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During the three months ended March 31, 2025, $9 million of estimated Nuclear PTCs were utilized as a credit against our federal income tax payable.</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65"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328</w:t>
            </w:r>
          </w:p>
        </w:tc>
      </w:tr>
      <w:tr>
        <w:trPr>
          <w:trHeight w:val="25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cash and cash equivalents:</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Commodity exchange margin deposits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Restricted cash and cash equivalents</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Acquisitions and Divestitures</w:t>
      </w:r>
    </w:p>
    <w:p>
      <w:pPr>
        <w:spacing w:after="0" w:line="16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i w:val="1"/>
          <w:iCs w:val="1"/>
          <w:color w:val="auto"/>
        </w:rPr>
        <w:t xml:space="preserve">AWS Data Campus Sale. </w:t>
      </w:r>
      <w:r>
        <w:rPr>
          <w:rFonts w:ascii="Arial" w:cs="Arial" w:eastAsia="Arial" w:hAnsi="Arial"/>
          <w:sz w:val="16"/>
          <w:szCs w:val="16"/>
          <w:color w:val="auto"/>
        </w:rPr>
        <w:t>In March 2024, AWS purchased substantially all the assets related to the AWS Data Campus and certain other assets for gross</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$650 million, of which $350 million were received at closing with the remaining $300 million held in escrow until August 2024. For the three months ended March 31, 2024, a $324 million gain on sale is presented as “Gain (loss) on sale of assets, net” on the Consolidated Statements of Operations. In connection with the AWS Data Campus Sale, the Company entered into the AWS PPA.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Segments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Talen’s operating segments are based on the market areas in which our generation facilities operate and reflect the manner in which our Chief Executive Officer, who is the chief operating decision maker, reviews results and allocate resources. Adjusted EBITDA is the key profit metric used to measure financial performance of each segment. Total assets or other asset metrics are not considered a key metric or reviewed by the chief operating decision maker.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“PJM” is engaged in electricity generation, marketing activities, and commodity risk and fuel management within the PJM RTO market and is comprised of Susquehanna and Talen’s natural gas and coal generation facilities in PJM.</w:t>
      </w:r>
    </w:p>
    <w:p>
      <w:pPr>
        <w:spacing w:after="0" w:line="11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“Other” represents an operating segment that includes the operating and marketing activities of Talen Montana’s proportionate share of Colstrip in the WECC market and other non-material operating and development activities. “Other” also includes the operating activities of Nautilus until Bitcoin mining operations were suspended in October 2024 and the operating activities of our Texas power generation facilities in the ERCOT market prior to their disposition in May 2024. We have determined it appropriate to aggregate results of Talen’s remaining non-reportable segments and other operating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“Corporate and Eliminations” represents a non-reportable segment that includes: (i) general and administrative expenses incurred by our corporate function;</w:t>
      </w:r>
    </w:p>
    <w:p>
      <w:pPr>
        <w:spacing w:after="0" w:line="31" w:lineRule="exact"/>
        <w:rPr>
          <w:sz w:val="20"/>
          <w:szCs w:val="20"/>
          <w:color w:val="auto"/>
        </w:rPr>
      </w:pPr>
    </w:p>
    <w:p>
      <w:pPr>
        <w:ind w:right="80" w:firstLine="8"/>
        <w:spacing w:after="0" w:line="270" w:lineRule="auto"/>
        <w:tabs>
          <w:tab w:leader="none" w:pos="2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interest expense and other corporate activities not allocated to our operating segments; and (iii) intercompany eliminations. This grouping is presented to reconcile the reportable segments to our consolidated results.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PJM</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Three Months Ended March 31, 2025</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 maintenance and development expenses</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138</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segment items</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 2024</w:t>
            </w: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433</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 expenses</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Other segment items</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279</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segment Adjusted EBITDA to Net Income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Adjusted EBITDA:</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PJM</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Segment Adjusted EBITDA</w:t>
            </w:r>
          </w:p>
        </w:tc>
        <w:tc>
          <w:tcPr>
            <w:tcW w:w="100" w:type="dxa"/>
            <w:vAlign w:val="bottom"/>
            <w:tcBorders>
              <w:bottom w:val="single" w:sz="8" w:color="E1E1E2"/>
            </w:tcBorders>
            <w:shd w:val="clear" w:color="auto" w:fill="E1E1E2"/>
          </w:tcPr>
          <w:p>
            <w:pPr>
              <w:spacing w:after="0"/>
              <w:rPr>
                <w:sz w:val="19"/>
                <w:szCs w:val="19"/>
                <w:color w:val="auto"/>
              </w:rPr>
            </w:pPr>
          </w:p>
        </w:tc>
        <w:tc>
          <w:tcPr>
            <w:tcW w:w="940" w:type="dxa"/>
            <w:vAlign w:val="bottom"/>
            <w:tcBorders>
              <w:bottom w:val="single" w:sz="8" w:color="auto"/>
            </w:tcBorders>
            <w:shd w:val="clear" w:color="auto" w:fill="E1E1E2"/>
          </w:tcPr>
          <w:p>
            <w:pPr>
              <w:jc w:val="right"/>
              <w:ind w:right="7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209</w:t>
            </w:r>
          </w:p>
        </w:tc>
        <w:tc>
          <w:tcPr>
            <w:tcW w:w="100" w:type="dxa"/>
            <w:vAlign w:val="bottom"/>
            <w:tcBorders>
              <w:bottom w:val="single" w:sz="8" w:color="E1E1E2"/>
            </w:tcBorders>
            <w:shd w:val="clear" w:color="auto" w:fill="E1E1E2"/>
          </w:tcPr>
          <w:p>
            <w:pPr>
              <w:spacing w:after="0"/>
              <w:rPr>
                <w:sz w:val="19"/>
                <w:szCs w:val="19"/>
                <w:color w:val="auto"/>
              </w:rPr>
            </w:pPr>
          </w:p>
        </w:tc>
        <w:tc>
          <w:tcPr>
            <w:tcW w:w="1040" w:type="dxa"/>
            <w:vAlign w:val="bottom"/>
            <w:tcBorders>
              <w:bottom w:val="single" w:sz="8" w:color="auto"/>
            </w:tcBorders>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279</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77"/>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Reconciling Items:</w:t>
            </w: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w w:val="97"/>
              </w:rPr>
              <w:t>(134)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Gain (loss) on asset sales, net</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94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"Other" operating segment</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Noncontrolling interest</w:t>
            </w:r>
          </w:p>
        </w:tc>
        <w:tc>
          <w:tcPr>
            <w:tcW w:w="940" w:type="dxa"/>
            <w:vAlign w:val="bottom"/>
            <w:shd w:val="clear" w:color="auto" w:fill="E1E1E2"/>
          </w:tcPr>
          <w:p>
            <w:pPr>
              <w:spacing w:after="0"/>
              <w:rPr>
                <w:sz w:val="17"/>
                <w:szCs w:val="17"/>
                <w:color w:val="auto"/>
              </w:rPr>
            </w:pPr>
          </w:p>
        </w:tc>
        <w:tc>
          <w:tcPr>
            <w:tcW w:w="5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Corporate and Eliminations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items</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319</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should be read in conjunction with the Interim Financial Statements, the Annual Financial Statements, and the Notes thereto.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Transactions</w:t>
      </w:r>
    </w:p>
    <w:p>
      <w:pPr>
        <w:spacing w:after="0" w:line="17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During the three months ended March 31, 2025, we repurchased and retired 452,130 shares of TEC’s outstanding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SRP. The aggregate purchase price after transaction fees and excise tax was $85 million at a weighted average price of $186.24 per share. As of March 31, 2025, the remaining capacity under the SRP is $995 million through 2026. See Note 16 to the Interim Financial Statements for additional information on the SRP.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Transactions</w:t>
      </w:r>
    </w:p>
    <w:p>
      <w:pPr>
        <w:spacing w:after="0" w:line="17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ecured Notes Consent.</w:t>
      </w:r>
      <w:r>
        <w:rPr>
          <w:rFonts w:ascii="Arial" w:cs="Arial" w:eastAsia="Arial" w:hAnsi="Arial"/>
          <w:sz w:val="16"/>
          <w:szCs w:val="16"/>
          <w:color w:val="auto"/>
        </w:rPr>
        <w:t xml:space="preserve"> In January 2025, we received consents from noteholders representing a majority in principal amount of the Secured Notes to adopt certain amendments to the Indenture to, among other things: (i) modify certain provisions, including certain covenants and related definitions, in order to substantially conform to the corresponding amendments to the Credit Agreement obtained in December 2024; and (ii) waive TES’s right to optionally redeem up to 10% of the Secured Notes at a price of 103% of par prior to June 1, 2025.</w:t>
      </w:r>
    </w:p>
    <w:p>
      <w:pPr>
        <w:spacing w:after="0" w:line="119" w:lineRule="exact"/>
        <w:rPr>
          <w:sz w:val="20"/>
          <w:szCs w:val="20"/>
          <w:color w:val="auto"/>
        </w:rPr>
      </w:pPr>
    </w:p>
    <w:p>
      <w:pPr>
        <w:ind w:right="880"/>
        <w:spacing w:after="0" w:line="466" w:lineRule="auto"/>
        <w:rPr>
          <w:sz w:val="20"/>
          <w:szCs w:val="20"/>
          <w:color w:val="auto"/>
        </w:rPr>
      </w:pPr>
      <w:r>
        <w:rPr>
          <w:rFonts w:ascii="Arial" w:cs="Arial" w:eastAsia="Arial" w:hAnsi="Arial"/>
          <w:sz w:val="16"/>
          <w:szCs w:val="16"/>
          <w:color w:val="auto"/>
        </w:rPr>
        <w:t xml:space="preserve">See Note 11 to the Interim Financial Statements for additional information on long-term debt, other credit facilities, and recent financing activities. </w:t>
      </w:r>
      <w:r>
        <w:rPr>
          <w:rFonts w:ascii="Arial" w:cs="Arial" w:eastAsia="Arial" w:hAnsi="Arial"/>
          <w:sz w:val="16"/>
          <w:szCs w:val="16"/>
          <w:b w:val="1"/>
          <w:bCs w:val="1"/>
          <w:i w:val="1"/>
          <w:iCs w:val="1"/>
          <w:color w:val="auto"/>
        </w:rPr>
        <w:t>Hedging Transactions</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To reduce the risk of unpredictable future cash flows associated with changes in variable rate indebtedness, in the first quarter 2025 we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interest rate swaps with a notional value of $550 million and a four-year maturity. In April 2025 we entered into additional interest rate swaps with notional value of $150 million and a four-year maturity.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RMR Arrangements</w:t>
      </w:r>
    </w:p>
    <w:p>
      <w:pPr>
        <w:spacing w:after="0" w:line="17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On May 1, 2025, the FERC approved the terms under which Talen will operate its Brandon Shores and H.A. Wagner power plants until May 31, 2029, beyond their scheduled May 31, 2025 retirement dates. Talen, PJM, and a broad coalition of the Maryland Public Service Commission, Maryland customers, and electric utilities reached agreement in January 2025 on the RMR agreement. Under the RMR agreement, Brandon Shores Units 1 and 2 and H.A. Wagner Units 3 and 4 will remain in service and provide power necessary to maintain grid and transmission reliability in and around the City of Baltimore until transmission upgrades to provide reliable power to the area from other sources are complete. Beginning June 1, 2025, we expect to receive $145 million annually for Brandon Shores and $35 million for H.A. Wagner with some performance incentives.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Financial Condition and Results of Operations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Earnings in future periods are subject to various uncertainties and risks. See “Cautionary Note Regarding Forward-Looking Information,” the sections entitled “Item 1A. Risk Factors” in this Report and our most recent Annual Report on Form 10-K, and Notes 3 and 10 to the Interim Financial Statements for additional information on our risks.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Commodity Markets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During the first quarter 2025, natural gas prices for Texas Eastern M-3 settled above their ten-year average as natural gas storage levels fell below the five-year average. In PJM, below average temperatures during the first quarter 2025 contributed to increased load demand that resulted in higher settled on-peak power prices compared with the prior year.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settled on-peak power prices and natural gas prices for the PJM market for the three months ended March 31,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Day Ahead Peak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60.50</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36.03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PPL Zone Day Ahead Peak - $/MWh</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29.68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Texas Eastern M-3 - $/MMBtu</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2.90</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forward market prices for the periods from April 1 through December 31 as of March 31,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53.87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40.60</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Texas Eastern M-3 - $/MMBtu</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03"/>
        </w:trPr>
        <w:tc>
          <w:tcPr>
            <w:tcW w:w="8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9"/>
                <w:szCs w:val="9"/>
                <w:color w:val="auto"/>
              </w:rPr>
              <w:t>(a)</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27.30</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26.81</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Spark spreads are computed based on day-ahead West Hub ATC prices, TETCO M-3 natural gas prices, and a heat rate of 7 MMBtu/MWh.</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Capacity Markets</w:t>
      </w:r>
    </w:p>
    <w:p>
      <w:pPr>
        <w:spacing w:after="0" w:line="17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i w:val="1"/>
          <w:iCs w:val="1"/>
          <w:color w:val="auto"/>
        </w:rPr>
        <w:t xml:space="preserve">PJM Capacity Auctions. </w:t>
      </w:r>
      <w:r>
        <w:rPr>
          <w:rFonts w:ascii="Arial" w:cs="Arial" w:eastAsia="Arial" w:hAnsi="Arial"/>
          <w:sz w:val="16"/>
          <w:szCs w:val="16"/>
          <w:color w:val="auto"/>
        </w:rPr>
        <w:t>Under the PJM Reliability Pricing Model, when held on schedule, the PJM BRA is required to be conducted in the month of May</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 prior to the start of the applicable PJM Capacity Year in order for PJM to secure commitments from capacity resources. The results of each PJM BRA impact our capacity revenues expected to be earned for the specific PJM Capacity Year.</w:t>
      </w:r>
    </w:p>
    <w:p>
      <w:pPr>
        <w:spacing w:after="0" w:line="11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Recently, PJM has delayed its auctions, which has resulted in less than 3 years between each auction and the start of the relevant PJM Capacity Year. The PJM BRA for the 2025/2026 Capacity Year, which was the most recent auction, was held in July 2024. The PJM BRA for the 2026/2027 Capacity Year is currently delayed until July 2025. The capacity market construct provides generation owners some opportunity for revenue visibility on a multiyear basis and is intended to provide a price signal for new generation to be built in the future. See Note 10 to the Interim Financial Statements for additional information on the PJM capacity market, systemic risks, auction delays, and related legal actions.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Capacity Prices. </w:t>
      </w:r>
      <w:r>
        <w:rPr>
          <w:rFonts w:ascii="Arial" w:cs="Arial" w:eastAsia="Arial" w:hAnsi="Arial"/>
          <w:sz w:val="16"/>
          <w:szCs w:val="16"/>
          <w:color w:val="auto"/>
        </w:rPr>
        <w:t>The following table displays the cleared capacity prices for completed PJM BRAs for the markets and zones in which we primarily operate: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2025/2026</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2024/2025</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2023/2024</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2022/2023</w:t>
            </w:r>
          </w:p>
        </w:tc>
      </w:tr>
      <w:tr>
        <w:trPr>
          <w:trHeight w:val="197"/>
        </w:trPr>
        <w:tc>
          <w:tcPr>
            <w:tcW w:w="536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PJM Capacity Performance ($/MW-day) </w:t>
            </w:r>
            <w:r>
              <w:rPr>
                <w:rFonts w:ascii="Arial" w:cs="Arial" w:eastAsia="Arial" w:hAnsi="Arial"/>
                <w:sz w:val="18"/>
                <w:szCs w:val="18"/>
                <w:b w:val="1"/>
                <w:bCs w:val="1"/>
                <w:color w:val="auto"/>
                <w:vertAlign w:val="superscript"/>
              </w:rPr>
              <w:t>(a)</w:t>
            </w: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MAAC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95.79</w:t>
            </w:r>
          </w:p>
        </w:tc>
      </w:tr>
      <w:tr>
        <w:trPr>
          <w:trHeight w:val="203"/>
        </w:trPr>
        <w:tc>
          <w:tcPr>
            <w:tcW w:w="5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PPL</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95.79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Displayed prices are from the applicable market publications.</w:t>
      </w:r>
    </w:p>
    <w:p>
      <w:pPr>
        <w:spacing w:after="0" w:line="15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For the 2025/2026 Capacity Year, we cleared a total of 6,820 MW at a clearing price of $269.92 per MW-day for the MAAC, PPL, and PSEG locational deliverability areas.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Nuclear Production Tax Credit</w:t>
      </w:r>
    </w:p>
    <w:p>
      <w:pPr>
        <w:spacing w:after="0" w:line="16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Inflation Reduction Act was signed into law in August 2022. Among the Act’s provisions are amendments to the Internal Revenue Code to create a nuclear production tax credit program. The Nuclear PTC program provides qualified nuclear power generation facilities with a transferable tax credit for electricity produced and sold to an unrelated party during each tax year. Electricity produced and sold by Susquehanna to third parties from December 31, 2023 through December 31, 2032 will be eligible for the credit. See Note 4 to the Interim Financial Statements for additional information on Nuclear PTC revenue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6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serve our fossil generation fleet through a combination of self-service and contracted maintenance activity (including long-term service agreements at certain facilities). Our largest recurring maintenance project is the annual spring refueling outage at Susquehanna.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March 25, 2025, Susquehanna commenced its planned refueling outage on Unit 2. During the outage, we identified incremental maintenance in the non-nuclear portion of the Unit which we expect will lead to operational efficiency. As a prudent operator, we have elected to complete this scope of work while Unit 2 is already in outage and market prices and demand are relatively low. The incremental maintenance investment is expected to add roughly $20 million of additional spend and extend the outage into mid-May. We anticipate the resulting improvements in operational efficiency of Unit 2 will be long-term in nature and pay back the additional costs and lost margin in approximately one-and-a-half years.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 results of operations presented below for the three months ended March 31, 2025 and 2024, should be reviewed in conjunction with the Interim Financial Statements and Notes thereto. Our results of operations as reported in the Interim Financial Statements are prepared in accordance with GAAP.</w:t>
      </w:r>
    </w:p>
    <w:p>
      <w:pPr>
        <w:spacing w:after="0" w:line="8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sales under wholesale bilateral contracts, realized hedges, Bitcoin revenue, and Nuclear PTC revenue. “Fuel and energy purchases” includes costs for fuel to generate electricity and settlements of financial and physical transactions related to fuel and energy purchases.</w:t>
      </w:r>
    </w:p>
    <w:p>
      <w:pPr>
        <w:spacing w:after="0" w:line="132"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for the Three Months Ended March 31, 2025 and 2024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subsequent section display the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0"/>
        </w:trPr>
        <w:tc>
          <w:tcPr>
            <w:tcW w:w="4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tcBorders>
              <w:bottom w:val="single" w:sz="8" w:color="auto"/>
            </w:tcBorders>
            <w:gridSpan w:val="4"/>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8"/>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3060" w:type="dxa"/>
            <w:vAlign w:val="bottom"/>
            <w:gridSpan w:val="3"/>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Energy and other revenues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2"/>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20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w w:val="97"/>
              </w:rPr>
              <w:t>(108)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Operating Revenues (Note 4)</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56"/>
        </w:trPr>
        <w:tc>
          <w:tcPr>
            <w:tcW w:w="47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w w:val="97"/>
              </w:rPr>
              <w:t>(150)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Nuclear fuel amortization</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20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Energy Expenses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7"/>
              </w:rPr>
              <w:t>(212)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56"/>
        </w:trPr>
        <w:tc>
          <w:tcPr>
            <w:tcW w:w="47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Operation, maintenance and development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(154)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Depreciation, amortization and accretion (Note 8)</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2"/>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4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9"/>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204"/>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7)</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Interest expense and other finance charges (Note 11)</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20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0"/>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(187)</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388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(575)</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5)</w:t>
            </w:r>
          </w:p>
        </w:tc>
        <w:tc>
          <w:tcPr>
            <w:tcW w:w="20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0"/>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20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(454)</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20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9"/>
        </w:trPr>
        <w:tc>
          <w:tcPr>
            <w:tcW w:w="47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3060" w:type="dxa"/>
            <w:vAlign w:val="bottom"/>
            <w:gridSpan w:val="3"/>
            <w:shd w:val="clear" w:color="auto" w:fill="E1E1E2"/>
          </w:tcPr>
          <w:p>
            <w:pPr>
              <w:jc w:val="right"/>
              <w:ind w:right="78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r>
        <w:trPr>
          <w:trHeight w:val="891"/>
        </w:trPr>
        <w:tc>
          <w:tcPr>
            <w:tcW w:w="474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740" w:type="dxa"/>
            <w:vAlign w:val="bottom"/>
            <w:tcBorders>
              <w:bottom w:val="single" w:sz="8" w:color="9A9A9A"/>
            </w:tcBorders>
          </w:tcPr>
          <w:p>
            <w:pPr>
              <w:spacing w:after="0"/>
              <w:rPr>
                <w:sz w:val="22"/>
                <w:szCs w:val="22"/>
                <w:color w:val="auto"/>
              </w:rPr>
            </w:pPr>
          </w:p>
        </w:tc>
        <w:tc>
          <w:tcPr>
            <w:tcW w:w="20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March 31, 2025 compared to March 31, 2024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Stockholders decreased by $(429) million, primarily driven by the factors discussed below.</w:t>
      </w:r>
    </w:p>
    <w:p>
      <w:pPr>
        <w:spacing w:after="0" w:line="18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$(142) million unfavorable decrease, primarily due to the following:</w:t>
      </w:r>
    </w:p>
    <w:p>
      <w:pPr>
        <w:spacing w:after="0" w:line="167" w:lineRule="exact"/>
        <w:rPr>
          <w:sz w:val="20"/>
          <w:szCs w:val="20"/>
          <w:color w:val="auto"/>
        </w:rPr>
      </w:pPr>
    </w:p>
    <w:p>
      <w:pPr>
        <w:ind w:left="980" w:right="20"/>
        <w:spacing w:after="0" w:line="265" w:lineRule="auto"/>
        <w:rPr>
          <w:sz w:val="20"/>
          <w:szCs w:val="20"/>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$(108) million unfavorable decrease. This is primarily related to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 of: (i) $(170) million decrease in realized hedges; and (ii) $(77) million decrease in digital revenue and Nuclear PTC revenue. Such amounts are partially offset by $137 million favorable increase in margin associated with electric generation and ancillary revenue resulting from higher realized prices at Susquehanna and higher generation volumes and realized prices associated with our PJM fossil fleet.</w:t>
      </w:r>
    </w:p>
    <w:p>
      <w:pPr>
        <w:spacing w:after="0" w:line="132" w:lineRule="exact"/>
        <w:rPr>
          <w:sz w:val="20"/>
          <w:szCs w:val="20"/>
          <w:color w:val="auto"/>
        </w:rPr>
      </w:pPr>
    </w:p>
    <w:p>
      <w:pPr>
        <w:ind w:left="980"/>
        <w:spacing w:after="0" w:line="260" w:lineRule="auto"/>
        <w:rPr>
          <w:sz w:val="20"/>
          <w:szCs w:val="20"/>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$(47) million unfavorable decrease. This is primarily related to the combined effect of: (i)</w:t>
      </w:r>
      <w:r>
        <w:rPr>
          <w:rFonts w:ascii="Arial" w:cs="Arial" w:eastAsia="Arial" w:hAnsi="Arial"/>
          <w:sz w:val="16"/>
          <w:szCs w:val="16"/>
          <w:i w:val="1"/>
          <w:iCs w:val="1"/>
          <w:color w:val="auto"/>
        </w:rPr>
        <w:t xml:space="preserve"> </w:t>
      </w:r>
      <w:r>
        <w:rPr>
          <w:rFonts w:ascii="Arial" w:cs="Arial" w:eastAsia="Arial" w:hAnsi="Arial"/>
          <w:sz w:val="16"/>
          <w:szCs w:val="16"/>
          <w:color w:val="auto"/>
        </w:rPr>
        <w:t>$(95) million from higher forward power prices relative to the Company’s hedge positions during the first quarter 2025 as compared to the first quarter 2024; and (ii) $(41) million associated with lower volume of hedge positions executed in the first quarter 2025 as compared to hedge positions executed in the first quarter 2024. Such amounts are partially offset by $89 million unrealized gains from the reversal of positions previously recognized as mark-to-market liabilities which settled during the period.</w:t>
      </w:r>
    </w:p>
    <w:p>
      <w:pPr>
        <w:spacing w:after="0" w:line="137" w:lineRule="exact"/>
        <w:rPr>
          <w:sz w:val="20"/>
          <w:szCs w:val="20"/>
          <w:color w:val="auto"/>
        </w:rPr>
      </w:pPr>
    </w:p>
    <w:p>
      <w:pPr>
        <w:ind w:left="660" w:right="20" w:hanging="328"/>
        <w:spacing w:after="0" w:line="265" w:lineRule="auto"/>
        <w:tabs>
          <w:tab w:leader="none" w:pos="649"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Decommissioning Trust Funds Gain (Loss), net. </w:t>
      </w:r>
      <w:r>
        <w:rPr>
          <w:rFonts w:ascii="Arial" w:cs="Arial" w:eastAsia="Arial" w:hAnsi="Arial"/>
          <w:sz w:val="16"/>
          <w:szCs w:val="16"/>
          <w:color w:val="auto"/>
        </w:rPr>
        <w:t>$(87) million unfavorable decrease. This is primarily due to the combined effect of: (i) $(24)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decrease in the unrealized value of equity securities in the first quarter 2025 compared with a $41 million increase in the first quarter 2024; and (ii) $(23) million decrease in realized activity due to asset portfolio rebalancing activities that occurred in the first quarter 2024. See Notes 7 and 12 to the Interim Financial Statements for additional information.</w:t>
      </w:r>
    </w:p>
    <w:p>
      <w:pPr>
        <w:spacing w:after="0" w:line="118" w:lineRule="exact"/>
        <w:rPr>
          <w:rFonts w:ascii="Arial" w:cs="Arial" w:eastAsia="Arial" w:hAnsi="Arial"/>
          <w:sz w:val="16"/>
          <w:szCs w:val="16"/>
          <w:i w:val="1"/>
          <w:iCs w:val="1"/>
          <w:color w:val="auto"/>
        </w:rPr>
      </w:pPr>
    </w:p>
    <w:p>
      <w:pPr>
        <w:ind w:left="660" w:right="28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$(322) million unfavorable decrease. This is primarily related to the gain from the AWS Data Campus Sale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2024. See Note 18 to the Interim Financial Statements for additional information.</w:t>
      </w:r>
    </w:p>
    <w:p>
      <w:pPr>
        <w:spacing w:after="0" w:line="87" w:lineRule="exact"/>
        <w:rPr>
          <w:rFonts w:ascii="Arial" w:cs="Arial" w:eastAsia="Arial" w:hAnsi="Arial"/>
          <w:sz w:val="16"/>
          <w:szCs w:val="16"/>
          <w:color w:val="auto"/>
        </w:rPr>
      </w:pPr>
    </w:p>
    <w:p>
      <w:pPr>
        <w:ind w:left="660" w:right="120" w:hanging="328"/>
        <w:spacing w:after="0" w:line="286" w:lineRule="auto"/>
        <w:tabs>
          <w:tab w:leader="none" w:pos="649"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$121 million favorable increase. This is due to the change of the estimated income tax effect resulting from income</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taxes in the first quarter 2024 and a loss before taxes in the first quarter 2025.</w:t>
      </w:r>
    </w:p>
    <w:p>
      <w:pPr>
        <w:spacing w:after="0" w:line="115" w:lineRule="exact"/>
        <w:rPr>
          <w:rFonts w:ascii="Arial" w:cs="Arial" w:eastAsia="Arial" w:hAnsi="Arial"/>
          <w:sz w:val="16"/>
          <w:szCs w:val="16"/>
          <w:i w:val="1"/>
          <w:iCs w:val="1"/>
          <w:color w:val="auto"/>
        </w:rPr>
      </w:pPr>
    </w:p>
    <w:p>
      <w:pPr>
        <w:ind w:left="660" w:right="480" w:hanging="328"/>
        <w:spacing w:after="0" w:line="275" w:lineRule="auto"/>
        <w:tabs>
          <w:tab w:leader="none" w:pos="649"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(Loss) Attributable to Noncontrolling Interest. </w:t>
      </w:r>
      <w:r>
        <w:rPr>
          <w:rFonts w:ascii="Arial" w:cs="Arial" w:eastAsia="Arial" w:hAnsi="Arial"/>
          <w:sz w:val="16"/>
          <w:szCs w:val="16"/>
          <w:color w:val="auto"/>
        </w:rPr>
        <w:t>$(25) million favorable decrease. This is due to the acquisition of the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noncontrolling interest in Cumulus Digital in March 2024 and the subsequent acquisition of the remaining noncontrolling interest in Nautilus in October 2024.</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Our liquidity and capital requirements are generally a function of: (i) debt service requirements; (ii) capital expenditures; (iii) maintenance activities; (iv) liquidity requirements for our hedging activities including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spacing w:after="0" w:line="11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spacing w:after="0" w:line="132"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we now have lower overall hedging needs given the cash-flow stability afforded by the Nuclear PTC (which provides a built-in hedging apparatus through the tax credit) and significantly reduced debt service requirements following our emergence from bankruptcy in 2023 and subsequent refinancing transactions.</w:t>
      </w:r>
    </w:p>
    <w:p>
      <w:pPr>
        <w:spacing w:after="0" w:line="13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spacing w:after="0" w:line="1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See the following Notes to the Interim Financial Statements for additional information on liquidity topics discussed below: Note 3 for derivatives and hedging, Note 9 for AROs and environmental obligations, Note 11 for long-term debt and credit facilities, and Note 17 for supplemental cash flow information.</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Letter of Credit Capacity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 unrestricted</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Unutilized RCF capacity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r>
      <w:tr>
        <w:trPr>
          <w:trHeight w:val="48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available liquidity</w:t>
            </w:r>
          </w:p>
        </w:tc>
        <w:tc>
          <w:tcPr>
            <w:tcW w:w="100" w:type="dxa"/>
            <w:vAlign w:val="bottom"/>
            <w:tcBorders>
              <w:bottom w:val="single" w:sz="8" w:color="E1E1E2"/>
            </w:tcBorders>
            <w:shd w:val="clear" w:color="auto" w:fill="E1E1E2"/>
          </w:tcPr>
          <w:p>
            <w:pPr>
              <w:spacing w:after="0"/>
              <w:rPr>
                <w:sz w:val="24"/>
                <w:szCs w:val="24"/>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995</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1,028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Additional unutilized LC capacity </w:t>
            </w:r>
            <w:r>
              <w:rPr>
                <w:rFonts w:ascii="Arial" w:cs="Arial" w:eastAsia="Arial" w:hAnsi="Arial"/>
                <w:sz w:val="9"/>
                <w:szCs w:val="9"/>
                <w:b w:val="1"/>
                <w:bCs w:val="1"/>
                <w:color w:val="auto"/>
              </w:rPr>
              <w:t>(b)</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526</w:t>
            </w:r>
          </w:p>
        </w:tc>
      </w:tr>
      <w:tr>
        <w:trPr>
          <w:trHeight w:val="232"/>
        </w:trPr>
        <w:tc>
          <w:tcPr>
            <w:tcW w:w="82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bl>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w:t>
      </w: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Excludes LC capacity available under the RCF and includes LC capacity under the LCF.</w:t>
      </w:r>
    </w:p>
    <w:p>
      <w:pPr>
        <w:spacing w:after="0" w:line="24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11 to the Interim Financial Statements for additional information on the RCF and LCF.</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 Assurances</w:t>
      </w:r>
    </w:p>
    <w:p>
      <w:pPr>
        <w:spacing w:after="0" w:line="179"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268"/>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Outstanding surety bonds</w:t>
            </w:r>
          </w:p>
        </w:tc>
        <w:tc>
          <w:tcPr>
            <w:tcW w:w="100" w:type="dxa"/>
            <w:vAlign w:val="bottom"/>
            <w:shd w:val="clear" w:color="auto" w:fill="E1E1E2"/>
          </w:tcPr>
          <w:p>
            <w:pPr>
              <w:spacing w:after="0"/>
              <w:rPr>
                <w:sz w:val="16"/>
                <w:szCs w:val="16"/>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investing, and financing activities for the periods was: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0"/>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9"/>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activities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ind w:left="120"/>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980" w:type="dxa"/>
            <w:vAlign w:val="bottom"/>
          </w:tcPr>
          <w:p>
            <w:pPr>
              <w:spacing w:after="0"/>
              <w:rPr>
                <w:sz w:val="17"/>
                <w:szCs w:val="17"/>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ind w:left="140"/>
              <w:spacing w:after="0"/>
              <w:rPr>
                <w:sz w:val="20"/>
                <w:szCs w:val="20"/>
                <w:color w:val="auto"/>
              </w:rPr>
            </w:pPr>
            <w:r>
              <w:rPr>
                <w:rFonts w:ascii="Arial" w:cs="Arial" w:eastAsia="Arial" w:hAnsi="Arial"/>
                <w:sz w:val="14"/>
                <w:szCs w:val="14"/>
                <w:color w:val="auto"/>
              </w:rPr>
              <w:t>(96)</w:t>
            </w:r>
          </w:p>
        </w:tc>
        <w:tc>
          <w:tcPr>
            <w:tcW w:w="100" w:type="dxa"/>
            <w:vAlign w:val="bottom"/>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change of $(54) million in net cash provided by (used in) operating activities is generally aligned with results from operations combined with working capital changes in the normal course of business. See “Results of Operations”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6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 change of $(333) million in net cash provided by (used in) investing activities was primarily due to $339 million in proceeds from the AWS Data Campus Sale in the first quarter 2024.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 change of $163 million in net cash provided by (used in) financing activities is primarily the result of the combined effect of the: (i) $182 million repayment of the Cumulus Digital TLF and (ii) $39 million purchase of noncontrolling interest in Cumulus Digital, both in the first quarter 2024. Such amounts were partially offset by an increase in share repurchases of $(53) million in the first quarter 2025.</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Guarantees of Subsidiary Obligations</w:t>
      </w:r>
    </w:p>
    <w:p>
      <w:pPr>
        <w:spacing w:after="0" w:line="165"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TES guarantees certain agreements and obligations for its subsidiaries. Certain agreements may contingently require payments to a guaranteed or indemnified party. See “Guarantees and Other Assurances” in Note 10 to the Interim Financial Statements for additional information regarding guarantees.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1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20"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3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 Operations to the non-GAAP financial measure of Adjusted EBITDA:</w:t>
      </w:r>
    </w:p>
    <w:p>
      <w:pPr>
        <w:spacing w:after="0" w:line="147"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319</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 xml:space="preserve">(Gain) loss on asset sales, net </w:t>
            </w:r>
            <w:r>
              <w:rPr>
                <w:rFonts w:ascii="Arial" w:cs="Arial" w:eastAsia="Arial" w:hAnsi="Arial"/>
                <w:sz w:val="9"/>
                <w:szCs w:val="9"/>
                <w:color w:val="auto"/>
              </w:rPr>
              <w:t>(a)</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23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320" w:type="dxa"/>
            <w:vAlign w:val="bottom"/>
            <w:shd w:val="clear" w:color="auto" w:fill="E1E1E2"/>
          </w:tcPr>
          <w:p>
            <w:pPr>
              <w:spacing w:after="0"/>
              <w:rPr>
                <w:sz w:val="20"/>
                <w:szCs w:val="20"/>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20"/>
                <w:szCs w:val="20"/>
                <w:color w:val="auto"/>
              </w:rPr>
            </w:pPr>
          </w:p>
        </w:tc>
        <w:tc>
          <w:tcPr>
            <w:tcW w:w="320" w:type="dxa"/>
            <w:vAlign w:val="bottom"/>
            <w:shd w:val="clear" w:color="auto" w:fill="E1E1E2"/>
          </w:tcPr>
          <w:p>
            <w:pPr>
              <w:spacing w:after="0"/>
              <w:rPr>
                <w:sz w:val="20"/>
                <w:szCs w:val="20"/>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289</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 Note 18 to the Interim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6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Company’s financial statements are prepared in conformity with GAAP, which requires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the Annual Financial Statements for a description of our significant accounting policies and estimates.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Note 3 to the Interim Financial Statements for a description of our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Based upon that evaluation, our principal executive officer and principal financial officer concluded that our disclosure controls and procedures were effective as of March 31, 2025, the end of the period covered by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three months ended March 31, 2025 that materially affected, or are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Susquehanna ISA Amendment. </w:t>
      </w:r>
      <w:r>
        <w:rPr>
          <w:rFonts w:ascii="Arial" w:cs="Arial" w:eastAsia="Arial" w:hAnsi="Arial"/>
          <w:sz w:val="16"/>
          <w:szCs w:val="16"/>
          <w:color w:val="auto"/>
        </w:rPr>
        <w:t>Under a prior, FERC-accepted ISA between PJM, Susquehanna, and a subsidiary of PPL Corporation (“PPL”)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“ISA Parties”), Susquehanna is permitted to decrease by up to 300 MW the amount of power supply that it would otherwise provide to the power grid within PPL’s service area. Susquehanna currently provides that power to load via load-owned transmission directly connected to Susquehanna rather than supplying load from the power grid. In June 2024, PJM filed at FERC an Amended Interconnection Service Agreement (the “Susquehanna ISA Amendment”) executed between the ISA Parties permitting Susquehanna to decrease by up to 480 MW the amount of power supply that it would otherwise provide to the power grid and now intends to sell to AWS instead. PJM previously concluded such increase in the amount of withheld power would have no reliability impacts on the grid. In June 2024, despite the Susquehanna ISA Amendment being applicable solely to the PPL service area, Exelon Corporation (“Exelon”) and AEP filed a protest to the Susquehanna ISA Amendment at FERC and raised generic issues involving the direct connection of load service to generators. FERC responded by issuing a deficiency letter in August 2024 seeking more information about the arrangement described in the Susquehanna ISA Amendment and separately setting a Technical Conference for November 2024 to discuss broader issues related to (i) co-located load connected directly to generation; and (ii) emerging reliability issues resulting from the dramatic rise in data center demand for power. In September 2024, PJM provided a response to FERC’s August 2024 deficiency letter on the Susquehanna ISA Amendment and filed a Construction Service Agreement between the ISA Parties and Mid-Atlantic Interstate Transmission, LLC to facilitate certain network upgrades to ultimately accommodate a 960 MW decrease of power supply to the grid. Talen filed its own comments in September 2024 and written testimony in the FERC Technical Conference proceeding in October 2024. Shortly after the conclusion of the FERC Technical Conference in November 2024, FERC issued a 2-1 decision rejecting the Susquehanna ISA Amendment and Talen filed a motion for a rehearing of the FERC order within the 30-day deadline for such motions. In December, FERC issued an order stating that it would address the request for rehearing in a future order, which FERC issued on April 10, 2025, reaffirming its original order. Talen has filed an appeal in the U.S. Court of Appeals for the Fifth Circuit, which had been temporarily stayed awaiting FERC’s substantive rehearing order. Now that the FERC order has been issued, Talen is actively pursuing its appeal.</w:t>
      </w:r>
    </w:p>
    <w:p>
      <w:pPr>
        <w:spacing w:after="0" w:line="14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prior FERC-accepted ISA between the ISA Parties permitting Susquehanna to decrease 300 MW of its current power supply from the power grid remains in place and facilitates the initial sale of power to AWS under the AWS PPA.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are evaluating our commercial and legal options to provide the most efficient path to full development of the AWS Data Campus. Such options include, but are not limited to, potential submission of a revised form of Susquehanna ISA Amendment or alternative contract structures with AWS. If the Company is unable commercially or legally to resolve the Susquehanna ISA Amendment approval impediments and realize the full development of the AWS Data Campus, there may be a material impact on our future results of operations, and (or) financial condition.</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Separate and apart from the Susquehanna ISA proceeding, there are three other pending proceedings before FERC that could shape policy around co-located load, and thus impact the result of the Susquehanna ISA proceeding. First, in August 2024, Exelon made a series of filings on behalf of each of its electric utility subsidiaries to amend portions of the PJM tariff that would clarify that co-located load arrangements must be categorized as either network load or point-to-point service (the “Exelon 205 proceeding”). In effect, the proposed amendments intended to clarify that co-located load arrangements would be treated as either needing network or point-to-point service, making them subject to the same transmission charges and fees for transmission-related services that would be applicable if the same load had located at other points on the PJM grid. Exelon requested a December 2, 2024 effective date, but in November 2024, FERC issued a deficiency letter stating that FERC required more information to make a determination. Second, in November 2024, FERC held a technical conference on co-located load to discuss, among other things, the impacts of various co-location agreements, whether and how large co-located loads receive wholesale market services or benefits from the transmission system, the cost and impact of back-up services for large co-located load and state regulatory and policy issues (the “Co-Location Technical Conference proceeding”). Following the technical conference, FERC requested comments be filed by December 9, 2024. Talen both participated in the technical conference and filed comments. Third, in November 2024, Constellation filed a complaint at FERC alleging that PJM’s tariff is unjust and unreasonable because it is silent on how to treat fully isolated co-located load (the “Constellation 206 proceeding”). The complaint suggests that FERC import into the tariff certain terms and conditions from a non-binding guidance document PJM shared with stakeholders or set the proceeding for settlement discussions on an expedited basis with a mediator.</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On February 20, 2025, FERC denied relief in the Exelon 205 proceeding and initiated a new Section 206 proceeding directing PJM to show cause within 30 days why its tariff is just and reasonable in light of potential discrimination around the treatment of co-located load or, in the alternative, to propose changes to its tariff to address the treatment of co-located load (the “Co-Located Load PJM Tariff proceeding”). The order initiating the Co-Located Load PJM Tariff proceeding consolidated the records and proceedings from the Co-Location Technical Conference and Constellation 206 proceedings into the Co-Located Load PJM Tariff proceeding, which will all be considered together by FERC. Talen submitted comments in support of PJM’s filing and requested that FERC act quickly and require PJM to implement its proposal into its tariff. Talen intends to continue to be an active participant in the PJM and FERC process to revise PJM’s tariff.</w:t>
      </w:r>
    </w:p>
    <w:p>
      <w:pPr>
        <w:spacing w:after="0" w:line="136" w:lineRule="exact"/>
        <w:rPr>
          <w:sz w:val="20"/>
          <w:szCs w:val="20"/>
          <w:color w:val="auto"/>
        </w:rPr>
      </w:pPr>
    </w:p>
    <w:p>
      <w:pPr>
        <w:ind w:right="2120"/>
        <w:spacing w:after="0" w:line="467" w:lineRule="auto"/>
        <w:rPr>
          <w:sz w:val="20"/>
          <w:szCs w:val="20"/>
          <w:color w:val="auto"/>
        </w:rPr>
      </w:pPr>
      <w:r>
        <w:rPr>
          <w:rFonts w:ascii="Arial" w:cs="Arial" w:eastAsia="Arial" w:hAnsi="Arial"/>
          <w:sz w:val="16"/>
          <w:szCs w:val="16"/>
          <w:color w:val="auto"/>
        </w:rPr>
        <w:t xml:space="preserve">See Note 10 to the Interim Financial Statements for information about other material legal proceedings to which we are subject. </w:t>
      </w:r>
      <w:r>
        <w:rPr>
          <w:rFonts w:ascii="Arial" w:cs="Arial" w:eastAsia="Arial" w:hAnsi="Arial"/>
          <w:sz w:val="16"/>
          <w:szCs w:val="16"/>
          <w:b w:val="1"/>
          <w:bCs w:val="1"/>
          <w:color w:val="auto"/>
        </w:rPr>
        <w:t>ITEM 1A. RISK FACTORS</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Changes to, and uncertainty surrounding, United States and international trade tariffs, treaties, policies, and regulations may adversely affect our business.</w:t>
      </w:r>
    </w:p>
    <w:p>
      <w:pPr>
        <w:spacing w:after="0" w:line="8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United States and international laws, rules, and practices pertaining to trade are currently undergoing frequent changes, including the imposition of new or expanded tariffs on international trade by the U.S. and foreign governments. In addition, President Trump has directed various federal agencies to further evaluate key aspects of U.S. trade policy, and discussion is ongoing regarding other potentially significant changes to U.S. and international trade policies, treaties, and tariffs. Accordingly, there continues to exist significant uncertainty about the future relationship between the U.S. and international trade partners. We cannot predict the timing or scope of any potential changes to, or the volatility of governmental decisions around, tariffs or other trade policies. Any new or increased trade tariffs, restrictions, or controls, as well as any resulting delays or disruptions in global supply chains or shipping channels, could materially increase the prices we pay for, or negatively impact our ability to obtain, on a timely basis or at all, fuel, materials, supplies, equipment, parts, and other products critical to our operations. Furthermore, any of these developments, or the perception that any of them could occur, may have a material negative impact on the macro-level U.S. and global economy, which could negatively impact our interest rates, stock price, and ability to access capital markets.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related to the Company’s risk factors, see ”Item 1A. Risk Factors” in the Company’s most recent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65"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In October 2023, we announced the Board of Directors approved the SRP, initially authorizing the Company to repurchase up to $300 million of TEC’s outstanding common stock. In May 2024, the Board of Directors approved an increase in the then-remaining SRP capacity to $1 billion through the end of 2025. In September 2024, the Board of Directors again approved an increase in the then-remaining SRP capacity to $1.25 billion through December 31,</w:t>
      </w:r>
    </w:p>
    <w:p>
      <w:pPr>
        <w:spacing w:after="0" w:line="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2026. See “Item 5. Market for Registrant’s Common Equity, Related Shareholder Matters and Issuer Purchases of Equity Securities” in the Company’s most recent Annual Report on Form 10-K for additional information related to the SRP and shares repurchased under the SRP.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regarding our purchases of TEC common stock during the three months ended March 31,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Monthly Period</w:t>
            </w:r>
          </w:p>
        </w:tc>
        <w:tc>
          <w:tcPr>
            <w:tcW w:w="100" w:type="dxa"/>
            <w:vAlign w:val="bottom"/>
            <w:vMerge w:val="restart"/>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Average price paid per</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28"/>
              <w:spacing w:after="0" w:line="189" w:lineRule="exact"/>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8"/>
                <w:szCs w:val="18"/>
                <w:b w:val="1"/>
                <w:bCs w:val="1"/>
                <w:color w:val="auto"/>
                <w:vertAlign w:val="superscript"/>
              </w:rPr>
              <w:t>(a)</w:t>
            </w:r>
          </w:p>
        </w:tc>
        <w:tc>
          <w:tcPr>
            <w:tcW w:w="0" w:type="dxa"/>
            <w:vAlign w:val="bottom"/>
          </w:tcPr>
          <w:p>
            <w:pPr>
              <w:spacing w:after="0"/>
              <w:rPr>
                <w:sz w:val="1"/>
                <w:szCs w:val="1"/>
                <w:color w:val="auto"/>
              </w:rPr>
            </w:pPr>
          </w:p>
        </w:tc>
      </w:tr>
      <w:tr>
        <w:trPr>
          <w:trHeight w:val="188"/>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January</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February</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March</w:t>
            </w: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452,130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184.38</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820" w:type="dxa"/>
            <w:vAlign w:val="bottom"/>
          </w:tcPr>
          <w:p>
            <w:pPr>
              <w:jc w:val="right"/>
              <w:ind w:right="8"/>
              <w:spacing w:after="0"/>
              <w:rPr>
                <w:sz w:val="20"/>
                <w:szCs w:val="20"/>
                <w:color w:val="auto"/>
              </w:rPr>
            </w:pPr>
            <w:r>
              <w:rPr>
                <w:rFonts w:ascii="Arial" w:cs="Arial" w:eastAsia="Arial" w:hAnsi="Arial"/>
                <w:sz w:val="14"/>
                <w:szCs w:val="14"/>
                <w:b w:val="1"/>
                <w:bCs w:val="1"/>
                <w:color w:val="auto"/>
              </w:rPr>
              <w:t>452,130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184.38</w:t>
            </w:r>
          </w:p>
        </w:tc>
        <w:tc>
          <w:tcPr>
            <w:tcW w:w="0" w:type="dxa"/>
            <w:vAlign w:val="bottom"/>
          </w:tcPr>
          <w:p>
            <w:pPr>
              <w:spacing w:after="0"/>
              <w:rPr>
                <w:sz w:val="1"/>
                <w:szCs w:val="1"/>
                <w:color w:val="auto"/>
              </w:rPr>
            </w:pPr>
          </w:p>
        </w:tc>
      </w:tr>
      <w:tr>
        <w:trPr>
          <w:trHeight w:val="22"/>
        </w:trPr>
        <w:tc>
          <w:tcPr>
            <w:tcW w:w="3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Excludes transaction costs and excise taxes.</w:t>
      </w: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shares repurchased under the SRP. See above for a description of the SRP.</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Dollars in millions.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54"/>
        </w:trPr>
        <w:tc>
          <w:tcPr>
            <w:tcW w:w="18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94"/>
        </w:trPr>
        <w:tc>
          <w:tcPr>
            <w:tcW w:w="18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purchased as part of</w:t>
            </w:r>
          </w:p>
        </w:tc>
        <w:tc>
          <w:tcPr>
            <w:tcW w:w="14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4"/>
        </w:trPr>
        <w:tc>
          <w:tcPr>
            <w:tcW w:w="1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publicly announced plan</w:t>
            </w:r>
          </w:p>
        </w:tc>
        <w:tc>
          <w:tcPr>
            <w:tcW w:w="1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center"/>
              <w:ind w:right="68"/>
              <w:spacing w:after="0" w:line="135" w:lineRule="exact"/>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9"/>
                <w:szCs w:val="9"/>
                <w:b w:val="1"/>
                <w:bCs w:val="1"/>
                <w:color w:val="auto"/>
              </w:rPr>
              <w:t>(c)</w:t>
            </w:r>
          </w:p>
        </w:tc>
        <w:tc>
          <w:tcPr>
            <w:tcW w:w="0" w:type="dxa"/>
            <w:vAlign w:val="bottom"/>
          </w:tcPr>
          <w:p>
            <w:pPr>
              <w:spacing w:after="0"/>
              <w:rPr>
                <w:sz w:val="1"/>
                <w:szCs w:val="1"/>
                <w:color w:val="auto"/>
              </w:rPr>
            </w:pPr>
          </w:p>
        </w:tc>
      </w:tr>
      <w:tr>
        <w:trPr>
          <w:trHeight w:val="188"/>
        </w:trPr>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203"/>
        </w:trPr>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207"/>
        </w:trPr>
        <w:tc>
          <w:tcPr>
            <w:tcW w:w="1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452,130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99"/>
        </w:trPr>
        <w:tc>
          <w:tcPr>
            <w:tcW w:w="1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452,130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2" w:lineRule="exact"/>
        <w:rPr>
          <w:sz w:val="20"/>
          <w:szCs w:val="20"/>
          <w:color w:val="auto"/>
        </w:rPr>
      </w:pPr>
    </w:p>
    <w:p>
      <w:pPr>
        <w:sectPr>
          <w:pgSz w:w="11900" w:h="16838" w:orient="portrait"/>
          <w:cols w:equalWidth="0" w:num="2">
            <w:col w:w="7540" w:space="100"/>
            <w:col w:w="360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For a description of limitations on the payment of our dividends, see Note 2 to the Annual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67" w:lineRule="exact"/>
        <w:rPr>
          <w:sz w:val="20"/>
          <w:szCs w:val="20"/>
          <w:color w:val="auto"/>
        </w:rPr>
      </w:pPr>
    </w:p>
    <w:p>
      <w:pPr>
        <w:jc w:val="both"/>
        <w:ind w:right="520"/>
        <w:spacing w:after="0" w:line="304" w:lineRule="auto"/>
        <w:rPr>
          <w:sz w:val="20"/>
          <w:szCs w:val="20"/>
          <w:color w:val="auto"/>
        </w:rPr>
      </w:pPr>
      <w:r>
        <w:rPr>
          <w:rFonts w:ascii="Arial" w:cs="Arial" w:eastAsia="Arial" w:hAnsi="Arial"/>
          <w:sz w:val="16"/>
          <w:szCs w:val="16"/>
          <w:color w:val="auto"/>
        </w:rPr>
        <w:t>During the three months ended March 31, 2025, none of our directors or “officers” (as such term is defined in Rule 16(a)-1(f) under the Exchange Act) adopted or terminated a “Rule 10b5-1 trading agreement” or “non-Rule 10b5-1 trading arrangement” (each as defined in Item 408 of Regulation S-K).</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546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Date of Filing</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1080" w:type="dxa"/>
            <w:vAlign w:val="bottom"/>
            <w:gridSpan w:val="2"/>
            <w:vMerge w:val="continue"/>
          </w:tcPr>
          <w:p>
            <w:pPr>
              <w:spacing w:after="0"/>
              <w:rPr>
                <w:sz w:val="16"/>
                <w:szCs w:val="16"/>
                <w:color w:val="auto"/>
              </w:rPr>
            </w:pPr>
          </w:p>
        </w:tc>
        <w:tc>
          <w:tcPr>
            <w:tcW w:w="5460" w:type="dxa"/>
            <w:vAlign w:val="bottom"/>
            <w:gridSpan w:val="17"/>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74"/>
        </w:trPr>
        <w:tc>
          <w:tcPr>
            <w:tcW w:w="9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E1E1E2"/>
            </w:tcBorders>
            <w:shd w:val="clear" w:color="auto" w:fill="E1E1E2"/>
          </w:tcPr>
          <w:p>
            <w:pPr>
              <w:spacing w:after="0"/>
              <w:rPr>
                <w:sz w:val="14"/>
                <w:szCs w:val="14"/>
                <w:color w:val="auto"/>
              </w:rPr>
            </w:pPr>
          </w:p>
        </w:tc>
        <w:tc>
          <w:tcPr>
            <w:tcW w:w="5460" w:type="dxa"/>
            <w:vAlign w:val="bottom"/>
            <w:gridSpan w:val="17"/>
            <w:shd w:val="clear" w:color="auto" w:fill="E1E1E2"/>
          </w:tcPr>
          <w:p>
            <w:pPr>
              <w:spacing w:after="0"/>
              <w:rPr>
                <w:rFonts w:ascii="Arial" w:cs="Arial" w:eastAsia="Arial" w:hAnsi="Arial"/>
                <w:sz w:val="14"/>
                <w:szCs w:val="14"/>
                <w:color w:val="0000FF"/>
              </w:rPr>
            </w:pPr>
            <w:hyperlink r:id="rId54">
              <w:r>
                <w:rPr>
                  <w:rFonts w:ascii="Arial" w:cs="Arial" w:eastAsia="Arial" w:hAnsi="Arial"/>
                  <w:sz w:val="14"/>
                  <w:szCs w:val="14"/>
                  <w:color w:val="0000FF"/>
                </w:rPr>
                <w:t>Third Amended and Restated Certificate of Incorporation of Talen Energy</w:t>
              </w:r>
            </w:hyperlink>
          </w:p>
        </w:tc>
        <w:tc>
          <w:tcPr>
            <w:tcW w:w="98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E1E1E2"/>
          </w:tcPr>
          <w:p>
            <w:pPr>
              <w:spacing w:after="0"/>
              <w:rPr>
                <w:sz w:val="14"/>
                <w:szCs w:val="14"/>
                <w:color w:val="auto"/>
              </w:rPr>
            </w:pPr>
          </w:p>
        </w:tc>
        <w:tc>
          <w:tcPr>
            <w:tcW w:w="1500" w:type="dxa"/>
            <w:vAlign w:val="bottom"/>
            <w:gridSpan w:val="2"/>
            <w:shd w:val="clear" w:color="auto" w:fill="E1E1E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6"/>
        </w:trPr>
        <w:tc>
          <w:tcPr>
            <w:tcW w:w="960" w:type="dxa"/>
            <w:vAlign w:val="bottom"/>
            <w:tcBorders>
              <w:top w:val="single" w:sz="8" w:color="E1E1E2"/>
              <w:bottom w:val="single" w:sz="8" w:color="E1E1E2"/>
            </w:tcBorders>
            <w:shd w:val="clear" w:color="auto" w:fill="E1E1E2"/>
          </w:tcPr>
          <w:p>
            <w:pPr>
              <w:spacing w:after="0"/>
              <w:rPr>
                <w:sz w:val="11"/>
                <w:szCs w:val="11"/>
                <w:color w:val="auto"/>
              </w:rPr>
            </w:pPr>
          </w:p>
        </w:tc>
        <w:tc>
          <w:tcPr>
            <w:tcW w:w="120" w:type="dxa"/>
            <w:vAlign w:val="bottom"/>
            <w:tcBorders>
              <w:top w:val="single" w:sz="8" w:color="E1E1E2"/>
              <w:bottom w:val="single" w:sz="8" w:color="E1E1E2"/>
              <w:right w:val="single" w:sz="8" w:color="E1E1E2"/>
            </w:tcBorders>
            <w:shd w:val="clear" w:color="auto" w:fill="E1E1E2"/>
          </w:tcPr>
          <w:p>
            <w:pPr>
              <w:spacing w:after="0"/>
              <w:rPr>
                <w:sz w:val="11"/>
                <w:szCs w:val="11"/>
                <w:color w:val="auto"/>
              </w:rPr>
            </w:pPr>
          </w:p>
        </w:tc>
        <w:tc>
          <w:tcPr>
            <w:tcW w:w="800" w:type="dxa"/>
            <w:vAlign w:val="bottom"/>
            <w:tcBorders>
              <w:top w:val="single" w:sz="8" w:color="0000FF"/>
              <w:bottom w:val="single" w:sz="8" w:color="0000FF"/>
            </w:tcBorders>
            <w:shd w:val="clear" w:color="auto" w:fill="E1E1E2"/>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Corporation.</w:t>
              </w:r>
            </w:hyperlink>
          </w:p>
        </w:tc>
        <w:tc>
          <w:tcPr>
            <w:tcW w:w="3840" w:type="dxa"/>
            <w:vAlign w:val="bottom"/>
            <w:tcBorders>
              <w:top w:val="single" w:sz="8" w:color="0000FF"/>
              <w:bottom w:val="single" w:sz="8" w:color="E1E1E2"/>
            </w:tcBorders>
            <w:gridSpan w:val="8"/>
            <w:shd w:val="clear" w:color="auto" w:fill="E1E1E2"/>
          </w:tcPr>
          <w:p>
            <w:pPr>
              <w:spacing w:after="0"/>
              <w:rPr>
                <w:sz w:val="11"/>
                <w:szCs w:val="11"/>
                <w:color w:val="auto"/>
              </w:rPr>
            </w:pPr>
          </w:p>
        </w:tc>
        <w:tc>
          <w:tcPr>
            <w:tcW w:w="120" w:type="dxa"/>
            <w:vAlign w:val="bottom"/>
            <w:tcBorders>
              <w:top w:val="single" w:sz="8" w:color="E1E1E2"/>
              <w:bottom w:val="single" w:sz="8" w:color="E1E1E2"/>
            </w:tcBorders>
            <w:shd w:val="clear" w:color="auto" w:fill="E1E1E2"/>
          </w:tcPr>
          <w:p>
            <w:pPr>
              <w:spacing w:after="0"/>
              <w:rPr>
                <w:sz w:val="11"/>
                <w:szCs w:val="11"/>
                <w:color w:val="auto"/>
              </w:rPr>
            </w:pPr>
          </w:p>
        </w:tc>
        <w:tc>
          <w:tcPr>
            <w:tcW w:w="12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140" w:type="dxa"/>
            <w:vAlign w:val="bottom"/>
            <w:tcBorders>
              <w:top w:val="single" w:sz="8" w:color="E1E1E2"/>
              <w:bottom w:val="single" w:sz="8" w:color="E1E1E2"/>
            </w:tcBorders>
            <w:shd w:val="clear" w:color="auto" w:fill="E1E1E2"/>
          </w:tcPr>
          <w:p>
            <w:pPr>
              <w:spacing w:after="0"/>
              <w:rPr>
                <w:sz w:val="11"/>
                <w:szCs w:val="11"/>
                <w:color w:val="auto"/>
              </w:rPr>
            </w:pPr>
          </w:p>
        </w:tc>
        <w:tc>
          <w:tcPr>
            <w:tcW w:w="240" w:type="dxa"/>
            <w:vAlign w:val="bottom"/>
            <w:tcBorders>
              <w:top w:val="single" w:sz="8" w:color="E1E1E2"/>
              <w:bottom w:val="single" w:sz="8" w:color="E1E1E2"/>
            </w:tcBorders>
            <w:gridSpan w:val="2"/>
            <w:shd w:val="clear" w:color="auto" w:fill="E1E1E2"/>
          </w:tcPr>
          <w:p>
            <w:pPr>
              <w:spacing w:after="0"/>
              <w:rPr>
                <w:sz w:val="11"/>
                <w:szCs w:val="11"/>
                <w:color w:val="auto"/>
              </w:rPr>
            </w:pPr>
          </w:p>
        </w:tc>
        <w:tc>
          <w:tcPr>
            <w:tcW w:w="88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2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42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860" w:type="dxa"/>
            <w:vAlign w:val="bottom"/>
            <w:tcBorders>
              <w:top w:val="single" w:sz="8" w:color="E1E1E2"/>
              <w:bottom w:val="single" w:sz="8" w:color="E1E1E2"/>
            </w:tcBorders>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5460" w:type="dxa"/>
            <w:vAlign w:val="bottom"/>
            <w:gridSpan w:val="17"/>
          </w:tcPr>
          <w:p>
            <w:pPr>
              <w:spacing w:after="0"/>
              <w:rPr>
                <w:rFonts w:ascii="Arial" w:cs="Arial" w:eastAsia="Arial" w:hAnsi="Arial"/>
                <w:sz w:val="14"/>
                <w:szCs w:val="14"/>
                <w:color w:val="0000FF"/>
              </w:rPr>
            </w:pPr>
            <w:hyperlink r:id="rId55">
              <w:r>
                <w:rPr>
                  <w:rFonts w:ascii="Arial" w:cs="Arial" w:eastAsia="Arial" w:hAnsi="Arial"/>
                  <w:sz w:val="14"/>
                  <w:szCs w:val="14"/>
                  <w:color w:val="0000FF"/>
                </w:rPr>
                <w:t>Second Amended and Restated Bylaws of Talen Energy Corporation</w:t>
              </w:r>
            </w:hyperlink>
            <w:r>
              <w:rPr>
                <w:rFonts w:ascii="Arial" w:cs="Arial" w:eastAsia="Arial" w:hAnsi="Arial"/>
                <w:sz w:val="14"/>
                <w:szCs w:val="14"/>
                <w:color w:val="000000"/>
              </w:rPr>
              <w: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w:t>
            </w:r>
            <w:r>
              <w:rPr>
                <w:rFonts w:ascii="Arial" w:cs="Arial" w:eastAsia="Arial" w:hAnsi="Arial"/>
                <w:sz w:val="8"/>
                <w:szCs w:val="8"/>
                <w:color w:val="auto"/>
              </w:rPr>
              <w:t>†</w:t>
            </w:r>
          </w:p>
        </w:tc>
        <w:tc>
          <w:tcPr>
            <w:tcW w:w="5460" w:type="dxa"/>
            <w:vAlign w:val="bottom"/>
            <w:gridSpan w:val="17"/>
            <w:shd w:val="clear" w:color="auto" w:fill="DBDBDB"/>
          </w:tcPr>
          <w:p>
            <w:pPr>
              <w:spacing w:after="0"/>
              <w:rPr>
                <w:sz w:val="20"/>
                <w:szCs w:val="20"/>
                <w:color w:val="auto"/>
              </w:rPr>
            </w:pPr>
            <w:r>
              <w:rPr>
                <w:rFonts w:ascii="Arial" w:cs="Arial" w:eastAsia="Arial" w:hAnsi="Arial"/>
                <w:sz w:val="14"/>
                <w:szCs w:val="14"/>
                <w:color w:val="0000FF"/>
              </w:rPr>
              <w:t>Amended and Restated 2025 Employee Stock Purchase Plan</w:t>
            </w:r>
            <w:r>
              <w:rPr>
                <w:rFonts w:ascii="Arial" w:cs="Arial" w:eastAsia="Arial" w:hAnsi="Arial"/>
                <w:sz w:val="14"/>
                <w:szCs w:val="14"/>
                <w:color w:val="000000"/>
              </w:rPr>
              <w: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0" w:type="dxa"/>
            <w:vAlign w:val="bottom"/>
            <w:tcBorders>
              <w:top w:val="single" w:sz="8" w:color="0000FF"/>
            </w:tcBorders>
            <w:shd w:val="clear" w:color="auto" w:fill="DBDBDB"/>
          </w:tcPr>
          <w:p>
            <w:pPr>
              <w:spacing w:after="0" w:line="20" w:lineRule="exact"/>
              <w:rPr>
                <w:sz w:val="1"/>
                <w:szCs w:val="1"/>
                <w:color w:val="auto"/>
              </w:rPr>
            </w:pPr>
          </w:p>
        </w:tc>
        <w:tc>
          <w:tcPr>
            <w:tcW w:w="380" w:type="dxa"/>
            <w:vAlign w:val="bottom"/>
            <w:tcBorders>
              <w:top w:val="single" w:sz="8" w:color="0000FF"/>
            </w:tcBorders>
            <w:shd w:val="clear" w:color="auto" w:fill="DBDBDB"/>
          </w:tcPr>
          <w:p>
            <w:pPr>
              <w:spacing w:after="0" w:line="20" w:lineRule="exact"/>
              <w:rPr>
                <w:sz w:val="1"/>
                <w:szCs w:val="1"/>
                <w:color w:val="auto"/>
              </w:rPr>
            </w:pPr>
          </w:p>
        </w:tc>
        <w:tc>
          <w:tcPr>
            <w:tcW w:w="660" w:type="dxa"/>
            <w:vAlign w:val="bottom"/>
            <w:tcBorders>
              <w:top w:val="single" w:sz="8" w:color="0000FF"/>
            </w:tcBorders>
            <w:shd w:val="clear" w:color="auto" w:fill="DBDBDB"/>
          </w:tcPr>
          <w:p>
            <w:pPr>
              <w:spacing w:after="0" w:line="20" w:lineRule="exact"/>
              <w:rPr>
                <w:sz w:val="1"/>
                <w:szCs w:val="1"/>
                <w:color w:val="auto"/>
              </w:rPr>
            </w:pPr>
          </w:p>
        </w:tc>
        <w:tc>
          <w:tcPr>
            <w:tcW w:w="520" w:type="dxa"/>
            <w:vAlign w:val="bottom"/>
            <w:tcBorders>
              <w:top w:val="single" w:sz="8" w:color="0000FF"/>
            </w:tcBorders>
            <w:shd w:val="clear" w:color="auto" w:fill="DBDBDB"/>
          </w:tcPr>
          <w:p>
            <w:pPr>
              <w:spacing w:after="0" w:line="20" w:lineRule="exact"/>
              <w:rPr>
                <w:sz w:val="1"/>
                <w:szCs w:val="1"/>
                <w:color w:val="auto"/>
              </w:rPr>
            </w:pPr>
          </w:p>
        </w:tc>
        <w:tc>
          <w:tcPr>
            <w:tcW w:w="68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72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10.2*</w:t>
            </w:r>
            <w:r>
              <w:rPr>
                <w:rFonts w:ascii="Arial" w:cs="Arial" w:eastAsia="Arial" w:hAnsi="Arial"/>
                <w:sz w:val="8"/>
                <w:szCs w:val="8"/>
                <w:color w:val="auto"/>
              </w:rPr>
              <w:t>†</w:t>
            </w:r>
          </w:p>
        </w:tc>
        <w:tc>
          <w:tcPr>
            <w:tcW w:w="5460" w:type="dxa"/>
            <w:vAlign w:val="bottom"/>
            <w:gridSpan w:val="17"/>
          </w:tcPr>
          <w:p>
            <w:pPr>
              <w:spacing w:after="0"/>
              <w:rPr>
                <w:sz w:val="20"/>
                <w:szCs w:val="20"/>
                <w:color w:val="auto"/>
              </w:rPr>
            </w:pPr>
            <w:r>
              <w:rPr>
                <w:rFonts w:ascii="Arial" w:cs="Arial" w:eastAsia="Arial" w:hAnsi="Arial"/>
                <w:sz w:val="14"/>
                <w:szCs w:val="14"/>
                <w:color w:val="0000FF"/>
              </w:rPr>
              <w:t>2025 Form of Talen Energy Corporation Restricted Stock Unit Award Notice and</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Borders>
              <w:top w:val="single" w:sz="8" w:color="0000FF"/>
            </w:tcBorders>
            <w:gridSpan w:val="14"/>
          </w:tcPr>
          <w:p>
            <w:pPr>
              <w:spacing w:after="0" w:line="129" w:lineRule="exact"/>
              <w:rPr>
                <w:sz w:val="20"/>
                <w:szCs w:val="20"/>
                <w:color w:val="auto"/>
              </w:rPr>
            </w:pPr>
            <w:r>
              <w:rPr>
                <w:rFonts w:ascii="Arial" w:cs="Arial" w:eastAsia="Arial" w:hAnsi="Arial"/>
                <w:sz w:val="14"/>
                <w:szCs w:val="14"/>
                <w:color w:val="0000FF"/>
              </w:rPr>
              <w:t>Award Agreement.</w:t>
            </w:r>
          </w:p>
        </w:tc>
        <w:tc>
          <w:tcPr>
            <w:tcW w:w="1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10.3*</w:t>
            </w:r>
            <w:r>
              <w:rPr>
                <w:rFonts w:ascii="Arial" w:cs="Arial" w:eastAsia="Arial" w:hAnsi="Arial"/>
                <w:sz w:val="8"/>
                <w:szCs w:val="8"/>
                <w:color w:val="auto"/>
              </w:rPr>
              <w:t>†</w:t>
            </w:r>
          </w:p>
        </w:tc>
        <w:tc>
          <w:tcPr>
            <w:tcW w:w="5460" w:type="dxa"/>
            <w:vAlign w:val="bottom"/>
            <w:gridSpan w:val="17"/>
            <w:shd w:val="clear" w:color="auto" w:fill="DBDBDB"/>
          </w:tcPr>
          <w:p>
            <w:pPr>
              <w:spacing w:after="0"/>
              <w:rPr>
                <w:sz w:val="20"/>
                <w:szCs w:val="20"/>
                <w:color w:val="auto"/>
              </w:rPr>
            </w:pPr>
            <w:r>
              <w:rPr>
                <w:rFonts w:ascii="Arial" w:cs="Arial" w:eastAsia="Arial" w:hAnsi="Arial"/>
                <w:sz w:val="14"/>
                <w:szCs w:val="14"/>
                <w:color w:val="0000FF"/>
              </w:rPr>
              <w:t>2025 Form of Talen Energy Corporation Performance-Based Restricted Stock Unit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DBDBDB"/>
              <w:right w:val="single" w:sz="8" w:color="DBDBDB"/>
            </w:tcBorders>
            <w:shd w:val="clear" w:color="auto" w:fill="DBDBDB"/>
          </w:tcPr>
          <w:p>
            <w:pPr>
              <w:spacing w:after="0"/>
              <w:rPr>
                <w:sz w:val="11"/>
                <w:szCs w:val="11"/>
                <w:color w:val="auto"/>
              </w:rPr>
            </w:pPr>
          </w:p>
        </w:tc>
        <w:tc>
          <w:tcPr>
            <w:tcW w:w="5220" w:type="dxa"/>
            <w:vAlign w:val="bottom"/>
            <w:tcBorders>
              <w:top w:val="single" w:sz="8" w:color="0000FF"/>
            </w:tcBorders>
            <w:gridSpan w:val="15"/>
            <w:shd w:val="clear" w:color="auto" w:fill="DBDBDB"/>
          </w:tcPr>
          <w:p>
            <w:pPr>
              <w:spacing w:after="0" w:line="129" w:lineRule="exact"/>
              <w:rPr>
                <w:sz w:val="20"/>
                <w:szCs w:val="20"/>
                <w:color w:val="auto"/>
              </w:rPr>
            </w:pPr>
            <w:r>
              <w:rPr>
                <w:rFonts w:ascii="Arial" w:cs="Arial" w:eastAsia="Arial" w:hAnsi="Arial"/>
                <w:sz w:val="14"/>
                <w:szCs w:val="14"/>
                <w:color w:val="0000FF"/>
              </w:rPr>
              <w:t>Award Notice and Award Agreement.</w:t>
            </w:r>
          </w:p>
        </w:tc>
        <w:tc>
          <w:tcPr>
            <w:tcW w:w="240" w:type="dxa"/>
            <w:vAlign w:val="bottom"/>
            <w:tcBorders>
              <w:top w:val="single" w:sz="8" w:color="DBDBDB"/>
            </w:tcBorders>
            <w:gridSpan w:val="2"/>
            <w:shd w:val="clear" w:color="auto" w:fill="DBDBDB"/>
          </w:tcPr>
          <w:p>
            <w:pPr>
              <w:spacing w:after="0"/>
              <w:rPr>
                <w:sz w:val="11"/>
                <w:szCs w:val="11"/>
                <w:color w:val="auto"/>
              </w:rPr>
            </w:pP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10.4*</w:t>
            </w:r>
            <w:r>
              <w:rPr>
                <w:rFonts w:ascii="Arial" w:cs="Arial" w:eastAsia="Arial" w:hAnsi="Arial"/>
                <w:sz w:val="8"/>
                <w:szCs w:val="8"/>
                <w:color w:val="auto"/>
              </w:rPr>
              <w:t>†</w:t>
            </w:r>
          </w:p>
        </w:tc>
        <w:tc>
          <w:tcPr>
            <w:tcW w:w="5460" w:type="dxa"/>
            <w:vAlign w:val="bottom"/>
            <w:gridSpan w:val="17"/>
          </w:tcPr>
          <w:p>
            <w:pPr>
              <w:spacing w:after="0"/>
              <w:rPr>
                <w:sz w:val="20"/>
                <w:szCs w:val="20"/>
                <w:color w:val="auto"/>
              </w:rPr>
            </w:pPr>
            <w:r>
              <w:rPr>
                <w:rFonts w:ascii="Arial" w:cs="Arial" w:eastAsia="Arial" w:hAnsi="Arial"/>
                <w:sz w:val="14"/>
                <w:szCs w:val="14"/>
                <w:color w:val="0000FF"/>
              </w:rPr>
              <w:t>2025 Form of Talen Energy Corporation Restricted Stock Unit Award Notice and</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tcBorders>
              <w:top w:val="single" w:sz="8" w:color="0000FF"/>
              <w:bottom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Award Agreement (Non-Employee Director Form).</w:t>
            </w:r>
          </w:p>
        </w:tc>
        <w:tc>
          <w:tcPr>
            <w:tcW w:w="1880" w:type="dxa"/>
            <w:vAlign w:val="bottom"/>
            <w:tcBorders>
              <w:top w:val="single" w:sz="8" w:color="0000FF"/>
            </w:tcBorders>
            <w:gridSpan w:val="8"/>
          </w:tcPr>
          <w:p>
            <w:pPr>
              <w:spacing w:after="0"/>
              <w:rPr>
                <w:sz w:val="11"/>
                <w:szCs w:val="11"/>
                <w:color w:val="auto"/>
              </w:rPr>
            </w:pPr>
          </w:p>
        </w:tc>
        <w:tc>
          <w:tcPr>
            <w:tcW w:w="38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31.1*</w:t>
            </w:r>
          </w:p>
        </w:tc>
        <w:tc>
          <w:tcPr>
            <w:tcW w:w="12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17"/>
            <w:shd w:val="clear" w:color="auto" w:fill="DBDBDB"/>
          </w:tcPr>
          <w:p>
            <w:pPr>
              <w:spacing w:after="0"/>
              <w:rPr>
                <w:sz w:val="20"/>
                <w:szCs w:val="20"/>
                <w:color w:val="auto"/>
              </w:rPr>
            </w:pPr>
            <w:r>
              <w:rPr>
                <w:rFonts w:ascii="Arial" w:cs="Arial" w:eastAsia="Arial" w:hAnsi="Arial"/>
                <w:sz w:val="14"/>
                <w:szCs w:val="14"/>
                <w:color w:val="0000FF"/>
              </w:rPr>
              <w:t>Certification of Chief Executive Officer (Principal Executive Officer) pursuant to</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5"/>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3040" w:type="dxa"/>
            <w:vAlign w:val="bottom"/>
            <w:tcBorders>
              <w:top w:val="single" w:sz="8" w:color="0000FF"/>
              <w:bottom w:val="single" w:sz="8" w:color="0000FF"/>
            </w:tcBorders>
            <w:gridSpan w:val="5"/>
            <w:shd w:val="clear" w:color="auto" w:fill="DBDBDB"/>
          </w:tcPr>
          <w:p>
            <w:pPr>
              <w:spacing w:after="0" w:line="129" w:lineRule="exact"/>
              <w:rPr>
                <w:sz w:val="20"/>
                <w:szCs w:val="20"/>
                <w:color w:val="auto"/>
              </w:rPr>
            </w:pPr>
            <w:r>
              <w:rPr>
                <w:rFonts w:ascii="Arial" w:cs="Arial" w:eastAsia="Arial" w:hAnsi="Arial"/>
                <w:sz w:val="14"/>
                <w:szCs w:val="14"/>
                <w:color w:val="0000FF"/>
              </w:rPr>
              <w:t>Section 302 of the Sarbanes-Oxley Act of 2002.</w:t>
            </w:r>
          </w:p>
        </w:tc>
        <w:tc>
          <w:tcPr>
            <w:tcW w:w="1960" w:type="dxa"/>
            <w:vAlign w:val="bottom"/>
            <w:tcBorders>
              <w:top w:val="single" w:sz="8" w:color="0000FF"/>
              <w:bottom w:val="single" w:sz="8" w:color="DBDBDB"/>
            </w:tcBorders>
            <w:gridSpan w:val="8"/>
            <w:shd w:val="clear" w:color="auto" w:fill="DBDBDB"/>
          </w:tcPr>
          <w:p>
            <w:pPr>
              <w:spacing w:after="0"/>
              <w:rPr>
                <w:sz w:val="11"/>
                <w:szCs w:val="11"/>
                <w:color w:val="auto"/>
              </w:rPr>
            </w:pPr>
          </w:p>
        </w:tc>
        <w:tc>
          <w:tcPr>
            <w:tcW w:w="460" w:type="dxa"/>
            <w:vAlign w:val="bottom"/>
            <w:tcBorders>
              <w:top w:val="single" w:sz="8" w:color="DBDBDB"/>
              <w:bottom w:val="single" w:sz="8" w:color="DBDBDB"/>
            </w:tcBorders>
            <w:gridSpan w:val="4"/>
            <w:shd w:val="clear" w:color="auto" w:fill="DBDBDB"/>
          </w:tcPr>
          <w:p>
            <w:pPr>
              <w:spacing w:after="0"/>
              <w:rPr>
                <w:sz w:val="11"/>
                <w:szCs w:val="11"/>
                <w:color w:val="auto"/>
              </w:rPr>
            </w:pPr>
          </w:p>
        </w:tc>
        <w:tc>
          <w:tcPr>
            <w:tcW w:w="88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4"/>
                <w:szCs w:val="14"/>
                <w:color w:val="auto"/>
              </w:rPr>
            </w:pPr>
          </w:p>
        </w:tc>
        <w:tc>
          <w:tcPr>
            <w:tcW w:w="5460" w:type="dxa"/>
            <w:vAlign w:val="bottom"/>
            <w:gridSpan w:val="17"/>
          </w:tcPr>
          <w:p>
            <w:pPr>
              <w:spacing w:after="0"/>
              <w:rPr>
                <w:sz w:val="20"/>
                <w:szCs w:val="20"/>
                <w:color w:val="auto"/>
              </w:rPr>
            </w:pPr>
            <w:r>
              <w:rPr>
                <w:rFonts w:ascii="Arial" w:cs="Arial" w:eastAsia="Arial" w:hAnsi="Arial"/>
                <w:sz w:val="14"/>
                <w:szCs w:val="14"/>
                <w:color w:val="0000FF"/>
              </w:rPr>
              <w:t>Certification of Chief Financial Officer (Principal Financial Officer) pursuant to</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Section 302 of the Sarbanes-Oxley Act of 2002.</w:t>
            </w:r>
          </w:p>
        </w:tc>
        <w:tc>
          <w:tcPr>
            <w:tcW w:w="1860" w:type="dxa"/>
            <w:vAlign w:val="bottom"/>
            <w:tcBorders>
              <w:top w:val="single" w:sz="8" w:color="0000FF"/>
            </w:tcBorders>
            <w:gridSpan w:val="7"/>
          </w:tcPr>
          <w:p>
            <w:pPr>
              <w:spacing w:after="0"/>
              <w:rPr>
                <w:sz w:val="11"/>
                <w:szCs w:val="11"/>
                <w:color w:val="auto"/>
              </w:rPr>
            </w:pPr>
          </w:p>
        </w:tc>
        <w:tc>
          <w:tcPr>
            <w:tcW w:w="560" w:type="dxa"/>
            <w:vAlign w:val="bottom"/>
            <w:gridSpan w:val="5"/>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32.1**</w:t>
            </w:r>
          </w:p>
        </w:tc>
        <w:tc>
          <w:tcPr>
            <w:tcW w:w="12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17"/>
            <w:shd w:val="clear" w:color="auto" w:fill="DBDBDB"/>
          </w:tcPr>
          <w:p>
            <w:pPr>
              <w:spacing w:after="0"/>
              <w:rPr>
                <w:sz w:val="20"/>
                <w:szCs w:val="20"/>
                <w:color w:val="auto"/>
              </w:rPr>
            </w:pPr>
            <w:r>
              <w:rPr>
                <w:rFonts w:ascii="Arial" w:cs="Arial" w:eastAsia="Arial" w:hAnsi="Arial"/>
                <w:sz w:val="14"/>
                <w:szCs w:val="14"/>
                <w:color w:val="0000FF"/>
              </w:rPr>
              <w:t>Certification of Chief Executive Officer (Principal Executive Officer) and Chief</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DBDBDB"/>
              <w:right w:val="single" w:sz="8" w:color="DBDBDB"/>
            </w:tcBorders>
            <w:shd w:val="clear" w:color="auto" w:fill="DBDBDB"/>
          </w:tcPr>
          <w:p>
            <w:pPr>
              <w:spacing w:after="0"/>
              <w:rPr>
                <w:sz w:val="11"/>
                <w:szCs w:val="11"/>
                <w:color w:val="auto"/>
              </w:rPr>
            </w:pPr>
          </w:p>
        </w:tc>
        <w:tc>
          <w:tcPr>
            <w:tcW w:w="4880" w:type="dxa"/>
            <w:vAlign w:val="bottom"/>
            <w:tcBorders>
              <w:top w:val="single" w:sz="8" w:color="0000FF"/>
            </w:tcBorders>
            <w:gridSpan w:val="11"/>
            <w:shd w:val="clear" w:color="auto" w:fill="DBDBDB"/>
          </w:tcPr>
          <w:p>
            <w:pPr>
              <w:spacing w:after="0" w:line="129" w:lineRule="exact"/>
              <w:rPr>
                <w:sz w:val="20"/>
                <w:szCs w:val="20"/>
                <w:color w:val="auto"/>
              </w:rPr>
            </w:pPr>
            <w:r>
              <w:rPr>
                <w:rFonts w:ascii="Arial" w:cs="Arial" w:eastAsia="Arial" w:hAnsi="Arial"/>
                <w:sz w:val="14"/>
                <w:szCs w:val="14"/>
                <w:color w:val="0000FF"/>
              </w:rPr>
              <w:t>Financial Officer (Principal Financial Officer) pursuant to Section 906 of the</w:t>
            </w:r>
          </w:p>
        </w:tc>
        <w:tc>
          <w:tcPr>
            <w:tcW w:w="580" w:type="dxa"/>
            <w:vAlign w:val="bottom"/>
            <w:tcBorders>
              <w:top w:val="single" w:sz="8" w:color="DBDBDB"/>
            </w:tcBorders>
            <w:gridSpan w:val="6"/>
            <w:shd w:val="clear" w:color="auto" w:fill="DBDBDB"/>
          </w:tcPr>
          <w:p>
            <w:pPr>
              <w:spacing w:after="0"/>
              <w:rPr>
                <w:sz w:val="11"/>
                <w:szCs w:val="11"/>
                <w:color w:val="auto"/>
              </w:rPr>
            </w:pP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1840" w:type="dxa"/>
            <w:vAlign w:val="bottom"/>
            <w:tcBorders>
              <w:top w:val="single" w:sz="8" w:color="0000FF"/>
              <w:bottom w:val="single" w:sz="8" w:color="0000FF"/>
            </w:tcBorders>
            <w:gridSpan w:val="3"/>
            <w:shd w:val="clear" w:color="auto" w:fill="DBDBDB"/>
          </w:tcPr>
          <w:p>
            <w:pPr>
              <w:spacing w:after="0" w:line="129" w:lineRule="exact"/>
              <w:rPr>
                <w:sz w:val="20"/>
                <w:szCs w:val="20"/>
                <w:color w:val="auto"/>
              </w:rPr>
            </w:pPr>
            <w:r>
              <w:rPr>
                <w:rFonts w:ascii="Arial" w:cs="Arial" w:eastAsia="Arial" w:hAnsi="Arial"/>
                <w:sz w:val="14"/>
                <w:szCs w:val="14"/>
                <w:color w:val="0000FF"/>
              </w:rPr>
              <w:t>Sarbanes-Oxley Act of 2002.</w:t>
            </w:r>
          </w:p>
        </w:tc>
        <w:tc>
          <w:tcPr>
            <w:tcW w:w="2920" w:type="dxa"/>
            <w:vAlign w:val="bottom"/>
            <w:tcBorders>
              <w:top w:val="single" w:sz="8" w:color="0000FF"/>
              <w:bottom w:val="single" w:sz="8" w:color="DBDBDB"/>
            </w:tcBorders>
            <w:gridSpan w:val="7"/>
            <w:shd w:val="clear" w:color="auto" w:fill="DBDBDB"/>
          </w:tcPr>
          <w:p>
            <w:pPr>
              <w:spacing w:after="0"/>
              <w:rPr>
                <w:sz w:val="11"/>
                <w:szCs w:val="11"/>
                <w:color w:val="auto"/>
              </w:rPr>
            </w:pPr>
          </w:p>
        </w:tc>
        <w:tc>
          <w:tcPr>
            <w:tcW w:w="700" w:type="dxa"/>
            <w:vAlign w:val="bottom"/>
            <w:tcBorders>
              <w:top w:val="single" w:sz="8" w:color="DBDBDB"/>
              <w:bottom w:val="single" w:sz="8" w:color="DBDBDB"/>
            </w:tcBorders>
            <w:gridSpan w:val="7"/>
            <w:shd w:val="clear" w:color="auto" w:fill="DBDBDB"/>
          </w:tcPr>
          <w:p>
            <w:pPr>
              <w:spacing w:after="0"/>
              <w:rPr>
                <w:sz w:val="11"/>
                <w:szCs w:val="11"/>
                <w:color w:val="auto"/>
              </w:rPr>
            </w:pPr>
          </w:p>
        </w:tc>
        <w:tc>
          <w:tcPr>
            <w:tcW w:w="88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5460" w:type="dxa"/>
            <w:vAlign w:val="bottom"/>
            <w:gridSpan w:val="17"/>
          </w:tcPr>
          <w:p>
            <w:pPr>
              <w:spacing w:after="0"/>
              <w:rPr>
                <w:sz w:val="20"/>
                <w:szCs w:val="20"/>
                <w:color w:val="auto"/>
              </w:rPr>
            </w:pPr>
            <w:r>
              <w:rPr>
                <w:rFonts w:ascii="Arial" w:cs="Arial" w:eastAsia="Arial" w:hAnsi="Arial"/>
                <w:sz w:val="14"/>
                <w:szCs w:val="14"/>
                <w:color w:val="auto"/>
              </w:rPr>
              <w:t>Inline XBRL Instance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101.SCH*</w:t>
            </w:r>
          </w:p>
        </w:tc>
        <w:tc>
          <w:tcPr>
            <w:tcW w:w="5460" w:type="dxa"/>
            <w:vAlign w:val="bottom"/>
            <w:gridSpan w:val="17"/>
            <w:shd w:val="clear" w:color="auto" w:fill="DBDBDB"/>
          </w:tcPr>
          <w:p>
            <w:pPr>
              <w:spacing w:after="0"/>
              <w:rPr>
                <w:sz w:val="20"/>
                <w:szCs w:val="20"/>
                <w:color w:val="auto"/>
              </w:rPr>
            </w:pPr>
            <w:r>
              <w:rPr>
                <w:rFonts w:ascii="Arial" w:cs="Arial" w:eastAsia="Arial" w:hAnsi="Arial"/>
                <w:sz w:val="14"/>
                <w:szCs w:val="14"/>
                <w:color w:val="auto"/>
              </w:rPr>
              <w:t>Inline XBRL Taxonomy Extension Schema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546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101.DEF*</w:t>
            </w:r>
          </w:p>
        </w:tc>
        <w:tc>
          <w:tcPr>
            <w:tcW w:w="5460" w:type="dxa"/>
            <w:vAlign w:val="bottom"/>
            <w:gridSpan w:val="17"/>
            <w:shd w:val="clear" w:color="auto" w:fill="DBDBDB"/>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5460" w:type="dxa"/>
            <w:vAlign w:val="bottom"/>
            <w:gridSpan w:val="1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101.PRE*</w:t>
            </w:r>
          </w:p>
        </w:tc>
        <w:tc>
          <w:tcPr>
            <w:tcW w:w="5460" w:type="dxa"/>
            <w:vAlign w:val="bottom"/>
            <w:gridSpan w:val="17"/>
            <w:shd w:val="clear" w:color="auto" w:fill="DBDBDB"/>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4"/>
        </w:trPr>
        <w:tc>
          <w:tcPr>
            <w:tcW w:w="96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5460" w:type="dxa"/>
            <w:vAlign w:val="bottom"/>
            <w:gridSpan w:val="17"/>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0"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Filed herewith.</w:t>
      </w:r>
    </w:p>
    <w:p>
      <w:pPr>
        <w:ind w:left="240" w:hanging="232"/>
        <w:spacing w:after="0" w:line="237" w:lineRule="auto"/>
        <w:tabs>
          <w:tab w:leader="none" w:pos="2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Furnished herewith.</w:t>
      </w:r>
    </w:p>
    <w:p>
      <w:pPr>
        <w:ind w:left="140" w:hanging="132"/>
        <w:spacing w:after="0" w:line="219" w:lineRule="auto"/>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3"/>
          <w:szCs w:val="13"/>
          <w:color w:val="auto"/>
        </w:rPr>
        <w:t>Management contract or compensatory plan or arrangement.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GLOSSARY OF TERMS AND ABBREVIATIONS</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Net income (loss) adjusted, among other things, for certain: (i) nonrecurring charges; (ii) non-recurring gains; (iii) non-cash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w:t>
      </w:r>
    </w:p>
    <w:p>
      <w:pPr>
        <w:spacing w:after="0" w:line="1" w:lineRule="exact"/>
        <w:rPr>
          <w:sz w:val="20"/>
          <w:szCs w:val="20"/>
          <w:color w:val="auto"/>
        </w:rPr>
      </w:pPr>
    </w:p>
    <w:p>
      <w:pPr>
        <w:ind w:firstLine="8"/>
        <w:spacing w:after="0" w:line="260" w:lineRule="auto"/>
        <w:tabs>
          <w:tab w:leader="none" w:pos="27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2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 xml:space="preserve">Annual Financial Statements. </w:t>
      </w:r>
      <w:r>
        <w:rPr>
          <w:rFonts w:ascii="Arial" w:cs="Arial" w:eastAsia="Arial" w:hAnsi="Arial"/>
          <w:sz w:val="16"/>
          <w:szCs w:val="16"/>
          <w:color w:val="auto"/>
        </w:rPr>
        <w:t>The audited consolidated balance sheets of TEC as of December 31, 2024 (Successor) and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the related audited consolidated statements of operations, statements of comprehensive income, statements of cash flows, and statements of equity for the year ended December 31, 2024 (Successor), for the period from May 18, 2023 through December 31, 2023 (Successor), and for the period from January 1, 2023 through May 17, 2023 (Predecessor) and the year ended December 31, 2022 (Predecessor); and the related notes.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AOCI. </w:t>
      </w:r>
      <w:r>
        <w:rPr>
          <w:rFonts w:ascii="Arial" w:cs="Arial" w:eastAsia="Arial" w:hAnsi="Arial"/>
          <w:sz w:val="16"/>
          <w:szCs w:val="16"/>
          <w:color w:val="auto"/>
        </w:rPr>
        <w:t>Accumulated other comprehensive income or loss, which is a component of stockholders’ equity on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ARO. </w:t>
      </w:r>
      <w:r>
        <w:rPr>
          <w:rFonts w:ascii="Arial" w:cs="Arial" w:eastAsia="Arial" w:hAnsi="Arial"/>
          <w:sz w:val="16"/>
          <w:szCs w:val="16"/>
          <w:color w:val="auto"/>
        </w:rPr>
        <w:t>Asset retirement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AWS. </w:t>
      </w:r>
      <w:r>
        <w:rPr>
          <w:rFonts w:ascii="Arial" w:cs="Arial" w:eastAsia="Arial" w:hAnsi="Arial"/>
          <w:sz w:val="16"/>
          <w:szCs w:val="16"/>
          <w:color w:val="auto"/>
        </w:rPr>
        <w:t>Amazon Web Services, Inc. and its affiliates.</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w:t>
      </w:r>
      <w:r>
        <w:rPr>
          <w:rFonts w:ascii="Arial" w:cs="Arial" w:eastAsia="Arial" w:hAnsi="Arial"/>
          <w:sz w:val="16"/>
          <w:szCs w:val="16"/>
          <w:color w:val="auto"/>
        </w:rPr>
        <w:t>The zero-carbon data center campus initially developed by a subsidiary of Cumulus Digital adjacent to Susquehanna. See Note 18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Interim Financial Statements for information on the AWS Data Campus Sale.</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Sale. </w:t>
      </w:r>
      <w:r>
        <w:rPr>
          <w:rFonts w:ascii="Arial" w:cs="Arial" w:eastAsia="Arial" w:hAnsi="Arial"/>
          <w:sz w:val="16"/>
          <w:szCs w:val="16"/>
          <w:color w:val="auto"/>
        </w:rPr>
        <w:t>The Company’s sale of the AWS Data Campus to AWS in March 2024 to AWS for gross proceeds of $650 million. See Note 18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Interim Financial Statements for additional information.</w:t>
      </w:r>
    </w:p>
    <w:p>
      <w:pPr>
        <w:spacing w:after="0" w:line="10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 xml:space="preserve">AWS PPA. </w:t>
      </w:r>
      <w:r>
        <w:rPr>
          <w:rFonts w:ascii="Arial" w:cs="Arial" w:eastAsia="Arial" w:hAnsi="Arial"/>
          <w:sz w:val="16"/>
          <w:szCs w:val="16"/>
          <w:color w:val="auto"/>
        </w:rPr>
        <w:t>The March 2024 power purchase agreement between the Company and AWS pursuant to which (i) the Company agreed to supply up to 960 MW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long-term, carbon-free power to the AWS Data Campus from Susquehanna; (ii) the parties agreed to fixed-price power commitments that increase in 120 MW increments over several years; and (iii) AWS, under certain conditions, has the option to cap their commitments at 480 MW.</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Bilateral LCF. </w:t>
      </w:r>
      <w:r>
        <w:rPr>
          <w:rFonts w:ascii="Arial" w:cs="Arial" w:eastAsia="Arial" w:hAnsi="Arial"/>
          <w:sz w:val="16"/>
          <w:szCs w:val="16"/>
          <w:color w:val="auto"/>
        </w:rPr>
        <w:t>The $75 million senior secured bilateral LC facility provided by Barclays Bank PLC. The Bilateral LCF was terminated in December 2024.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The board of directors of Talen Energy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Brandon Shores. </w:t>
      </w:r>
      <w:r>
        <w:rPr>
          <w:rFonts w:ascii="Arial" w:cs="Arial" w:eastAsia="Arial" w:hAnsi="Arial"/>
          <w:sz w:val="16"/>
          <w:szCs w:val="16"/>
          <w:color w:val="auto"/>
        </w:rPr>
        <w:t>A Talen-owned and operated generation facility in Curtis Bay, Maryland.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Brunner Island. </w:t>
      </w:r>
      <w:r>
        <w:rPr>
          <w:rFonts w:ascii="Arial" w:cs="Arial" w:eastAsia="Arial" w:hAnsi="Arial"/>
          <w:sz w:val="16"/>
          <w:szCs w:val="16"/>
          <w:color w:val="auto"/>
        </w:rPr>
        <w:t>A Talen-owned and operated generation facility in York Haven, Pennsylvania.</w:t>
      </w:r>
    </w:p>
    <w:p>
      <w:pPr>
        <w:spacing w:after="0" w:line="167"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b w:val="1"/>
          <w:bCs w:val="1"/>
          <w:i w:val="1"/>
          <w:iCs w:val="1"/>
          <w:color w:val="auto"/>
        </w:rPr>
        <w:t xml:space="preserve">CCR. </w:t>
      </w:r>
      <w:r>
        <w:rPr>
          <w:rFonts w:ascii="Arial" w:cs="Arial" w:eastAsia="Arial" w:hAnsi="Arial"/>
          <w:sz w:val="16"/>
          <w:szCs w:val="16"/>
          <w:color w:val="auto"/>
        </w:rPr>
        <w:t>Coal Combustion Residuals, including but not limited to fly ash, bottom ash, and gypsum, that are produced from coal-fired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 xml:space="preserve">Colstrip. </w:t>
      </w:r>
      <w:r>
        <w:rPr>
          <w:rFonts w:ascii="Arial" w:cs="Arial" w:eastAsia="Arial" w:hAnsi="Arial"/>
          <w:sz w:val="16"/>
          <w:szCs w:val="16"/>
          <w:color w:val="auto"/>
        </w:rPr>
        <w:t>A generation facility comprised of four coal-fired generation units located in Colstrip, Montana. Talen Montana operates Colstrip, owns an undivided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in Colstrip Unit 3, and has an economic interest in Colstrip Unit 4. Colstrip Units 1 and 2 were permanently retired in January 2020. See Note 10 to the Annual Financial Statements for additional information on jointly owned facilities and Talen Montana’s ownership interests in Colstrip.</w:t>
      </w:r>
    </w:p>
    <w:p>
      <w:pPr>
        <w:spacing w:after="0" w:line="110"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 xml:space="preserve">Credit Agreement. </w:t>
      </w:r>
      <w:r>
        <w:rPr>
          <w:rFonts w:ascii="Arial" w:cs="Arial" w:eastAsia="Arial" w:hAnsi="Arial"/>
          <w:sz w:val="16"/>
          <w:szCs w:val="16"/>
          <w:color w:val="auto"/>
        </w:rPr>
        <w:t>The Credit Agreement, dated as of May 17, 2023, by and among TES, as borrower, the lending institutions from time to time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Citibank, N.A., as administrative agent and collateral agent, and the joint lead arrangers and joint bookrunners parties thereto, which governs the RCF, TLB-1, TLB-2, and LCF, as the same may be amended, amended and restated, supplemented, or otherwise modified from time-to-time.</w:t>
      </w:r>
    </w:p>
    <w:p>
      <w:pPr>
        <w:spacing w:after="0" w:line="110"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b w:val="1"/>
          <w:bCs w:val="1"/>
          <w:i w:val="1"/>
          <w:iCs w:val="1"/>
          <w:color w:val="auto"/>
        </w:rPr>
        <w:t xml:space="preserve">Cumulus Digital. </w:t>
      </w:r>
      <w:r>
        <w:rPr>
          <w:rFonts w:ascii="Arial" w:cs="Arial" w:eastAsia="Arial" w:hAnsi="Arial"/>
          <w:sz w:val="16"/>
          <w:szCs w:val="16"/>
          <w:color w:val="auto"/>
        </w:rPr>
        <w:t>Cumulus Digital Holdings LLC, a subsidiary of TES that, through its subsidiaries, (i) initially developed the AWS Data Campus; and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the Company’s interest in Nautilus.</w:t>
      </w:r>
    </w:p>
    <w:p>
      <w:pPr>
        <w:spacing w:after="0" w:line="8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 xml:space="preserve">Cumulus Digital TLF. </w:t>
      </w:r>
      <w:r>
        <w:rPr>
          <w:rFonts w:ascii="Arial" w:cs="Arial" w:eastAsia="Arial" w:hAnsi="Arial"/>
          <w:sz w:val="16"/>
          <w:szCs w:val="16"/>
          <w:color w:val="auto"/>
        </w:rPr>
        <w:t>The term loan facility under which a subsidiary of Cumulus Digital borrowed $175 million to support the development of Nautilus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AWS Data Campus. The Cumulus Digital TLF was repaid in full and terminated in March 2024.</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EPA. </w:t>
      </w:r>
      <w:r>
        <w:rPr>
          <w:rFonts w:ascii="Arial" w:cs="Arial" w:eastAsia="Arial" w:hAnsi="Arial"/>
          <w:sz w:val="16"/>
          <w:szCs w:val="16"/>
          <w:color w:val="auto"/>
        </w:rPr>
        <w:t>U.S. Environmental Protection Agency.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EPA CCR Rule. </w:t>
      </w:r>
      <w:r>
        <w:rPr>
          <w:rFonts w:ascii="Arial" w:cs="Arial" w:eastAsia="Arial" w:hAnsi="Arial"/>
          <w:sz w:val="16"/>
          <w:szCs w:val="16"/>
          <w:color w:val="auto"/>
        </w:rPr>
        <w:t>The national regulatory standards required by the EPA for the management of CCRs in landfills and surface impoundments.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i w:val="1"/>
          <w:iCs w:val="1"/>
          <w:color w:val="auto"/>
        </w:rPr>
        <w:t xml:space="preserve">EPA CSAPR. </w:t>
      </w:r>
      <w:r>
        <w:rPr>
          <w:rFonts w:ascii="Arial" w:cs="Arial" w:eastAsia="Arial" w:hAnsi="Arial"/>
          <w:sz w:val="16"/>
          <w:szCs w:val="16"/>
          <w:color w:val="auto"/>
        </w:rPr>
        <w:t>The Cross-State Air Pollution Rule, a federal program that aims to reduce power plant emissions that cross state lines and contribute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spacing w:after="0" w:line="13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i w:val="1"/>
          <w:iCs w:val="1"/>
          <w:color w:val="auto"/>
        </w:rPr>
        <w:t xml:space="preserve">EPA ELG Rule. </w:t>
      </w:r>
      <w:r>
        <w:rPr>
          <w:rFonts w:ascii="Arial" w:cs="Arial" w:eastAsia="Arial" w:hAnsi="Arial"/>
          <w:sz w:val="16"/>
          <w:szCs w:val="16"/>
          <w:color w:val="auto"/>
        </w:rPr>
        <w:t>The effluent limitation guidelines, which are national regulatory standards required by the EPA for wastewater discharged from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categories, including but not limited to coal-fired electric generation facilities, to surface waters and municipal sewage treatment plants.</w:t>
      </w:r>
    </w:p>
    <w:p>
      <w:pPr>
        <w:spacing w:after="0" w:line="102" w:lineRule="exact"/>
        <w:rPr>
          <w:sz w:val="20"/>
          <w:szCs w:val="20"/>
          <w:color w:val="auto"/>
        </w:rPr>
      </w:pPr>
    </w:p>
    <w:p>
      <w:pPr>
        <w:ind w:right="700"/>
        <w:spacing w:after="0" w:line="304" w:lineRule="auto"/>
        <w:rPr>
          <w:sz w:val="20"/>
          <w:szCs w:val="20"/>
          <w:color w:val="auto"/>
        </w:rPr>
      </w:pPr>
      <w:r>
        <w:rPr>
          <w:rFonts w:ascii="Arial" w:cs="Arial" w:eastAsia="Arial" w:hAnsi="Arial"/>
          <w:sz w:val="16"/>
          <w:szCs w:val="16"/>
          <w:b w:val="1"/>
          <w:bCs w:val="1"/>
          <w:i w:val="1"/>
          <w:iCs w:val="1"/>
          <w:color w:val="auto"/>
        </w:rPr>
        <w:t xml:space="preserve">EPA GHG Rule. </w:t>
      </w:r>
      <w:r>
        <w:rPr>
          <w:rFonts w:ascii="Arial" w:cs="Arial" w:eastAsia="Arial" w:hAnsi="Arial"/>
          <w:sz w:val="16"/>
          <w:szCs w:val="16"/>
          <w:color w:val="auto"/>
        </w:rPr>
        <w:t>An EPA rule that establishes carbon dioxide limits for new electric generating units and GHG guidelines for certain existing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generating units.</w:t>
      </w:r>
    </w:p>
    <w:p>
      <w:pPr>
        <w:spacing w:after="0" w:line="87"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 xml:space="preserve">EPA MATS Rule. </w:t>
      </w:r>
      <w:r>
        <w:rPr>
          <w:rFonts w:ascii="Arial" w:cs="Arial" w:eastAsia="Arial" w:hAnsi="Arial"/>
          <w:sz w:val="16"/>
          <w:szCs w:val="16"/>
          <w:color w:val="auto"/>
        </w:rPr>
        <w:t>The Mercury and Air Toxics Standards, EPA technology-based emissions standards for mercury and other hazardous air pollutants emitted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generation units with a capacity of more than 25 MWs.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EPS</w:t>
      </w:r>
      <w:r>
        <w:rPr>
          <w:rFonts w:ascii="Arial" w:cs="Arial" w:eastAsia="Arial" w:hAnsi="Arial"/>
          <w:sz w:val="16"/>
          <w:szCs w:val="16"/>
          <w:color w:val="auto"/>
        </w:rPr>
        <w:t>. Earnings per share.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ERCOT. </w:t>
      </w:r>
      <w:r>
        <w:rPr>
          <w:rFonts w:ascii="Arial" w:cs="Arial" w:eastAsia="Arial" w:hAnsi="Arial"/>
          <w:sz w:val="16"/>
          <w:szCs w:val="16"/>
          <w:color w:val="333333"/>
        </w:rPr>
        <w:t>The Electric Reliability Council of Texas, operator of the electricity transmission network and electricity energy market in most of Texas</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ERCOT Sale. </w:t>
      </w:r>
      <w:r>
        <w:rPr>
          <w:rFonts w:ascii="Arial" w:cs="Arial" w:eastAsia="Arial" w:hAnsi="Arial"/>
          <w:sz w:val="16"/>
          <w:szCs w:val="16"/>
          <w:color w:val="auto"/>
        </w:rPr>
        <w:t>The sale of our Texas fleet to CPS Energy in May 2024.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The 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FERC. </w:t>
      </w:r>
      <w:r>
        <w:rPr>
          <w:rFonts w:ascii="Arial" w:cs="Arial" w:eastAsia="Arial" w:hAnsi="Arial"/>
          <w:sz w:val="16"/>
          <w:szCs w:val="16"/>
          <w:color w:val="auto"/>
        </w:rPr>
        <w:t>U.S. Federal Energy Regulatory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H.A. Wagner. </w:t>
      </w:r>
      <w:r>
        <w:rPr>
          <w:rFonts w:ascii="Arial" w:cs="Arial" w:eastAsia="Arial" w:hAnsi="Arial"/>
          <w:sz w:val="16"/>
          <w:szCs w:val="16"/>
          <w:color w:val="auto"/>
        </w:rPr>
        <w:t>A Talen-owned and operated generation facility in Curtis Bay, Maryland.</w:t>
      </w:r>
    </w:p>
    <w:p>
      <w:pPr>
        <w:spacing w:after="0" w:line="181"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i w:val="1"/>
          <w:iCs w:val="1"/>
          <w:color w:val="auto"/>
        </w:rPr>
        <w:t xml:space="preserve">Indenture. </w:t>
      </w:r>
      <w:r>
        <w:rPr>
          <w:rFonts w:ascii="Arial" w:cs="Arial" w:eastAsia="Arial" w:hAnsi="Arial"/>
          <w:sz w:val="16"/>
          <w:szCs w:val="16"/>
          <w:color w:val="auto"/>
        </w:rPr>
        <w:t>The Indenture, dated as of May 12, 2023, as supplemented by the First Supplemental Indenture, dated as of May 17, 2023, the Second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Supplemental Indenture, dated as of October 6, 2023, the Third Supplemental Indenture, dated as of June 22, 2024, and the Fourth Supplemental Indenture, dated as of January 13, 2025, each between TES, the Subsidiary Guarantors and Wilmington Savings Fund Society, FSB, as trustee, which governs the Secured Notes, as the same may be further amended, amended and restated, supplemented or otherwise modified from time-to-time.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Inflation Reduction Act. </w:t>
      </w:r>
      <w:r>
        <w:rPr>
          <w:rFonts w:ascii="Arial" w:cs="Arial" w:eastAsia="Arial" w:hAnsi="Arial"/>
          <w:sz w:val="16"/>
          <w:szCs w:val="16"/>
          <w:color w:val="auto"/>
        </w:rPr>
        <w:t>The Inflation Reduction Act of 2022, which was signed into law in August 2022. Among the Inflation Reduction Act’s provisions are:</w:t>
      </w:r>
    </w:p>
    <w:p>
      <w:pPr>
        <w:spacing w:after="0" w:line="35" w:lineRule="exact"/>
        <w:rPr>
          <w:sz w:val="20"/>
          <w:szCs w:val="20"/>
          <w:color w:val="auto"/>
        </w:rPr>
      </w:pPr>
    </w:p>
    <w:p>
      <w:pPr>
        <w:ind w:right="220" w:firstLine="8"/>
        <w:spacing w:after="0" w:line="265" w:lineRule="auto"/>
        <w:tabs>
          <w:tab w:leader="none" w:pos="18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amendments to the Internal Revenue Code of 1986 to create a nuclear production tax credit program; (ii) the creation, extension and modification of tax credit programs for certain clean energy projects, such as solar, wind, and battery storage; and (iii) adjustments to corporate tax rates.</w:t>
      </w:r>
    </w:p>
    <w:p>
      <w:pPr>
        <w:spacing w:after="0" w:line="1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 xml:space="preserve">Interim Financial Statements. </w:t>
      </w:r>
      <w:r>
        <w:rPr>
          <w:rFonts w:ascii="Arial" w:cs="Arial" w:eastAsia="Arial" w:hAnsi="Arial"/>
          <w:sz w:val="16"/>
          <w:szCs w:val="16"/>
          <w:color w:val="auto"/>
        </w:rPr>
        <w:t>The consolidated balance sheets of TEC as of March 31, 2025 and December 31, 2024; the related consolidated statements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operations, statements of comprehensive income, statements of cash flows, and statements of equity for the three months ended March 31, 2025 and March 31, 2024; and the related notes.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ISA. </w:t>
      </w:r>
      <w:r>
        <w:rPr>
          <w:rFonts w:ascii="Arial" w:cs="Arial" w:eastAsia="Arial" w:hAnsi="Arial"/>
          <w:sz w:val="16"/>
          <w:szCs w:val="16"/>
          <w:color w:val="auto"/>
        </w:rPr>
        <w:t>Interconnection Service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ISO. </w:t>
      </w:r>
      <w:r>
        <w:rPr>
          <w:rFonts w:ascii="Arial" w:cs="Arial" w:eastAsia="Arial" w:hAnsi="Arial"/>
          <w:sz w:val="16"/>
          <w:szCs w:val="16"/>
          <w:color w:val="auto"/>
        </w:rPr>
        <w:t>Independent System Operator.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LC. </w:t>
      </w:r>
      <w:r>
        <w:rPr>
          <w:rFonts w:ascii="Arial" w:cs="Arial" w:eastAsia="Arial" w:hAnsi="Arial"/>
          <w:sz w:val="16"/>
          <w:szCs w:val="16"/>
          <w:color w:val="auto"/>
        </w:rPr>
        <w:t>Letter of credit.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LCF. </w:t>
      </w:r>
      <w:r>
        <w:rPr>
          <w:rFonts w:ascii="Arial" w:cs="Arial" w:eastAsia="Arial" w:hAnsi="Arial"/>
          <w:sz w:val="16"/>
          <w:szCs w:val="16"/>
          <w:color w:val="auto"/>
        </w:rPr>
        <w:t>The $900 million stand-alone letter of credit facility established under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Martins Creek. </w:t>
      </w:r>
      <w:r>
        <w:rPr>
          <w:rFonts w:ascii="Arial" w:cs="Arial" w:eastAsia="Arial" w:hAnsi="Arial"/>
          <w:sz w:val="16"/>
          <w:szCs w:val="16"/>
          <w:color w:val="auto"/>
        </w:rPr>
        <w:t>A Talen-owned and operated generation facility in Bangor,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MMBtu. </w:t>
      </w:r>
      <w:r>
        <w:rPr>
          <w:rFonts w:ascii="Arial" w:cs="Arial" w:eastAsia="Arial" w:hAnsi="Arial"/>
          <w:sz w:val="16"/>
          <w:szCs w:val="16"/>
          <w:color w:val="auto"/>
        </w:rPr>
        <w:t>One million British Thermal Units.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Montour. </w:t>
      </w:r>
      <w:r>
        <w:rPr>
          <w:rFonts w:ascii="Arial" w:cs="Arial" w:eastAsia="Arial" w:hAnsi="Arial"/>
          <w:sz w:val="16"/>
          <w:szCs w:val="16"/>
          <w:color w:val="auto"/>
        </w:rPr>
        <w:t>A Talen-owned and operated generation facility in Washingtonville, Pennsylvania.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 </w:t>
      </w:r>
      <w:r>
        <w:rPr>
          <w:rFonts w:ascii="Arial" w:cs="Arial" w:eastAsia="Arial" w:hAnsi="Arial"/>
          <w:sz w:val="16"/>
          <w:szCs w:val="16"/>
          <w:color w:val="auto"/>
        </w:rPr>
        <w:t>Megawatt.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MWh. </w:t>
      </w:r>
      <w:r>
        <w:rPr>
          <w:rFonts w:ascii="Arial" w:cs="Arial" w:eastAsia="Arial" w:hAnsi="Arial"/>
          <w:sz w:val="16"/>
          <w:szCs w:val="16"/>
          <w:color w:val="auto"/>
        </w:rPr>
        <w:t>Megawatt-hour.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MWd. </w:t>
      </w:r>
      <w:r>
        <w:rPr>
          <w:rFonts w:ascii="Arial" w:cs="Arial" w:eastAsia="Arial" w:hAnsi="Arial"/>
          <w:sz w:val="16"/>
          <w:szCs w:val="16"/>
          <w:color w:val="auto"/>
        </w:rPr>
        <w:t>Megawatt-day.</w:t>
      </w:r>
    </w:p>
    <w:p>
      <w:pPr>
        <w:spacing w:after="0" w:line="167"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b w:val="1"/>
          <w:bCs w:val="1"/>
          <w:i w:val="1"/>
          <w:iCs w:val="1"/>
          <w:color w:val="auto"/>
        </w:rPr>
        <w:t xml:space="preserve">Nautilus. </w:t>
      </w:r>
      <w:r>
        <w:rPr>
          <w:rFonts w:ascii="Arial" w:cs="Arial" w:eastAsia="Arial" w:hAnsi="Arial"/>
          <w:sz w:val="16"/>
          <w:szCs w:val="16"/>
          <w:color w:val="auto"/>
        </w:rPr>
        <w:t>Nautilus Cryptomine LLC, a cryptocurrency project that was previously a joint venture between the Company and TeraWulf.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TeraWulf’s interest in October 2024 and now owns 100% of Nautilus.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NAV. </w:t>
      </w:r>
      <w:r>
        <w:rPr>
          <w:rFonts w:ascii="Arial" w:cs="Arial" w:eastAsia="Arial" w:hAnsi="Arial"/>
          <w:sz w:val="16"/>
          <w:szCs w:val="16"/>
          <w:color w:val="auto"/>
        </w:rPr>
        <w:t>Net asset value.</w:t>
      </w:r>
    </w:p>
    <w:p>
      <w:pPr>
        <w:spacing w:after="0" w:line="167"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b w:val="1"/>
          <w:bCs w:val="1"/>
          <w:i w:val="1"/>
          <w:iCs w:val="1"/>
          <w:color w:val="auto"/>
        </w:rPr>
        <w:t xml:space="preserve">NDT. </w:t>
      </w:r>
      <w:r>
        <w:rPr>
          <w:rFonts w:ascii="Arial" w:cs="Arial" w:eastAsia="Arial" w:hAnsi="Arial"/>
          <w:sz w:val="16"/>
          <w:szCs w:val="16"/>
          <w:color w:val="auto"/>
        </w:rPr>
        <w:t>Nuclear facility decommissioning trust that is expected to fund Talen’s proportional costs associated with the future decommissioning activities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Susquehanna.</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NERC. </w:t>
      </w:r>
      <w:r>
        <w:rPr>
          <w:rFonts w:ascii="Arial" w:cs="Arial" w:eastAsia="Arial" w:hAnsi="Arial"/>
          <w:sz w:val="16"/>
          <w:szCs w:val="16"/>
          <w:color w:val="auto"/>
        </w:rPr>
        <w:t>North American Electric Reliability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NRC. </w:t>
      </w:r>
      <w:r>
        <w:rPr>
          <w:rFonts w:ascii="Arial" w:cs="Arial" w:eastAsia="Arial" w:hAnsi="Arial"/>
          <w:sz w:val="16"/>
          <w:szCs w:val="16"/>
          <w:color w:val="auto"/>
        </w:rPr>
        <w:t>U.S. Nuclear Regulatory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Nuclear PTC. </w:t>
      </w:r>
      <w:r>
        <w:rPr>
          <w:rFonts w:ascii="Arial" w:cs="Arial" w:eastAsia="Arial" w:hAnsi="Arial"/>
          <w:sz w:val="16"/>
          <w:szCs w:val="16"/>
          <w:color w:val="auto"/>
        </w:rPr>
        <w:t>The nuclear production tax credit under the Inflation Reduction Act.</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i w:val="1"/>
          <w:iCs w:val="1"/>
          <w:color w:val="auto"/>
        </w:rPr>
        <w:t xml:space="preserve">PEDFA Bonds. </w:t>
      </w:r>
      <w:r>
        <w:rPr>
          <w:rFonts w:ascii="Arial" w:cs="Arial" w:eastAsia="Arial" w:hAnsi="Arial"/>
          <w:sz w:val="16"/>
          <w:szCs w:val="16"/>
          <w:color w:val="auto"/>
        </w:rPr>
        <w:t>The following series of Pennsylvania Economic Development Financing Authority (“PEDFA”) Exempt Facilities Revenue Refunding Bonds: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of the Subsidiary Guarantors.</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PJM. </w:t>
      </w:r>
      <w:r>
        <w:rPr>
          <w:rFonts w:ascii="Arial" w:cs="Arial" w:eastAsia="Arial" w:hAnsi="Arial"/>
          <w:sz w:val="16"/>
          <w:szCs w:val="16"/>
          <w:color w:val="auto"/>
        </w:rPr>
        <w:t>PJM Interconnection, L.L.C., the RTO that coordinates the movement of wholesale electricity in all or parts of Pennsylvania, New Jersey, Maryland,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states, and the District of Columbia.</w:t>
      </w:r>
    </w:p>
    <w:p>
      <w:pPr>
        <w:spacing w:after="0" w:line="11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i w:val="1"/>
          <w:iCs w:val="1"/>
          <w:color w:val="auto"/>
        </w:rPr>
        <w:t xml:space="preserve">PJM BRA. </w:t>
      </w:r>
      <w:r>
        <w:rPr>
          <w:rFonts w:ascii="Arial" w:cs="Arial" w:eastAsia="Arial" w:hAnsi="Arial"/>
          <w:sz w:val="16"/>
          <w:szCs w:val="16"/>
          <w:color w:val="auto"/>
        </w:rPr>
        <w:t>PJM Base Residual Auction, a component of PJM’s capacity market intended to secure power supply resources from market participants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PJM Capacity Year. </w:t>
      </w:r>
      <w:r>
        <w:rPr>
          <w:rFonts w:ascii="Arial" w:cs="Arial" w:eastAsia="Arial" w:hAnsi="Arial"/>
          <w:sz w:val="16"/>
          <w:szCs w:val="16"/>
          <w:color w:val="auto"/>
        </w:rPr>
        <w:t>PJM capacity revenues for each delivery year covering the period from June 1 to May 31.</w:t>
      </w:r>
    </w:p>
    <w:p>
      <w:pPr>
        <w:spacing w:after="0" w:line="167"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b w:val="1"/>
          <w:bCs w:val="1"/>
          <w:i w:val="1"/>
          <w:iCs w:val="1"/>
          <w:color w:val="auto"/>
        </w:rPr>
        <w:t xml:space="preserve">Plan of Reorganization. </w:t>
      </w:r>
      <w:r>
        <w:rPr>
          <w:rFonts w:ascii="Arial" w:cs="Arial" w:eastAsia="Arial" w:hAnsi="Arial"/>
          <w:sz w:val="16"/>
          <w:szCs w:val="16"/>
          <w:color w:val="auto"/>
        </w:rPr>
        <w:t>The Joint Chapter 11 Plan of Reorganization of Talen Energy Supply, LLC and Its Affiliated Debtors (Docket No. 1206),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amended, supplemented, or otherwise modified, and any exhibits or schedules thereto.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PP&amp;E. </w:t>
      </w:r>
      <w:r>
        <w:rPr>
          <w:rFonts w:ascii="Arial" w:cs="Arial" w:eastAsia="Arial" w:hAnsi="Arial"/>
          <w:sz w:val="16"/>
          <w:szCs w:val="16"/>
          <w:color w:val="auto"/>
        </w:rPr>
        <w:t>Property, plant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RCF. </w:t>
      </w:r>
      <w:r>
        <w:rPr>
          <w:rFonts w:ascii="Arial" w:cs="Arial" w:eastAsia="Arial" w:hAnsi="Arial"/>
          <w:sz w:val="16"/>
          <w:szCs w:val="16"/>
          <w:color w:val="auto"/>
        </w:rPr>
        <w:t>The senior secured revolving credit facility that provides $700 million in aggregate revolving loan and LC commitments under the Credit Agreement.</w:t>
      </w:r>
    </w:p>
    <w:p>
      <w:pPr>
        <w:spacing w:after="0" w:line="181"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i w:val="1"/>
          <w:iCs w:val="1"/>
          <w:color w:val="auto"/>
        </w:rPr>
        <w:t xml:space="preserve">RGGI. </w:t>
      </w:r>
      <w:r>
        <w:rPr>
          <w:rFonts w:ascii="Arial" w:cs="Arial" w:eastAsia="Arial" w:hAnsi="Arial"/>
          <w:sz w:val="16"/>
          <w:szCs w:val="16"/>
          <w:color w:val="auto"/>
        </w:rPr>
        <w:t>The Regional Greenhouse Gas Initiative, a mandatory market-based program among certain states, including Maryland, New Jersey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spacing w:after="0" w:line="110"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i w:val="1"/>
          <w:iCs w:val="1"/>
          <w:color w:val="auto"/>
        </w:rPr>
        <w:t xml:space="preserve">RMR. </w:t>
      </w:r>
      <w:r>
        <w:rPr>
          <w:rFonts w:ascii="Arial" w:cs="Arial" w:eastAsia="Arial" w:hAnsi="Arial"/>
          <w:sz w:val="16"/>
          <w:szCs w:val="16"/>
          <w:color w:val="auto"/>
        </w:rPr>
        <w:t>A generation unit that is otherwise slated to be retired but agrees with PJM to remain operational beyond its requested deactivation date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reliability-must-run resource to mitigate reliability concerns until necessary upgrades can be established.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RTO. </w:t>
      </w:r>
      <w:r>
        <w:rPr>
          <w:rFonts w:ascii="Arial" w:cs="Arial" w:eastAsia="Arial" w:hAnsi="Arial"/>
          <w:sz w:val="16"/>
          <w:szCs w:val="16"/>
          <w:color w:val="auto"/>
        </w:rPr>
        <w:t>Regional Transmission Organization.</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 xml:space="preserve">Secured ISDAs. </w:t>
      </w:r>
      <w:r>
        <w:rPr>
          <w:rFonts w:ascii="Arial" w:cs="Arial" w:eastAsia="Arial" w:hAnsi="Arial"/>
          <w:sz w:val="16"/>
          <w:szCs w:val="16"/>
          <w:color w:val="auto"/>
        </w:rPr>
        <w:t>Certain bilateral secured International Swaps and Derivatives Association (“ISDA”) agreements and Base Contracts for Sale and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Natural Gas as published by the North American Energy Standards Board (“NAESB”) of Talen Energy Marketing.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Secured Notes</w:t>
      </w:r>
      <w:r>
        <w:rPr>
          <w:rFonts w:ascii="Arial" w:cs="Arial" w:eastAsia="Arial" w:hAnsi="Arial"/>
          <w:sz w:val="16"/>
          <w:szCs w:val="16"/>
          <w:color w:val="auto"/>
        </w:rPr>
        <w:t>. The 8.625% Senior Secured Notes, due 2030, issued by Talen Energy Supply.</w:t>
      </w:r>
    </w:p>
    <w:p>
      <w:pPr>
        <w:spacing w:after="0" w:line="167"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b w:val="1"/>
          <w:bCs w:val="1"/>
          <w:i w:val="1"/>
          <w:iCs w:val="1"/>
          <w:color w:val="auto"/>
        </w:rPr>
        <w:t xml:space="preserve">SRP. </w:t>
      </w:r>
      <w:r>
        <w:rPr>
          <w:rFonts w:ascii="Arial" w:cs="Arial" w:eastAsia="Arial" w:hAnsi="Arial"/>
          <w:sz w:val="16"/>
          <w:szCs w:val="16"/>
          <w:color w:val="auto"/>
        </w:rPr>
        <w:t>The share repurchase program, under which the Board of Directors has authorized the Company to repurchase shares of TEC’s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w:t>
      </w:r>
    </w:p>
    <w:p>
      <w:pPr>
        <w:spacing w:after="0" w:line="87"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b w:val="1"/>
          <w:bCs w:val="1"/>
          <w:i w:val="1"/>
          <w:iCs w:val="1"/>
          <w:color w:val="auto"/>
        </w:rPr>
        <w:t xml:space="preserve">Subsidiary Guarantors. </w:t>
      </w:r>
      <w:r>
        <w:rPr>
          <w:rFonts w:ascii="Arial" w:cs="Arial" w:eastAsia="Arial" w:hAnsi="Arial"/>
          <w:sz w:val="16"/>
          <w:szCs w:val="16"/>
          <w:color w:val="auto"/>
        </w:rPr>
        <w:t>The subsidiaries of TES that guarantee: (i) the obligations of TES under the Credit Facilities and the Secured Notes; and (ii)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of Talen Energy Marketing under the Secured ISDAs.</w:t>
      </w:r>
    </w:p>
    <w:p>
      <w:pPr>
        <w:spacing w:after="0" w:line="8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 xml:space="preserve">Susquehanna. </w:t>
      </w:r>
      <w:r>
        <w:rPr>
          <w:rFonts w:ascii="Arial" w:cs="Arial" w:eastAsia="Arial" w:hAnsi="Arial"/>
          <w:sz w:val="16"/>
          <w:szCs w:val="16"/>
          <w:color w:val="auto"/>
        </w:rPr>
        <w:t>A nuclear-powered generation facility located near Berwick, Pennsylvania. A subsidiary of Talen Energy Supply operates and owns a 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undivided interest in Susquehanna.</w:t>
      </w:r>
    </w:p>
    <w:p>
      <w:pPr>
        <w:spacing w:after="0" w:line="11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 xml:space="preserve">Talen (or the “Company,” “we,” “us,” or “our”). </w:t>
      </w:r>
      <w:r>
        <w:rPr>
          <w:rFonts w:ascii="Arial" w:cs="Arial" w:eastAsia="Arial" w:hAnsi="Arial"/>
          <w:sz w:val="16"/>
          <w:szCs w:val="16"/>
          <w:color w:val="auto"/>
        </w:rPr>
        <w:t>(i) for periods after May 17, 2023, Talen Energy Corporation and its consolidated subsidiaries, unless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 clearly indicates otherwise; and (ii) for periods on or before May 17, 2023, Talen Energy Supply and its consolidated subsidiaries, unless the context clearly indicates otherwise.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Talen Energy Corporation (or “TEC”). </w:t>
      </w:r>
      <w:r>
        <w:rPr>
          <w:rFonts w:ascii="Arial" w:cs="Arial" w:eastAsia="Arial" w:hAnsi="Arial"/>
          <w:sz w:val="16"/>
          <w:szCs w:val="16"/>
          <w:color w:val="auto"/>
        </w:rPr>
        <w:t>Talen Energy Corporation, the parent company of Talen Energy Supply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i w:val="1"/>
          <w:iCs w:val="1"/>
          <w:color w:val="auto"/>
        </w:rPr>
        <w:t xml:space="preserve">Talen Energy Marketing. </w:t>
      </w:r>
      <w:r>
        <w:rPr>
          <w:rFonts w:ascii="Arial" w:cs="Arial" w:eastAsia="Arial" w:hAnsi="Arial"/>
          <w:sz w:val="16"/>
          <w:szCs w:val="16"/>
          <w:color w:val="auto"/>
        </w:rPr>
        <w:t>Talen Energy Marketing, LLC, a direct subsidiary of Talen Energy Supply that provides energy management services to Talen-owned and operated generation facilities and engages in wholesale commodity marketing activities.</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Talen Energy Supply (or “TES”). </w:t>
      </w:r>
      <w:r>
        <w:rPr>
          <w:rFonts w:ascii="Arial" w:cs="Arial" w:eastAsia="Arial" w:hAnsi="Arial"/>
          <w:sz w:val="16"/>
          <w:szCs w:val="16"/>
          <w:color w:val="auto"/>
        </w:rPr>
        <w:t>Talen Energy Supply, LLC, a direct subsidiary of Talen Energy Corporation that, thorough subsidiaries, indirectly holds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Talen’s assets and operations.</w:t>
      </w:r>
    </w:p>
    <w:p>
      <w:pPr>
        <w:spacing w:after="0" w:line="11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 xml:space="preserve">Talen Montana. </w:t>
      </w:r>
      <w:r>
        <w:rPr>
          <w:rFonts w:ascii="Arial" w:cs="Arial" w:eastAsia="Arial" w:hAnsi="Arial"/>
          <w:sz w:val="16"/>
          <w:szCs w:val="16"/>
          <w:color w:val="auto"/>
        </w:rPr>
        <w:t>Talen Montana, LLC, a Talen subsidiary that operates Colstrip, owns an undivided interest in Colstrip Unit 3, and is party to a contractual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sharing agreement for Colstrip Units 3 and 4.</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TeraWulf. </w:t>
      </w:r>
      <w:r>
        <w:rPr>
          <w:rFonts w:ascii="Arial" w:cs="Arial" w:eastAsia="Arial" w:hAnsi="Arial"/>
          <w:sz w:val="16"/>
          <w:szCs w:val="16"/>
          <w:color w:val="auto"/>
        </w:rPr>
        <w:t>TeraWulf (Thales) LLC, a wholly owned subsidiary of TeraWulf Inc. and an unaffiliated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TLB-1. </w:t>
      </w:r>
      <w:r>
        <w:rPr>
          <w:rFonts w:ascii="Arial" w:cs="Arial" w:eastAsia="Arial" w:hAnsi="Arial"/>
          <w:sz w:val="16"/>
          <w:szCs w:val="16"/>
          <w:color w:val="auto"/>
        </w:rPr>
        <w:t>The $580 million (subsequently increased to $870) million senior secured term loan B facility, due May 2030, under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TLB-2. </w:t>
      </w:r>
      <w:r>
        <w:rPr>
          <w:rFonts w:ascii="Arial" w:cs="Arial" w:eastAsia="Arial" w:hAnsi="Arial"/>
          <w:sz w:val="16"/>
          <w:szCs w:val="16"/>
          <w:color w:val="auto"/>
        </w:rPr>
        <w:t>The $850 million senior secured term loan B facility, due December 2031, under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TLC LCF. </w:t>
      </w:r>
      <w:r>
        <w:rPr>
          <w:rFonts w:ascii="Arial" w:cs="Arial" w:eastAsia="Arial" w:hAnsi="Arial"/>
          <w:sz w:val="16"/>
          <w:szCs w:val="16"/>
          <w:color w:val="auto"/>
        </w:rPr>
        <w:t>The $470 million cash collateralized LC facility under the Credit Agreement. The TLC LCF was terminated in December 2024.</w:t>
      </w:r>
    </w:p>
    <w:p>
      <w:pPr>
        <w:spacing w:after="0" w:line="167"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b w:val="1"/>
          <w:bCs w:val="1"/>
          <w:i w:val="1"/>
          <w:iCs w:val="1"/>
          <w:color w:val="auto"/>
        </w:rPr>
        <w:t xml:space="preserve">WECC. </w:t>
      </w:r>
      <w:r>
        <w:rPr>
          <w:rFonts w:ascii="Arial" w:cs="Arial" w:eastAsia="Arial" w:hAnsi="Arial"/>
          <w:sz w:val="16"/>
          <w:szCs w:val="16"/>
          <w:color w:val="auto"/>
        </w:rPr>
        <w:t>The Western Electricity Coordinating Council, a non-profit corporation that assures a reliable and secure bulk electric system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covering all or parts of Montana, 13 other U.S. States, Canada,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1940" w:type="dxa"/>
            <w:vAlign w:val="bottom"/>
          </w:tcPr>
          <w:p>
            <w:pPr>
              <w:ind w:left="140"/>
              <w:spacing w:after="0"/>
              <w:rPr>
                <w:sz w:val="20"/>
                <w:szCs w:val="20"/>
                <w:color w:val="auto"/>
              </w:rPr>
            </w:pPr>
            <w:r>
              <w:rPr>
                <w:rFonts w:ascii="Arial" w:cs="Arial" w:eastAsia="Arial" w:hAnsi="Arial"/>
                <w:sz w:val="14"/>
                <w:szCs w:val="14"/>
                <w:color w:val="auto"/>
              </w:rPr>
              <w:t>May 8, 2025</w:t>
            </w:r>
          </w:p>
        </w:tc>
        <w:tc>
          <w:tcPr>
            <w:tcW w:w="2100" w:type="dxa"/>
            <w:vAlign w:val="bottom"/>
          </w:tcPr>
          <w:p>
            <w:pPr>
              <w:ind w:left="980"/>
              <w:spacing w:after="0"/>
              <w:rPr>
                <w:sz w:val="20"/>
                <w:szCs w:val="20"/>
                <w:color w:val="auto"/>
              </w:rPr>
            </w:pPr>
            <w:r>
              <w:rPr>
                <w:rFonts w:ascii="Arial" w:cs="Arial" w:eastAsia="Arial" w:hAnsi="Arial"/>
                <w:sz w:val="14"/>
                <w:szCs w:val="14"/>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/s/ Terry L. Nutt</w:t>
            </w:r>
          </w:p>
        </w:tc>
      </w:tr>
      <w:tr>
        <w:trPr>
          <w:trHeight w:val="194"/>
        </w:trPr>
        <w:tc>
          <w:tcPr>
            <w:tcW w:w="4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00" w:type="dxa"/>
            <w:vAlign w:val="bottom"/>
          </w:tcPr>
          <w:p>
            <w:pPr>
              <w:ind w:left="980"/>
              <w:spacing w:after="0"/>
              <w:rPr>
                <w:sz w:val="20"/>
                <w:szCs w:val="20"/>
                <w:color w:val="auto"/>
              </w:rPr>
            </w:pPr>
            <w:r>
              <w:rPr>
                <w:rFonts w:ascii="Arial" w:cs="Arial" w:eastAsia="Arial" w:hAnsi="Arial"/>
                <w:sz w:val="14"/>
                <w:szCs w:val="14"/>
                <w:color w:val="auto"/>
              </w:rPr>
              <w:t>Name:</w:t>
            </w:r>
          </w:p>
        </w:tc>
        <w:tc>
          <w:tcPr>
            <w:tcW w:w="3320" w:type="dxa"/>
            <w:vAlign w:val="bottom"/>
          </w:tcPr>
          <w:p>
            <w:pPr>
              <w:spacing w:after="0"/>
              <w:rPr>
                <w:sz w:val="20"/>
                <w:szCs w:val="20"/>
                <w:color w:val="auto"/>
              </w:rPr>
            </w:pPr>
            <w:r>
              <w:rPr>
                <w:rFonts w:ascii="Arial" w:cs="Arial" w:eastAsia="Arial" w:hAnsi="Arial"/>
                <w:sz w:val="14"/>
                <w:szCs w:val="14"/>
                <w:color w:val="auto"/>
              </w:rPr>
              <w:t>Terry L. Nutt</w:t>
            </w:r>
          </w:p>
        </w:tc>
      </w:tr>
      <w:tr>
        <w:trPr>
          <w:trHeight w:val="203"/>
        </w:trPr>
        <w:tc>
          <w:tcPr>
            <w:tcW w:w="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00" w:type="dxa"/>
            <w:vAlign w:val="bottom"/>
          </w:tcPr>
          <w:p>
            <w:pPr>
              <w:ind w:left="980"/>
              <w:spacing w:after="0"/>
              <w:rPr>
                <w:sz w:val="20"/>
                <w:szCs w:val="20"/>
                <w:color w:val="auto"/>
              </w:rPr>
            </w:pPr>
            <w:r>
              <w:rPr>
                <w:rFonts w:ascii="Arial" w:cs="Arial" w:eastAsia="Arial" w:hAnsi="Arial"/>
                <w:sz w:val="14"/>
                <w:szCs w:val="14"/>
                <w:color w:val="auto"/>
              </w:rPr>
              <w:t>Title:</w:t>
            </w:r>
          </w:p>
        </w:tc>
        <w:tc>
          <w:tcPr>
            <w:tcW w:w="332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20"/>
          </w:cols>
          <w:pgMar w:left="320" w:top="125"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TALEN ENERGY CORPORATION</w:t>
      </w:r>
    </w:p>
    <w:p>
      <w:pPr>
        <w:spacing w:after="0" w:line="50" w:lineRule="exact"/>
        <w:rPr>
          <w:sz w:val="20"/>
          <w:szCs w:val="20"/>
          <w:color w:val="auto"/>
        </w:rPr>
      </w:pPr>
    </w:p>
    <w:p>
      <w:pPr>
        <w:ind w:left="3880"/>
        <w:spacing w:after="0"/>
        <w:rPr>
          <w:sz w:val="20"/>
          <w:szCs w:val="20"/>
          <w:color w:val="auto"/>
        </w:rPr>
      </w:pPr>
      <w:r>
        <w:rPr>
          <w:rFonts w:ascii="Arial" w:cs="Arial" w:eastAsia="Arial" w:hAnsi="Arial"/>
          <w:sz w:val="18"/>
          <w:szCs w:val="18"/>
          <w:b w:val="1"/>
          <w:bCs w:val="1"/>
          <w:u w:val="single" w:color="auto"/>
          <w:color w:val="auto"/>
        </w:rPr>
        <w:t>___________________________________</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EMPLOYEE STOCK PURCHASE PLAN</w:t>
      </w:r>
    </w:p>
    <w:p>
      <w:pPr>
        <w:spacing w:after="0" w:line="40" w:lineRule="exact"/>
        <w:rPr>
          <w:sz w:val="20"/>
          <w:szCs w:val="20"/>
          <w:color w:val="auto"/>
        </w:rPr>
      </w:pPr>
    </w:p>
    <w:p>
      <w:pPr>
        <w:ind w:left="3880"/>
        <w:spacing w:after="0"/>
        <w:rPr>
          <w:sz w:val="20"/>
          <w:szCs w:val="20"/>
          <w:color w:val="auto"/>
        </w:rPr>
      </w:pPr>
      <w:r>
        <w:rPr>
          <w:rFonts w:ascii="Arial" w:cs="Arial" w:eastAsia="Arial" w:hAnsi="Arial"/>
          <w:sz w:val="18"/>
          <w:szCs w:val="18"/>
          <w:b w:val="1"/>
          <w:bCs w:val="1"/>
          <w:u w:val="single" w:color="auto"/>
          <w:color w:val="auto"/>
        </w:rPr>
        <w:t>___________________________________</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4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PURPOSE</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The purpose of this Amended and Restated Talen Energy Corporation 2025 Employee Stock Purchase Plan (as it may be amended or restated from time to time, this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is to assist Eligible Employees of Talen Energy Corporation,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its Designated Subsidiaries in acquiring a stock ownership interest in the Company. This Plan consists of two components:</w:t>
      </w:r>
    </w:p>
    <w:p>
      <w:pPr>
        <w:spacing w:after="0" w:line="1" w:lineRule="exact"/>
        <w:rPr>
          <w:sz w:val="20"/>
          <w:szCs w:val="20"/>
          <w:color w:val="auto"/>
        </w:rPr>
      </w:pPr>
    </w:p>
    <w:p>
      <w:pPr>
        <w:jc w:val="both"/>
        <w:ind w:firstLine="8"/>
        <w:spacing w:after="0" w:line="295" w:lineRule="auto"/>
        <w:tabs>
          <w:tab w:leader="none" w:pos="2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jc w:val="center"/>
        <w:spacing w:after="0"/>
        <w:rPr>
          <w:sz w:val="20"/>
          <w:szCs w:val="20"/>
          <w:color w:val="auto"/>
        </w:rPr>
      </w:pPr>
      <w:r>
        <w:rPr>
          <w:rFonts w:ascii="Arial" w:cs="Arial" w:eastAsia="Arial" w:hAnsi="Arial"/>
          <w:sz w:val="18"/>
          <w:szCs w:val="18"/>
          <w:b w:val="1"/>
          <w:bCs w:val="1"/>
          <w:color w:val="auto"/>
        </w:rPr>
        <w:t>DEFINITION AND CONSTRUCTION</w:t>
      </w:r>
    </w:p>
    <w:p>
      <w:pPr>
        <w:spacing w:after="0" w:line="16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8"/>
          <w:szCs w:val="18"/>
          <w:color w:val="auto"/>
        </w:rPr>
        <w:t>Wherever the following terms are used in this Plan they shall have the meanings specified below, unless the context clearly indicates otherwise.</w:t>
      </w:r>
    </w:p>
    <w:p>
      <w:pPr>
        <w:spacing w:after="0" w:line="11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2.1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means the entity that conducts the general administration of this Plan as provided in Article XI. The term “Administrator” shall refer to the Committee unless the Board has assumed the authority for administration of this Plan as provided in Article XI.</w:t>
      </w:r>
    </w:p>
    <w:p>
      <w:pPr>
        <w:spacing w:after="0" w:line="12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3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u w:val="single" w:color="auto"/>
          <w:color w:val="auto"/>
        </w:rPr>
        <w:t>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means the Board of Directors of the Company.</w:t>
      </w:r>
    </w:p>
    <w:p>
      <w:pPr>
        <w:spacing w:after="0" w:line="225" w:lineRule="exact"/>
        <w:rPr>
          <w:sz w:val="20"/>
          <w:szCs w:val="20"/>
          <w:color w:val="auto"/>
        </w:rPr>
      </w:pPr>
    </w:p>
    <w:p>
      <w:pPr>
        <w:jc w:val="both"/>
        <w:ind w:right="20" w:firstLine="648"/>
        <w:spacing w:after="0" w:line="318" w:lineRule="auto"/>
        <w:rPr>
          <w:sz w:val="20"/>
          <w:szCs w:val="20"/>
          <w:color w:val="auto"/>
        </w:rPr>
      </w:pP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U.S. Internal Revenue Code of 1986, as amended from time to time. Any reference to any section of the Code shall also be a reference to any successor provision and any guidance and treasury regulation promulgated thereunder.</w:t>
      </w:r>
    </w:p>
    <w:p>
      <w:pPr>
        <w:spacing w:after="0" w:line="12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u w:val="single" w:color="auto"/>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means the common stock, $0.001 par value per share,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3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of an Eligible Employee means wages as defined in Code Section 3401(a) plus amounts that would be included in wages but for an election under Code Section 125(a), 132(f)(4), 402(e)(3), 402(h)(1)(B), 402(k), or 457(b) and all other payments of compensation to an Employee by the Company or a Designated Subsidiary (in the course of the Company’s or such Designated Subsidiary’s trade or business) for services to the Company and the Designated Subsidiaries while employed as an Employee for which the Company or a Designated Subsidiary is required to furnish the Employee a written statement under Code Sections 6041(d), 6051(a)(3) and 6052. Compensation shall be determined without regard to any rules under Code Section 3401(a) that limit the remuneration included in wages based on the nature or location of the employment or the services performed (such as the exception for agricultural labor in Code Section 3401(a)(2)). Compensation does not include amounts received by a Participant after severance from employment.</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u w:val="single" w:color="auto"/>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Designated Subsidiary</w:t>
      </w:r>
      <w:r>
        <w:rPr>
          <w:rFonts w:ascii="Arial" w:cs="Arial" w:eastAsia="Arial" w:hAnsi="Arial"/>
          <w:sz w:val="17"/>
          <w:szCs w:val="17"/>
          <w:color w:val="auto"/>
        </w:rPr>
        <w:t>” means any Subsidiary designated by the Administrator in accordance with Section 11.2(b).</w:t>
      </w:r>
    </w:p>
    <w:p>
      <w:pPr>
        <w:spacing w:after="0" w:line="21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u w:val="single" w:color="auto"/>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means the date this Plan is adopted by the Board.</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u w:val="single" w:color="auto"/>
          <w:color w:val="auto"/>
        </w:rPr>
        <w:t>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Eligible Employee</w:t>
      </w:r>
      <w:r>
        <w:rPr>
          <w:rFonts w:ascii="Arial" w:cs="Arial" w:eastAsia="Arial" w:hAnsi="Arial"/>
          <w:sz w:val="17"/>
          <w:szCs w:val="17"/>
          <w:color w:val="auto"/>
        </w:rPr>
        <w:t>” means:</w:t>
      </w:r>
    </w:p>
    <w:p>
      <w:pPr>
        <w:spacing w:after="0" w:line="225" w:lineRule="exact"/>
        <w:rPr>
          <w:sz w:val="20"/>
          <w:szCs w:val="20"/>
          <w:color w:val="auto"/>
        </w:rPr>
      </w:pPr>
    </w:p>
    <w:p>
      <w:pPr>
        <w:jc w:val="both"/>
        <w:ind w:left="660" w:firstLine="644"/>
        <w:spacing w:after="0" w:line="298" w:lineRule="auto"/>
        <w:tabs>
          <w:tab w:leader="none" w:pos="19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Employee who does not, immediately after any rights under this Plan are granted, own (directly or through attribution) stock possessing five percent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145" w:lineRule="exact"/>
        <w:rPr>
          <w:rFonts w:ascii="Arial" w:cs="Arial" w:eastAsia="Arial" w:hAnsi="Arial"/>
          <w:sz w:val="18"/>
          <w:szCs w:val="18"/>
          <w:color w:val="auto"/>
        </w:rPr>
      </w:pPr>
    </w:p>
    <w:p>
      <w:pPr>
        <w:jc w:val="both"/>
        <w:ind w:left="660" w:firstLine="644"/>
        <w:spacing w:after="0" w:line="293" w:lineRule="auto"/>
        <w:tabs>
          <w:tab w:leader="none" w:pos="1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423(b)(4)(A) of the Code (which service requirement may not exceed two (2) years); (iii) such Employee’s customary employment is for twenty (20) hours per week or less; (iv) such Employee’s customary employment is for less than five (5) months in any calendar year; and/or (v) such Employee is a citizen or resident of a foreign jurisdiction and the grant of a right to purchase Shares under this Plan to such Employee would be prohibited under the laws of such foreign jurisdiction or the grant of a right to purchase Shares under this Plan to such Employee in compliance with the laws of such foreign jurisdiction would cause this Plan to violate the requirements of Section 423 of the Code, as determined by the Administrator in its sole discretion; provided, further, that any exclusion in clauses (i), (ii), (iii), (iv) or (v) of this Section 2.9(b) shall be applied in an identical manner under each Offering Period to all Employees, in accordance with Treasury Regulation Section 1.423-2(e).</w:t>
      </w:r>
    </w:p>
    <w:p>
      <w:pPr>
        <w:spacing w:after="0" w:line="149" w:lineRule="exact"/>
        <w:rPr>
          <w:rFonts w:ascii="Arial" w:cs="Arial" w:eastAsia="Arial" w:hAnsi="Arial"/>
          <w:sz w:val="18"/>
          <w:szCs w:val="18"/>
          <w:color w:val="auto"/>
        </w:rPr>
      </w:pPr>
    </w:p>
    <w:p>
      <w:pPr>
        <w:jc w:val="both"/>
        <w:ind w:left="660" w:firstLine="644"/>
        <w:spacing w:after="0" w:line="308" w:lineRule="auto"/>
        <w:tabs>
          <w:tab w:leader="none" w:pos="18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Further notwithstanding the foregoing, with respect to the Non-Section 423 Component, the first sentence in this definition shall apply in determining who is an “Eligible Employee</w:t>
      </w:r>
      <w:r>
        <w:rPr>
          <w:rFonts w:ascii="Arial" w:cs="Arial" w:eastAsia="Arial" w:hAnsi="Arial"/>
          <w:sz w:val="18"/>
          <w:szCs w:val="18"/>
          <w:b w:val="1"/>
          <w:bCs w:val="1"/>
          <w:i w:val="1"/>
          <w:iCs w:val="1"/>
          <w:color w:val="auto"/>
        </w:rPr>
        <w:t>,</w:t>
      </w:r>
      <w:r>
        <w:rPr>
          <w:rFonts w:ascii="Arial" w:cs="Arial" w:eastAsia="Arial" w:hAnsi="Arial"/>
          <w:sz w:val="18"/>
          <w:szCs w:val="18"/>
          <w:color w:val="auto"/>
        </w:rPr>
        <w:t>” except (i) the Administrator may limit eligibility further within the Company or a Designated Subsidiary so as to only designate some Employees of the Company or a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4" w:right="339" w:bottom="1440" w:gutter="0" w:footer="0" w:header="0"/>
        </w:sectPr>
      </w:pPr>
    </w:p>
    <w:bookmarkStart w:id="44" w:name="page45"/>
    <w:bookmarkEnd w:id="44"/>
    <w:p>
      <w:pPr>
        <w:ind w:left="10300"/>
        <w:spacing w:after="0"/>
        <w:rPr>
          <w:sz w:val="20"/>
          <w:szCs w:val="20"/>
          <w:color w:val="auto"/>
        </w:rPr>
      </w:pPr>
      <w:r>
        <w:rPr>
          <w:rFonts w:ascii="Arial" w:cs="Arial" w:eastAsia="Arial" w:hAnsi="Arial"/>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right="20"/>
        <w:spacing w:after="0" w:line="334" w:lineRule="auto"/>
        <w:rPr>
          <w:sz w:val="20"/>
          <w:szCs w:val="20"/>
          <w:color w:val="auto"/>
        </w:rPr>
      </w:pPr>
      <w:r>
        <w:rPr>
          <w:rFonts w:ascii="Arial" w:cs="Arial" w:eastAsia="Arial" w:hAnsi="Arial"/>
          <w:sz w:val="18"/>
          <w:szCs w:val="18"/>
          <w:color w:val="auto"/>
        </w:rPr>
        <w:t>Subsidiary as Eligible Employees, and (ii) to the extent the restrictions in the first sentence in this definition are not consistent with applicable local laws, the applicable local laws shall control.</w:t>
      </w:r>
    </w:p>
    <w:p>
      <w:pPr>
        <w:spacing w:after="0" w:line="99" w:lineRule="exact"/>
        <w:rPr>
          <w:sz w:val="20"/>
          <w:szCs w:val="20"/>
          <w:color w:val="auto"/>
        </w:rPr>
      </w:pPr>
    </w:p>
    <w:p>
      <w:pPr>
        <w:jc w:val="both"/>
        <w:ind w:left="660" w:firstLine="644"/>
        <w:spacing w:after="0" w:line="298" w:lineRule="auto"/>
        <w:tabs>
          <w:tab w:leader="none" w:pos="17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Employee who is subject to a collective bargaining agreement or other labor-related contract with a union, works council, labor organization, or other employee representative (each, a “</w:t>
      </w:r>
      <w:r>
        <w:rPr>
          <w:rFonts w:ascii="Arial" w:cs="Arial" w:eastAsia="Arial" w:hAnsi="Arial"/>
          <w:sz w:val="18"/>
          <w:szCs w:val="18"/>
          <w:b w:val="1"/>
          <w:bCs w:val="1"/>
          <w:u w:val="single" w:color="auto"/>
          <w:color w:val="auto"/>
        </w:rPr>
        <w:t>Labor Agreement</w:t>
      </w:r>
      <w:r>
        <w:rPr>
          <w:rFonts w:ascii="Arial" w:cs="Arial" w:eastAsia="Arial" w:hAnsi="Arial"/>
          <w:sz w:val="18"/>
          <w:szCs w:val="18"/>
          <w:color w:val="auto"/>
        </w:rPr>
        <w:t>”) and is otherwise an Eligible Employee under Sections 2.9(a), (b), and (c) shall be an Eligible Employee; provided, that, with respect to any Offering Period, an Employee who is subject to a Labor Agreement that, as of the applicable Enrollment Date, prohibits participation in this Plan shall not participate in such Offering Period. Any such union, works council, labor organization or other employee representative may elect to permit participation in this Plan by providing written notice of such determination to the Administrator no later than thirty (30) days prior to the applicable Enrollment Date.</w:t>
      </w:r>
    </w:p>
    <w:p>
      <w:pPr>
        <w:spacing w:after="0" w:line="13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means, (a) with respect to the Non-Section 423 Component, any individual who renders services to the Company or any Designated Subsidiary in the status of an employee, and (b) with respect to the Section 423 Component, a person who is an employee within the meaning of Section 3401(c) of the Code. For purposes of an individual’s participation in, or other rights under this Plan, all determinations by the Company shall be final, binding and conclusive, notwithstanding that any court of law or governmental agency subsequently makes a contrary determination. For purposes of this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4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Enrollment Date</w:t>
      </w:r>
      <w:r>
        <w:rPr>
          <w:rFonts w:ascii="Arial" w:cs="Arial" w:eastAsia="Arial" w:hAnsi="Arial"/>
          <w:sz w:val="17"/>
          <w:szCs w:val="17"/>
          <w:color w:val="auto"/>
        </w:rPr>
        <w:t>” means the first Trading Day of each Offering Period, unless otherwise specified in the Offering Document.</w:t>
      </w:r>
    </w:p>
    <w:p>
      <w:pPr>
        <w:spacing w:after="0" w:line="21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u w:val="single" w:color="auto"/>
          <w:color w:val="auto"/>
        </w:rPr>
        <w:t>2.12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U.S.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3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xml:space="preserve">”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another source the Administrator deems reliable; (b) if the Common Stock is not traded on a stock exchange but is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or (c) without an established market for the Common Stock, the Administrator will determine the Fair Market Value in good faith in its sole discretion.</w:t>
      </w:r>
    </w:p>
    <w:p>
      <w:pPr>
        <w:spacing w:after="0" w:line="138"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8"/>
          <w:szCs w:val="18"/>
          <w:u w:val="single" w:color="auto"/>
          <w:color w:val="auto"/>
        </w:rPr>
        <w:t>2.14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Non-Section 423 Component</w:t>
      </w:r>
      <w:r>
        <w:rPr>
          <w:rFonts w:ascii="Arial" w:cs="Arial" w:eastAsia="Arial" w:hAnsi="Arial"/>
          <w:sz w:val="18"/>
          <w:szCs w:val="18"/>
          <w:color w:val="auto"/>
        </w:rPr>
        <w:t>” means those Offerings under this Plan, together with the sub-plans, appendices, rules or procedures, if any, adopted by the Administrator as a part of this Plan,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3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13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Offering</w:t>
      </w:r>
      <w:r>
        <w:rPr>
          <w:rFonts w:ascii="Arial" w:cs="Arial" w:eastAsia="Arial" w:hAnsi="Arial"/>
          <w:sz w:val="18"/>
          <w:szCs w:val="18"/>
          <w:color w:val="auto"/>
        </w:rPr>
        <w:t>” means an offer under this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this Plan will separately apply to each Offering. To the extent permitted by Treasury Regulation Section 1.423-2(a)(1), the terms of each separate Offering under the Section 423 Component need not be identical, provided that the terms of the Section 423 Component and an Offering thereunder together satisfy Treasury Regulation Section 1.423-2(a)(2) and (a)(3).</w:t>
      </w:r>
    </w:p>
    <w:p>
      <w:pPr>
        <w:spacing w:after="0" w:line="15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2.16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Offering Document</w:t>
      </w:r>
      <w:r>
        <w:rPr>
          <w:rFonts w:ascii="Arial" w:cs="Arial" w:eastAsia="Arial" w:hAnsi="Arial"/>
          <w:sz w:val="17"/>
          <w:szCs w:val="17"/>
          <w:color w:val="auto"/>
        </w:rPr>
        <w:t>” has the meaning given to such term in Section 4.1.</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2.17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Offering Period</w:t>
      </w:r>
      <w:r>
        <w:rPr>
          <w:rFonts w:ascii="Arial" w:cs="Arial" w:eastAsia="Arial" w:hAnsi="Arial"/>
          <w:sz w:val="17"/>
          <w:szCs w:val="17"/>
          <w:color w:val="auto"/>
        </w:rPr>
        <w:t>” has the meaning given to such term in Section 4.1.</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2.18</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w:t>
      </w:r>
    </w:p>
    <w:p>
      <w:pPr>
        <w:spacing w:after="0" w:line="135"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any Eligible Employee who has executed a subscription agreement and been granted rights to purchase Common Stock pursuant to this Plan.</w:t>
      </w:r>
    </w:p>
    <w:p>
      <w:pPr>
        <w:spacing w:after="0" w:line="12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2.20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Purchase Date</w:t>
      </w:r>
      <w:r>
        <w:rPr>
          <w:rFonts w:ascii="Arial" w:cs="Arial" w:eastAsia="Arial" w:hAnsi="Arial"/>
          <w:sz w:val="17"/>
          <w:szCs w:val="17"/>
          <w:color w:val="auto"/>
        </w:rPr>
        <w:t>” means the last Trading Day of each Purchase Period, unless otherwise specified in the Offering Document.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2.21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Purchase Period</w:t>
      </w:r>
      <w:r>
        <w:rPr>
          <w:rFonts w:ascii="Arial" w:cs="Arial" w:eastAsia="Arial" w:hAnsi="Arial"/>
          <w:sz w:val="18"/>
          <w:szCs w:val="18"/>
          <w:color w:val="auto"/>
        </w:rPr>
        <w:t xml:space="preserve">” means one or more periods within an Offering Period, as designated in the applicable Offering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3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2.22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xml:space="preserve">” means the purchase price designated by the Administrator in the applicable Offering Document (which purchase price, for purposes of the Section 423 Component, shall not be less than eighty-five percent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eighty-five percent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15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u w:val="single" w:color="auto"/>
          <w:color w:val="auto"/>
        </w:rPr>
        <w:t>2.23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means the nonqualified deferred compensation rules under Section 409A of the Code and any applicable treasury regulations and other official guidance thereunder.</w:t>
      </w:r>
    </w:p>
    <w:p>
      <w:pPr>
        <w:spacing w:after="0" w:line="12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8"/>
          <w:szCs w:val="18"/>
          <w:u w:val="single" w:color="auto"/>
          <w:color w:val="auto"/>
        </w:rPr>
        <w:t>2.24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Section 423 Component</w:t>
      </w:r>
      <w:r>
        <w:rPr>
          <w:rFonts w:ascii="Arial" w:cs="Arial" w:eastAsia="Arial" w:hAnsi="Arial"/>
          <w:sz w:val="18"/>
          <w:szCs w:val="18"/>
          <w:color w:val="auto"/>
        </w:rPr>
        <w:t>” means those Offerings under this Plan, together with the sub-plans, appendices, rules or procedures, if any, adopted by the Administrator as a part of this Plan,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3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13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 share of Common Stock.</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u w:val="single" w:color="auto"/>
          <w:color w:val="auto"/>
        </w:rPr>
        <w:t>2.26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14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2.27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a day on which national stock exchanges in the United States are open for trading.</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THIS PLAN</w:t>
      </w:r>
    </w:p>
    <w:p>
      <w:pPr>
        <w:spacing w:after="0" w:line="20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u w:val="single" w:color="auto"/>
          <w:color w:val="auto"/>
        </w:rPr>
        <w:t>3.1 Number of Shares</w:t>
      </w:r>
      <w:r>
        <w:rPr>
          <w:rFonts w:ascii="Arial" w:cs="Arial" w:eastAsia="Arial" w:hAnsi="Arial"/>
          <w:sz w:val="18"/>
          <w:szCs w:val="18"/>
          <w:color w:val="auto"/>
        </w:rPr>
        <w:t>. Subject to Article VIII, the aggregate number of Shares that may be issued pursuant to rights granted under this Plan (including pursuant to rights granted under the Section 423 Component of the Plan) shall be 3,500,000 Shares. If any right granted under this Plan shall for any reason terminate without having been exercised, the Shares not purchased under such right shall again become available for issuance under this Plan.</w:t>
      </w:r>
    </w:p>
    <w:p>
      <w:pPr>
        <w:spacing w:after="0" w:line="12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8"/>
          <w:szCs w:val="18"/>
          <w:u w:val="single" w:color="auto"/>
          <w:color w:val="auto"/>
        </w:rPr>
        <w:t>3.2 Stock Distributed</w:t>
      </w:r>
      <w:r>
        <w:rPr>
          <w:rFonts w:ascii="Arial" w:cs="Arial" w:eastAsia="Arial" w:hAnsi="Arial"/>
          <w:sz w:val="18"/>
          <w:szCs w:val="18"/>
          <w:color w:val="auto"/>
        </w:rPr>
        <w:t>. Any Common Stock distributed pursuant to this Plan may consist, in whole or in part, of authorized and unissued Common Stock, treasury stock or Common Stock purchased on the open market.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u w:val="single" w:color="auto"/>
          <w:color w:val="auto"/>
        </w:rPr>
        <w:t>4.1 Offering Periods</w:t>
      </w:r>
      <w:r>
        <w:rPr>
          <w:rFonts w:ascii="Arial" w:cs="Arial" w:eastAsia="Arial" w:hAnsi="Arial"/>
          <w:sz w:val="18"/>
          <w:szCs w:val="18"/>
          <w:color w:val="auto"/>
        </w:rPr>
        <w:t>. The Administrator may from time to time grant, or provide for the grant of, rights to purchase Shares under this Plan to Eligible Employees during one or more periods (each, an “</w:t>
      </w:r>
      <w:r>
        <w:rPr>
          <w:rFonts w:ascii="Arial" w:cs="Arial" w:eastAsia="Arial" w:hAnsi="Arial"/>
          <w:sz w:val="18"/>
          <w:szCs w:val="18"/>
          <w:b w:val="1"/>
          <w:bCs w:val="1"/>
          <w:u w:val="single" w:color="auto"/>
          <w:color w:val="auto"/>
        </w:rPr>
        <w:t>Offering Period</w:t>
      </w:r>
      <w:r>
        <w:rPr>
          <w:rFonts w:ascii="Arial" w:cs="Arial" w:eastAsia="Arial" w:hAnsi="Arial"/>
          <w:sz w:val="18"/>
          <w:szCs w:val="18"/>
          <w:color w:val="auto"/>
        </w:rPr>
        <w:t>”) selected by the Administrator. The terms and conditions applicable to each Offering Period shall be set forth in an “</w:t>
      </w:r>
      <w:r>
        <w:rPr>
          <w:rFonts w:ascii="Arial" w:cs="Arial" w:eastAsia="Arial" w:hAnsi="Arial"/>
          <w:sz w:val="18"/>
          <w:szCs w:val="18"/>
          <w:b w:val="1"/>
          <w:bCs w:val="1"/>
          <w:u w:val="single" w:color="auto"/>
          <w:color w:val="auto"/>
        </w:rPr>
        <w:t>Offering Document</w:t>
      </w:r>
      <w:r>
        <w:rPr>
          <w:rFonts w:ascii="Arial" w:cs="Arial" w:eastAsia="Arial" w:hAnsi="Arial"/>
          <w:sz w:val="18"/>
          <w:szCs w:val="18"/>
          <w:color w:val="auto"/>
        </w:rPr>
        <w:t>” adopted by the Administrator, which Offering Document shall be in such form and shall contain such terms and conditions as the Administrator shall deem appropriate in its sole discretion. The Administrator shall establish in each Offering Document one or more Purchase Periods during such Offering Period during which rights granted under this Plan shall be exercised and purchases of Shares carried out during such Offering Period shall be made in accordance with such Offering Document and this Plan.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3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Notwithstanding the foregoing, the terms of separate Offering Periods under this Plan need not be identical. Solely by way of example and without limiting the foregoing, the Company could, but shall not be required to, provide for simultaneous Offerings under the Section 423 Component and the Non-Section 423 Component of this Plan.</w:t>
      </w:r>
    </w:p>
    <w:p>
      <w:pPr>
        <w:spacing w:after="0" w:line="135"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u w:val="single" w:color="auto"/>
          <w:color w:val="auto"/>
        </w:rPr>
        <w:t>4.2 Offering Documents</w:t>
      </w:r>
      <w:r>
        <w:rPr>
          <w:rFonts w:ascii="Arial" w:cs="Arial" w:eastAsia="Arial" w:hAnsi="Arial"/>
          <w:sz w:val="18"/>
          <w:szCs w:val="18"/>
          <w:color w:val="auto"/>
        </w:rPr>
        <w:t>. Each Offering Document with respect to an Offering Period shall specify (through incorporation of the provisions of this Plan by reference or otherwise):</w:t>
      </w:r>
    </w:p>
    <w:p>
      <w:pPr>
        <w:spacing w:after="0" w:line="126" w:lineRule="exact"/>
        <w:rPr>
          <w:sz w:val="20"/>
          <w:szCs w:val="20"/>
          <w:color w:val="auto"/>
        </w:rPr>
      </w:pPr>
    </w:p>
    <w:p>
      <w:pPr>
        <w:ind w:left="1780" w:hanging="476"/>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twenty-seven (27) months;</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length of the Purchase Period(s) within the Offering Period, if applicable;</w:t>
      </w:r>
    </w:p>
    <w:p>
      <w:pPr>
        <w:spacing w:after="0" w:line="225" w:lineRule="exact"/>
        <w:rPr>
          <w:rFonts w:ascii="Arial" w:cs="Arial" w:eastAsia="Arial" w:hAnsi="Arial"/>
          <w:sz w:val="18"/>
          <w:szCs w:val="18"/>
          <w:color w:val="auto"/>
        </w:rPr>
      </w:pPr>
    </w:p>
    <w:p>
      <w:pPr>
        <w:ind w:left="660" w:firstLine="644"/>
        <w:spacing w:after="0" w:line="334" w:lineRule="auto"/>
        <w:tabs>
          <w:tab w:leader="none" w:pos="17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maximum number of Shares that may be purchased by any Eligible Employee during such Offering Period (which, in the absence of a contrary designation by the Administrator, shall be 1,000 Shares); and</w:t>
      </w:r>
    </w:p>
    <w:p>
      <w:pPr>
        <w:spacing w:after="0" w:line="98" w:lineRule="exact"/>
        <w:rPr>
          <w:rFonts w:ascii="Arial" w:cs="Arial" w:eastAsia="Arial" w:hAnsi="Arial"/>
          <w:sz w:val="18"/>
          <w:szCs w:val="18"/>
          <w:color w:val="auto"/>
        </w:rPr>
      </w:pPr>
    </w:p>
    <w:p>
      <w:pPr>
        <w:ind w:left="1720" w:hanging="416"/>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other provisions as the Administrator determines are appropriate, subject to this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5.1 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this Plan during such Offering Period, subject to the requirements of this Article V and, for the Section 423 Component, the limitations imposed by Section 423(b) of the Code.</w:t>
      </w:r>
    </w:p>
    <w:p>
      <w:pPr>
        <w:spacing w:after="0" w:line="1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u w:val="single" w:color="auto"/>
          <w:color w:val="auto"/>
        </w:rPr>
        <w:t>5.2</w:t>
      </w:r>
      <w:r>
        <w:rPr>
          <w:sz w:val="20"/>
          <w:szCs w:val="20"/>
          <w:color w:val="auto"/>
        </w:rPr>
        <w:tab/>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212" w:lineRule="exact"/>
        <w:rPr>
          <w:sz w:val="20"/>
          <w:szCs w:val="20"/>
          <w:color w:val="auto"/>
        </w:rPr>
      </w:pPr>
    </w:p>
    <w:p>
      <w:pPr>
        <w:jc w:val="both"/>
        <w:ind w:left="660" w:firstLine="644"/>
        <w:spacing w:after="0" w:line="304" w:lineRule="auto"/>
        <w:tabs>
          <w:tab w:leader="none" w:pos="18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otherwise set forth herein, in an Offering Document or as determined by the Administrator, an Eligible Employee may become a Participant in this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39" w:lineRule="exact"/>
        <w:rPr>
          <w:rFonts w:ascii="Arial" w:cs="Arial" w:eastAsia="Arial" w:hAnsi="Arial"/>
          <w:sz w:val="18"/>
          <w:szCs w:val="18"/>
          <w:color w:val="auto"/>
        </w:rPr>
      </w:pPr>
    </w:p>
    <w:p>
      <w:pPr>
        <w:jc w:val="both"/>
        <w:ind w:left="660" w:firstLine="644"/>
        <w:spacing w:after="0" w:line="295"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such subscription agreement shall designate a whole number percentage of such Eligible Employee’s Compensation to be withheld by the Company or the Designated Subsidiary employing such Eligible Employee on each payday during the Offering Period as payroll deductions under this Plan. Such payroll deductions may not be less than the minimum amount specified by the Administrator in the applicable Offering Document (which shall be one percent (1%) in the absence of any such designation) and may not be greater than the maximum amount specified by the Administrator in the applicable Offering Document (which shall be ten percent (10%) in the absence of any such designation). The payroll deductions made for each Participant shall be credited to an account for such Participant under this Plan and shall be deposited with the general funds of the Company.</w:t>
      </w:r>
    </w:p>
    <w:p>
      <w:pPr>
        <w:spacing w:after="0" w:line="149" w:lineRule="exact"/>
        <w:rPr>
          <w:rFonts w:ascii="Arial" w:cs="Arial" w:eastAsia="Arial" w:hAnsi="Arial"/>
          <w:sz w:val="18"/>
          <w:szCs w:val="18"/>
          <w:color w:val="auto"/>
        </w:rPr>
      </w:pPr>
    </w:p>
    <w:p>
      <w:pPr>
        <w:jc w:val="both"/>
        <w:ind w:left="660" w:firstLine="644"/>
        <w:spacing w:after="0" w:line="308" w:lineRule="auto"/>
        <w:tabs>
          <w:tab w:leader="none" w:pos="18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Participant may decrease (but not increase) the percentage of Compensation designated in the Participant’s subscription agreement (to as low as zero), subject to the limits of this Section 5.2 and subject to Section 5.9, at any time during an Offering Period;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3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94" w:lineRule="auto"/>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may limit the number of times a Participant may decrease the Participant’s payroll deduction elections during each Offering Period in the applicable Offering Document (and in the absence of any specific designation by the Administrator, a Participant shall be allowed one decrease (but no increases) to the Participant’s payroll deduction elections during each Offering Period with respect to such Offering Period). Any such change of payroll deductions shall be effective with the first full payroll period following ten (10) business days after the Company’s receipt of the new subscription agreement (or such shorter or longer period as may be specified by the Administrator in the applicable Offering Document). In the event a Participant decreases the Participant’s payroll deductions to zero, such Participant’s cumulative payroll deductions prior to such decrease shall remain in the Participant’s account and shall be applied to the purchase of Shares on the next occurring Purchase Date and shall not be paid to such Participant unless the Participant withdraws from participation in this Plan pursuant to Article VII.</w:t>
      </w:r>
    </w:p>
    <w:p>
      <w:pPr>
        <w:spacing w:after="0" w:line="148" w:lineRule="exact"/>
        <w:rPr>
          <w:sz w:val="20"/>
          <w:szCs w:val="20"/>
          <w:color w:val="auto"/>
        </w:rPr>
      </w:pPr>
    </w:p>
    <w:p>
      <w:pPr>
        <w:jc w:val="both"/>
        <w:ind w:left="660" w:firstLine="644"/>
        <w:spacing w:after="0" w:line="295" w:lineRule="auto"/>
        <w:tabs>
          <w:tab w:leader="none" w:pos="18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Section 5.8, in an Offering Document or as determined by the Administrator, a Participant may participate in this Plan only by means of payroll deduction and may not make contributions by lump sum payment for any Offering Period. Notwithstanding any other provisions of this Plan to the contrary, in non-U.S. jurisdictions where participation in this Plan through payroll deductions is prohibited, the Administrator may provide that an Eligible Employee may elect to participate through contributions to the Participant’s account under this Plan in a form acceptable to the Administrator in lieu of or in addition to payroll deductions;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any Offering under the Section 423 Component, any such alternative method of contribution must comply with the requirements of Section 423 of the Code.</w:t>
      </w:r>
    </w:p>
    <w:p>
      <w:pPr>
        <w:spacing w:after="0" w:line="15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u w:val="single" w:color="auto"/>
          <w:color w:val="auto"/>
        </w:rPr>
        <w:t>5.3 Payroll Deductions</w:t>
      </w:r>
      <w:r>
        <w:rPr>
          <w:rFonts w:ascii="Arial" w:cs="Arial" w:eastAsia="Arial" w:hAnsi="Arial"/>
          <w:sz w:val="18"/>
          <w:szCs w:val="18"/>
          <w:color w:val="auto"/>
        </w:rPr>
        <w:t>. Except as otherwise set forth in Section 5.8, in an Offering Document or as determined by the Administrator,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5.4 Effect of Enrollment</w:t>
      </w:r>
      <w:r>
        <w:rPr>
          <w:rFonts w:ascii="Arial" w:cs="Arial" w:eastAsia="Arial" w:hAnsi="Arial"/>
          <w:sz w:val="18"/>
          <w:szCs w:val="18"/>
          <w:color w:val="auto"/>
        </w:rPr>
        <w:t>. A Participant’s completion of a subscription agreement will automatically enroll such Participant in this Plan for each subsequent Offering Period on the terms contained therein until the Participant either submits a new subscription agreement, withdraws from participation under this Plan as provided in Article VII or otherwise becomes ineligible to participate in this Plan.</w:t>
      </w:r>
    </w:p>
    <w:p>
      <w:pPr>
        <w:spacing w:after="0" w:line="13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5.5 Limitation on Purchase of Common Stock</w:t>
      </w:r>
      <w:r>
        <w:rPr>
          <w:rFonts w:ascii="Arial" w:cs="Arial" w:eastAsia="Arial" w:hAnsi="Arial"/>
          <w:sz w:val="18"/>
          <w:szCs w:val="18"/>
          <w:color w:val="auto"/>
        </w:rPr>
        <w:t>. An Eligible Employee may be granted rights under the Section 423 Component of this Plan only if such rights, together with any other rights granted to such Eligible Employee under any “employee stock purchase plans” of the Company, any Parent or any Subsidiary, as specified by Section 423(b)(8) of the Code, do not permit such Eligible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5.6 Suspension of Payroll Deductions</w:t>
      </w:r>
      <w:r>
        <w:rPr>
          <w:rFonts w:ascii="Arial" w:cs="Arial" w:eastAsia="Arial" w:hAnsi="Arial"/>
          <w:sz w:val="18"/>
          <w:szCs w:val="18"/>
          <w:color w:val="auto"/>
        </w:rPr>
        <w:t>. Notwithstanding the foregoing, with respect to the Section 423 Component, to the extent necessary to comply with Section 423(b)(8) of the Code, Section 5.5 or the other limitations set forth in this Plan, a Participant’s payroll deductions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34" w:right="339" w:bottom="1440" w:gutter="0" w:footer="0" w:header="0"/>
        </w:sectPr>
      </w:pPr>
    </w:p>
    <w:bookmarkStart w:id="49" w:name="page50"/>
    <w:bookmarkEnd w:id="49"/>
    <w:p>
      <w:pPr>
        <w:ind w:left="10300"/>
        <w:spacing w:after="0"/>
        <w:rPr>
          <w:sz w:val="20"/>
          <w:szCs w:val="20"/>
          <w:color w:val="auto"/>
        </w:rPr>
      </w:pPr>
      <w:r>
        <w:rPr>
          <w:rFonts w:ascii="Arial" w:cs="Arial" w:eastAsia="Arial" w:hAnsi="Arial"/>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without interest, in one lump sum in cash as soon as reasonably practicable after the Purchase Date.</w:t>
      </w:r>
    </w:p>
    <w:p>
      <w:pPr>
        <w:spacing w:after="0" w:line="1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u w:val="single" w:color="auto"/>
          <w:color w:val="auto"/>
        </w:rPr>
        <w:t>5.7 Foreign Employees</w:t>
      </w:r>
      <w:r>
        <w:rPr>
          <w:rFonts w:ascii="Arial" w:cs="Arial" w:eastAsia="Arial" w:hAnsi="Arial"/>
          <w:sz w:val="18"/>
          <w:szCs w:val="18"/>
          <w:color w:val="auto"/>
        </w:rPr>
        <w:t>. In order to facilitate participation in this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With respect to the Section 423 Component, such special terms may not be more favorable than the terms of rights granted under this Plan to Eligible Employees who are residents of the United States, and must satisfy the requirements for rights to purchase Shares granted pursuant to an “employee stock purchase plan” that are set forth under Section 423 of the Code. Moreover, the Administrator may approve such supplements to, or amendments, restatements or alternative versions of, this Plan as it may consider necessary or appropriate for such purposes without thereby affecting the terms of this Plan as in effect for any other purpose. Notwithstanding the foregoing,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5.8 Leave of Absence</w:t>
      </w:r>
      <w:r>
        <w:rPr>
          <w:rFonts w:ascii="Arial" w:cs="Arial" w:eastAsia="Arial" w:hAnsi="Arial"/>
          <w:sz w:val="18"/>
          <w:szCs w:val="18"/>
          <w:color w:val="auto"/>
        </w:rPr>
        <w:t>. During leaves of absence approved by the Company meeting the requirements of Treasury Regulation Section 1.421-1(h)(2) under the Code, a Participant may continue participation in this Plan by making cash payments to the Company on the Participant’s normal payday equal to the Participant’s authorized payroll deduction.</w:t>
      </w:r>
    </w:p>
    <w:p>
      <w:pPr>
        <w:spacing w:after="0" w:line="1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5.9 Insider Trading Policy</w:t>
      </w:r>
      <w:r>
        <w:rPr>
          <w:rFonts w:ascii="Arial" w:cs="Arial" w:eastAsia="Arial" w:hAnsi="Arial"/>
          <w:sz w:val="18"/>
          <w:szCs w:val="18"/>
          <w:color w:val="auto"/>
        </w:rPr>
        <w:t>. Notwithstanding anything to the contrary in this Plan, any Participant’s enrollment in the Plan, election made under the Plan or transaction made pursuant to the Plan, in each case, is in all respects subject to the terms and conditions of any insider trading policy of the Company adopted by the Board from time to time.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AND EXERCISE OF RIGHTS</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6.1 Grant of Rights</w:t>
      </w:r>
      <w:r>
        <w:rPr>
          <w:rFonts w:ascii="Arial" w:cs="Arial" w:eastAsia="Arial" w:hAnsi="Arial"/>
          <w:sz w:val="18"/>
          <w:szCs w:val="18"/>
          <w:color w:val="auto"/>
        </w:rPr>
        <w:t>. On the Enrollment Date of each Offering Period, each Eligible Employee participating in such Offering Period pursuant to the terms of the Plan shall be granted a right to purchase, subject to the maximum number of Shares specified under Section 4.2 and the limits in Section 5.5, on each Purchase Date during such Offering Period (at the applicable Purchase Price), a number of whole Shares determined by dividing (a) such Participant’s payroll deductions accumulated prior to such Purchase Date and retained in the Participant’s account as of the Purchase Date, by (b) the applicable Purchase Price (rounded down to the nearest Share). Such right shall expire on the earliest of: (x) the last Purchase Date of the Offering Period, (y) the last day of the Offering Period and (z)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3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on which the Participant withdraws from participation in the Plan in accordance with Section 7.1 or Section 7.3.</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6.2 Exercise of Rights</w:t>
      </w:r>
      <w:r>
        <w:rPr>
          <w:rFonts w:ascii="Arial" w:cs="Arial" w:eastAsia="Arial" w:hAnsi="Arial"/>
          <w:sz w:val="18"/>
          <w:szCs w:val="18"/>
          <w:color w:val="auto"/>
        </w:rPr>
        <w:t>. On each Purchase Date, each Participant’s accumulated payroll deductions and any other additional payments specifically provided for in the applicable Offering Document will be applied to the purchase of whole Shares pursuant to Section 6.1, up to the maximum number of Shares permitted pursuant to the terms of this Plan and the applicable Offering Document, at the Purchase Price. Shares issued pursuant to this Plan may be evidenced in such manner as the Administrator may determine and may be issued in certificated form or issued pursuant to book-entry procedures.</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u w:val="single" w:color="auto"/>
          <w:color w:val="auto"/>
        </w:rPr>
        <w:t>6.3 Pro Rata Allocation of Shares</w:t>
      </w:r>
      <w:r>
        <w:rPr>
          <w:rFonts w:ascii="Arial" w:cs="Arial" w:eastAsia="Arial" w:hAnsi="Arial"/>
          <w:sz w:val="18"/>
          <w:szCs w:val="18"/>
          <w:color w:val="auto"/>
        </w:rPr>
        <w:t>. If the Administrator determines that, on a given Purchase Date, the number of Shares with respect to which rights are to be exercised may exceed (a) the number of Shares that were available for issuance under this Plan on the Enrollment Date of the applicable Offering Period, or (b) the number of Shares available for issuance under this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a pro rata allocation of the Shares available on the Enrollment Date of any applicable Offering Period pursuant to the preceding sentence, notwithstanding any authorization of additional Shares for issuance under this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15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6.4 Withholding</w:t>
      </w:r>
      <w:r>
        <w:rPr>
          <w:rFonts w:ascii="Arial" w:cs="Arial" w:eastAsia="Arial" w:hAnsi="Arial"/>
          <w:sz w:val="18"/>
          <w:szCs w:val="18"/>
          <w:color w:val="auto"/>
        </w:rPr>
        <w:t>. At the time a Participant’s rights under this Plan are exercised, in whole or in part, or at the time some or all of the Shares issued under this Plan are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without limitation, any withholding required to make available to the Company any tax deductions or benefits attributable to the sale or early disposition of Shares by the Participant.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6.5 Conditions to Issuance of Shares</w:t>
      </w:r>
      <w:r>
        <w:rPr>
          <w:rFonts w:ascii="Arial" w:cs="Arial" w:eastAsia="Arial" w:hAnsi="Arial"/>
          <w:sz w:val="18"/>
          <w:szCs w:val="18"/>
          <w:color w:val="auto"/>
        </w:rPr>
        <w:t>. The Company shall not be required to issue or deliver any certificate or certificates for, or make any book entries evidencing, Shares purchased upon the exercise of rights under this Plan prior to fulfillment of all of the following conditions:</w:t>
      </w:r>
    </w:p>
    <w:p>
      <w:pPr>
        <w:spacing w:after="0" w:line="135" w:lineRule="exact"/>
        <w:rPr>
          <w:sz w:val="20"/>
          <w:szCs w:val="20"/>
          <w:color w:val="auto"/>
        </w:rPr>
      </w:pPr>
    </w:p>
    <w:p>
      <w:pPr>
        <w:ind w:left="1720" w:hanging="416"/>
        <w:spacing w:after="0"/>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Common Stock is then listed;</w:t>
      </w:r>
    </w:p>
    <w:p>
      <w:pPr>
        <w:spacing w:after="0" w:line="225" w:lineRule="exact"/>
        <w:rPr>
          <w:rFonts w:ascii="Arial" w:cs="Arial" w:eastAsia="Arial" w:hAnsi="Arial"/>
          <w:sz w:val="18"/>
          <w:szCs w:val="18"/>
          <w:color w:val="auto"/>
        </w:rPr>
      </w:pPr>
    </w:p>
    <w:p>
      <w:pPr>
        <w:jc w:val="both"/>
        <w:ind w:left="660" w:firstLine="644"/>
        <w:spacing w:after="0" w:line="308" w:lineRule="auto"/>
        <w:tabs>
          <w:tab w:leader="none" w:pos="18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3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4"/>
        <w:spacing w:after="0" w:line="334" w:lineRule="auto"/>
        <w:tabs>
          <w:tab w:leader="none" w:pos="17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that the Administrator shall, in its absolute discretion, determine to be necessary or advisable;</w:t>
      </w:r>
    </w:p>
    <w:p>
      <w:pPr>
        <w:spacing w:after="0" w:line="98" w:lineRule="exact"/>
        <w:rPr>
          <w:rFonts w:ascii="Arial" w:cs="Arial" w:eastAsia="Arial" w:hAnsi="Arial"/>
          <w:sz w:val="18"/>
          <w:szCs w:val="18"/>
          <w:color w:val="auto"/>
        </w:rPr>
      </w:pPr>
    </w:p>
    <w:p>
      <w:pPr>
        <w:ind w:left="660" w:right="20" w:firstLine="644"/>
        <w:spacing w:after="0" w:line="334" w:lineRule="auto"/>
        <w:tabs>
          <w:tab w:leader="none" w:pos="18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payment to the Company of all amounts that it is required to withhold under federal, state or local law upon exercise of the rights, if any; and</w:t>
      </w:r>
    </w:p>
    <w:p>
      <w:pPr>
        <w:spacing w:after="0" w:line="112" w:lineRule="exact"/>
        <w:rPr>
          <w:rFonts w:ascii="Arial" w:cs="Arial" w:eastAsia="Arial" w:hAnsi="Arial"/>
          <w:sz w:val="18"/>
          <w:szCs w:val="18"/>
          <w:color w:val="auto"/>
        </w:rPr>
      </w:pPr>
    </w:p>
    <w:p>
      <w:pPr>
        <w:ind w:left="660" w:firstLine="644"/>
        <w:spacing w:after="0" w:line="318" w:lineRule="auto"/>
        <w:tabs>
          <w:tab w:leader="none" w:pos="17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rights as the Administrator may from time to time establish for reasons of administrative convenience.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WITHDRAWAL; CESSATION OF ELIGIBILITY</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u w:val="single" w:color="auto"/>
          <w:color w:val="auto"/>
        </w:rPr>
        <w:t>7.1 Withdrawal</w:t>
      </w:r>
      <w:r>
        <w:rPr>
          <w:rFonts w:ascii="Arial" w:cs="Arial" w:eastAsia="Arial" w:hAnsi="Arial"/>
          <w:sz w:val="18"/>
          <w:szCs w:val="18"/>
          <w:color w:val="auto"/>
        </w:rPr>
        <w:t>. A Participant may withdraw during an Offering Period all, but not less than all, of the payroll deductions credited to the Participant’s account and not yet used to exercise the Participant’s rights under this Plan by delivering written notice to the Company in a form acceptable to the Company and at such time prior to the Purchase Date for such Offering Period as may be established by the Administrator in the applicable Offering Document (and in the absence of any specific designation by the Administrator, no later than two (2) weeks prior to the Purchase Date for such Offering Period). All of the Participant’s payroll deductions credited to the Participant’s account during such Offering Period not yet used to exercise the Participant’s rights under this Plan shall be paid to such Participant as soon as reasonably practicable after receipt of notice of withdrawal, without interest, and such Participant’s rights for such Offering Period shall be automatically terminated, and no further payroll deductions for the purchase of Shares shall be made for such Offering Period. If a Participant withdraws from an Offering Period, payroll deductions shall not resume at the beginning of the immediately subsequent Offering Period unless the Participant timely delivers to the Company a new subscription agreement pursuant to Section 5.2.</w:t>
      </w:r>
    </w:p>
    <w:p>
      <w:pPr>
        <w:spacing w:after="0" w:line="15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7.2 Future Participation</w:t>
      </w:r>
      <w:r>
        <w:rPr>
          <w:rFonts w:ascii="Arial" w:cs="Arial" w:eastAsia="Arial" w:hAnsi="Arial"/>
          <w:sz w:val="18"/>
          <w:szCs w:val="18"/>
          <w:color w:val="auto"/>
        </w:rPr>
        <w:t>. A Participant’s withdrawal from an Offering Period shall not have any effect upon a Participant’s eligibility to participate in any similar plan that may hereafter be adopted by the Company or a Designated Subsidiary, or in any subsequent Offering Periods that commence after the termination of the Offering Period from which the Participant withdraws.</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u w:val="single" w:color="auto"/>
          <w:color w:val="auto"/>
        </w:rPr>
        <w:t>7.3 Cessation of Eligibility</w:t>
      </w:r>
      <w:r>
        <w:rPr>
          <w:rFonts w:ascii="Arial" w:cs="Arial" w:eastAsia="Arial" w:hAnsi="Arial"/>
          <w:sz w:val="18"/>
          <w:szCs w:val="18"/>
          <w:color w:val="auto"/>
        </w:rPr>
        <w:t>. Upon a Participant’s ceasing to be an Eligible Employee for any reason, such Participant shall be deemed to have elected to withdraw from this Plan pursuant to this Article VII, and the payroll deductions credited to such Participant’s account during the Offering Period shall be paid, without interest, to such Participant or, in the case of the Participant’s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UPON CHANGES IN STOCK</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u w:val="single" w:color="auto"/>
          <w:color w:val="auto"/>
        </w:rPr>
        <w:t>8.1 Changes in Capitalization</w:t>
      </w:r>
      <w:r>
        <w:rPr>
          <w:rFonts w:ascii="Arial" w:cs="Arial" w:eastAsia="Arial" w:hAnsi="Arial"/>
          <w:sz w:val="18"/>
          <w:szCs w:val="18"/>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this Plan or with respect to any outstanding purchase rights under this Plan, the Administrator shall make equitable adjustments, if any, to reflect such change with respect to (a) the aggregate number and type of Shares (or other securities or property) that may be issued under this Plan (including, but not limited to, adjustments of the limitations in Section 3.1 and the limitations established pursuant to Section 4.2 (as may be modified by the Offering Document) on the maximum number of Shares that may be purchased); (b) the class(es) and number of Shares and price per Share subject to outstanding rights; and (c) the Purchase Price with respect to any outstanding rights.</w:t>
      </w:r>
    </w:p>
    <w:p>
      <w:pPr>
        <w:spacing w:after="0" w:line="15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8.2 Other Adjustments</w:t>
      </w:r>
      <w:r>
        <w:rPr>
          <w:rFonts w:ascii="Arial" w:cs="Arial" w:eastAsia="Arial" w:hAnsi="Arial"/>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this Plan or with respect to any right under this Plan, to facilitate such transactions or events or to give effect to such changes in laws, regulations or principles:</w:t>
      </w:r>
    </w:p>
    <w:p>
      <w:pPr>
        <w:spacing w:after="0" w:line="150" w:lineRule="exact"/>
        <w:rPr>
          <w:sz w:val="20"/>
          <w:szCs w:val="20"/>
          <w:color w:val="auto"/>
        </w:rPr>
      </w:pPr>
    </w:p>
    <w:p>
      <w:pPr>
        <w:jc w:val="both"/>
        <w:ind w:left="660" w:firstLine="644"/>
        <w:spacing w:after="0" w:line="299" w:lineRule="auto"/>
        <w:tabs>
          <w:tab w:leader="none" w:pos="17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either (i) the termination of any outstanding right to purchase Shares granted under this Plan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43" w:lineRule="exact"/>
        <w:rPr>
          <w:rFonts w:ascii="Arial" w:cs="Arial" w:eastAsia="Arial" w:hAnsi="Arial"/>
          <w:sz w:val="18"/>
          <w:szCs w:val="18"/>
          <w:color w:val="auto"/>
        </w:rPr>
      </w:pPr>
    </w:p>
    <w:p>
      <w:pPr>
        <w:jc w:val="both"/>
        <w:ind w:left="660" w:firstLine="644"/>
        <w:spacing w:after="0" w:line="308" w:lineRule="auto"/>
        <w:tabs>
          <w:tab w:leader="none" w:pos="17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that the outstanding rights to purchase Shares granted under this Plan shall be assumed by the successor or survivor corporation, or a parent or subsidiary thereof, or shall be substituted for by similar rights covering the stock of the successor or survivor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3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or a parent or subsidiary thereof, with appropriate adjustments as to the number and kind of shares and prices;</w:t>
      </w:r>
    </w:p>
    <w:p>
      <w:pPr>
        <w:spacing w:after="0" w:line="225" w:lineRule="exact"/>
        <w:rPr>
          <w:sz w:val="20"/>
          <w:szCs w:val="20"/>
          <w:color w:val="auto"/>
        </w:rPr>
      </w:pPr>
    </w:p>
    <w:p>
      <w:pPr>
        <w:jc w:val="both"/>
        <w:ind w:left="660" w:firstLine="644"/>
        <w:spacing w:after="0" w:line="308" w:lineRule="auto"/>
        <w:tabs>
          <w:tab w:leader="none" w:pos="17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to purchase Shares granted under this Plan and/or in the terms and conditions of outstanding rights and rights that may be granted under this Plan in the future;</w:t>
      </w:r>
    </w:p>
    <w:p>
      <w:pPr>
        <w:spacing w:after="0" w:line="134" w:lineRule="exact"/>
        <w:rPr>
          <w:rFonts w:ascii="Arial" w:cs="Arial" w:eastAsia="Arial" w:hAnsi="Arial"/>
          <w:sz w:val="18"/>
          <w:szCs w:val="18"/>
          <w:color w:val="auto"/>
        </w:rPr>
      </w:pPr>
    </w:p>
    <w:p>
      <w:pPr>
        <w:jc w:val="both"/>
        <w:ind w:left="660" w:firstLine="644"/>
        <w:spacing w:after="0" w:line="308" w:lineRule="auto"/>
        <w:tabs>
          <w:tab w:leader="none" w:pos="1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as of such prior purchase date; and/or</w:t>
      </w:r>
    </w:p>
    <w:p>
      <w:pPr>
        <w:spacing w:after="0" w:line="134" w:lineRule="exact"/>
        <w:rPr>
          <w:rFonts w:ascii="Arial" w:cs="Arial" w:eastAsia="Arial" w:hAnsi="Arial"/>
          <w:sz w:val="18"/>
          <w:szCs w:val="18"/>
          <w:color w:val="auto"/>
        </w:rPr>
      </w:pPr>
    </w:p>
    <w:p>
      <w:pPr>
        <w:ind w:left="1880" w:hanging="576"/>
        <w:spacing w:after="0"/>
        <w:tabs>
          <w:tab w:leader="none" w:pos="1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provide that all outstanding rights to purchase Shares granted under this Plan shall terminate without being</w:t>
      </w:r>
    </w:p>
    <w:p>
      <w:pPr>
        <w:spacing w:after="0" w:line="3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exercised.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8.3 No Adjustment Under Certain Circumstances</w:t>
      </w:r>
      <w:r>
        <w:rPr>
          <w:rFonts w:ascii="Arial" w:cs="Arial" w:eastAsia="Arial" w:hAnsi="Arial"/>
          <w:sz w:val="18"/>
          <w:szCs w:val="18"/>
          <w:color w:val="auto"/>
        </w:rPr>
        <w:t>. No adjustment or action described in this Article VIII or in any other provision of this Plan shall be authorized to the extent that such adjustment or action would cause the Section 423 Component of this Plan to fail to satisfy the requirements of Section 423 of the Code.</w:t>
      </w:r>
    </w:p>
    <w:p>
      <w:pPr>
        <w:spacing w:after="0" w:line="13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8.4 No Other Rights</w:t>
      </w:r>
      <w:r>
        <w:rPr>
          <w:rFonts w:ascii="Arial" w:cs="Arial" w:eastAsia="Arial" w:hAnsi="Arial"/>
          <w:sz w:val="18"/>
          <w:szCs w:val="18"/>
          <w:color w:val="auto"/>
        </w:rPr>
        <w:t>. Except as expressly provided in this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this Plan or pursuant to action of the Administrator under this Plan, no issuance by the Company of shares of stock of any class, or securities convertible into shares of stock of any class, shall affect, and no adjustment by reason thereof shall be made with respect to, the number of Shares subject to outstanding rights under this Plan or the Purchase Price with respect to any outstanding rights.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9.1 Amendment, Modification and Termination</w:t>
      </w:r>
      <w:r>
        <w:rPr>
          <w:rFonts w:ascii="Arial" w:cs="Arial" w:eastAsia="Arial" w:hAnsi="Arial"/>
          <w:sz w:val="18"/>
          <w:szCs w:val="18"/>
          <w:color w:val="auto"/>
        </w:rPr>
        <w:t>. The Administrator may amend, suspend or terminate this Plan at any time and from time to time;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approval of the Company’s stockholders shall be required to amend this Plan to: (a) increase the aggregate number, or change the type, of Shares that may be sold pursuant to rights granted under this Plan under Section 3.1 (other than an adjustment as provided by Article VIII); or (b) change this Plan in any manner that would be considered the adoption of a new plan within the meaning of Treasury regulation Section 1.423-2(c)(4).</w:t>
      </w:r>
    </w:p>
    <w:p>
      <w:pPr>
        <w:spacing w:after="0" w:line="14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9.2 Certain Changes to Plan</w:t>
      </w:r>
      <w:r>
        <w:rPr>
          <w:rFonts w:ascii="Arial" w:cs="Arial" w:eastAsia="Arial" w:hAnsi="Arial"/>
          <w:sz w:val="18"/>
          <w:szCs w:val="18"/>
          <w:color w:val="auto"/>
        </w:rPr>
        <w:t>. Without stockholder consent and without regard to whether any Participant rights may be considered to have been adversely affected, subject to Section 9.1 and, solely with respect to the Section 423 Component of this Plan,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34" w:right="339" w:bottom="1440" w:gutter="0" w:footer="0" w:header="0"/>
        </w:sectPr>
      </w:pPr>
    </w:p>
    <w:bookmarkStart w:id="54" w:name="page55"/>
    <w:bookmarkEnd w:id="54"/>
    <w:p>
      <w:pPr>
        <w:ind w:left="10300"/>
        <w:spacing w:after="0"/>
        <w:rPr>
          <w:sz w:val="20"/>
          <w:szCs w:val="20"/>
          <w:color w:val="auto"/>
        </w:rPr>
      </w:pPr>
      <w:r>
        <w:rPr>
          <w:rFonts w:ascii="Arial" w:cs="Arial" w:eastAsia="Arial" w:hAnsi="Arial"/>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purchase of Common Stock for each Participant properly correspond with amounts withheld from the Participant’s Compensation, and establish such other limitations or procedures as the Administrator determines in its sole discretion to be advisable that are consistent with this Plan.</w:t>
      </w:r>
    </w:p>
    <w:p>
      <w:pPr>
        <w:spacing w:after="0" w:line="13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u w:val="single" w:color="auto"/>
          <w:color w:val="auto"/>
        </w:rPr>
        <w:t>9.3 Actions In the Event of Unfavorable Financial Accounting Consequences</w:t>
      </w:r>
      <w:r>
        <w:rPr>
          <w:rFonts w:ascii="Arial" w:cs="Arial" w:eastAsia="Arial" w:hAnsi="Arial"/>
          <w:sz w:val="18"/>
          <w:szCs w:val="18"/>
          <w:color w:val="auto"/>
        </w:rPr>
        <w:t>. In the event the Administrator determines that the ongoing operation of this Plan may result in unfavorable financial accounting consequences, the Administrator may, in its sole discretion and, to the extent necessary or desirable, modify or amend this Plan to reduce or eliminate such accounting consequence including, but not limited to:</w:t>
      </w:r>
    </w:p>
    <w:p>
      <w:pPr>
        <w:spacing w:after="0" w:line="126" w:lineRule="exact"/>
        <w:rPr>
          <w:sz w:val="20"/>
          <w:szCs w:val="20"/>
          <w:color w:val="auto"/>
        </w:rPr>
      </w:pPr>
    </w:p>
    <w:p>
      <w:pPr>
        <w:ind w:left="660" w:firstLine="644"/>
        <w:spacing w:after="0" w:line="334" w:lineRule="auto"/>
        <w:tabs>
          <w:tab w:leader="none" w:pos="17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including an Offering Period underway at the time of the change in Purchase Price;</w:t>
      </w:r>
    </w:p>
    <w:p>
      <w:pPr>
        <w:spacing w:after="0" w:line="112" w:lineRule="exact"/>
        <w:rPr>
          <w:rFonts w:ascii="Arial" w:cs="Arial" w:eastAsia="Arial" w:hAnsi="Arial"/>
          <w:sz w:val="18"/>
          <w:szCs w:val="18"/>
          <w:color w:val="auto"/>
        </w:rPr>
      </w:pPr>
    </w:p>
    <w:p>
      <w:pPr>
        <w:ind w:left="660" w:firstLine="644"/>
        <w:spacing w:after="0" w:line="318" w:lineRule="auto"/>
        <w:tabs>
          <w:tab w:leader="none" w:pos="17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126" w:lineRule="exact"/>
        <w:rPr>
          <w:rFonts w:ascii="Arial" w:cs="Arial" w:eastAsia="Arial" w:hAnsi="Arial"/>
          <w:sz w:val="18"/>
          <w:szCs w:val="18"/>
          <w:color w:val="auto"/>
        </w:rPr>
      </w:pPr>
    </w:p>
    <w:p>
      <w:pPr>
        <w:ind w:left="1720" w:hanging="416"/>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9.4 Termination of Plan</w:t>
      </w:r>
      <w:r>
        <w:rPr>
          <w:rFonts w:ascii="Arial" w:cs="Arial" w:eastAsia="Arial" w:hAnsi="Arial"/>
          <w:sz w:val="18"/>
          <w:szCs w:val="18"/>
          <w:color w:val="auto"/>
        </w:rPr>
        <w:t>. Upon termination of this Plan, the balance in each Participant’s Plan account shall be refunded as soon as practicable after such termination, without any interest thereon. Additionally, the Administrator may, in its discretion, shorten the current Offering Period such that the Purchase Date for such Offering Period occurs prior to the termination of the Plan.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OF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Plan shall be effective on the Effective Date, subject to approval of this Plan by the stockholders of the Company within twelve</w:t>
      </w:r>
    </w:p>
    <w:p>
      <w:pPr>
        <w:spacing w:after="0" w:line="50" w:lineRule="exact"/>
        <w:rPr>
          <w:sz w:val="20"/>
          <w:szCs w:val="20"/>
          <w:color w:val="auto"/>
        </w:rPr>
      </w:pPr>
    </w:p>
    <w:p>
      <w:pPr>
        <w:ind w:right="20" w:firstLine="8"/>
        <w:spacing w:after="0" w:line="318" w:lineRule="auto"/>
        <w:tabs>
          <w:tab w:leader="none" w:pos="3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months before or after the Effective Date. No rights may be granted under this Plan prior to stockholder approval of this Plan. No rights may be granted under this Plan during any period of suspension of this Plan or after termination of this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11.1 Administrator</w:t>
      </w:r>
      <w:r>
        <w:rPr>
          <w:rFonts w:ascii="Arial" w:cs="Arial" w:eastAsia="Arial" w:hAnsi="Arial"/>
          <w:sz w:val="18"/>
          <w:szCs w:val="18"/>
          <w:color w:val="auto"/>
        </w:rPr>
        <w:t>. Unless otherwise determined by the Board, the Administrator of this Plan shall be the Compensation Committee of the Board (or another committee or a subcommittee of the Board to which the Board delegates administration of this Plan) (such committee, the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The Board may at any time vest in the Board any authority or duties for administration of this Plan. The Administrator may delegate administrative tasks under this Plan to the services of a brokerage firm, bank or other financial institution or Employees to assist in the administration of this Plan, including establishing and maintaining an individual securities account under this Plan for each Participant.</w:t>
      </w:r>
    </w:p>
    <w:p>
      <w:pPr>
        <w:spacing w:after="0" w:line="14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8"/>
          <w:szCs w:val="18"/>
          <w:u w:val="single" w:color="auto"/>
          <w:color w:val="auto"/>
        </w:rPr>
        <w:t>11.2 Authority of Administrator</w:t>
      </w:r>
      <w:r>
        <w:rPr>
          <w:rFonts w:ascii="Arial" w:cs="Arial" w:eastAsia="Arial" w:hAnsi="Arial"/>
          <w:sz w:val="18"/>
          <w:szCs w:val="18"/>
          <w:color w:val="auto"/>
        </w:rPr>
        <w:t>. The Administrator shall have the power, subject to, and within the limitations of, the express provisions of this Plan:</w:t>
      </w:r>
    </w:p>
    <w:p>
      <w:pPr>
        <w:spacing w:after="0" w:line="99" w:lineRule="exact"/>
        <w:rPr>
          <w:sz w:val="20"/>
          <w:szCs w:val="20"/>
          <w:color w:val="auto"/>
        </w:rPr>
      </w:pPr>
    </w:p>
    <w:p>
      <w:pPr>
        <w:ind w:left="660" w:firstLine="644"/>
        <w:spacing w:after="0" w:line="334" w:lineRule="auto"/>
        <w:tabs>
          <w:tab w:leader="none" w:pos="17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determine when and how rights to purchase Shares shall be granted and the provisions of each offering of such rights (which need not be identical);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3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4"/>
        <w:spacing w:after="0" w:line="308" w:lineRule="auto"/>
        <w:tabs>
          <w:tab w:leader="none" w:pos="1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stockholders of the Company and which such designation shall specify whether the participation is in the Section 423 Component or the Non-Section 423 Component;</w:t>
      </w:r>
    </w:p>
    <w:p>
      <w:pPr>
        <w:spacing w:after="0" w:line="134" w:lineRule="exact"/>
        <w:rPr>
          <w:rFonts w:ascii="Arial" w:cs="Arial" w:eastAsia="Arial" w:hAnsi="Arial"/>
          <w:sz w:val="18"/>
          <w:szCs w:val="18"/>
          <w:color w:val="auto"/>
        </w:rPr>
      </w:pPr>
    </w:p>
    <w:p>
      <w:pPr>
        <w:ind w:left="660" w:firstLine="644"/>
        <w:spacing w:after="0" w:line="318" w:lineRule="auto"/>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impose a mandatory holding period pursuant to which Employees may not dispose of or transfer Shares purchased under this Plan for a period of time determined by the Administrator in its discretion;</w:t>
      </w:r>
    </w:p>
    <w:p>
      <w:pPr>
        <w:spacing w:after="0" w:line="126" w:lineRule="exact"/>
        <w:rPr>
          <w:rFonts w:ascii="Arial" w:cs="Arial" w:eastAsia="Arial" w:hAnsi="Arial"/>
          <w:sz w:val="18"/>
          <w:szCs w:val="18"/>
          <w:color w:val="auto"/>
        </w:rPr>
      </w:pPr>
    </w:p>
    <w:p>
      <w:pPr>
        <w:jc w:val="both"/>
        <w:ind w:left="660" w:firstLine="644"/>
        <w:spacing w:after="0" w:line="304" w:lineRule="auto"/>
        <w:tabs>
          <w:tab w:leader="none" w:pos="18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construe and interpret this Plan and any rights granted under it, and to establish, amend and revoke rules and regulations for its administration. The Administrator, in the exercise of this power, may correct any defect, omission or inconsistency in this Plan or any Offering in a manner and to the extent it shall deem necessary or expedient to administer the Plan, subject to Section 423 of the Code for the Section 423 Component;</w:t>
      </w:r>
    </w:p>
    <w:p>
      <w:pPr>
        <w:spacing w:after="0" w:line="139" w:lineRule="exact"/>
        <w:rPr>
          <w:rFonts w:ascii="Arial" w:cs="Arial" w:eastAsia="Arial" w:hAnsi="Arial"/>
          <w:sz w:val="18"/>
          <w:szCs w:val="18"/>
          <w:color w:val="auto"/>
        </w:rPr>
      </w:pPr>
    </w:p>
    <w:p>
      <w:pPr>
        <w:ind w:left="1720" w:hanging="416"/>
        <w:spacing w:after="0"/>
        <w:tabs>
          <w:tab w:leader="none" w:pos="1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amend, suspend or terminate this Plan as provided in Article IX; and</w:t>
      </w:r>
    </w:p>
    <w:p>
      <w:pPr>
        <w:spacing w:after="0" w:line="225" w:lineRule="exact"/>
        <w:rPr>
          <w:rFonts w:ascii="Arial" w:cs="Arial" w:eastAsia="Arial" w:hAnsi="Arial"/>
          <w:sz w:val="18"/>
          <w:szCs w:val="18"/>
          <w:color w:val="auto"/>
        </w:rPr>
      </w:pPr>
    </w:p>
    <w:p>
      <w:pPr>
        <w:jc w:val="both"/>
        <w:ind w:left="660" w:firstLine="644"/>
        <w:spacing w:after="0" w:line="308" w:lineRule="auto"/>
        <w:tabs>
          <w:tab w:leader="none" w:pos="17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Administrator deems necessary or expedient to promote the best interests of the Company and its Designated Subsidiaries and to carry out the intent that the Section 423 Component of this Plan be treated as an “employee stock purchase plan” within the meaning of Section 423 of the Code.</w:t>
      </w:r>
    </w:p>
    <w:p>
      <w:pPr>
        <w:spacing w:after="0" w:line="135"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u w:val="single" w:color="auto"/>
          <w:color w:val="auto"/>
        </w:rPr>
        <w:t>11.3 Decisions Binding</w:t>
      </w:r>
      <w:r>
        <w:rPr>
          <w:rFonts w:ascii="Arial" w:cs="Arial" w:eastAsia="Arial" w:hAnsi="Arial"/>
          <w:sz w:val="18"/>
          <w:szCs w:val="18"/>
          <w:color w:val="auto"/>
        </w:rPr>
        <w:t>. The Administrator’s interpretation of this Plan, any rights granted pursuant to this Plan, any subscription agreement and all decisions and determinations by the Administrator with respect to this Plan are final, binding, and conclusive on all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12.1 Restriction upon Assignment</w:t>
      </w:r>
      <w:r>
        <w:rPr>
          <w:rFonts w:ascii="Arial" w:cs="Arial" w:eastAsia="Arial" w:hAnsi="Arial"/>
          <w:sz w:val="18"/>
          <w:szCs w:val="18"/>
          <w:color w:val="auto"/>
        </w:rPr>
        <w:t>. A right granted under this Plan shall not be transferable other than by will or the Applicable Laws of descent and distribution, and is exercisable during the Participant’s lifetime only by the Participant. Except as provided in Section 12.4 hereof, a right under this Plan may not be exercised to any extent except by the Participant. The Company shall not recognize and shall be under no duty to recognize any assignment or alienation of the Participant’s interest in this Plan, the Participant’s rights under this Plan or any rights thereunder.</w:t>
      </w:r>
    </w:p>
    <w:p>
      <w:pPr>
        <w:spacing w:after="0" w:line="14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12.2 Rights as a Stockholder</w:t>
      </w:r>
      <w:r>
        <w:rPr>
          <w:rFonts w:ascii="Arial" w:cs="Arial" w:eastAsia="Arial" w:hAnsi="Arial"/>
          <w:sz w:val="18"/>
          <w:szCs w:val="18"/>
          <w:color w:val="auto"/>
        </w:rPr>
        <w:t>. With respect to Shares subject to a right granted under this Plan, a Participant shall not be deemed to be a stockholder of the Company, and the Participant shall not have any of the rights or privileges of a stockholder, until such Shares have been issued to the Participant or the Participant’s nominee following exercise of the Participant’s rights under this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4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12.3</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 No interest shall accrue on the payroll deductions or contributions of a Participant under this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u w:val="single" w:color="auto"/>
          <w:color w:val="auto"/>
        </w:rPr>
        <w:t>12.4</w:t>
      </w:r>
      <w:r>
        <w:rPr>
          <w:sz w:val="20"/>
          <w:szCs w:val="20"/>
          <w:color w:val="auto"/>
        </w:rPr>
        <w:tab/>
      </w: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3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4"/>
        <w:spacing w:after="0" w:line="295" w:lineRule="auto"/>
        <w:tabs>
          <w:tab w:leader="none" w:pos="17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Participant may, in the manner determined by the Administrator, file a written designation of a beneficiary who is to receive any Shares and/or cash, if any, from the Participant’s account under this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this Plan in the event of such Participant’s death prior to exercise of the Participant’s rights under this Plan. If the Participant is married and resides in a community property state, a designation of a person other than the Participant’s spouse as the Participant’s beneficiary shall not be effective without the prior written consent of the Participant’s spouse.</w:t>
      </w:r>
    </w:p>
    <w:p>
      <w:pPr>
        <w:spacing w:after="0" w:line="149" w:lineRule="exact"/>
        <w:rPr>
          <w:rFonts w:ascii="Arial" w:cs="Arial" w:eastAsia="Arial" w:hAnsi="Arial"/>
          <w:sz w:val="18"/>
          <w:szCs w:val="18"/>
          <w:color w:val="auto"/>
        </w:rPr>
      </w:pPr>
    </w:p>
    <w:p>
      <w:pPr>
        <w:jc w:val="both"/>
        <w:ind w:left="660" w:firstLine="644"/>
        <w:spacing w:after="0" w:line="298" w:lineRule="auto"/>
        <w:tabs>
          <w:tab w:leader="none" w:pos="17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written notice to the Company. In the event of the death of a Participant and in the absence of a beneficiary validly designated under this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u w:val="single" w:color="auto"/>
          <w:color w:val="auto"/>
        </w:rPr>
        <w:t>12.5 Notices</w:t>
      </w:r>
      <w:r>
        <w:rPr>
          <w:rFonts w:ascii="Arial" w:cs="Arial" w:eastAsia="Arial" w:hAnsi="Arial"/>
          <w:sz w:val="18"/>
          <w:szCs w:val="18"/>
          <w:color w:val="auto"/>
        </w:rPr>
        <w:t>.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w:t>
      </w:r>
    </w:p>
    <w:p>
      <w:pPr>
        <w:spacing w:after="0" w:line="1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12.6 Equal Rights and Privileges</w:t>
      </w:r>
      <w:r>
        <w:rPr>
          <w:rFonts w:ascii="Arial" w:cs="Arial" w:eastAsia="Arial" w:hAnsi="Arial"/>
          <w:sz w:val="18"/>
          <w:szCs w:val="18"/>
          <w:color w:val="auto"/>
        </w:rPr>
        <w:t>. Subject to Section 5.7, all Eligible Employees will have equal rights and privileges under the Section 423 Component of this Plan so that the Section 423 Component of this Plan qualifies as an “employee stock purchase plan” within the meaning of Section 423 of the Code. Subject to Section 5.7, any provision of the Section 423 Component of this Plan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145"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u w:val="single" w:color="auto"/>
          <w:color w:val="auto"/>
        </w:rPr>
        <w:t>12.7 Use of Funds</w:t>
      </w:r>
      <w:r>
        <w:rPr>
          <w:rFonts w:ascii="Arial" w:cs="Arial" w:eastAsia="Arial" w:hAnsi="Arial"/>
          <w:sz w:val="18"/>
          <w:szCs w:val="18"/>
          <w:color w:val="auto"/>
        </w:rPr>
        <w:t>. All payroll deductions received or held by the Company under this Plan may be used by the Company for any corporate purpose, and the Company shall not be obligated to segregate such payroll deductions.</w:t>
      </w:r>
    </w:p>
    <w:p>
      <w:pPr>
        <w:spacing w:after="0" w:line="126" w:lineRule="exact"/>
        <w:rPr>
          <w:sz w:val="20"/>
          <w:szCs w:val="20"/>
          <w:color w:val="auto"/>
        </w:rPr>
      </w:pPr>
    </w:p>
    <w:p>
      <w:pPr>
        <w:jc w:val="both"/>
        <w:ind w:right="20" w:firstLine="648"/>
        <w:spacing w:after="0" w:line="318" w:lineRule="auto"/>
        <w:rPr>
          <w:sz w:val="20"/>
          <w:szCs w:val="20"/>
          <w:color w:val="auto"/>
        </w:rPr>
      </w:pPr>
      <w:r>
        <w:rPr>
          <w:rFonts w:ascii="Arial" w:cs="Arial" w:eastAsia="Arial" w:hAnsi="Arial"/>
          <w:sz w:val="18"/>
          <w:szCs w:val="18"/>
          <w:u w:val="single" w:color="auto"/>
          <w:color w:val="auto"/>
        </w:rPr>
        <w:t>12.8 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2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u w:val="single" w:color="auto"/>
          <w:color w:val="auto"/>
        </w:rPr>
        <w:t>12.9 No Employment Rights</w:t>
      </w:r>
      <w:r>
        <w:rPr>
          <w:rFonts w:ascii="Arial" w:cs="Arial" w:eastAsia="Arial" w:hAnsi="Arial"/>
          <w:sz w:val="18"/>
          <w:szCs w:val="18"/>
          <w:color w:val="auto"/>
        </w:rPr>
        <w:t>. Nothing in this Plan shall be construed to give any person (including any Eligible Employee or Participant) the right to employment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3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u w:val="single" w:color="auto"/>
          <w:color w:val="auto"/>
        </w:rPr>
        <w:t>12.10 Conformity to Securities Laws</w:t>
      </w:r>
      <w:r>
        <w:rPr>
          <w:rFonts w:ascii="Arial" w:cs="Arial" w:eastAsia="Arial" w:hAnsi="Arial"/>
          <w:sz w:val="18"/>
          <w:szCs w:val="18"/>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4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u w:val="single" w:color="auto"/>
          <w:color w:val="auto"/>
        </w:rPr>
        <w:t>12.11 Section 409A</w:t>
      </w:r>
      <w:r>
        <w:rPr>
          <w:rFonts w:ascii="Arial" w:cs="Arial" w:eastAsia="Arial" w:hAnsi="Arial"/>
          <w:sz w:val="18"/>
          <w:szCs w:val="18"/>
          <w:color w:val="auto"/>
        </w:rPr>
        <w:t>. The Section 423 Component of the Plan and the rights to purchase Shares granted pursuant to Offerings thereunder are intended to be exempt from the application of Section 409A. Neither the Non-Section 423 Component nor any rights to purchase Shares granted pursuant to an Offering thereunder are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4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u w:val="single" w:color="auto"/>
          <w:color w:val="auto"/>
        </w:rPr>
        <w:t>12.12 Disposition of Shares</w:t>
      </w:r>
      <w:r>
        <w:rPr>
          <w:rFonts w:ascii="Arial" w:cs="Arial" w:eastAsia="Arial" w:hAnsi="Arial"/>
          <w:sz w:val="18"/>
          <w:szCs w:val="18"/>
          <w:color w:val="auto"/>
        </w:rPr>
        <w:t>. Each Participant shall give prompt notice to the Company of any disposition or other transfer of any Shares purchased upon exercise of a right under the Section 423 Component of this Plan if such disposition or transfer is made: (a) within two (2) years from the Enrollment Date of the Offering Period in which the Shares were purchased or (b) 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Notwithstanding the foregoing, the Company may impose any restrictions on the disposition or transfer of Shares purchased pursuant to this Plan as it deems necessary and appropriate to the administration of this Plan.</w:t>
      </w:r>
    </w:p>
    <w:p>
      <w:pPr>
        <w:spacing w:after="0" w:line="150"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8"/>
          <w:szCs w:val="18"/>
          <w:u w:val="single" w:color="auto"/>
          <w:color w:val="auto"/>
        </w:rPr>
        <w:t>12.13 Governing Law</w:t>
      </w:r>
      <w:r>
        <w:rPr>
          <w:rFonts w:ascii="Arial" w:cs="Arial" w:eastAsia="Arial" w:hAnsi="Arial"/>
          <w:sz w:val="18"/>
          <w:szCs w:val="18"/>
          <w:color w:val="auto"/>
        </w:rPr>
        <w:t>. This Plan and actions taken in connection herewith shall be governed and construed in accordance with the laws of the State of Delaware, without reference to principles of conflict of laws.</w:t>
      </w:r>
    </w:p>
    <w:p>
      <w:pPr>
        <w:spacing w:after="0" w:line="11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u w:val="single" w:color="auto"/>
          <w:color w:val="auto"/>
        </w:rPr>
        <w:t>12.14 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3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NOTICE (EMPLOYEE FORM)</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Pursuant to the terms and conditions of the Talen Energy Corporation 2023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individual listed below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 award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in respect of the number of Shares set forth below. This award of RSUs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is subject to the terms and conditions set forth herein and in the Restricted Stock Unit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the Plan, each of which is incorporated herein by reference. Capitalized terms used herein without definition have the meanings ascribed to such terms in the Plan.</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3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spacing w:after="0"/>
              <w:rPr>
                <w:sz w:val="23"/>
                <w:szCs w:val="23"/>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3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spacing w:after="0"/>
              <w:rPr>
                <w:sz w:val="23"/>
                <w:szCs w:val="23"/>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Number of RSUs:</w:t>
            </w:r>
          </w:p>
        </w:tc>
        <w:tc>
          <w:tcPr>
            <w:tcW w:w="3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spacing w:after="0"/>
              <w:rPr>
                <w:sz w:val="23"/>
                <w:szCs w:val="23"/>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 Commencement Date:</w:t>
            </w:r>
          </w:p>
        </w:tc>
        <w:tc>
          <w:tcPr>
            <w:tcW w:w="3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spacing w:after="0"/>
              <w:rPr>
                <w:sz w:val="23"/>
                <w:szCs w:val="23"/>
                <w:color w:val="auto"/>
              </w:rPr>
            </w:pPr>
          </w:p>
        </w:tc>
      </w:tr>
      <w:tr>
        <w:trPr>
          <w:trHeight w:val="288"/>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 Schedule:</w:t>
            </w:r>
          </w:p>
        </w:tc>
        <w:tc>
          <w:tcPr>
            <w:tcW w:w="7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8"/>
              </w:rPr>
              <w:t>Subject to the Agreement (including Section 3 thereof), the Plan and the other terms and</w:t>
            </w:r>
          </w:p>
        </w:tc>
      </w:tr>
      <w:tr>
        <w:trPr>
          <w:trHeight w:val="256"/>
        </w:trPr>
        <w:tc>
          <w:tcPr>
            <w:tcW w:w="3380" w:type="dxa"/>
            <w:vAlign w:val="bottom"/>
          </w:tcPr>
          <w:p>
            <w:pPr>
              <w:spacing w:after="0"/>
              <w:rPr>
                <w:sz w:val="22"/>
                <w:szCs w:val="22"/>
                <w:color w:val="auto"/>
              </w:rPr>
            </w:pPr>
          </w:p>
        </w:tc>
        <w:tc>
          <w:tcPr>
            <w:tcW w:w="7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conditions set forth herein, the RSUs will vest according to the following schedule, so</w:t>
            </w:r>
          </w:p>
        </w:tc>
      </w:tr>
      <w:tr>
        <w:trPr>
          <w:trHeight w:val="257"/>
        </w:trPr>
        <w:tc>
          <w:tcPr>
            <w:tcW w:w="3380" w:type="dxa"/>
            <w:vAlign w:val="bottom"/>
          </w:tcPr>
          <w:p>
            <w:pPr>
              <w:spacing w:after="0"/>
              <w:rPr>
                <w:sz w:val="22"/>
                <w:szCs w:val="22"/>
                <w:color w:val="auto"/>
              </w:rPr>
            </w:pPr>
          </w:p>
        </w:tc>
        <w:tc>
          <w:tcPr>
            <w:tcW w:w="7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long as the Participant has not incurred as Termination of Employment prior to the</w:t>
            </w:r>
          </w:p>
        </w:tc>
      </w:tr>
      <w:tr>
        <w:trPr>
          <w:trHeight w:val="282"/>
        </w:trPr>
        <w:tc>
          <w:tcPr>
            <w:tcW w:w="3380" w:type="dxa"/>
            <w:vAlign w:val="bottom"/>
          </w:tcPr>
          <w:p>
            <w:pPr>
              <w:spacing w:after="0"/>
              <w:rPr>
                <w:sz w:val="24"/>
                <w:szCs w:val="24"/>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applicable vesting date:</w:t>
            </w:r>
          </w:p>
        </w:tc>
        <w:tc>
          <w:tcPr>
            <w:tcW w:w="4500" w:type="dxa"/>
            <w:vAlign w:val="bottom"/>
          </w:tcPr>
          <w:p>
            <w:pPr>
              <w:spacing w:after="0"/>
              <w:rPr>
                <w:sz w:val="24"/>
                <w:szCs w:val="24"/>
                <w:color w:val="auto"/>
              </w:rPr>
            </w:pPr>
          </w:p>
        </w:tc>
      </w:tr>
      <w:tr>
        <w:trPr>
          <w:trHeight w:val="581"/>
        </w:trPr>
        <w:tc>
          <w:tcPr>
            <w:tcW w:w="3380" w:type="dxa"/>
            <w:vAlign w:val="bottom"/>
          </w:tcPr>
          <w:p>
            <w:pPr>
              <w:spacing w:after="0"/>
              <w:rPr>
                <w:sz w:val="24"/>
                <w:szCs w:val="24"/>
                <w:color w:val="auto"/>
              </w:rPr>
            </w:pPr>
          </w:p>
        </w:tc>
        <w:tc>
          <w:tcPr>
            <w:tcW w:w="3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45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Percentage of RSUs That Vest</w:t>
            </w:r>
          </w:p>
        </w:tc>
      </w:tr>
      <w:tr>
        <w:trPr>
          <w:trHeight w:val="290"/>
        </w:trPr>
        <w:tc>
          <w:tcPr>
            <w:tcW w:w="3380" w:type="dxa"/>
            <w:vAlign w:val="bottom"/>
          </w:tcPr>
          <w:p>
            <w:pPr>
              <w:spacing w:after="0"/>
              <w:rPr>
                <w:sz w:val="24"/>
                <w:szCs w:val="24"/>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w:t>
            </w:r>
          </w:p>
        </w:tc>
      </w:tr>
    </w:tbl>
    <w:p>
      <w:pPr>
        <w:spacing w:after="0" w:line="2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By your signature below, you agree to be bound by the terms and conditions of the Plan, the Agreement, and this Restricted Stock Unit Grant Notice (this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portable document format (.pdf) and facsimile counterparts), each of which shall be deemed to be an original, but all of which taken together shall constitute one and the same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Grant Notice as of the date first written above.</w:t>
      </w:r>
    </w:p>
    <w:p>
      <w:pPr>
        <w:sectPr>
          <w:pgSz w:w="11900" w:h="16838" w:orient="portrait"/>
          <w:cols w:equalWidth="0" w:num="1">
            <w:col w:w="9600"/>
          </w:cols>
          <w:pgMar w:left="980" w:top="1422" w:right="131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By:</w:t>
      </w:r>
      <w:r>
        <w:rPr>
          <w:rFonts w:ascii="Times New Roman" w:cs="Times New Roman" w:eastAsia="Times New Roman" w:hAnsi="Times New Roman"/>
          <w:sz w:val="21"/>
          <w:szCs w:val="21"/>
          <w:u w:val="single" w:color="auto"/>
          <w:color w:val="auto"/>
        </w:rPr>
        <w:t>______________________________________</w:t>
      </w:r>
    </w:p>
    <w:p>
      <w:pPr>
        <w:spacing w:after="0" w:line="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t>
      </w: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w:t>
      </w:r>
      <w:r>
        <w:rPr>
          <w:rFonts w:ascii="Times New Roman" w:cs="Times New Roman" w:eastAsia="Times New Roman" w:hAnsi="Times New Roman"/>
          <w:sz w:val="22"/>
          <w:szCs w:val="22"/>
          <w:i w:val="1"/>
          <w:iCs w:val="1"/>
          <w:color w:val="auto"/>
        </w:rPr>
        <w:t>Title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Restricted Stock Unit Award Notice</w:t>
      </w:r>
      <w:r>
        <w:rPr>
          <w:rFonts w:ascii="Times New Roman" w:cs="Times New Roman" w:eastAsia="Times New Roman" w:hAnsi="Times New Roman"/>
          <w:sz w:val="22"/>
          <w:szCs w:val="22"/>
          <w:color w:val="auto"/>
        </w:rPr>
        <w:t>]</w:t>
      </w:r>
    </w:p>
    <w:p>
      <w:pPr>
        <w:sectPr>
          <w:pgSz w:w="11900" w:h="16838" w:orient="portrait"/>
          <w:cols w:equalWidth="0" w:num="1">
            <w:col w:w="9600"/>
          </w:cols>
          <w:pgMar w:left="980" w:top="1422" w:right="1319" w:bottom="1440" w:gutter="0" w:footer="0" w:header="0"/>
          <w:type w:val="continuous"/>
        </w:sectPr>
      </w:pPr>
    </w:p>
    <w:bookmarkStart w:id="60" w:name="page61"/>
    <w:bookmarkEnd w:id="60"/>
    <w:p>
      <w:pPr>
        <w:ind w:left="10300"/>
        <w:spacing w:after="0"/>
        <w:rPr>
          <w:sz w:val="20"/>
          <w:szCs w:val="20"/>
          <w:color w:val="auto"/>
        </w:rPr>
      </w:pPr>
      <w:r>
        <w:rPr>
          <w:rFonts w:ascii="Arial" w:cs="Arial" w:eastAsia="Arial" w:hAnsi="Arial"/>
          <w:sz w:val="17"/>
          <w:szCs w:val="17"/>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the Company and the Participant as of the Date of Grant set forth in the Grant Notice to which this Agreement is attached. Capitalized terms used herein without definition have the meanings ascribed to such terms in the Plan.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Committee has determined that it would be in the best interests of the Company and its stockholders to grant the Participant RSUs on the terms and subject to the conditions set forth in this Agreement and the Plan.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and sufficiency of which are hereby acknowledged, the parties hereto, for themselves and their successors and assigns, hereby agree as follows:</w:t>
      </w:r>
    </w:p>
    <w:p>
      <w:pPr>
        <w:spacing w:after="0" w:line="140"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the number of RSUs set forth in the Grant Notice on the terms and conditions set forth in the Grant Notice, this Agreement, and the Plan.</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the Plan are incorporated herein by reference. Except as otherwise expressly set forth herein, this Agreement shall be construed in accordance with the provisions of the Plan.</w:t>
      </w:r>
    </w:p>
    <w:p>
      <w:pPr>
        <w:spacing w:after="0" w:line="150" w:lineRule="exact"/>
        <w:rPr>
          <w:rFonts w:ascii="Times New Roman" w:cs="Times New Roman" w:eastAsia="Times New Roman" w:hAnsi="Times New Roman"/>
          <w:sz w:val="22"/>
          <w:szCs w:val="22"/>
          <w:color w:val="010000"/>
        </w:rPr>
      </w:pPr>
    </w:p>
    <w:p>
      <w:pPr>
        <w:jc w:val="both"/>
        <w:ind w:firstLine="656"/>
        <w:spacing w:after="0" w:line="222" w:lineRule="auto"/>
        <w:tabs>
          <w:tab w:leader="none" w:pos="12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Issuance of Grant</w:t>
      </w:r>
      <w:r>
        <w:rPr>
          <w:rFonts w:ascii="Times New Roman" w:cs="Times New Roman" w:eastAsia="Times New Roman" w:hAnsi="Times New Roman"/>
          <w:sz w:val="21"/>
          <w:szCs w:val="21"/>
          <w:color w:val="auto"/>
        </w:rPr>
        <w:t>. Prior to the execution and delivery of this Agreement, the Participant is entering into, or has entered into an employment agreement with the Company or one of its Affiliates providing restrictive covenants applicable during and following employment in a form considered satisfactory by the Committee (the “</w:t>
      </w:r>
      <w:r>
        <w:rPr>
          <w:rFonts w:ascii="Times New Roman" w:cs="Times New Roman" w:eastAsia="Times New Roman" w:hAnsi="Times New Roman"/>
          <w:sz w:val="21"/>
          <w:szCs w:val="21"/>
          <w:u w:val="single" w:color="auto"/>
          <w:color w:val="auto"/>
        </w:rPr>
        <w:t>Restrictive Covenant Agreement</w:t>
      </w:r>
      <w:r>
        <w:rPr>
          <w:rFonts w:ascii="Times New Roman" w:cs="Times New Roman" w:eastAsia="Times New Roman" w:hAnsi="Times New Roman"/>
          <w:sz w:val="21"/>
          <w:szCs w:val="21"/>
          <w:color w:val="auto"/>
        </w:rPr>
        <w:t>”) and the Participant’s entry into the Restrictive Covenant Agreement is a material inducement for, and a condition of, the Company’s entry into this Agreement and issuance of the RSUs specified in this Agreement. To the maximum extent permissible under applicable law, all of the restrictive covenants applicable to the Participant set forth in the Restrictive Covenant Agreement, including, without limitation, any non-competition and non-solicitation provisions applicable to Participant set forth therein, are hereby incorporated by reference into this Agreement (with the same force and effect as though fully set forth herein).</w:t>
      </w:r>
    </w:p>
    <w:p>
      <w:pPr>
        <w:spacing w:after="0" w:line="15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Normal Vesting</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the RSUs shall vest in accordance with the vesting schedule set forth in the Grant Notice.</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If the Participant incurs a Termination of Employment in circumstances other than as set forth in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jc w:val="both"/>
        <w:ind w:left="1300" w:firstLine="652"/>
        <w:spacing w:after="0" w:line="225" w:lineRule="auto"/>
        <w:tabs>
          <w:tab w:leader="none" w:pos="2584" w:val="left"/>
        </w:tabs>
        <w:numPr>
          <w:ilvl w:val="2"/>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Termination of Employment is by the Company without Cause, due to the Participant’s death or Disability, or by the Participant for Good Reason (if Good Reason applies to this award, as set forth below) then, subject to the Participant’s timely execution of a release of all claims in a form 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4" w:right="339" w:bottom="1440" w:gutter="0" w:footer="0" w:header="0"/>
        </w:sectPr>
      </w:pPr>
    </w:p>
    <w:bookmarkStart w:id="61" w:name="page62"/>
    <w:bookmarkEnd w:id="61"/>
    <w:p>
      <w:pPr>
        <w:jc w:val="both"/>
        <w:ind w:left="1300"/>
        <w:spacing w:after="0" w:line="210" w:lineRule="auto"/>
        <w:rPr>
          <w:sz w:val="20"/>
          <w:szCs w:val="20"/>
          <w:color w:val="auto"/>
        </w:rPr>
      </w:pPr>
      <w:r>
        <w:rPr>
          <w:rFonts w:ascii="Times New Roman" w:cs="Times New Roman" w:eastAsia="Times New Roman" w:hAnsi="Times New Roman"/>
          <w:sz w:val="22"/>
          <w:szCs w:val="22"/>
          <w:color w:val="auto"/>
        </w:rPr>
        <w:t xml:space="preserve">the Company and generally used by the Company with respect to similarly situated employees, immediately upon such Termination of Employment, (A) a pro rata portion of the RSUs will vest and will be settled in accordance with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calculated based on (x) the total number of RSUs subject to this Award, multiplied by (y) a fraction, the numerator of which is the number of calendar days from the Vesting Commencement Date to the date of the Termination of Employment, and the denominator of which is [●], and (B) all unvested RSUs (after taking into account the accelerated vesting set forth in clause (A)) shall be forfeited and cancelled for no consideration. For purposes of this Agreement, if the Participant is party to an employment agreement, offer letter, consulting agreement or similar agreement with the Company or one of its Affiliates (as applicable, an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defines “good reason” (or words of like import),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have the meaning set forth in the Employment Agreement. If the Participant is not party to an Employment Agreement or if the Employment Agreement does not define “good reason” (or words of like import), the term “Good Reason” does not apply to this Award.</w:t>
      </w:r>
    </w:p>
    <w:p>
      <w:pPr>
        <w:spacing w:after="0" w:line="152" w:lineRule="exact"/>
        <w:rPr>
          <w:sz w:val="20"/>
          <w:szCs w:val="20"/>
          <w:color w:val="auto"/>
        </w:rPr>
      </w:pPr>
    </w:p>
    <w:p>
      <w:pPr>
        <w:jc w:val="both"/>
        <w:ind w:left="1300" w:firstLine="652"/>
        <w:spacing w:after="0" w:line="220" w:lineRule="auto"/>
        <w:tabs>
          <w:tab w:leader="none" w:pos="2590"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Termination of Employment is due to any other reason except as described in </w:t>
      </w:r>
      <w:r>
        <w:rPr>
          <w:rFonts w:ascii="Times New Roman" w:cs="Times New Roman" w:eastAsia="Times New Roman" w:hAnsi="Times New Roman"/>
          <w:sz w:val="22"/>
          <w:szCs w:val="22"/>
          <w:u w:val="single" w:color="auto"/>
          <w:color w:val="auto"/>
        </w:rPr>
        <w:t>Section 3(b)(i)</w:t>
      </w:r>
      <w:r>
        <w:rPr>
          <w:rFonts w:ascii="Times New Roman" w:cs="Times New Roman" w:eastAsia="Times New Roman" w:hAnsi="Times New Roman"/>
          <w:sz w:val="22"/>
          <w:szCs w:val="22"/>
          <w:color w:val="auto"/>
        </w:rPr>
        <w:t xml:space="preserve"> (including, for the avoidance of doubt, any resignation by the Participant for any reason if the Participant is not party to an Employment Agreement or if the Employment Agreement does not define “good reason” (or terms of like import)), then all unvested RSUs shall be immediately forfeited and cancelled for no consideration.</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connection with a Change in Control (in each case, subject to the Committee’s ability to accelerate the vesting of this Award or make any other determination as set forth in Section 10.1 of the Plan):</w:t>
      </w:r>
    </w:p>
    <w:p>
      <w:pPr>
        <w:spacing w:after="0" w:line="150" w:lineRule="exact"/>
        <w:rPr>
          <w:rFonts w:ascii="Times New Roman" w:cs="Times New Roman" w:eastAsia="Times New Roman" w:hAnsi="Times New Roman"/>
          <w:sz w:val="22"/>
          <w:szCs w:val="22"/>
          <w:color w:val="010000"/>
        </w:rPr>
      </w:pPr>
    </w:p>
    <w:p>
      <w:pPr>
        <w:ind w:left="1300" w:firstLine="652"/>
        <w:spacing w:after="0" w:line="236" w:lineRule="auto"/>
        <w:tabs>
          <w:tab w:leader="none" w:pos="2584"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is the surviving entity in connection with such Change in Control, this Award will be continued or otherwise assumed by the Company in such Change in Control.</w:t>
      </w:r>
    </w:p>
    <w:p>
      <w:pPr>
        <w:spacing w:after="0" w:line="150" w:lineRule="exact"/>
        <w:rPr>
          <w:sz w:val="20"/>
          <w:szCs w:val="20"/>
          <w:color w:val="auto"/>
        </w:rPr>
      </w:pPr>
    </w:p>
    <w:p>
      <w:pPr>
        <w:jc w:val="both"/>
        <w:ind w:left="1300" w:firstLine="652"/>
        <w:spacing w:after="0" w:line="225" w:lineRule="auto"/>
        <w:tabs>
          <w:tab w:leader="none" w:pos="2590"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is not the surviving entity in connection with such Change in Control, this Award will be replaced by the surviving entity with new awards with similar economic value and vesting terms as of the consummation of the Change in Control.</w:t>
      </w:r>
    </w:p>
    <w:p>
      <w:pPr>
        <w:spacing w:after="0" w:line="152" w:lineRule="exact"/>
        <w:rPr>
          <w:rFonts w:ascii="Times New Roman" w:cs="Times New Roman" w:eastAsia="Times New Roman" w:hAnsi="Times New Roman"/>
          <w:sz w:val="22"/>
          <w:szCs w:val="22"/>
          <w:color w:val="010000"/>
        </w:rPr>
      </w:pPr>
    </w:p>
    <w:p>
      <w:pPr>
        <w:jc w:val="both"/>
        <w:ind w:left="1300" w:firstLine="652"/>
        <w:spacing w:after="0" w:line="225" w:lineRule="auto"/>
        <w:tabs>
          <w:tab w:leader="none" w:pos="2596"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 a Termination of Employment occurs on or within 12 months following the Change in Control and (B) such Termination of Employment is by the Company (or its successor) without Cause, due to the Participant’s death or Disability, or by the Participant for Good Reason (if Good Reason applies to this award, as set forth above) then, subject to Participant’s timely execution of a release of all claims in a form acceptable to the Company and generally used by the Company with respect to similarly situated employees, all unvested RSUs shall fully vest as of such Termination of Employment and will be settled in accordance with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below.</w:t>
      </w:r>
    </w:p>
    <w:p>
      <w:pPr>
        <w:spacing w:after="0" w:line="153" w:lineRule="exact"/>
        <w:rPr>
          <w:rFonts w:ascii="Times New Roman" w:cs="Times New Roman" w:eastAsia="Times New Roman" w:hAnsi="Times New Roman"/>
          <w:sz w:val="21"/>
          <w:szCs w:val="21"/>
          <w:color w:val="010000"/>
        </w:rPr>
      </w:pPr>
    </w:p>
    <w:p>
      <w:pPr>
        <w:jc w:val="both"/>
        <w:ind w:firstLine="656"/>
        <w:spacing w:after="0" w:line="236" w:lineRule="auto"/>
        <w:tabs>
          <w:tab w:leader="none" w:pos="129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the Company shall issue one Share to the Participant for each RSU that becomes vested hereunder within 30 days following the earlier of (a) a Termination of Employment following the consummation of a Change in Control as described in </w:t>
      </w:r>
      <w:r>
        <w:rPr>
          <w:rFonts w:ascii="Times New Roman" w:cs="Times New Roman" w:eastAsia="Times New Roman" w:hAnsi="Times New Roman"/>
          <w:sz w:val="21"/>
          <w:szCs w:val="21"/>
          <w:u w:val="single" w:color="auto"/>
          <w:color w:val="auto"/>
        </w:rPr>
        <w:t>Section 3(c)(iii)</w:t>
      </w:r>
      <w:r>
        <w:rPr>
          <w:rFonts w:ascii="Times New Roman" w:cs="Times New Roman" w:eastAsia="Times New Roman" w:hAnsi="Times New Roman"/>
          <w:sz w:val="21"/>
          <w:szCs w:val="21"/>
          <w:color w:val="auto"/>
        </w:rPr>
        <w:t xml:space="preserve"> and (b) the originally scheduled vesting date set forth in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62" w:name="page63"/>
    <w:bookmarkEnd w:id="62"/>
    <w:p>
      <w:pPr>
        <w:jc w:val="both"/>
        <w:ind w:firstLine="656"/>
        <w:spacing w:after="0" w:line="212"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Rights as Member</w:t>
      </w:r>
      <w:r>
        <w:rPr>
          <w:rFonts w:ascii="Times New Roman" w:cs="Times New Roman" w:eastAsia="Times New Roman" w:hAnsi="Times New Roman"/>
          <w:sz w:val="22"/>
          <w:szCs w:val="22"/>
          <w:color w:val="auto"/>
        </w:rPr>
        <w:t xml:space="preserve">. Until such time as the RSUs have been settled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Participant shall have no rights as a holder of Common Stock, including, without limitation, any right to dividends or other distributions or any right to vote. Notwithstanding the foregoing, if the Company declares any cash dividend the record date of which occurs while the RSUs are outstanding, the Participant shall be credited a dividend equivalent in an amount equal to the dividend that would have been paid on the Common Stock underlying the RSUs had such shares been outstanding on such record date. Any such dividend equivalents shall be subject to the same vesting conditions applicable to the underlying RSU with respect to which they accrue, and shall, if the underlying RSU vests, be paid on the date on which the underlying RSU is settled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shall have the power and the right to deduct or withhold, or require the Participant to remit to the Company, an amount sufficient to satisfy any federal, state, local, and foreign taxes of any kind that the Company, in its sole discretion, deems necessary to be withheld or remitted to comply with the Code and/or any other applicable law, rule, or regulation with respect to the RSUs and, if the Participant fails to do so, the Company may refuse to issue or transfer any Common Stock or dividend equivalents otherwise required to be issued pursuant to this Agreement. Unless as otherwise agreed to by the parties hereto, any withholding obligation with regard to the Participant (up to the maximum statutory rate) may be satisfied by reducing the number of Shares otherwise deliverable to Participant hereunder.</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The RSUs may not, at any time prior to being settled, be assigned, alienated, pledged, attached, sold, or otherwise transferred or encumbered by the Participant, other than by will or by the laws of descent and distribution. Any such purported assignment, alienation, pledge, attachment, sale, transfer, or encumbrance shall be void and unenforceable against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Applicable Law</w:t>
      </w:r>
      <w:r>
        <w:rPr>
          <w:rFonts w:ascii="Times New Roman" w:cs="Times New Roman" w:eastAsia="Times New Roman" w:hAnsi="Times New Roman"/>
          <w:sz w:val="21"/>
          <w:szCs w:val="21"/>
          <w:color w:val="auto"/>
        </w:rPr>
        <w:t>. Notwithstanding any provision of this Agreement to the contrary, the grant of RSUs and the issuance of Common Stock hereunder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rule, regulation, or exchange requirement applicable thereto. No Shares will be issued hereunder if such issuance would constitute a violation of any applicable law or regulation or the 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spacing w:after="0" w:line="15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Participant agrees to keep confidential the terms of this Agreement, unless and until such terms have been disclosed publicly other than through a breach by the Participant of this covenant. This provision shall not prohibit the Participant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395" w:right="339" w:bottom="1440" w:gutter="0" w:footer="0" w:header="0"/>
        </w:sectPr>
      </w:pPr>
    </w:p>
    <w:bookmarkStart w:id="63" w:name="page64"/>
    <w:bookmarkEnd w:id="63"/>
    <w:p>
      <w:pPr>
        <w:ind w:right="20"/>
        <w:spacing w:after="0" w:line="236" w:lineRule="auto"/>
        <w:rPr>
          <w:sz w:val="20"/>
          <w:szCs w:val="20"/>
          <w:color w:val="auto"/>
        </w:rPr>
      </w:pPr>
      <w:r>
        <w:rPr>
          <w:rFonts w:ascii="Times New Roman" w:cs="Times New Roman" w:eastAsia="Times New Roman" w:hAnsi="Times New Roman"/>
          <w:sz w:val="22"/>
          <w:szCs w:val="22"/>
          <w:color w:val="auto"/>
        </w:rPr>
        <w:t>providing this information on a confidential and privileged basis to the Participant’s attorneys, financial advisors, or accountants for purposes of obtaining legal, financial, or tax advice or as otherwise required by law.</w:t>
      </w:r>
    </w:p>
    <w:p>
      <w:pPr>
        <w:spacing w:after="0" w:line="150" w:lineRule="exact"/>
        <w:rPr>
          <w:sz w:val="20"/>
          <w:szCs w:val="20"/>
          <w:color w:val="auto"/>
        </w:rPr>
      </w:pPr>
    </w:p>
    <w:p>
      <w:pPr>
        <w:ind w:firstLine="1304"/>
        <w:spacing w:after="0" w:line="255" w:lineRule="auto"/>
        <w:tabs>
          <w:tab w:leader="none" w:pos="1939"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The terms of this Agreement shall be binding upon and inure to the benefit of the Company and its successors and assigns, and of the Participant and the beneficiaries, executors, administrators, and heirs of the Participant.</w:t>
      </w:r>
    </w:p>
    <w:p>
      <w:pPr>
        <w:spacing w:after="0" w:line="134" w:lineRule="exact"/>
        <w:rPr>
          <w:rFonts w:ascii="Times New Roman" w:cs="Times New Roman" w:eastAsia="Times New Roman" w:hAnsi="Times New Roman"/>
          <w:sz w:val="21"/>
          <w:szCs w:val="21"/>
          <w:color w:val="010000"/>
        </w:rPr>
      </w:pPr>
    </w:p>
    <w:p>
      <w:pPr>
        <w:jc w:val="both"/>
        <w:ind w:firstLine="1304"/>
        <w:spacing w:after="0" w:line="217" w:lineRule="auto"/>
        <w:tabs>
          <w:tab w:leader="none" w:pos="1941"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Waiver; Amendment</w:t>
      </w:r>
      <w:r>
        <w:rPr>
          <w:rFonts w:ascii="Times New Roman" w:cs="Times New Roman" w:eastAsia="Times New Roman" w:hAnsi="Times New Roman"/>
          <w:sz w:val="22"/>
          <w:szCs w:val="22"/>
          <w:color w:val="auto"/>
        </w:rPr>
        <w: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This Agreement may be amended or modified only by a written instrument executed by the Participant and the Company.</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 to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any Company Entity or shall interfere with or restrict in any way the right of any Company Entity to remove, terminate, or discharge the Participant at any time for any reason whatsoever.</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4"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Award of RSUs is unfunded and the Participant shall be considered an unsecured creditor of the Company with respect to the Company’s obligations, if any, to issue Common Stock pursuant to this Agreement. Nothing contained in this Agreement, and no action taken pursuant to its provisions, shall create or be construed to create a trust of any kind or a fiduciary relationship between the Participant and any Company Entity or any other Person.</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Grant Notice, the Restrictive Covenant Agreement, and the Plan contain the entire agreement and understanding of the parties hereto with respect to the subject matter contained herein and supersede all prior communications, representations, and negotiations with respect thereto.</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Bound by the Plan</w:t>
      </w:r>
      <w:r>
        <w:rPr>
          <w:rFonts w:ascii="Times New Roman" w:cs="Times New Roman" w:eastAsia="Times New Roman" w:hAnsi="Times New Roman"/>
          <w:sz w:val="22"/>
          <w:szCs w:val="22"/>
          <w:color w:val="auto"/>
        </w:rPr>
        <w:t>. By signing this Agreement, the Participant acknowledges that the Participant has received a copy of the Plan and has had an opportunity to review the Plan and agrees to be bound by all the terms and provisions of the Plan. In the event of any conflict between the Plan and this Agreement, this Agreement shall control.</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If any time period for giving notice or taking action hereunder expires on a day that is a Saturday, Sunday, or holiday in the state in which the Company’s principal executive office is located, the time period shall be automatically extended to the business day immediately following such Saturday, Sunday, or holiday.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395" w:right="339" w:bottom="1440" w:gutter="0" w:footer="0" w:header="0"/>
        </w:sectPr>
      </w:pPr>
    </w:p>
    <w:bookmarkStart w:id="64" w:name="page65"/>
    <w:bookmarkEnd w:id="64"/>
    <w:p>
      <w:pPr>
        <w:ind w:firstLine="1304"/>
        <w:spacing w:after="0" w:line="236" w:lineRule="auto"/>
        <w:tabs>
          <w:tab w:leader="none" w:pos="1939"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taken together shall constitute one and the same instrument.</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left="1300" w:firstLine="652"/>
        <w:spacing w:after="0" w:line="220" w:lineRule="auto"/>
        <w:tabs>
          <w:tab w:leader="none" w:pos="2584"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is intended that the RSUs granted pursuant to this Agreement and the provisions of this Agreement be exempt from or comply with Section 409A of the Code, and all provisions of this Agreement shall be construed and interpreted in a manner consistent with the requirements for avoiding taxes or penalties under Section 409A of the Code.</w:t>
      </w:r>
    </w:p>
    <w:p>
      <w:pPr>
        <w:spacing w:after="0" w:line="152" w:lineRule="exact"/>
        <w:rPr>
          <w:rFonts w:ascii="Times New Roman" w:cs="Times New Roman" w:eastAsia="Times New Roman" w:hAnsi="Times New Roman"/>
          <w:sz w:val="22"/>
          <w:szCs w:val="22"/>
          <w:color w:val="010000"/>
        </w:rPr>
      </w:pPr>
    </w:p>
    <w:p>
      <w:pPr>
        <w:jc w:val="both"/>
        <w:ind w:left="1300" w:firstLine="652"/>
        <w:spacing w:after="0" w:line="222" w:lineRule="auto"/>
        <w:tabs>
          <w:tab w:leader="none" w:pos="2590" w:val="left"/>
        </w:tabs>
        <w:numPr>
          <w:ilvl w:val="1"/>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termination of employment will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will mean “separation from service.” If any payment provided for herein would be subject to additional taxes and interest under Section 409A of the Code if the Participant’s receipt of such payment is not delayed until the earlier of (A) the date of the Participant’s death or (B) the date that is six months after the date of the Participant’s Termination (such date, the “</w:t>
      </w:r>
      <w:r>
        <w:rPr>
          <w:rFonts w:ascii="Times New Roman" w:cs="Times New Roman" w:eastAsia="Times New Roman" w:hAnsi="Times New Roman"/>
          <w:sz w:val="21"/>
          <w:szCs w:val="21"/>
          <w:u w:val="single" w:color="auto"/>
          <w:color w:val="auto"/>
        </w:rPr>
        <w:t>Section 409A Payment Date</w:t>
      </w:r>
      <w:r>
        <w:rPr>
          <w:rFonts w:ascii="Times New Roman" w:cs="Times New Roman" w:eastAsia="Times New Roman" w:hAnsi="Times New Roman"/>
          <w:sz w:val="21"/>
          <w:szCs w:val="21"/>
          <w:color w:val="auto"/>
        </w:rPr>
        <w:t>”), then such payment shall not be provided to the Participant (or the Participant’s estate, if applicable) until the Section 409A Payment Date.</w:t>
      </w:r>
    </w:p>
    <w:p>
      <w:pPr>
        <w:spacing w:after="0" w:line="149" w:lineRule="exact"/>
        <w:rPr>
          <w:rFonts w:ascii="Times New Roman" w:cs="Times New Roman" w:eastAsia="Times New Roman" w:hAnsi="Times New Roman"/>
          <w:sz w:val="21"/>
          <w:szCs w:val="21"/>
          <w:color w:val="010000"/>
        </w:rPr>
      </w:pPr>
    </w:p>
    <w:p>
      <w:pPr>
        <w:jc w:val="both"/>
        <w:ind w:left="1300" w:firstLine="652"/>
        <w:spacing w:after="0" w:line="215" w:lineRule="auto"/>
        <w:tabs>
          <w:tab w:leader="none" w:pos="2596"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in this Agreement to the contrary, if an event that constitutes a Change in Control for purposes of this Plan does not also constitute a “change in control event” (within the meaning of Section 409A of the Code), any payments in respect of this Award that constitute “nonqualified deferred compensation” within the meaning of Section 409A of the Code that would be payable upon or following a Change in Control shall be made on the first date such payments may be made in compliance with Section 409A of the Code.</w:t>
      </w:r>
    </w:p>
    <w:p>
      <w:pPr>
        <w:spacing w:after="0" w:line="152" w:lineRule="exact"/>
        <w:rPr>
          <w:rFonts w:ascii="Times New Roman" w:cs="Times New Roman" w:eastAsia="Times New Roman" w:hAnsi="Times New Roman"/>
          <w:sz w:val="22"/>
          <w:szCs w:val="22"/>
          <w:color w:val="010000"/>
        </w:rPr>
      </w:pPr>
    </w:p>
    <w:p>
      <w:pPr>
        <w:jc w:val="both"/>
        <w:ind w:left="1300" w:firstLine="652"/>
        <w:spacing w:after="0" w:line="220" w:lineRule="auto"/>
        <w:tabs>
          <w:tab w:leader="none" w:pos="2584"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the Company makes no representations that the payments provided under this Agreement are exempt from, or compliant with, Section 409A and in no event shall the Company or any of its Subsidiaries or Affiliates be liable for all or any portion of any taxes, penalties, interest or other expenses that may be incurred by the Participant on account of non-compliance with Section 409A.</w:t>
      </w:r>
    </w:p>
    <w:p>
      <w:pPr>
        <w:spacing w:after="0" w:line="152"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Consent to Electronic Delivery; Electronic Signature</w:t>
      </w:r>
      <w:r>
        <w:rPr>
          <w:rFonts w:ascii="Times New Roman" w:cs="Times New Roman" w:eastAsia="Times New Roman" w:hAnsi="Times New Roman"/>
          <w:sz w:val="22"/>
          <w:szCs w:val="22"/>
          <w:color w:val="auto"/>
        </w:rPr>
        <w:t>. In lieu of receiving documents in paper format, the Participant agrees,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or third party website to which the Participant has access.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395" w:right="339" w:bottom="1440" w:gutter="0" w:footer="0" w:header="0"/>
        </w:sectPr>
      </w:pPr>
    </w:p>
    <w:bookmarkStart w:id="65" w:name="page66"/>
    <w:bookmarkEnd w:id="65"/>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52" w:lineRule="exact"/>
        <w:rPr>
          <w:sz w:val="20"/>
          <w:szCs w:val="20"/>
          <w:color w:val="auto"/>
        </w:rPr>
      </w:pPr>
    </w:p>
    <w:p>
      <w:pPr>
        <w:jc w:val="both"/>
        <w:ind w:firstLine="1304"/>
        <w:spacing w:after="0" w:line="209" w:lineRule="auto"/>
        <w:tabs>
          <w:tab w:leader="none" w:pos="1939"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Forfeiture and Clawback Provisions</w:t>
      </w:r>
      <w:r>
        <w:rPr>
          <w:rFonts w:ascii="Times New Roman" w:cs="Times New Roman" w:eastAsia="Times New Roman" w:hAnsi="Times New Roman"/>
          <w:sz w:val="22"/>
          <w:szCs w:val="22"/>
          <w:color w:val="auto"/>
        </w:rPr>
        <w:t>. Notwithstanding any other provision in this Agreement, the Grant Notice or the Plan, the RSUs (including any proceeds, gains or other economic benefit actually or constructively received with respect thereto) shall, unless otherwise determined by the Committee or required by applicable law, be subject to the provisions of any clawback policy implemented by the Company or otherwise required by applicable law, whether or not such clawback policy was in place at the Date of Grant and whether or not the RSUs are vested. In addition, if the Participant incurs a Termination of Employment for Cause (or, following a Termination, the Company discovers that grounds for a Termination for Cause existed at the time of Termination) or breaches any of the restrictive covenants set forth in the Restrictive Covenant Agreement, then the Participant shall automatically and immediately forfeit to the Company for no consideration: (i) all of the RSUs (whether vested or not vested), (ii) all Shares previously received on settlement of the RSUs (“</w:t>
      </w:r>
      <w:r>
        <w:rPr>
          <w:rFonts w:ascii="Times New Roman" w:cs="Times New Roman" w:eastAsia="Times New Roman" w:hAnsi="Times New Roman"/>
          <w:sz w:val="22"/>
          <w:szCs w:val="22"/>
          <w:u w:val="single" w:color="auto"/>
          <w:color w:val="auto"/>
        </w:rPr>
        <w:t>Award Shares</w:t>
      </w:r>
      <w:r>
        <w:rPr>
          <w:rFonts w:ascii="Times New Roman" w:cs="Times New Roman" w:eastAsia="Times New Roman" w:hAnsi="Times New Roman"/>
          <w:sz w:val="22"/>
          <w:szCs w:val="22"/>
          <w:color w:val="auto"/>
        </w:rPr>
        <w:t>”) held by the Participant and, (iii) in the event the Participant has sold or otherwise disposed of any Award Shares, the amount of any cash proceeds received from such sale or disposition, in each case, effective as of the date of such Termination for Cause (or determination that grounds for termination for Cause existed, as applicable) or the breach of the Restrictive Covenant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39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AWARD NOTICE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Pursuant to the terms and conditions of the Talen Energy Corporation 2023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individual listed below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 award of performance-based restricted stock units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in respect of the number of Shares set forth below. This award of PSUs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is subject to the terms and conditions set forth herein and in the Performance-Based Restricted Stock Unit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the Plan, each of which is incorporated herein by reference. Capitalized terms used herein without definition have the meanings ascribed to such terms in the Plan.</w:t>
      </w:r>
    </w:p>
    <w:p>
      <w:pPr>
        <w:sectPr>
          <w:pgSz w:w="11900" w:h="16838" w:orient="portrait"/>
          <w:cols w:equalWidth="0" w:num="1">
            <w:col w:w="11240"/>
          </w:cols>
          <w:pgMar w:left="320" w:top="134"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Target Number of PSUs: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Vesting Commencement Date: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Measurement Date: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3180" w:space="720"/>
            <w:col w:w="7340"/>
          </w:cols>
          <w:pgMar w:left="320" w:top="134" w:right="339" w:bottom="1440" w:gutter="0" w:footer="0" w:header="0"/>
          <w:type w:val="continuous"/>
        </w:sectPr>
      </w:pPr>
    </w:p>
    <w:p>
      <w:pPr>
        <w:spacing w:after="0" w:line="1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By your signature below, you agree to be bound by the terms and conditions of the Plan, the Agreement, and this Performance-Based Restricted Stock Unit Grant Notice (this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1"/>
          <w:szCs w:val="21"/>
          <w:color w:val="auto"/>
        </w:rPr>
        <w:t>”).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portable document format (.pdf) and facsimile counterparts), each of which shall be deemed to be an original, but all of which taken together shall constitute one and the same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4"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Grant Notice as of the date first written above.</w:t>
      </w:r>
    </w:p>
    <w:p>
      <w:pPr>
        <w:sectPr>
          <w:pgSz w:w="11900" w:h="16838" w:orient="portrait"/>
          <w:cols w:equalWidth="0" w:num="1">
            <w:col w:w="9600"/>
          </w:cols>
          <w:pgMar w:left="980" w:top="1422" w:right="131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______________________________________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Performance-Based Restricted Stock Unit Award Notice</w:t>
      </w:r>
      <w:r>
        <w:rPr>
          <w:rFonts w:ascii="Times New Roman" w:cs="Times New Roman" w:eastAsia="Times New Roman" w:hAnsi="Times New Roman"/>
          <w:sz w:val="21"/>
          <w:szCs w:val="21"/>
          <w:color w:val="auto"/>
        </w:rPr>
        <w:t>]</w:t>
      </w:r>
    </w:p>
    <w:p>
      <w:pPr>
        <w:sectPr>
          <w:pgSz w:w="11900" w:h="16838" w:orient="portrait"/>
          <w:cols w:equalWidth="0" w:num="1">
            <w:col w:w="9600"/>
          </w:cols>
          <w:pgMar w:left="980" w:top="1422" w:right="131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AWARD AGREEMENT</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PERFORMANCE-BASED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the Company and the Participant as of the Date of Grant set forth in the Grant Notice to which this Agreement is attached. Capitalized terms used herein without definition have the meanings ascribed to such terms in the Plan.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Committee has determined that it would be in the best interests of the Company and its stockholders to grant the Participant PSUs on the terms and subject to the conditions set forth in this Agreement and the Plan.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and sufficiency of which are hereby acknowledged, the parties hereto, for themselves and their successors and assigns, hereby agree as follows:</w:t>
      </w:r>
    </w:p>
    <w:p>
      <w:pPr>
        <w:spacing w:after="0" w:line="140"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the number of PSUs set forth in the Grant Notice on the terms and conditions set forth in the Grant Notice, this Agreement, and the Plan.</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the Plan are incorporated herein by reference. Except as otherwise expressly set forth herein, this Agreement shall be construed in accordance with the provisions of the Plan.</w:t>
      </w:r>
    </w:p>
    <w:p>
      <w:pPr>
        <w:spacing w:after="0" w:line="150"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Issuance of Grant</w:t>
      </w:r>
      <w:r>
        <w:rPr>
          <w:rFonts w:ascii="Times New Roman" w:cs="Times New Roman" w:eastAsia="Times New Roman" w:hAnsi="Times New Roman"/>
          <w:sz w:val="22"/>
          <w:szCs w:val="22"/>
          <w:color w:val="auto"/>
        </w:rPr>
        <w:t>. Prior to the execution and delivery of this Agreement, the Participant has entered into an employment agreement with the Company or one of its Affiliates providing restrictive covenants applicable during and following employment in a form considered satisfactory by the Committee (the “</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and the Participant’s entry into the Restrictive Covenant Agreement is a material inducement for, and a condition of, the Company’s entry into this Agreement and issuance of the PSUs specified in this Agreement. To the maximum extent permissible under applicable law, all of the restrictive covenants applicable to the Participant set forth in the Restrictive Covenant Agreement, including, without limitation, any non-competition and non-solicitation provisions applicable to Participant set forth therein, are hereby incorporated by reference into this Agreement (with the same force and effect as though fully set forth herein).</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Performance Vesting</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Measurement Date</w:t>
      </w:r>
      <w:r>
        <w:rPr>
          <w:rFonts w:ascii="Times New Roman" w:cs="Times New Roman" w:eastAsia="Times New Roman" w:hAnsi="Times New Roman"/>
          <w:sz w:val="22"/>
          <w:szCs w:val="22"/>
          <w:color w:val="auto"/>
        </w:rPr>
        <w:t>” applicable to the PSUs shall be the Measurement Date set forth in the Grant Notice, and the period beginning on the Vesting Commencement Date and ending on the Measurement Date is referred to herein as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Committee shall determine the actual number of PSUs earned by the Participant (the “</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no later than 30 days following the Measurement Date. The number of Earned PSUs shall be determined as a percentage of the Target Number of PSUs based on the level of Adjusted Equity Value achievement as set forth in the table below. Linear interpolation shall be used to determine the number of Earned PSUs to the extent that the Adjusted Equity Value is between the Threshold and Maximum amounts set forth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4" w:right="339" w:bottom="1440" w:gutter="0" w:footer="0" w:header="0"/>
        </w:sectPr>
      </w:pPr>
    </w:p>
    <w:bookmarkStart w:id="69" w:name="page70"/>
    <w:bookmarkEnd w:id="69"/>
    <w:p>
      <w:pPr>
        <w:jc w:val="both"/>
        <w:spacing w:after="0" w:line="219" w:lineRule="auto"/>
        <w:rPr>
          <w:sz w:val="20"/>
          <w:szCs w:val="20"/>
          <w:color w:val="auto"/>
        </w:rPr>
      </w:pPr>
      <w:r>
        <w:rPr>
          <w:rFonts w:ascii="Times New Roman" w:cs="Times New Roman" w:eastAsia="Times New Roman" w:hAnsi="Times New Roman"/>
          <w:sz w:val="21"/>
          <w:szCs w:val="21"/>
          <w:color w:val="auto"/>
        </w:rPr>
        <w:t>below. For the avoidance of doubt, if the Adjusted Equity Value is less than the Threshold set forth in the table below, none of the PSUs will become Earned PSUs. To the extent that the Adjusted Equity Value as of the Measurement Date exceeds the Maximum set forth in the table below, the Company will allocate an additional number of Earned PSUs (the “</w:t>
      </w:r>
      <w:r>
        <w:rPr>
          <w:rFonts w:ascii="Times New Roman" w:cs="Times New Roman" w:eastAsia="Times New Roman" w:hAnsi="Times New Roman"/>
          <w:sz w:val="21"/>
          <w:szCs w:val="21"/>
          <w:u w:val="single" w:color="auto"/>
          <w:color w:val="auto"/>
        </w:rPr>
        <w:t>2025 Kicker PSUs</w:t>
      </w:r>
      <w:r>
        <w:rPr>
          <w:rFonts w:ascii="Times New Roman" w:cs="Times New Roman" w:eastAsia="Times New Roman" w:hAnsi="Times New Roman"/>
          <w:sz w:val="21"/>
          <w:szCs w:val="21"/>
          <w:color w:val="auto"/>
        </w:rPr>
        <w:t>”) to all Participants who have not incurred a Termination of Employment prior to the Measurement Date and who hold Eligible PSUs (as defined below) that (excluding the 2025 Kicker PSUs) will become Earned PSUs as of such Measurement Date (each such Participant, an “</w:t>
      </w:r>
      <w:r>
        <w:rPr>
          <w:rFonts w:ascii="Times New Roman" w:cs="Times New Roman" w:eastAsia="Times New Roman" w:hAnsi="Times New Roman"/>
          <w:sz w:val="21"/>
          <w:szCs w:val="21"/>
          <w:u w:val="single" w:color="auto"/>
          <w:color w:val="auto"/>
        </w:rPr>
        <w:t>Eligible Participant</w:t>
      </w:r>
      <w:r>
        <w:rPr>
          <w:rFonts w:ascii="Times New Roman" w:cs="Times New Roman" w:eastAsia="Times New Roman" w:hAnsi="Times New Roman"/>
          <w:sz w:val="21"/>
          <w:szCs w:val="21"/>
          <w:color w:val="auto"/>
        </w:rPr>
        <w:t xml:space="preserve">”). The aggregate number of 2025 Kicker PSUs to be delivered to all Eligible Participants shall be equal to (x) three percent of the product of (A) the amount by which the Adjusted Equity Value as of the Measurement Date exceeds the Maximum Adjusted Equity Value set forth in the table below and (B) the total number of Shares outstanding as of the Measurement Date,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(y) the volume-weighted adjusted price of a Share (the “</w:t>
      </w:r>
      <w:r>
        <w:rPr>
          <w:rFonts w:ascii="Times New Roman" w:cs="Times New Roman" w:eastAsia="Times New Roman" w:hAnsi="Times New Roman"/>
          <w:sz w:val="21"/>
          <w:szCs w:val="21"/>
          <w:u w:val="single" w:color="auto"/>
          <w:color w:val="auto"/>
        </w:rPr>
        <w:t>VWAP</w:t>
      </w:r>
      <w:r>
        <w:rPr>
          <w:rFonts w:ascii="Times New Roman" w:cs="Times New Roman" w:eastAsia="Times New Roman" w:hAnsi="Times New Roman"/>
          <w:sz w:val="21"/>
          <w:szCs w:val="21"/>
          <w:color w:val="auto"/>
        </w:rPr>
        <w:t xml:space="preserve">”) for the 10 trading days immediately preceding the Measurement Date. The number of 2025 Kicker PSUs allocated to each Eligible Participant shall be determined based on the number of Eligible PSUs (excluding the 2025 Kicker PSUs) held by the Eligible Participant that become Earned PSUs as of the Measurement Date as a fraction of all Eligible PSUs held by all Eligible Participants that become Earned PSUs as of the Measurement Date. Any Earned PSUs shall time-vest in accordance with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w:t>
      </w:r>
    </w:p>
    <w:p>
      <w:pPr>
        <w:spacing w:after="0" w:line="207" w:lineRule="exact"/>
        <w:rPr>
          <w:sz w:val="20"/>
          <w:szCs w:val="20"/>
          <w:color w:val="auto"/>
        </w:rPr>
      </w:pPr>
    </w:p>
    <w:tbl>
      <w:tblPr>
        <w:tblLayout w:type="fixed"/>
        <w:tblInd w:w="270" w:type="dxa"/>
        <w:tblCellMar>
          <w:top w:w="0" w:type="dxa"/>
          <w:left w:w="0" w:type="dxa"/>
          <w:bottom w:w="0" w:type="dxa"/>
          <w:right w:w="0" w:type="dxa"/>
        </w:tblCellMar>
      </w:tblPr>
      <w:tr>
        <w:trPr>
          <w:trHeight w:val="297"/>
        </w:trPr>
        <w:tc>
          <w:tcPr>
            <w:tcW w:w="2960" w:type="dxa"/>
            <w:vAlign w:val="bottom"/>
            <w:tcBorders>
              <w:top w:val="single" w:sz="8" w:color="auto"/>
              <w:left w:val="single" w:sz="8" w:color="auto"/>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Performance Level</w:t>
            </w:r>
          </w:p>
        </w:tc>
        <w:tc>
          <w:tcPr>
            <w:tcW w:w="3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Adjusted Equity Value</w:t>
            </w:r>
          </w:p>
        </w:tc>
        <w:tc>
          <w:tcPr>
            <w:tcW w:w="4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Earned PSUs</w:t>
            </w:r>
          </w:p>
        </w:tc>
        <w:tc>
          <w:tcPr>
            <w:tcW w:w="0" w:type="dxa"/>
            <w:vAlign w:val="bottom"/>
          </w:tcPr>
          <w:p>
            <w:pPr>
              <w:spacing w:after="0"/>
              <w:rPr>
                <w:sz w:val="1"/>
                <w:szCs w:val="1"/>
                <w:color w:val="auto"/>
              </w:rPr>
            </w:pPr>
          </w:p>
        </w:tc>
      </w:tr>
      <w:tr>
        <w:trPr>
          <w:trHeight w:val="283"/>
        </w:trPr>
        <w:tc>
          <w:tcPr>
            <w:tcW w:w="2960" w:type="dxa"/>
            <w:vAlign w:val="bottom"/>
            <w:tcBorders>
              <w:left w:val="single" w:sz="8" w:color="auto"/>
              <w:bottom w:val="single" w:sz="8" w:color="auto"/>
              <w:right w:val="single" w:sz="8" w:color="auto"/>
            </w:tcBorders>
            <w:vMerge w:val="continue"/>
            <w:shd w:val="clear" w:color="auto" w:fill="D9D9D9"/>
          </w:tcPr>
          <w:p>
            <w:pPr>
              <w:spacing w:after="0"/>
              <w:rPr>
                <w:sz w:val="24"/>
                <w:szCs w:val="24"/>
                <w:color w:val="auto"/>
              </w:rPr>
            </w:pPr>
          </w:p>
        </w:tc>
        <w:tc>
          <w:tcPr>
            <w:tcW w:w="3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 Share)</w:t>
            </w:r>
          </w:p>
        </w:tc>
        <w:tc>
          <w:tcPr>
            <w:tcW w:w="4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 of Target Number of PSUs)</w:t>
            </w:r>
          </w:p>
        </w:tc>
        <w:tc>
          <w:tcPr>
            <w:tcW w:w="0" w:type="dxa"/>
            <w:vAlign w:val="bottom"/>
          </w:tcPr>
          <w:p>
            <w:pPr>
              <w:spacing w:after="0"/>
              <w:rPr>
                <w:sz w:val="1"/>
                <w:szCs w:val="1"/>
                <w:color w:val="auto"/>
              </w:rPr>
            </w:pPr>
          </w:p>
        </w:tc>
      </w:tr>
      <w:tr>
        <w:trPr>
          <w:trHeight w:val="263"/>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Below Threshold</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&lt;[●]</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63"/>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0" w:type="dxa"/>
            <w:vAlign w:val="bottom"/>
          </w:tcPr>
          <w:p>
            <w:pPr>
              <w:spacing w:after="0"/>
              <w:rPr>
                <w:sz w:val="1"/>
                <w:szCs w:val="1"/>
                <w:color w:val="auto"/>
              </w:rPr>
            </w:pPr>
          </w:p>
        </w:tc>
      </w:tr>
      <w:tr>
        <w:trPr>
          <w:trHeight w:val="263"/>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0" w:type="dxa"/>
            <w:vAlign w:val="bottom"/>
          </w:tcPr>
          <w:p>
            <w:pPr>
              <w:spacing w:after="0"/>
              <w:rPr>
                <w:sz w:val="1"/>
                <w:szCs w:val="1"/>
                <w:color w:val="auto"/>
              </w:rPr>
            </w:pPr>
          </w:p>
        </w:tc>
      </w:tr>
      <w:tr>
        <w:trPr>
          <w:trHeight w:val="263"/>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0" w:type="dxa"/>
            <w:vAlign w:val="bottom"/>
          </w:tcPr>
          <w:p>
            <w:pPr>
              <w:spacing w:after="0"/>
              <w:rPr>
                <w:sz w:val="1"/>
                <w:szCs w:val="1"/>
                <w:color w:val="auto"/>
              </w:rPr>
            </w:pPr>
          </w:p>
        </w:tc>
      </w:tr>
      <w:tr>
        <w:trPr>
          <w:trHeight w:val="196"/>
        </w:trPr>
        <w:tc>
          <w:tcPr>
            <w:tcW w:w="296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Above Maximum</w:t>
            </w:r>
          </w:p>
        </w:tc>
        <w:tc>
          <w:tcPr>
            <w:tcW w:w="3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9"/>
              </w:rPr>
              <w:t>&gt;[●]</w:t>
            </w:r>
          </w:p>
        </w:tc>
        <w:tc>
          <w:tcPr>
            <w:tcW w:w="41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3% of market capitalization implied by</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Adjusted Equity Value in excess of Maximum</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are allocated as incremental Earned PSUs (as</w:t>
            </w:r>
          </w:p>
        </w:tc>
        <w:tc>
          <w:tcPr>
            <w:tcW w:w="0" w:type="dxa"/>
            <w:vAlign w:val="bottom"/>
          </w:tcPr>
          <w:p>
            <w:pPr>
              <w:spacing w:after="0"/>
              <w:rPr>
                <w:sz w:val="1"/>
                <w:szCs w:val="1"/>
                <w:color w:val="auto"/>
              </w:rPr>
            </w:pPr>
          </w:p>
        </w:tc>
      </w:tr>
      <w:tr>
        <w:trPr>
          <w:trHeight w:val="283"/>
        </w:trPr>
        <w:tc>
          <w:tcPr>
            <w:tcW w:w="2960" w:type="dxa"/>
            <w:vAlign w:val="bottom"/>
            <w:tcBorders>
              <w:left w:val="single" w:sz="8" w:color="auto"/>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described above)</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Equity Value</w:t>
      </w:r>
      <w:r>
        <w:rPr>
          <w:rFonts w:ascii="Times New Roman" w:cs="Times New Roman" w:eastAsia="Times New Roman" w:hAnsi="Times New Roman"/>
          <w:sz w:val="22"/>
          <w:szCs w:val="22"/>
          <w:color w:val="auto"/>
        </w:rPr>
        <w:t>” means a per Share amount equal to the sum of (i) the per Share value based on the VWAP for the 30 trading days immediately preceding the Measurement Date, and (ii) the aggregate per Share value of any distributions or dividends (A) paid with respect to Shares between the Vesting Commencement Date and the Measurement Date or (B) approved for distribution within the next quarter but not yet paid.</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PSUs</w:t>
      </w:r>
      <w:r>
        <w:rPr>
          <w:rFonts w:ascii="Times New Roman" w:cs="Times New Roman" w:eastAsia="Times New Roman" w:hAnsi="Times New Roman"/>
          <w:sz w:val="22"/>
          <w:szCs w:val="22"/>
          <w:color w:val="auto"/>
        </w:rPr>
        <w:t>” means all PSUs granted by the Company pursuant to an award agreement that provides for the grant of 2025 Kicker PSUs upon achievement of Adjusted Equity Value above the Maximum.</w:t>
      </w:r>
    </w:p>
    <w:p>
      <w:pPr>
        <w:spacing w:after="0" w:line="117" w:lineRule="exact"/>
        <w:rPr>
          <w:sz w:val="20"/>
          <w:szCs w:val="20"/>
          <w:color w:val="auto"/>
        </w:rPr>
      </w:pPr>
    </w:p>
    <w:p>
      <w:pPr>
        <w:ind w:firstLine="1304"/>
        <w:spacing w:after="0" w:line="236" w:lineRule="auto"/>
        <w:tabs>
          <w:tab w:leader="none" w:pos="1939"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Service Vesting</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3(d)</w:t>
      </w:r>
      <w:r>
        <w:rPr>
          <w:rFonts w:ascii="Times New Roman" w:cs="Times New Roman" w:eastAsia="Times New Roman" w:hAnsi="Times New Roman"/>
          <w:sz w:val="22"/>
          <w:szCs w:val="22"/>
          <w:color w:val="auto"/>
        </w:rPr>
        <w:t>, the PSUs shall vest on the Measurement Date, subject to the Participants continued employment through such date.</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If the Participant incurs a Termination of Employment in circumstances other than as set forth in </w:t>
      </w:r>
      <w:r>
        <w:rPr>
          <w:rFonts w:ascii="Times New Roman" w:cs="Times New Roman" w:eastAsia="Times New Roman" w:hAnsi="Times New Roman"/>
          <w:sz w:val="22"/>
          <w:szCs w:val="22"/>
          <w:u w:val="single" w:color="auto"/>
          <w:color w:val="auto"/>
        </w:rPr>
        <w:t>Section 3(d)(iv)</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left="1300" w:firstLine="652"/>
        <w:spacing w:after="0" w:line="236" w:lineRule="auto"/>
        <w:tabs>
          <w:tab w:leader="none" w:pos="2584" w:val="left"/>
        </w:tabs>
        <w:numPr>
          <w:ilvl w:val="1"/>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Termination of Employment is by the Company without Cause, due to the Participant’s death or Disability, or by the Participant for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70" w:name="page71"/>
    <w:bookmarkEnd w:id="70"/>
    <w:p>
      <w:pPr>
        <w:jc w:val="both"/>
        <w:ind w:left="1300"/>
        <w:spacing w:after="0" w:line="209" w:lineRule="auto"/>
        <w:rPr>
          <w:sz w:val="20"/>
          <w:szCs w:val="20"/>
          <w:color w:val="auto"/>
        </w:rPr>
      </w:pPr>
      <w:r>
        <w:rPr>
          <w:rFonts w:ascii="Times New Roman" w:cs="Times New Roman" w:eastAsia="Times New Roman" w:hAnsi="Times New Roman"/>
          <w:sz w:val="22"/>
          <w:szCs w:val="22"/>
          <w:color w:val="auto"/>
        </w:rPr>
        <w:t xml:space="preserve">Reason (if Good Reason applies to this award) then, subject to Participant’s timely execution of a release of all claims in a form acceptable to the Company and generally used by the Company with respect to similarly situated employees, the Target Number of PSUs shall be reduced such that the Target Number of PSUs outstanding under the Agreement shall be equal the Target Number of PSUs (before taking into account the reduction set forth in this </w:t>
      </w:r>
      <w:r>
        <w:rPr>
          <w:rFonts w:ascii="Times New Roman" w:cs="Times New Roman" w:eastAsia="Times New Roman" w:hAnsi="Times New Roman"/>
          <w:sz w:val="22"/>
          <w:szCs w:val="22"/>
          <w:u w:val="single" w:color="auto"/>
          <w:color w:val="auto"/>
        </w:rPr>
        <w:t>Section 3(c)(i)</w:t>
      </w:r>
      <w:r>
        <w:rPr>
          <w:rFonts w:ascii="Times New Roman" w:cs="Times New Roman" w:eastAsia="Times New Roman" w:hAnsi="Times New Roman"/>
          <w:sz w:val="22"/>
          <w:szCs w:val="22"/>
          <w:color w:val="auto"/>
        </w:rPr>
        <w:t xml:space="preserve">), multiplied by a fraction, the numerator of which is the number of calendar days from the Vesting Commencement Date to the date of such Termination of Employment, and the denominator of which is [●], and the resulting Earned PSUs determined as of the Measurement Date pursuant to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will be settled in accordance with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below. For the avoidance of doubt, all references to “Target Number of PSUs” shall, following such Termination of Employment, refer to the Target Number of PSUs as reduced pursuant to this </w:t>
      </w:r>
      <w:r>
        <w:rPr>
          <w:rFonts w:ascii="Times New Roman" w:cs="Times New Roman" w:eastAsia="Times New Roman" w:hAnsi="Times New Roman"/>
          <w:sz w:val="22"/>
          <w:szCs w:val="22"/>
          <w:u w:val="single" w:color="auto"/>
          <w:color w:val="auto"/>
        </w:rPr>
        <w:t>Section 3(c)(i)</w:t>
      </w:r>
      <w:r>
        <w:rPr>
          <w:rFonts w:ascii="Times New Roman" w:cs="Times New Roman" w:eastAsia="Times New Roman" w:hAnsi="Times New Roman"/>
          <w:sz w:val="22"/>
          <w:szCs w:val="22"/>
          <w:color w:val="auto"/>
        </w:rPr>
        <w:t>. For purposes of this Agreement, if the Participant is party to an employment agreement, offer letter, consulting agreement or similar agreement with the Company or one of its Affiliates (as applicable, an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that defines “good reason” (or words of like import), “Good Reason” shall have the meaning set forth in the Employment Agreement. If the Participant is not party to an Employment Agreement or if the Employment Agreement does not define “good reason” (or words of like import), the term “Good Reason” does not apply to this Award.</w:t>
      </w:r>
    </w:p>
    <w:p>
      <w:pPr>
        <w:spacing w:after="0" w:line="151" w:lineRule="exact"/>
        <w:rPr>
          <w:sz w:val="20"/>
          <w:szCs w:val="20"/>
          <w:color w:val="auto"/>
        </w:rPr>
      </w:pPr>
    </w:p>
    <w:p>
      <w:pPr>
        <w:jc w:val="both"/>
        <w:ind w:left="1300" w:firstLine="652"/>
        <w:spacing w:after="0" w:line="217" w:lineRule="auto"/>
        <w:tabs>
          <w:tab w:leader="none" w:pos="2590"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Participant incurs a Termination of Employment due to any other reason except as described as described in </w:t>
      </w:r>
      <w:r>
        <w:rPr>
          <w:rFonts w:ascii="Times New Roman" w:cs="Times New Roman" w:eastAsia="Times New Roman" w:hAnsi="Times New Roman"/>
          <w:sz w:val="22"/>
          <w:szCs w:val="22"/>
          <w:u w:val="single" w:color="auto"/>
          <w:color w:val="auto"/>
        </w:rPr>
        <w:t>Section 3(c)(i)</w:t>
      </w:r>
      <w:r>
        <w:rPr>
          <w:rFonts w:ascii="Times New Roman" w:cs="Times New Roman" w:eastAsia="Times New Roman" w:hAnsi="Times New Roman"/>
          <w:sz w:val="22"/>
          <w:szCs w:val="22"/>
          <w:color w:val="auto"/>
        </w:rPr>
        <w:t xml:space="preserve"> (including, for the avoidance of doubt, any resignation by the Participant for any reason if the Participant is not party to an Employment Agreement or if the Employment Agreement does not define “good reason” (or terms of like import)), then all outstanding unvested PSUs shall be immediately forfeited and cancelled for no consideration.</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connection with a Change in Control (in each case, subject to the Committee’s ability to make any other determination as set forth in Section 10.1 of the Plan):</w:t>
      </w:r>
    </w:p>
    <w:p>
      <w:pPr>
        <w:spacing w:after="0" w:line="150" w:lineRule="exact"/>
        <w:rPr>
          <w:rFonts w:ascii="Times New Roman" w:cs="Times New Roman" w:eastAsia="Times New Roman" w:hAnsi="Times New Roman"/>
          <w:sz w:val="22"/>
          <w:szCs w:val="22"/>
          <w:color w:val="010000"/>
        </w:rPr>
      </w:pPr>
    </w:p>
    <w:p>
      <w:pPr>
        <w:ind w:left="1300" w:firstLine="652"/>
        <w:spacing w:after="0" w:line="236" w:lineRule="auto"/>
        <w:tabs>
          <w:tab w:leader="none" w:pos="2584"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is the surviving entity in connection with such Change in Control, this Award will be continued or otherwise assumed by the Company in such Change in Control.</w:t>
      </w:r>
    </w:p>
    <w:p>
      <w:pPr>
        <w:spacing w:after="0" w:line="150" w:lineRule="exact"/>
        <w:rPr>
          <w:sz w:val="20"/>
          <w:szCs w:val="20"/>
          <w:color w:val="auto"/>
        </w:rPr>
      </w:pPr>
    </w:p>
    <w:p>
      <w:pPr>
        <w:jc w:val="both"/>
        <w:ind w:left="1300" w:firstLine="652"/>
        <w:spacing w:after="0" w:line="225" w:lineRule="auto"/>
        <w:tabs>
          <w:tab w:leader="none" w:pos="2590"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is not the surviving entity in connection with such Change in Control, this Award will be replaced by the surviving entity with new awards with similar economic value and vesting terms as of the consummation of the Change in Control.</w:t>
      </w:r>
    </w:p>
    <w:p>
      <w:pPr>
        <w:spacing w:after="0" w:line="152" w:lineRule="exact"/>
        <w:rPr>
          <w:rFonts w:ascii="Times New Roman" w:cs="Times New Roman" w:eastAsia="Times New Roman" w:hAnsi="Times New Roman"/>
          <w:sz w:val="22"/>
          <w:szCs w:val="22"/>
          <w:color w:val="010000"/>
        </w:rPr>
      </w:pPr>
    </w:p>
    <w:p>
      <w:pPr>
        <w:jc w:val="both"/>
        <w:ind w:left="1300" w:firstLine="652"/>
        <w:spacing w:after="0" w:line="217" w:lineRule="auto"/>
        <w:tabs>
          <w:tab w:leader="none" w:pos="2596"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this Award is not replaced, continued or otherwise assumed in connection with the Change in Control, then this Award will accelerate and become eligible to vest in connection with such Change in Control, in which case (A) the Change in Control will be treated as the Measurement Date for purposes of the Award and (B) the per Share value for purposes of determining the Adjusted Equity Value will be the implied per Share value in connection with such Change in Control.</w:t>
      </w:r>
    </w:p>
    <w:p>
      <w:pPr>
        <w:spacing w:after="0" w:line="152" w:lineRule="exact"/>
        <w:rPr>
          <w:rFonts w:ascii="Times New Roman" w:cs="Times New Roman" w:eastAsia="Times New Roman" w:hAnsi="Times New Roman"/>
          <w:sz w:val="22"/>
          <w:szCs w:val="22"/>
          <w:color w:val="010000"/>
        </w:rPr>
      </w:pPr>
    </w:p>
    <w:p>
      <w:pPr>
        <w:jc w:val="both"/>
        <w:ind w:left="1300" w:firstLine="652"/>
        <w:spacing w:after="0" w:line="216" w:lineRule="auto"/>
        <w:tabs>
          <w:tab w:leader="none" w:pos="2584"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this Award is continued, replaced or otherwise assumed in connection with a Change in Control, (B) a Termination of Employment occurs on or within 12 months following the Change in Control and</w:t>
      </w:r>
    </w:p>
    <w:p>
      <w:pPr>
        <w:ind w:left="1640" w:hanging="336"/>
        <w:spacing w:after="0"/>
        <w:tabs>
          <w:tab w:leader="none" w:pos="16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395" w:right="339" w:bottom="1440" w:gutter="0" w:footer="0" w:header="0"/>
        </w:sectPr>
      </w:pPr>
    </w:p>
    <w:bookmarkStart w:id="71" w:name="page72"/>
    <w:bookmarkEnd w:id="71"/>
    <w:p>
      <w:pPr>
        <w:jc w:val="both"/>
        <w:ind w:left="1300"/>
        <w:spacing w:after="0" w:line="213" w:lineRule="auto"/>
        <w:rPr>
          <w:sz w:val="20"/>
          <w:szCs w:val="20"/>
          <w:color w:val="auto"/>
        </w:rPr>
      </w:pPr>
      <w:r>
        <w:rPr>
          <w:rFonts w:ascii="Times New Roman" w:cs="Times New Roman" w:eastAsia="Times New Roman" w:hAnsi="Times New Roman"/>
          <w:sz w:val="22"/>
          <w:szCs w:val="22"/>
          <w:color w:val="auto"/>
        </w:rPr>
        <w:t xml:space="preserve">Termination of Employment is by the Company (or its successor) without Cause, due to the Participant’s death or Disability, or by the Participant for Good Reason (if Good Reason applies to this award, as set forth above) then, subject to Participant’s timely execution of a release of all claims in a form acceptable to the Company and generally used by the Company with respect to similarly situated employees, all PSUs (or any awards granted in continuation, assumption or replacement of such PSUs) as of such Termination of Employment will remain eligible to become Earned PSUs pursuant to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as of the Measurement Date and will be settled in accordance with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below.</w:t>
      </w:r>
    </w:p>
    <w:p>
      <w:pPr>
        <w:spacing w:after="0" w:line="156" w:lineRule="exact"/>
        <w:rPr>
          <w:sz w:val="20"/>
          <w:szCs w:val="20"/>
          <w:color w:val="auto"/>
        </w:rPr>
      </w:pPr>
    </w:p>
    <w:p>
      <w:pPr>
        <w:jc w:val="both"/>
        <w:ind w:left="1300" w:firstLine="652"/>
        <w:spacing w:after="0" w:line="225" w:lineRule="auto"/>
        <w:tabs>
          <w:tab w:leader="none" w:pos="2591"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performance metrics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and the number and type of shares subject to this Award may be adjusted by the Committee to equitably account for the effect of the transaction constituting the Change in Control.</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Company shall issue one Share to the Participant for each Earned PSU that becomes vested within 30 days following the Measurement Date.</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Rights as Member</w:t>
      </w:r>
      <w:r>
        <w:rPr>
          <w:rFonts w:ascii="Times New Roman" w:cs="Times New Roman" w:eastAsia="Times New Roman" w:hAnsi="Times New Roman"/>
          <w:sz w:val="22"/>
          <w:szCs w:val="22"/>
          <w:color w:val="auto"/>
        </w:rPr>
        <w:t xml:space="preserve">. Until such time as the PSUs have been settled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Participant shall have no rights as a holder of Common Stock, including, without limitation, any right to dividends or other distributions or any right to vote. Notwithstanding the foregoing, if the Company declares any cash dividend the record date of which occurs while the PSUs are outstanding, the Participant shall be credited a dividend equivalent in an amount equal to the dividend that would have been paid on the Common Stock underlying the PSUs had such shares been outstanding on such record date. Any such dividend equivalents shall be subject to the same vesting conditions applicable to the underlying PSU with respect to which they accrue, and shall, if the underlying PSU vests, at the same time as the underlying PSUs are settled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shall have the power and the right to deduct or withhold, or require the Participant to remit to the Company, an amount sufficient to satisfy any federal, state, local, and foreign taxes of any kind that the Company, in its sole discretion, deems necessary to be withheld or remitted to comply with the Code and/or any other applicable law, rule, or regulation with respect to the PSUs and, if the Participant fails to do so, the Company may refuse to issue or transfer any Common Stock or dividend equivalents otherwise required to be issued pursuant to this Agreement. Unless as otherwise agreed to by the parties hereto, any withholding obligation with regard to the Participant (up to the maximum statutory rate) may be satisfied by reducing the number of Shares otherwise deliverable to Participant hereunder.</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The PSUs may not, at any time prior to being settled, be assigned, alienated, pledged, attached, sold, or otherwise transferred or encumbered by the Participant, other than by will or by the laws of descent and distribution. Any such purported assignment, alienation, pledge, attachment, sale, transfer, or encumbrance shall be void and unenforceable against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w:t>
      </w:r>
      <w:r>
        <w:rPr>
          <w:rFonts w:ascii="Times New Roman" w:cs="Times New Roman" w:eastAsia="Times New Roman" w:hAnsi="Times New Roman"/>
          <w:sz w:val="22"/>
          <w:szCs w:val="22"/>
          <w:color w:val="auto"/>
        </w:rPr>
        <w:t>. Notwithstanding any provision of this Agreement to the contrary, the grant of PSUs and the issuance of Common Stock hereunder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rule, regulation, or exchange requirement applicable thereto. No Shares will be issued hereunder if such issuance would constitute a violation of any applicable law or regulation or the requirements of any stock exchange or market system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22" w:lineRule="auto"/>
        <w:rPr>
          <w:sz w:val="20"/>
          <w:szCs w:val="20"/>
          <w:color w:val="auto"/>
        </w:rPr>
      </w:pPr>
      <w:r>
        <w:rPr>
          <w:rFonts w:ascii="Times New Roman" w:cs="Times New Roman" w:eastAsia="Times New Roman" w:hAnsi="Times New Roman"/>
          <w:sz w:val="21"/>
          <w:szCs w:val="21"/>
          <w:color w:val="auto"/>
        </w:rPr>
        <w:t>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spacing w:after="0" w:line="150"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Participant agrees to keep confidential the terms of this Agreement, unless and until such terms have been disclosed publicly other than through a breach by the Participant of this covenant. This provision shall not prohibit the Participant from providing this information on a confidential and privileged basis to the Participant’s attorneys, financial advisors, or accountants for purposes of obtaining legal, financial, or tax advice or as otherwise required by law.</w:t>
      </w:r>
    </w:p>
    <w:p>
      <w:pPr>
        <w:spacing w:after="0" w:line="152" w:lineRule="exact"/>
        <w:rPr>
          <w:rFonts w:ascii="Times New Roman" w:cs="Times New Roman" w:eastAsia="Times New Roman" w:hAnsi="Times New Roman"/>
          <w:sz w:val="22"/>
          <w:szCs w:val="22"/>
          <w:color w:val="010000"/>
        </w:rPr>
      </w:pPr>
    </w:p>
    <w:p>
      <w:pPr>
        <w:ind w:firstLine="1304"/>
        <w:spacing w:after="0" w:line="255" w:lineRule="auto"/>
        <w:tabs>
          <w:tab w:leader="none" w:pos="1939"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The terms of this Agreement shall be binding upon and inure to the benefit of the Company and its successors and assigns, and of the Participant and the beneficiaries, executors, administrators, and heirs of the Participant.</w:t>
      </w:r>
    </w:p>
    <w:p>
      <w:pPr>
        <w:spacing w:after="0" w:line="134" w:lineRule="exact"/>
        <w:rPr>
          <w:rFonts w:ascii="Times New Roman" w:cs="Times New Roman" w:eastAsia="Times New Roman" w:hAnsi="Times New Roman"/>
          <w:sz w:val="21"/>
          <w:szCs w:val="21"/>
          <w:color w:val="010000"/>
        </w:rPr>
      </w:pPr>
    </w:p>
    <w:p>
      <w:pPr>
        <w:jc w:val="both"/>
        <w:ind w:firstLine="1304"/>
        <w:spacing w:after="0" w:line="217" w:lineRule="auto"/>
        <w:tabs>
          <w:tab w:leader="none" w:pos="1941"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Waiver; Amendment</w:t>
      </w:r>
      <w:r>
        <w:rPr>
          <w:rFonts w:ascii="Times New Roman" w:cs="Times New Roman" w:eastAsia="Times New Roman" w:hAnsi="Times New Roman"/>
          <w:sz w:val="22"/>
          <w:szCs w:val="22"/>
          <w:color w:val="auto"/>
        </w:rPr>
        <w: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This Agreement may be amended or modified only by a written instrument executed by the Participant and the Company.</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 to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any Company Entity or shall interfere with or restrict in any way the right of any Company Entity to remove, terminate, or discharge the Participant at any time for any reason whatsoever.</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4"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Award of PSUs is unfunded and the Participant shall be considered an unsecured creditor of the Company with respect to the Company’s obligations, if any, to issue Common Stock pursuant to this Agreement. Nothing contained in this Agreement, and no action taken pursuant to its provisions, shall create or be construed to create a trust of any kind or a fiduciary relationship between the Participant and any Company Entity or any other Person.</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Grant Notice, the Restrictive Covenant Agreement, and the Plan contain the entire agreement and understanding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395" w:right="339" w:bottom="1440" w:gutter="0" w:footer="0" w:header="0"/>
        </w:sectPr>
      </w:pPr>
    </w:p>
    <w:bookmarkStart w:id="73" w:name="page74"/>
    <w:bookmarkEnd w:id="73"/>
    <w:p>
      <w:pPr>
        <w:ind w:right="20"/>
        <w:spacing w:after="0" w:line="236" w:lineRule="auto"/>
        <w:rPr>
          <w:sz w:val="20"/>
          <w:szCs w:val="20"/>
          <w:color w:val="auto"/>
        </w:rPr>
      </w:pPr>
      <w:r>
        <w:rPr>
          <w:rFonts w:ascii="Times New Roman" w:cs="Times New Roman" w:eastAsia="Times New Roman" w:hAnsi="Times New Roman"/>
          <w:sz w:val="22"/>
          <w:szCs w:val="22"/>
          <w:color w:val="auto"/>
        </w:rPr>
        <w:t>hereto with respect to the subject matter contained herein and supersede all prior communications, representations, and negotiations with respect thereto.</w:t>
      </w:r>
    </w:p>
    <w:p>
      <w:pPr>
        <w:spacing w:after="0" w:line="150" w:lineRule="exact"/>
        <w:rPr>
          <w:sz w:val="20"/>
          <w:szCs w:val="20"/>
          <w:color w:val="auto"/>
        </w:rPr>
      </w:pPr>
    </w:p>
    <w:p>
      <w:pPr>
        <w:jc w:val="both"/>
        <w:ind w:firstLine="1304"/>
        <w:spacing w:after="0" w:line="225" w:lineRule="auto"/>
        <w:tabs>
          <w:tab w:leader="none" w:pos="1939"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Bound by the Plan</w:t>
      </w:r>
      <w:r>
        <w:rPr>
          <w:rFonts w:ascii="Times New Roman" w:cs="Times New Roman" w:eastAsia="Times New Roman" w:hAnsi="Times New Roman"/>
          <w:sz w:val="22"/>
          <w:szCs w:val="22"/>
          <w:color w:val="auto"/>
        </w:rPr>
        <w:t>. By signing this Agreement, the Participant acknowledges that the Participant has received a copy of the Plan and has had an opportunity to review the Plan and agrees to be bound by all the terms and provisions of the Plan. In the event of any conflict between the Plan and this Agreement, this Agreement shall control.</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If any time period for giving notice or taking action hereunder expires on a day that is a Saturday, Sunday, or holiday in the state in which the Company’s principal executive office is located, the time period shall be automatically extended to the business day immediately following such Saturday, Sunday, or holiday.</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taken together shall constitute one and the same instrument.</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2"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It is intended that the PSUs granted pursuant to this Agreement and the provisions of this Agreement be exempt from or comply with Section 409A of the Code, and the related regulations and guidance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all provisions of this Agreement shall be construed and interpreted in a manner consistent with the requirements for avoiding taxes or penalties under Section 409A.</w:t>
      </w:r>
    </w:p>
    <w:p>
      <w:pPr>
        <w:spacing w:after="0" w:line="152"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Consent to Electronic Delivery; Electronic Signature</w:t>
      </w:r>
      <w:r>
        <w:rPr>
          <w:rFonts w:ascii="Times New Roman" w:cs="Times New Roman" w:eastAsia="Times New Roman" w:hAnsi="Times New Roman"/>
          <w:sz w:val="22"/>
          <w:szCs w:val="22"/>
          <w:color w:val="auto"/>
        </w:rPr>
        <w:t>. In lieu of receiving documents in paper format, the Participant agrees,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or third party website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58"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Forfeiture and Clawback Provisions</w:t>
      </w:r>
      <w:r>
        <w:rPr>
          <w:rFonts w:ascii="Times New Roman" w:cs="Times New Roman" w:eastAsia="Times New Roman" w:hAnsi="Times New Roman"/>
          <w:sz w:val="22"/>
          <w:szCs w:val="22"/>
          <w:color w:val="auto"/>
        </w:rPr>
        <w:t>. Notwithstanding any other provision in this Agreement, the Grant Notice or the Plan, the PSUs (including any proceeds, gains or other economic benefit actually or constructively received with respect thereto) shall, unless otherwise determined by the Committee or required by applicable law, be subject to the provisions of any clawback policy implemented by the Company or otherwise required by applicable law, whether or not such clawback policy was in place at the Date of Grant and whether or not the PSUs are vested. In addition, if the Participant incurs a Termination of Employment for Cause (or, following a Termination, the Company discovers that grounds for Termination for Cause existed at the time of Termination) or breaches any of the restrictive covenants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395" w:right="339" w:bottom="1440" w:gutter="0" w:footer="0" w:header="0"/>
        </w:sectPr>
      </w:pPr>
    </w:p>
    <w:bookmarkStart w:id="74" w:name="page75"/>
    <w:bookmarkEnd w:id="74"/>
    <w:p>
      <w:pPr>
        <w:jc w:val="both"/>
        <w:spacing w:after="0" w:line="215" w:lineRule="auto"/>
        <w:rPr>
          <w:sz w:val="20"/>
          <w:szCs w:val="20"/>
          <w:color w:val="auto"/>
        </w:rPr>
      </w:pPr>
      <w:r>
        <w:rPr>
          <w:rFonts w:ascii="Times New Roman" w:cs="Times New Roman" w:eastAsia="Times New Roman" w:hAnsi="Times New Roman"/>
          <w:sz w:val="22"/>
          <w:szCs w:val="22"/>
          <w:color w:val="auto"/>
        </w:rPr>
        <w:t>Restrictive Covenant Agreement, then the Participant shall automatically and immediately forfeit to the Company for no consideration: (i) all of the PSUs (whether vested or not vested), (ii) all Shares previously received on settlement of the PSUs (the “</w:t>
      </w:r>
      <w:r>
        <w:rPr>
          <w:rFonts w:ascii="Times New Roman" w:cs="Times New Roman" w:eastAsia="Times New Roman" w:hAnsi="Times New Roman"/>
          <w:sz w:val="22"/>
          <w:szCs w:val="22"/>
          <w:u w:val="single" w:color="auto"/>
          <w:color w:val="auto"/>
        </w:rPr>
        <w:t>Award Shares</w:t>
      </w:r>
      <w:r>
        <w:rPr>
          <w:rFonts w:ascii="Times New Roman" w:cs="Times New Roman" w:eastAsia="Times New Roman" w:hAnsi="Times New Roman"/>
          <w:sz w:val="22"/>
          <w:szCs w:val="22"/>
          <w:color w:val="auto"/>
        </w:rPr>
        <w:t>”) held by the Participant and, (iii) in the event the Participant has sold or otherwise disposed of any Award Shares, the amount of any cash proceeds received from such sale or disposition, in each case, effective as of the date of such Termination for Cause (or determination that grounds for termination for Cause existed, as applicable) or the breach of the Restrictive Covenant Agreement, as applicable.</w:t>
      </w:r>
    </w:p>
    <w:p>
      <w:pPr>
        <w:spacing w:after="0" w:line="179" w:lineRule="exact"/>
        <w:rPr>
          <w:sz w:val="20"/>
          <w:szCs w:val="20"/>
          <w:color w:val="auto"/>
        </w:rPr>
      </w:pPr>
    </w:p>
    <w:p>
      <w:pPr>
        <w:jc w:val="center"/>
        <w:spacing w:after="0"/>
        <w:tabs>
          <w:tab w:leader="none" w:pos="180" w:val="left"/>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39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NOTICE (NON-EMPLOYEE DIRECTOR FORM)</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Pursuant to the terms and conditions of the Talen Energy Corporation 2023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individual listed below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 award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in respect of the number of Shares set forth below. This award of RSUs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is subject to the terms and conditions set forth herein and in the Restricted Stock Unit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the Plan, each of which is incorporated herein by reference. Capitalized terms used herein without definition have the meanings ascribed to such terms in the Plan.</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2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860" w:type="dxa"/>
            <w:vAlign w:val="bottom"/>
          </w:tcPr>
          <w:p>
            <w:pPr>
              <w:spacing w:after="0"/>
              <w:rPr>
                <w:sz w:val="23"/>
                <w:szCs w:val="23"/>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2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860" w:type="dxa"/>
            <w:vAlign w:val="bottom"/>
          </w:tcPr>
          <w:p>
            <w:pPr>
              <w:spacing w:after="0"/>
              <w:rPr>
                <w:sz w:val="23"/>
                <w:szCs w:val="23"/>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Number of RSUs:</w:t>
            </w:r>
          </w:p>
        </w:tc>
        <w:tc>
          <w:tcPr>
            <w:tcW w:w="2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860" w:type="dxa"/>
            <w:vAlign w:val="bottom"/>
          </w:tcPr>
          <w:p>
            <w:pPr>
              <w:spacing w:after="0"/>
              <w:rPr>
                <w:sz w:val="23"/>
                <w:szCs w:val="23"/>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 Commencement Date:</w:t>
            </w:r>
          </w:p>
        </w:tc>
        <w:tc>
          <w:tcPr>
            <w:tcW w:w="2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860" w:type="dxa"/>
            <w:vAlign w:val="bottom"/>
          </w:tcPr>
          <w:p>
            <w:pPr>
              <w:spacing w:after="0"/>
              <w:rPr>
                <w:sz w:val="23"/>
                <w:szCs w:val="23"/>
                <w:color w:val="auto"/>
              </w:rPr>
            </w:pPr>
          </w:p>
        </w:tc>
      </w:tr>
      <w:tr>
        <w:trPr>
          <w:trHeight w:val="220"/>
        </w:trPr>
        <w:tc>
          <w:tcPr>
            <w:tcW w:w="3420" w:type="dxa"/>
            <w:vAlign w:val="bottom"/>
          </w:tcPr>
          <w:p>
            <w:pPr>
              <w:spacing w:after="0" w:line="221" w:lineRule="exact"/>
              <w:rPr>
                <w:sz w:val="20"/>
                <w:szCs w:val="20"/>
                <w:color w:val="auto"/>
              </w:rPr>
            </w:pPr>
            <w:r>
              <w:rPr>
                <w:rFonts w:ascii="Times New Roman" w:cs="Times New Roman" w:eastAsia="Times New Roman" w:hAnsi="Times New Roman"/>
                <w:sz w:val="22"/>
                <w:szCs w:val="22"/>
                <w:b w:val="1"/>
                <w:bCs w:val="1"/>
                <w:color w:val="auto"/>
              </w:rPr>
              <w:t>Vesting Schedule:</w:t>
            </w:r>
          </w:p>
        </w:tc>
        <w:tc>
          <w:tcPr>
            <w:tcW w:w="7740" w:type="dxa"/>
            <w:vAlign w:val="bottom"/>
            <w:gridSpan w:val="2"/>
          </w:tcPr>
          <w:p>
            <w:pPr>
              <w:spacing w:after="0" w:line="221" w:lineRule="exact"/>
              <w:rPr>
                <w:sz w:val="20"/>
                <w:szCs w:val="20"/>
                <w:color w:val="auto"/>
              </w:rPr>
            </w:pPr>
            <w:r>
              <w:rPr>
                <w:rFonts w:ascii="Times New Roman" w:cs="Times New Roman" w:eastAsia="Times New Roman" w:hAnsi="Times New Roman"/>
                <w:sz w:val="22"/>
                <w:szCs w:val="22"/>
                <w:color w:val="auto"/>
                <w:w w:val="99"/>
              </w:rPr>
              <w:t>Subject to the Agreement (including Section 3 thereof), the Plan and the other terms and</w:t>
            </w:r>
          </w:p>
        </w:tc>
      </w:tr>
      <w:tr>
        <w:trPr>
          <w:trHeight w:val="279"/>
        </w:trPr>
        <w:tc>
          <w:tcPr>
            <w:tcW w:w="34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conditions set forth herein, the RSUs will vest according to the following schedule:</w:t>
            </w:r>
          </w:p>
        </w:tc>
      </w:tr>
      <w:tr>
        <w:trPr>
          <w:trHeight w:val="308"/>
        </w:trPr>
        <w:tc>
          <w:tcPr>
            <w:tcW w:w="3420" w:type="dxa"/>
            <w:vAlign w:val="bottom"/>
          </w:tcPr>
          <w:p>
            <w:pPr>
              <w:spacing w:after="0"/>
              <w:rPr>
                <w:sz w:val="24"/>
                <w:szCs w:val="24"/>
                <w:color w:val="auto"/>
              </w:rPr>
            </w:pP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48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22"/>
                <w:szCs w:val="22"/>
                <w:b w:val="1"/>
                <w:bCs w:val="1"/>
                <w:color w:val="auto"/>
              </w:rPr>
              <w:t>Percentage of RSUs That Vest</w:t>
            </w:r>
          </w:p>
        </w:tc>
      </w:tr>
      <w:tr>
        <w:trPr>
          <w:trHeight w:val="295"/>
        </w:trPr>
        <w:tc>
          <w:tcPr>
            <w:tcW w:w="3420" w:type="dxa"/>
            <w:vAlign w:val="bottom"/>
          </w:tcPr>
          <w:p>
            <w:pPr>
              <w:spacing w:after="0"/>
              <w:rPr>
                <w:sz w:val="24"/>
                <w:szCs w:val="24"/>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860" w:type="dxa"/>
            <w:vAlign w:val="bottom"/>
          </w:tcPr>
          <w:p>
            <w:pPr>
              <w:ind w:left="2840"/>
              <w:spacing w:after="0"/>
              <w:rPr>
                <w:sz w:val="20"/>
                <w:szCs w:val="20"/>
                <w:color w:val="auto"/>
              </w:rPr>
            </w:pPr>
            <w:r>
              <w:rPr>
                <w:rFonts w:ascii="Times New Roman" w:cs="Times New Roman" w:eastAsia="Times New Roman" w:hAnsi="Times New Roman"/>
                <w:sz w:val="22"/>
                <w:szCs w:val="22"/>
                <w:color w:val="auto"/>
              </w:rPr>
              <w:t>[●]%</w:t>
            </w:r>
          </w:p>
        </w:tc>
      </w:tr>
    </w:tbl>
    <w:p>
      <w:pPr>
        <w:spacing w:after="0" w:line="2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By your signature below, you agree to be bound by the terms and conditions of the Plan, the Agreement, and this Restricted Stock Unit Grant Notice (this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portable document format (.pdf) and facsimile counterparts), each of which shall be deemed to be an original, but all of which taken together shall constitute one and the same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Grant Notice as of the date first written above.</w:t>
      </w:r>
    </w:p>
    <w:p>
      <w:pPr>
        <w:sectPr>
          <w:pgSz w:w="11900" w:h="16838" w:orient="portrait"/>
          <w:cols w:equalWidth="0" w:num="1">
            <w:col w:w="9600"/>
          </w:cols>
          <w:pgMar w:left="980" w:top="1422" w:right="131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By: ______________________________________</w:t>
      </w:r>
    </w:p>
    <w:p>
      <w:pPr>
        <w:spacing w:after="0" w:line="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Restricted Stock Unit Award Notice</w:t>
      </w:r>
      <w:r>
        <w:rPr>
          <w:rFonts w:ascii="Times New Roman" w:cs="Times New Roman" w:eastAsia="Times New Roman" w:hAnsi="Times New Roman"/>
          <w:sz w:val="22"/>
          <w:szCs w:val="22"/>
          <w:color w:val="auto"/>
        </w:rPr>
        <w:t>]</w:t>
      </w:r>
    </w:p>
    <w:p>
      <w:pPr>
        <w:sectPr>
          <w:pgSz w:w="11900" w:h="16838" w:orient="portrait"/>
          <w:cols w:equalWidth="0" w:num="1">
            <w:col w:w="9600"/>
          </w:cols>
          <w:pgMar w:left="980" w:top="1422" w:right="1319" w:bottom="1440" w:gutter="0" w:footer="0" w:header="0"/>
          <w:type w:val="continuous"/>
        </w:sectPr>
      </w:pPr>
    </w:p>
    <w:bookmarkStart w:id="77" w:name="page78"/>
    <w:bookmarkEnd w:id="77"/>
    <w:p>
      <w:pPr>
        <w:ind w:left="10300"/>
        <w:spacing w:after="0"/>
        <w:rPr>
          <w:sz w:val="20"/>
          <w:szCs w:val="20"/>
          <w:color w:val="auto"/>
        </w:rPr>
      </w:pPr>
      <w:r>
        <w:rPr>
          <w:rFonts w:ascii="Arial" w:cs="Arial" w:eastAsia="Arial" w:hAnsi="Arial"/>
          <w:sz w:val="17"/>
          <w:szCs w:val="17"/>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the Company and the Participant as of the Date of Grant set forth in the Grant Notice to which this Agreement is attached. Capitalized terms used herein without definition have the meanings ascribed to such terms in the Plan.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Committee has determined that it would be in the best interests of the Company and its stockholders to grant the Participant RSUs on the terms and subject to the conditions set forth in this Agreement and the Plan.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and sufficiency of which are hereby acknowledged, the parties hereto, for themselves and their successors and assigns, hereby agree as follows:</w:t>
      </w:r>
    </w:p>
    <w:p>
      <w:pPr>
        <w:spacing w:after="0" w:line="140"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the number of RSUs set forth in the Grant Notice on the terms and conditions set forth in the Grant Notice, this Agreement, and the Plan.</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the Plan are incorporated herein by reference. Except as otherwise expressly set forth herein, this Agreement shall be construed in accordance with the provisions of the Plan.</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Normal Vesting</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2(c)</w:t>
      </w:r>
      <w:r>
        <w:rPr>
          <w:rFonts w:ascii="Times New Roman" w:cs="Times New Roman" w:eastAsia="Times New Roman" w:hAnsi="Times New Roman"/>
          <w:sz w:val="22"/>
          <w:szCs w:val="22"/>
          <w:color w:val="auto"/>
        </w:rPr>
        <w:t>, the RSUs shall vest in accordance with the vesting schedule set forth in the Grant Notice.</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Directorship</w:t>
      </w:r>
      <w:r>
        <w:rPr>
          <w:rFonts w:ascii="Times New Roman" w:cs="Times New Roman" w:eastAsia="Times New Roman" w:hAnsi="Times New Roman"/>
          <w:sz w:val="22"/>
          <w:szCs w:val="22"/>
          <w:color w:val="auto"/>
        </w:rPr>
        <w:t>. If the Participant incurs a Termination of Directorship for any reason, then all unvested RSUs shall be immediately forfeited and cancelled for no consideration.</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41"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All unvested RSUs shall fully vest as of the occurrence of a Change in Control, subject to the Participant not incurring a Termination of Directorship prior to the Change in Control.</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Company shall issue one Share to the Participant for each RSU that becomes vested hereunder within 30 days following the date on which such RSU becomes vested.</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Rights as Member</w:t>
      </w:r>
      <w:r>
        <w:rPr>
          <w:rFonts w:ascii="Times New Roman" w:cs="Times New Roman" w:eastAsia="Times New Roman" w:hAnsi="Times New Roman"/>
          <w:sz w:val="22"/>
          <w:szCs w:val="22"/>
          <w:color w:val="auto"/>
        </w:rPr>
        <w:t xml:space="preserve">. Until such time as the RSUs have been settled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Participant shall have no rights as a holder of Common Stock, including, without limitation, any right to dividends or other distributions or any right to vote. Notwithstanding the foregoing, if the Company declares any cash dividend the record date of which occurs while the RSUs are outstanding, the Participant shall be credited a dividend equivalent in an amount equal to the dividend that would have been paid on the Common Stock underlying the RSUs had such shares been outstanding on such record date. Any such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4" w:right="339" w:bottom="1440" w:gutter="0" w:footer="0" w:header="0"/>
        </w:sectPr>
      </w:pPr>
    </w:p>
    <w:bookmarkStart w:id="78" w:name="page79"/>
    <w:bookmarkEnd w:id="78"/>
    <w:p>
      <w:pPr>
        <w:ind w:right="20"/>
        <w:spacing w:after="0" w:line="236" w:lineRule="auto"/>
        <w:rPr>
          <w:sz w:val="20"/>
          <w:szCs w:val="20"/>
          <w:color w:val="auto"/>
        </w:rPr>
      </w:pPr>
      <w:r>
        <w:rPr>
          <w:rFonts w:ascii="Times New Roman" w:cs="Times New Roman" w:eastAsia="Times New Roman" w:hAnsi="Times New Roman"/>
          <w:sz w:val="22"/>
          <w:szCs w:val="22"/>
          <w:color w:val="auto"/>
        </w:rPr>
        <w:t>equivalents shall be subject to the same vesting conditions applicable to the underlying RSU with respect to which they accrue, and shall, if the underlying RSU vests, be paid no later than 30 days following the applicable vesting date.</w:t>
      </w:r>
    </w:p>
    <w:p>
      <w:pPr>
        <w:spacing w:after="0" w:line="150" w:lineRule="exact"/>
        <w:rPr>
          <w:sz w:val="20"/>
          <w:szCs w:val="20"/>
          <w:color w:val="auto"/>
        </w:rPr>
      </w:pPr>
    </w:p>
    <w:p>
      <w:pPr>
        <w:jc w:val="both"/>
        <w:ind w:firstLine="656"/>
        <w:spacing w:after="0" w:line="213"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shall have the power and the right to deduct or withhold, or require the Participant to remit to the Company, an amount sufficient to satisfy any federal, state, local, and foreign taxes of any kind that the Company, in its sole discretion, deems necessary to be withheld or remitted to comply with the Code and/or any other applicable law, rule, or regulation with respect to the RSUs and, if the Participant fails to do so, the Company may refuse to issue or transfer any Common Stock otherwise required to be issued pursuant to this Agreement. Unless as otherwise agreed to by the parties hereto, any withholding obligation with regard to the Participant (up to the maximum statutory rate) may be satisfied by reducing the number of Shares otherwise deliverable to Participant hereunder.</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The RSUs may not, at any time prior to being settled, be assigned, alienated, pledged, attached, sold, or otherwise transferred or encumbered by the Participant, other than by will or by the laws of descent and distribution. Any such purported assignment, alienation, pledge, attachment, sale, transfer, or encumbrance shall be void and unenforceable against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Applicable Law</w:t>
      </w:r>
      <w:r>
        <w:rPr>
          <w:rFonts w:ascii="Times New Roman" w:cs="Times New Roman" w:eastAsia="Times New Roman" w:hAnsi="Times New Roman"/>
          <w:sz w:val="21"/>
          <w:szCs w:val="21"/>
          <w:color w:val="auto"/>
        </w:rPr>
        <w:t>. Notwithstanding any provision of this Agreement to the contrary, grant of RSUs and the issuance of Common Stock hereunder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rule, regulation, or exchange requirement applicable thereto. No Shares will be issued hereunder if such issuance would constitute a violation of any applicable law or regulation or the 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spacing w:after="0" w:line="17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u w:val="single" w:color="auto"/>
          <w:color w:val="auto"/>
        </w:rPr>
      </w:pPr>
    </w:p>
    <w:p>
      <w:pPr>
        <w:jc w:val="both"/>
        <w:ind w:firstLine="1304"/>
        <w:spacing w:after="0" w:line="220" w:lineRule="auto"/>
        <w:tabs>
          <w:tab w:leader="none" w:pos="1941"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Participant agrees to keep confidential the terms of this Agreement, unless and until such terms have been disclosed publicly other than through a breach by the Participant of this covenant. This provision shall not prohibit the Participant from providing this information on a confidential and privileged basis to the Participant’s attorneys, financial advisors, or accountants for purposes of obtaining legal, financial, or tax advice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79" w:name="page80"/>
    <w:bookmarkEnd w:id="79"/>
    <w:p>
      <w:pPr>
        <w:ind w:firstLine="1304"/>
        <w:spacing w:after="0" w:line="255" w:lineRule="auto"/>
        <w:tabs>
          <w:tab w:leader="none" w:pos="1939"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The terms of this Agreement shall be binding upon and inure to the benefit of the Company and its successors and assigns, and of the Participant and the beneficiaries, executors, administrators, and heirs of the Participant.</w:t>
      </w:r>
    </w:p>
    <w:p>
      <w:pPr>
        <w:spacing w:after="0" w:line="134" w:lineRule="exact"/>
        <w:rPr>
          <w:rFonts w:ascii="Times New Roman" w:cs="Times New Roman" w:eastAsia="Times New Roman" w:hAnsi="Times New Roman"/>
          <w:sz w:val="21"/>
          <w:szCs w:val="21"/>
          <w:color w:val="010000"/>
        </w:rPr>
      </w:pPr>
    </w:p>
    <w:p>
      <w:pPr>
        <w:jc w:val="both"/>
        <w:ind w:firstLine="1304"/>
        <w:spacing w:after="0" w:line="217" w:lineRule="auto"/>
        <w:tabs>
          <w:tab w:leader="none" w:pos="1941"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Waiver; Amendment</w:t>
      </w:r>
      <w:r>
        <w:rPr>
          <w:rFonts w:ascii="Times New Roman" w:cs="Times New Roman" w:eastAsia="Times New Roman" w:hAnsi="Times New Roman"/>
          <w:sz w:val="22"/>
          <w:szCs w:val="22"/>
          <w:color w:val="auto"/>
        </w:rPr>
        <w: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This Agreement may be amended or modified only by a written instrument executed by the Participant and the Company.</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 to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any Company Entity or shall interfere with or restrict in any way the right of any Company Entity to remove, terminate, or discharge the Participant at any time for any reason whatsoever.</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4"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award of RSUs is unfunded and the Participant shall be considered an unsecured creditor of the Company with respect to the Company’s obligations, if any, to issue Common Stock pursuant to this Agreement. Nothing contained in this Agreement, and no action taken pursuant to its provisions, shall create or be construed to create a trust of any kind or a fiduciary relationship between the Participant and any Company Entity or any other Person.</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Grant Notice and the Plan contain the entire agreement and understanding of the parties hereto with respect to the subject matter contained herein and supersede all prior communications, representations, and negotiations with respect thereto.</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Bound by the Plan</w:t>
      </w:r>
      <w:r>
        <w:rPr>
          <w:rFonts w:ascii="Times New Roman" w:cs="Times New Roman" w:eastAsia="Times New Roman" w:hAnsi="Times New Roman"/>
          <w:sz w:val="22"/>
          <w:szCs w:val="22"/>
          <w:color w:val="auto"/>
        </w:rPr>
        <w:t>. By signing this Agreement, the Participant acknowledges that the Participant has received a copy of the Plan and has had an opportunity to review the Plan and agrees to be bound by all the terms and provisions of the Plan. In the event of any conflict between the Plan and this Agreement, this Agreement shall control.</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If any time period for giving notice or taking action hereunder expires on a day that is a Saturday, Sunday, or holiday in the state in which the Company’s principal executive office is located, the time period shall be automatically extended to the business day immediately following such Saturday, Sunday, or holiday.</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395" w:right="339" w:bottom="1440" w:gutter="0" w:footer="0" w:header="0"/>
        </w:sectPr>
      </w:pPr>
    </w:p>
    <w:bookmarkStart w:id="80" w:name="page81"/>
    <w:bookmarkEnd w:id="80"/>
    <w:p>
      <w:pPr>
        <w:ind w:firstLine="1304"/>
        <w:spacing w:after="0" w:line="236" w:lineRule="auto"/>
        <w:tabs>
          <w:tab w:leader="none" w:pos="1932"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taken together shall constitute one and the same instrument.</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2"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It is intended that the RSUs granted pursuant to this Agreement and the provisions of this Agreement be exempt from or comply with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all provisions of this Agreement shall be construed and interpreted in a manner consistent with the requirements for avoiding taxes or penalties under Section 409A of the Code.</w:t>
      </w:r>
    </w:p>
    <w:p>
      <w:pPr>
        <w:spacing w:after="0" w:line="152"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Consent to Electronic Delivery; Electronic Signature</w:t>
      </w:r>
      <w:r>
        <w:rPr>
          <w:rFonts w:ascii="Times New Roman" w:cs="Times New Roman" w:eastAsia="Times New Roman" w:hAnsi="Times New Roman"/>
          <w:sz w:val="22"/>
          <w:szCs w:val="22"/>
          <w:color w:val="auto"/>
        </w:rPr>
        <w:t>. In lieu of receiving documents in paper format, the Participant agrees,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or third party website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58"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Clawback Provisions</w:t>
      </w:r>
      <w:r>
        <w:rPr>
          <w:rFonts w:ascii="Times New Roman" w:cs="Times New Roman" w:eastAsia="Times New Roman" w:hAnsi="Times New Roman"/>
          <w:sz w:val="22"/>
          <w:szCs w:val="22"/>
          <w:color w:val="auto"/>
        </w:rPr>
        <w:t>. Notwithstanding any other provision in this Agreement, the Grant Notice or the Plan, the RSUs (including any proceeds, gains or other economic benefit actually or constructively received with respect thereto) shall, unless otherwise determined by the Committee or required by applicable law, be subject to the provisions of any clawback policy implemented by the Company or otherwise required by applicable law, whether or not such clawback policy was in place at the Date of Grant and whether or not the RSUs are vested.</w:t>
      </w:r>
    </w:p>
    <w:p>
      <w:pPr>
        <w:spacing w:after="0" w:line="179" w:lineRule="exact"/>
        <w:rPr>
          <w:rFonts w:ascii="Times New Roman" w:cs="Times New Roman" w:eastAsia="Times New Roman" w:hAnsi="Times New Roman"/>
          <w:sz w:val="22"/>
          <w:szCs w:val="22"/>
          <w:color w:val="010000"/>
        </w:rPr>
      </w:pPr>
    </w:p>
    <w:p>
      <w:pPr>
        <w:ind w:left="50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  *  *  * </w:t>
      </w:r>
      <w:r>
        <w:rPr>
          <w:rFonts w:ascii="Times New Roman" w:cs="Times New Roman" w:eastAsia="Times New Roman" w:hAnsi="Times New Roman"/>
          <w:sz w:val="3"/>
          <w:szCs w:val="3"/>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39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Mark “Mac” A. McFarland, certify that:</w:t>
      </w:r>
    </w:p>
    <w:p>
      <w:pPr>
        <w:spacing w:after="0" w:line="167" w:lineRule="exact"/>
        <w:rPr>
          <w:sz w:val="20"/>
          <w:szCs w:val="20"/>
          <w:color w:val="auto"/>
        </w:rPr>
      </w:pPr>
    </w:p>
    <w:p>
      <w:pPr>
        <w:ind w:left="570" w:hanging="570"/>
        <w:spacing w:after="0"/>
        <w:tabs>
          <w:tab w:leader="none" w:pos="57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41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19685</wp:posOffset>
            </wp:positionV>
            <wp:extent cx="23660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4" w:lineRule="exact"/>
        <w:rPr>
          <w:sz w:val="20"/>
          <w:szCs w:val="20"/>
          <w:color w:val="auto"/>
        </w:rPr>
      </w:pPr>
    </w:p>
    <w:p>
      <w:pPr>
        <w:ind w:left="829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Executive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May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70"/>
          </w:cols>
          <w:pgMar w:left="49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Terry L. Nutt, certify that:</w:t>
      </w:r>
    </w:p>
    <w:p>
      <w:pPr>
        <w:spacing w:after="0" w:line="167" w:lineRule="exact"/>
        <w:rPr>
          <w:sz w:val="20"/>
          <w:szCs w:val="20"/>
          <w:color w:val="auto"/>
        </w:rPr>
      </w:pPr>
    </w:p>
    <w:p>
      <w:pPr>
        <w:ind w:left="570" w:hanging="570"/>
        <w:spacing w:after="0"/>
        <w:tabs>
          <w:tab w:leader="none" w:pos="5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67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19685</wp:posOffset>
            </wp:positionV>
            <wp:extent cx="23399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4" w:lineRule="exact"/>
        <w:rPr>
          <w:sz w:val="20"/>
          <w:szCs w:val="20"/>
          <w:color w:val="auto"/>
        </w:rPr>
      </w:pPr>
    </w:p>
    <w:p>
      <w:pPr>
        <w:ind w:left="879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(Principal Financial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May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70"/>
          </w:cols>
          <w:pgMar w:left="49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jc w:val="both"/>
        <w:ind w:right="240"/>
        <w:spacing w:after="0" w:line="257" w:lineRule="auto"/>
        <w:rPr>
          <w:sz w:val="20"/>
          <w:szCs w:val="20"/>
          <w:color w:val="auto"/>
        </w:rPr>
      </w:pPr>
      <w:r>
        <w:rPr>
          <w:rFonts w:ascii="Arial" w:cs="Arial" w:eastAsia="Arial" w:hAnsi="Arial"/>
          <w:sz w:val="16"/>
          <w:szCs w:val="16"/>
          <w:color w:val="auto"/>
        </w:rPr>
        <w:t>In connection with the quarterly report on Form 10-Q of Talen Energy Corporation (the “Company”) for the quarter ended March 31, 2025, as filed with the Securities and Exchange Commission on the date hereof (the “Covered Report”), each of the undersigned officers of the Company, certify, pursuant to 18 U.S.C. Section 1350, as adopted pursuant to Section 906 of the Sarbanes-Oxley Act of 2002, that:</w:t>
      </w:r>
    </w:p>
    <w:p>
      <w:pPr>
        <w:spacing w:after="0" w:line="124" w:lineRule="exact"/>
        <w:rPr>
          <w:sz w:val="20"/>
          <w:szCs w:val="20"/>
          <w:color w:val="auto"/>
        </w:rPr>
      </w:pPr>
    </w:p>
    <w:p>
      <w:pPr>
        <w:ind w:left="660" w:right="560" w:hanging="490"/>
        <w:spacing w:after="0" w:line="268"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Covered Report fully complies with the requirements of Section 13(a) or 15(d) of the Securities Exchange Act of 1934, as amended (the “Exchange Act”); and</w:t>
      </w:r>
    </w:p>
    <w:p>
      <w:pPr>
        <w:spacing w:after="0" w:line="88" w:lineRule="exact"/>
        <w:rPr>
          <w:rFonts w:ascii="Arial" w:cs="Arial" w:eastAsia="Arial" w:hAnsi="Arial"/>
          <w:sz w:val="16"/>
          <w:szCs w:val="16"/>
          <w:color w:val="auto"/>
        </w:rPr>
      </w:pPr>
    </w:p>
    <w:p>
      <w:pPr>
        <w:ind w:left="660" w:right="400" w:hanging="490"/>
        <w:spacing w:after="0" w:line="268"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Covered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860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19685</wp:posOffset>
            </wp:positionV>
            <wp:extent cx="234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4"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(Principal Executive Officer)</w:t>
      </w:r>
    </w:p>
    <w:p>
      <w:pPr>
        <w:spacing w:after="0" w:line="316" w:lineRule="exact"/>
        <w:rPr>
          <w:sz w:val="20"/>
          <w:szCs w:val="20"/>
          <w:color w:val="auto"/>
        </w:rPr>
      </w:pPr>
    </w:p>
    <w:p>
      <w:pPr>
        <w:ind w:left="882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19685</wp:posOffset>
            </wp:positionV>
            <wp:extent cx="23660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4"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Financial Officer)</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 May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lowerLetter"/>
      <w:start w:val="1"/>
    </w:lvl>
  </w:abstractNum>
  <w:abstractNum w:abstractNumId="3">
    <w:nsid w:val="51EAD36B"/>
    <w:multiLevelType w:val="hybridMultilevel"/>
    <w:lvl w:ilvl="0">
      <w:lvlJc w:val="left"/>
      <w:lvlText w:val="(%1)"/>
      <w:numFmt w:val="lowerLetter"/>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lowerLetter"/>
      <w:start w:val="1"/>
    </w:lvl>
  </w:abstractNum>
  <w:abstractNum w:abstractNumId="6">
    <w:nsid w:val="153EA438"/>
    <w:multiLevelType w:val="hybridMultilevel"/>
    <w:lvl w:ilvl="0">
      <w:lvlJc w:val="left"/>
      <w:lvlText w:val="(%1)"/>
      <w:numFmt w:val="lowerLetter"/>
      <w:start w:val="1"/>
    </w:lvl>
  </w:abstractNum>
  <w:abstractNum w:abstractNumId="7">
    <w:nsid w:val="3855585C"/>
    <w:multiLevelType w:val="hybridMultilevel"/>
    <w:lvl w:ilvl="0">
      <w:lvlJc w:val="left"/>
      <w:lvlText w:val="(%1)"/>
      <w:numFmt w:val="lowerLetter"/>
      <w:start w:val="1"/>
    </w:lvl>
  </w:abstractNum>
  <w:abstractNum w:abstractNumId="8">
    <w:nsid w:val="70A64E2A"/>
    <w:multiLevelType w:val="hybridMultilevel"/>
    <w:lvl w:ilvl="0">
      <w:lvlJc w:val="left"/>
      <w:lvlText w:val="(%1)"/>
      <w:numFmt w:val="lowerLetter"/>
      <w:start w:val="1"/>
    </w:lvl>
  </w:abstractNum>
  <w:abstractNum w:abstractNumId="9">
    <w:nsid w:val="6A2342EC"/>
    <w:multiLevelType w:val="hybridMultilevel"/>
    <w:lvl w:ilvl="0">
      <w:lvlJc w:val="left"/>
      <w:lvlText w:val="(%1)"/>
      <w:numFmt w:val="lowerLetter"/>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1"/>
    </w:lvl>
  </w:abstractNum>
  <w:abstractNum w:abstractNumId="12">
    <w:nsid w:val="725A06FB"/>
    <w:multiLevelType w:val="hybridMultilevel"/>
    <w:lvl w:ilvl="0">
      <w:lvlJc w:val="left"/>
      <w:lvlText w:val="(%1)"/>
      <w:numFmt w:val="lowerLetter"/>
      <w:start w:val="1"/>
    </w:lvl>
  </w:abstractNum>
  <w:abstractNum w:abstractNumId="13">
    <w:nsid w:val="2CD89A32"/>
    <w:multiLevelType w:val="hybridMultilevel"/>
    <w:lvl w:ilvl="0">
      <w:lvlJc w:val="left"/>
      <w:lvlText w:val="(%1)"/>
      <w:numFmt w:val="lowerLetter"/>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lowerLetter"/>
      <w:start w:val="1"/>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1"/>
    </w:lvl>
  </w:abstractNum>
  <w:abstractNum w:abstractNumId="18">
    <w:nsid w:val="6DE91B18"/>
    <w:multiLevelType w:val="hybridMultilevel"/>
    <w:lvl w:ilvl="0">
      <w:lvlJc w:val="left"/>
      <w:lvlText w:val="(%1)"/>
      <w:numFmt w:val="lowerLetter"/>
      <w:start w:val="1"/>
    </w:lvl>
  </w:abstractNum>
  <w:abstractNum w:abstractNumId="19">
    <w:nsid w:val="38437FDB"/>
    <w:multiLevelType w:val="hybridMultilevel"/>
    <w:lvl w:ilvl="0">
      <w:lvlJc w:val="left"/>
      <w:lvlText w:val="(%1)"/>
      <w:numFmt w:val="lowerLetter"/>
      <w:start w:val="1"/>
    </w:lvl>
  </w:abstractNum>
  <w:abstractNum w:abstractNumId="20">
    <w:nsid w:val="7644A45C"/>
    <w:multiLevelType w:val="hybridMultilevel"/>
    <w:lvl w:ilvl="0">
      <w:lvlJc w:val="left"/>
      <w:lvlText w:val="(%1)"/>
      <w:numFmt w:val="lowerLetter"/>
      <w:start w:val="1"/>
    </w:lvl>
  </w:abstractNum>
  <w:abstractNum w:abstractNumId="21">
    <w:nsid w:val="32FFF902"/>
    <w:multiLevelType w:val="hybridMultilevel"/>
    <w:lvl w:ilvl="0">
      <w:lvlJc w:val="left"/>
      <w:lvlText w:val="(%1)"/>
      <w:numFmt w:val="lowerRoman"/>
      <w:start w:val="2"/>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lowerLetter"/>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lowerRoman"/>
      <w:start w:val="11"/>
    </w:lvl>
  </w:abstractNum>
  <w:abstractNum w:abstractNumId="33">
    <w:nsid w:val="4F4EF005"/>
    <w:multiLevelType w:val="hybridMultilevel"/>
    <w:lvl w:ilvl="0">
      <w:lvlJc w:val="left"/>
      <w:lvlText w:val="(%1)"/>
      <w:numFmt w:val="lowerRoman"/>
      <w:start w:val="1"/>
    </w:lvl>
  </w:abstractNum>
  <w:abstractNum w:abstractNumId="34">
    <w:nsid w:val="23F9C13C"/>
    <w:multiLevelType w:val="hybridMultilevel"/>
    <w:lvl w:ilvl="0">
      <w:lvlJc w:val="left"/>
      <w:lvlText w:val="(%1)"/>
      <w:numFmt w:val="lowerRoman"/>
      <w:start w:val="1"/>
    </w:lvl>
  </w:abstractNum>
  <w:abstractNum w:abstractNumId="35">
    <w:nsid w:val="649BB77C"/>
    <w:multiLevelType w:val="hybridMultilevel"/>
    <w:lvl w:ilvl="0">
      <w:lvlJc w:val="left"/>
      <w:lvlText w:val="(%1)"/>
      <w:numFmt w:val="lowerLetter"/>
      <w:start w:val="1"/>
    </w:lvl>
  </w:abstractNum>
  <w:abstractNum w:abstractNumId="36">
    <w:nsid w:val="275AC794"/>
    <w:multiLevelType w:val="hybridMultilevel"/>
    <w:lvl w:ilvl="0">
      <w:lvlJc w:val="left"/>
      <w:lvlText w:val="(%1)"/>
      <w:numFmt w:val="lowerLetter"/>
      <w:start w:val="4"/>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lowerLetter"/>
      <w:start w:val="4"/>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lowerLetter"/>
      <w:start w:val="3"/>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lowerLetter"/>
      <w:start w:val="3"/>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decimal"/>
      <w:start w:val="12"/>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2"/>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0">
    <w:nsid w:val="77AE35EB"/>
    <w:multiLevelType w:val="hybridMultilevel"/>
    <w:lvl w:ilvl="0">
      <w:lvlJc w:val="left"/>
      <w:lvlText w:val="%1"/>
      <w:numFmt w:val="lowerLetter"/>
      <w:start w:val="1"/>
    </w:lvl>
    <w:lvl w:ilvl="1">
      <w:lvlJc w:val="left"/>
      <w:lvlText w:val="(%2)"/>
      <w:numFmt w:val="lowerLetter"/>
      <w:start w:val="35"/>
    </w:lvl>
  </w:abstractNum>
  <w:abstractNum w:abstractNumId="51">
    <w:nsid w:val="579BE4F1"/>
    <w:multiLevelType w:val="hybridMultilevel"/>
    <w:lvl w:ilvl="0">
      <w:lvlJc w:val="left"/>
      <w:lvlText w:val="(%1)"/>
      <w:numFmt w:val="lowerLetter"/>
      <w:start w:val="3"/>
    </w:lvl>
    <w:lvl w:ilvl="1">
      <w:lvlJc w:val="left"/>
      <w:lvlText w:val="(%2)"/>
      <w:numFmt w:val="lowerLetter"/>
      <w:start w:val="9"/>
    </w:lvl>
  </w:abstractNum>
  <w:abstractNum w:abstractNumId="52">
    <w:nsid w:val="310C50B3"/>
    <w:multiLevelType w:val="hybridMultilevel"/>
    <w:lvl w:ilvl="0">
      <w:lvlJc w:val="left"/>
      <w:lvlText w:val="%1"/>
      <w:numFmt w:val="decimal"/>
      <w:start w:val="1"/>
    </w:lvl>
    <w:lvl w:ilvl="1">
      <w:lvlJc w:val="left"/>
      <w:lvlText w:val="(%2)"/>
      <w:numFmt w:val="lowerRoman"/>
      <w:start w:val="2"/>
    </w:lvl>
  </w:abstractNum>
  <w:abstractNum w:abstractNumId="53">
    <w:nsid w:val="5FF87E05"/>
    <w:multiLevelType w:val="hybridMultilevel"/>
    <w:lvl w:ilvl="0">
      <w:lvlJc w:val="left"/>
      <w:lvlText w:val="%1."/>
      <w:numFmt w:val="decimal"/>
      <w:start w:val="4"/>
    </w:lvl>
    <w:lvl w:ilvl="1">
      <w:lvlJc w:val="left"/>
      <w:lvlText w:val="%2"/>
      <w:numFmt w:val="lowerRoman"/>
      <w:start w:val="1"/>
    </w:lvl>
  </w:abstractNum>
  <w:abstractNum w:abstractNumId="54">
    <w:nsid w:val="2F305DEF"/>
    <w:multiLevelType w:val="hybridMultilevel"/>
    <w:lvl w:ilvl="0">
      <w:lvlJc w:val="left"/>
      <w:lvlText w:val="%1."/>
      <w:numFmt w:val="decimal"/>
      <w:start w:val="5"/>
    </w:lvl>
    <w:lvl w:ilvl="1">
      <w:lvlJc w:val="left"/>
      <w:lvlText w:val="(%2)"/>
      <w:numFmt w:val="lowerLetter"/>
      <w:start w:val="1"/>
    </w:lvl>
  </w:abstractNum>
  <w:abstractNum w:abstractNumId="55">
    <w:nsid w:val="25A70BF7"/>
    <w:multiLevelType w:val="hybridMultilevel"/>
    <w:lvl w:ilvl="0">
      <w:lvlJc w:val="left"/>
      <w:lvlText w:val="(%1)"/>
      <w:numFmt w:val="lowerLetter"/>
      <w:start w:val="2"/>
    </w:lvl>
  </w:abstractNum>
  <w:abstractNum w:abstractNumId="56">
    <w:nsid w:val="1DBABF00"/>
    <w:multiLevelType w:val="hybridMultilevel"/>
    <w:lvl w:ilvl="0">
      <w:lvlJc w:val="left"/>
      <w:lvlText w:val="(%1)"/>
      <w:numFmt w:val="lowerLetter"/>
      <w:start w:val="11"/>
    </w:lvl>
    <w:lvl w:ilvl="1">
      <w:lvlJc w:val="left"/>
      <w:lvlText w:val="(%2)"/>
      <w:numFmt w:val="lowerRoman"/>
      <w:start w:val="1"/>
    </w:lvl>
  </w:abstractNum>
  <w:abstractNum w:abstractNumId="57">
    <w:nsid w:val="4AD084E9"/>
    <w:multiLevelType w:val="hybridMultilevel"/>
    <w:lvl w:ilvl="0">
      <w:lvlJc w:val="left"/>
      <w:lvlText w:val="(%1)"/>
      <w:numFmt w:val="lowerLetter"/>
      <w:start w:val="15"/>
    </w:lvl>
  </w:abstractNum>
  <w:abstractNum w:abstractNumId="58">
    <w:nsid w:val="1F48EAA1"/>
    <w:multiLevelType w:val="hybridMultilevel"/>
    <w:lvl w:ilvl="0">
      <w:lvlJc w:val="left"/>
      <w:lvlText w:val="%1."/>
      <w:numFmt w:val="decimal"/>
      <w:start w:val="1"/>
    </w:lvl>
    <w:lvl w:ilvl="1">
      <w:lvlJc w:val="left"/>
      <w:lvlText w:val="(%2)"/>
      <w:numFmt w:val="lowerLetter"/>
      <w:start w:val="1"/>
    </w:lvl>
  </w:abstractNum>
  <w:abstractNum w:abstractNumId="59">
    <w:nsid w:val="1381823A"/>
    <w:multiLevelType w:val="hybridMultilevel"/>
    <w:lvl w:ilvl="0">
      <w:lvlJc w:val="left"/>
      <w:lvlText w:val="(%1)"/>
      <w:numFmt w:val="lowerLetter"/>
      <w:start w:val="2"/>
    </w:lvl>
    <w:lvl w:ilvl="1">
      <w:lvlJc w:val="left"/>
      <w:lvlText w:val="(%2)"/>
      <w:numFmt w:val="lowerLetter"/>
      <w:start w:val="9"/>
    </w:lvl>
  </w:abstractNum>
  <w:abstractNum w:abstractNumId="60">
    <w:nsid w:val="5DB70AE5"/>
    <w:multiLevelType w:val="hybridMultilevel"/>
    <w:lvl w:ilvl="0">
      <w:lvlJc w:val="left"/>
      <w:lvlText w:val="%1"/>
      <w:numFmt w:val="lowerLetter"/>
      <w:start w:val="1"/>
    </w:lvl>
    <w:lvl w:ilvl="1">
      <w:lvlJc w:val="left"/>
      <w:lvlText w:val="(%2)"/>
      <w:numFmt w:val="lowerLetter"/>
      <w:start w:val="35"/>
    </w:lvl>
  </w:abstractNum>
  <w:abstractNum w:abstractNumId="61">
    <w:nsid w:val="100F8FCA"/>
    <w:multiLevelType w:val="hybridMultilevel"/>
    <w:lvl w:ilvl="0">
      <w:lvlJc w:val="left"/>
      <w:lvlText w:val="(%1)"/>
      <w:numFmt w:val="lowerLetter"/>
      <w:start w:val="4"/>
    </w:lvl>
    <w:lvl w:ilvl="1">
      <w:lvlJc w:val="left"/>
      <w:lvlText w:val="(%2)"/>
      <w:numFmt w:val="lowerLetter"/>
      <w:start w:val="9"/>
    </w:lvl>
  </w:abstractNum>
  <w:abstractNum w:abstractNumId="62">
    <w:nsid w:val="6590700B"/>
    <w:multiLevelType w:val="hybridMultilevel"/>
    <w:lvl w:ilvl="0">
      <w:lvlJc w:val="left"/>
      <w:lvlText w:val="%1"/>
      <w:numFmt w:val="upperLetter"/>
      <w:start w:val="1"/>
    </w:lvl>
    <w:lvl w:ilvl="1">
      <w:lvlJc w:val="left"/>
      <w:lvlText w:val="(%2)"/>
      <w:numFmt w:val="lowerRoman"/>
      <w:start w:val="2"/>
    </w:lvl>
  </w:abstractNum>
  <w:abstractNum w:abstractNumId="63">
    <w:nsid w:val="15014ACB"/>
    <w:multiLevelType w:val="hybridMultilevel"/>
    <w:lvl w:ilvl="0">
      <w:lvlJc w:val="left"/>
      <w:lvlText w:val="(%1)"/>
      <w:numFmt w:val="upperLetter"/>
      <w:start w:val="3"/>
    </w:lvl>
    <w:lvl w:ilvl="1">
      <w:lvlJc w:val="left"/>
      <w:lvlText w:val="%2"/>
      <w:numFmt w:val="lowerRoman"/>
      <w:start w:val="1"/>
    </w:lvl>
  </w:abstractNum>
  <w:abstractNum w:abstractNumId="64">
    <w:nsid w:val="5F5E7FD0"/>
    <w:multiLevelType w:val="hybridMultilevel"/>
    <w:lvl w:ilvl="0">
      <w:lvlJc w:val="left"/>
      <w:lvlText w:val="%1"/>
      <w:numFmt w:val="decimal"/>
      <w:start w:val="1"/>
    </w:lvl>
    <w:lvl w:ilvl="1">
      <w:lvlJc w:val="left"/>
      <w:lvlText w:val="(%2)"/>
      <w:numFmt w:val="lowerRoman"/>
      <w:start w:val="5"/>
    </w:lvl>
  </w:abstractNum>
  <w:abstractNum w:abstractNumId="65">
    <w:nsid w:val="98A3148"/>
    <w:multiLevelType w:val="hybridMultilevel"/>
    <w:lvl w:ilvl="0">
      <w:lvlJc w:val="left"/>
      <w:lvlText w:val="%1."/>
      <w:numFmt w:val="decimal"/>
      <w:start w:val="4"/>
    </w:lvl>
    <w:lvl w:ilvl="1">
      <w:lvlJc w:val="left"/>
      <w:lvlText w:val="%2"/>
      <w:numFmt w:val="lowerRoman"/>
      <w:start w:val="1"/>
    </w:lvl>
  </w:abstractNum>
  <w:abstractNum w:abstractNumId="66">
    <w:nsid w:val="799D0247"/>
    <w:multiLevelType w:val="hybridMultilevel"/>
    <w:lvl w:ilvl="0">
      <w:lvlJc w:val="left"/>
      <w:lvlText w:val="%1."/>
      <w:numFmt w:val="decimal"/>
      <w:start w:val="9"/>
    </w:lvl>
    <w:lvl w:ilvl="1">
      <w:lvlJc w:val="left"/>
      <w:lvlText w:val="(%2)"/>
      <w:numFmt w:val="lowerLetter"/>
      <w:start w:val="1"/>
    </w:lvl>
  </w:abstractNum>
  <w:abstractNum w:abstractNumId="67">
    <w:nsid w:val="6B94764"/>
    <w:multiLevelType w:val="hybridMultilevel"/>
    <w:lvl w:ilvl="0">
      <w:lvlJc w:val="left"/>
      <w:lvlText w:val="(%1)"/>
      <w:numFmt w:val="lowerLetter"/>
      <w:start w:val="8"/>
    </w:lvl>
  </w:abstractNum>
  <w:abstractNum w:abstractNumId="68">
    <w:nsid w:val="42C296BD"/>
    <w:multiLevelType w:val="hybridMultilevel"/>
    <w:lvl w:ilvl="0">
      <w:lvlJc w:val="left"/>
      <w:lvlText w:val="%1."/>
      <w:numFmt w:val="decimal"/>
      <w:start w:val="1"/>
    </w:lvl>
    <w:lvl w:ilvl="1">
      <w:lvlJc w:val="left"/>
      <w:lvlText w:val="(%2)"/>
      <w:numFmt w:val="lowerLetter"/>
      <w:start w:val="1"/>
    </w:lvl>
  </w:abstractNum>
  <w:abstractNum w:abstractNumId="69">
    <w:nsid w:val="168E121F"/>
    <w:multiLevelType w:val="hybridMultilevel"/>
    <w:lvl w:ilvl="0">
      <w:lvlJc w:val="left"/>
      <w:lvlText w:val="%1."/>
      <w:numFmt w:val="decimal"/>
      <w:start w:val="5"/>
    </w:lvl>
    <w:lvl w:ilvl="1">
      <w:lvlJc w:val="left"/>
      <w:lvlText w:val="(%2)"/>
      <w:numFmt w:val="lowerLetter"/>
      <w:start w:val="1"/>
    </w:lvl>
  </w:abstractNum>
  <w:abstractNum w:abstractNumId="70">
    <w:nsid w:val="1EBA5D23"/>
    <w:multiLevelType w:val="hybridMultilevel"/>
    <w:lvl w:ilvl="0">
      <w:lvlJc w:val="left"/>
      <w:lvlText w:val="(%1)"/>
      <w:numFmt w:val="lowerLetter"/>
      <w:start w:val="2"/>
    </w:lvl>
  </w:abstractNum>
  <w:abstractNum w:abstractNumId="71">
    <w:nsid w:val="661E3F1E"/>
    <w:multiLevelType w:val="hybridMultilevel"/>
    <w:lvl w:ilvl="0">
      <w:lvlJc w:val="left"/>
      <w:lvlText w:val="(%1)"/>
      <w:numFmt w:val="lowerLetter"/>
      <w:start w:val="12"/>
    </w:lvl>
    <w:lvl w:ilvl="1">
      <w:lvlJc w:val="left"/>
      <w:lvlText w:val="*"/>
      <w:numFmt w:val="bullet"/>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4" Type="http://schemas.openxmlformats.org/officeDocument/2006/relationships/hyperlink" Target="https://www.sec.gov/Archives/edgar/data/1622536/000162828024029107/exhibit31-sx1.htm" TargetMode="External"/><Relationship Id="rId55" Type="http://schemas.openxmlformats.org/officeDocument/2006/relationships/hyperlink" Target="https://www.sec.gov/Archives/edgar/data/1622536/000162828024029107/exhibit3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2025-05-08T08:13:04Z</dcterms:created>
  <dcterms:modified xsi:type="dcterms:W3CDTF">2025-05-08T08:13:04Z</dcterms:modified>
</cp:coreProperties>
</file>