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32"/>
        </w:rPr>
      </w:pPr>
      <w:r>
        <w:rPr>
          <w:rFonts w:ascii="Arial;sans-serif" w:hAnsi="Arial;sans-serif"/>
          <w:b/>
          <w:color w:val="000000"/>
          <w:sz w:val="32"/>
        </w:rPr>
        <w:t xml:space="preserve">UNITED STATES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SECURITIES AND EXCHANGE COMMISSION </w:t>
      </w:r>
    </w:p>
    <w:p>
      <w:pPr>
        <w:pStyle w:val="TextBody"/>
        <w:bidi w:val="0"/>
        <w:spacing w:lineRule="auto" w:line="288" w:before="0" w:after="180"/>
        <w:jc w:val="center"/>
        <w:rPr/>
      </w:pPr>
      <w:r>
        <w:rPr>
          <w:rFonts w:ascii="Arial;sans-serif" w:hAnsi="Arial;sans-serif"/>
          <w:b/>
          <w:color w:val="000000"/>
          <w:sz w:val="20"/>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180"/>
        <w:jc w:val="center"/>
        <w:rPr/>
      </w:pPr>
      <w:r>
        <w:rPr>
          <w:rFonts w:ascii="Arial;sans-serif" w:hAnsi="Arial;sans-serif"/>
          <w:b w:val="false"/>
          <w:color w:val="000000"/>
          <w:sz w:val="18"/>
        </w:rPr>
        <w:t>Date of Report (Date of earliest event repo</w:t>
      </w:r>
      <w:r>
        <w:rPr>
          <w:rFonts w:ascii="Arial;sans-serif" w:hAnsi="Arial;sans-serif"/>
          <w:b w:val="false"/>
          <w:color w:val="000000"/>
          <w:sz w:val="18"/>
          <w:shd w:fill="FFFFFF" w:val="clear"/>
        </w:rPr>
        <w:t xml:space="preserve">rted): </w:t>
      </w:r>
      <w:r>
        <w:rPr>
          <w:rFonts w:ascii="Arial;sans-serif" w:hAnsi="Arial;sans-serif"/>
          <w:b/>
          <w:color w:val="000000"/>
          <w:sz w:val="18"/>
          <w:shd w:fill="FFFFFF" w:val="clear"/>
        </w:rPr>
        <w:t>September 25,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Talen Energy Corporation</w:t>
      </w:r>
    </w:p>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21" w:type="dxa"/>
        <w:jc w:val="center"/>
        <w:tblInd w:w="0" w:type="dxa"/>
        <w:tblLayout w:type="fixed"/>
        <w:tblCellMar>
          <w:top w:w="28" w:type="dxa"/>
          <w:left w:w="28" w:type="dxa"/>
          <w:bottom w:w="28" w:type="dxa"/>
          <w:right w:w="28" w:type="dxa"/>
        </w:tblCellMar>
      </w:tblPr>
      <w:tblGrid>
        <w:gridCol w:w="867"/>
        <w:gridCol w:w="761"/>
        <w:gridCol w:w="771"/>
        <w:gridCol w:w="109"/>
        <w:gridCol w:w="109"/>
        <w:gridCol w:w="109"/>
        <w:gridCol w:w="762"/>
        <w:gridCol w:w="762"/>
        <w:gridCol w:w="770"/>
        <w:gridCol w:w="109"/>
        <w:gridCol w:w="109"/>
        <w:gridCol w:w="109"/>
        <w:gridCol w:w="459"/>
        <w:gridCol w:w="459"/>
        <w:gridCol w:w="656"/>
      </w:tblGrid>
      <w:tr>
        <w:trPr/>
        <w:tc>
          <w:tcPr>
            <w:tcW w:w="8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001-37388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47-1197305</w:t>
            </w:r>
          </w:p>
        </w:tc>
      </w:tr>
      <w:tr>
        <w:trPr/>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2929 Allen Pkwy, Suite 2200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Houston, TX 77019</w:t>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(888) 211-6011 </w:t>
      </w:r>
    </w:p>
    <w:p>
      <w:pPr>
        <w:pStyle w:val="TextBody"/>
        <w:bidi w:val="0"/>
        <w:spacing w:lineRule="auto" w:line="288" w:before="0" w:after="180"/>
        <w:jc w:val="center"/>
        <w:rPr/>
      </w:pPr>
      <w:r>
        <w:rPr>
          <w:rFonts w:ascii="Arial;sans-serif" w:hAnsi="Arial;sans-serif"/>
          <w:b w:val="false"/>
          <w:color w:val="000000"/>
          <w:sz w:val="18"/>
        </w:rPr>
        <w:t>(Registrant’s telephone number, including area code)</w:t>
      </w:r>
      <w:r>
        <w:rPr>
          <w:color w:val="000000"/>
        </w:rPr>
        <w:t xml:space="preserv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Not applicable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Securities registered pursuant to Section 12(b) of the Act: </w:t>
      </w:r>
    </w:p>
    <w:tbl>
      <w:tblPr>
        <w:tblW w:w="10071" w:type="dxa"/>
        <w:jc w:val="center"/>
        <w:tblInd w:w="0" w:type="dxa"/>
        <w:tblLayout w:type="fixed"/>
        <w:tblCellMar>
          <w:top w:w="28" w:type="dxa"/>
          <w:left w:w="28" w:type="dxa"/>
          <w:bottom w:w="28" w:type="dxa"/>
          <w:right w:w="28" w:type="dxa"/>
        </w:tblCellMar>
      </w:tblPr>
      <w:tblGrid>
        <w:gridCol w:w="1345"/>
        <w:gridCol w:w="1185"/>
        <w:gridCol w:w="1189"/>
        <w:gridCol w:w="109"/>
        <w:gridCol w:w="109"/>
        <w:gridCol w:w="109"/>
        <w:gridCol w:w="554"/>
        <w:gridCol w:w="554"/>
        <w:gridCol w:w="556"/>
        <w:gridCol w:w="109"/>
        <w:gridCol w:w="109"/>
        <w:gridCol w:w="109"/>
        <w:gridCol w:w="831"/>
        <w:gridCol w:w="831"/>
        <w:gridCol w:w="2372"/>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80"/>
              <w:jc w:val="center"/>
              <w:rPr>
                <w:rFonts w:ascii="Arial;sans-serif" w:hAnsi="Arial;sans-serif"/>
                <w:b/>
                <w:color w:val="000000"/>
                <w:sz w:val="18"/>
              </w:rPr>
            </w:pPr>
            <w:r>
              <w:rPr>
                <w:rFonts w:ascii="Arial;sans-serif" w:hAnsi="Arial;sans-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90"/>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90"/>
              <w:jc w:val="center"/>
              <w:rPr>
                <w:rFonts w:ascii="Arial;sans-serif" w:hAnsi="Arial;sans-serif"/>
                <w:b w:val="false"/>
                <w:color w:val="000000"/>
                <w:sz w:val="18"/>
              </w:rPr>
            </w:pPr>
            <w:r>
              <w:rPr>
                <w:rFonts w:ascii="Arial;sans-serif" w:hAnsi="Arial;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TLN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80"/>
        <w:jc w:val="left"/>
        <w:rPr/>
      </w:pPr>
      <w:r>
        <w:rPr>
          <w:rFonts w:ascii="Arial;sans-serif" w:hAnsi="Arial;sans-serif"/>
          <w:b w:val="false"/>
          <w:color w:val="000000"/>
          <w:sz w:val="18"/>
        </w:rPr>
        <w:t>Emerging growth company ☐</w:t>
      </w:r>
      <w:r>
        <w:rPr>
          <w:color w:val="000000"/>
        </w:rPr>
        <w:t xml:space="preserve"> </w:t>
      </w:r>
    </w:p>
    <w:p>
      <w:pPr>
        <w:pStyle w:val="TextBody"/>
        <w:bidi w:val="0"/>
        <w:spacing w:lineRule="auto" w:line="288" w:before="0" w:after="18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1440"/>
        <w:jc w:val="left"/>
        <w:rPr>
          <w:rFonts w:ascii="Arial;sans-serif" w:hAnsi="Arial;sans-serif"/>
          <w:b/>
          <w:color w:val="000000"/>
          <w:sz w:val="18"/>
          <w:shd w:fill="FFFFFF" w:val="clear"/>
        </w:rPr>
      </w:pPr>
      <w:r>
        <w:rPr>
          <w:rFonts w:ascii="Arial;sans-serif" w:hAnsi="Arial;sans-serif"/>
          <w:b/>
          <w:color w:val="000000"/>
          <w:sz w:val="18"/>
          <w:shd w:fill="FFFFFF" w:val="clear"/>
        </w:rPr>
        <w:t>Item 5.02.    Departure of Directors or Certain Officers; Election of Directors; Appointment of Certain Officers; Compensatory Arrangements of Certain Officers.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Executive Officer Updates</w:t>
      </w:r>
    </w:p>
    <w:p>
      <w:pPr>
        <w:pStyle w:val="TextBody"/>
        <w:bidi w:val="0"/>
        <w:spacing w:lineRule="auto" w:line="288" w:before="0" w:after="180"/>
        <w:jc w:val="left"/>
        <w:rPr/>
      </w:pPr>
      <w:r>
        <w:rPr>
          <w:rFonts w:ascii="Arial;sans-serif" w:hAnsi="Arial;sans-serif"/>
          <w:b w:val="false"/>
          <w:color w:val="000000"/>
          <w:sz w:val="18"/>
        </w:rPr>
        <w:t xml:space="preserve">On September 29, 2026, as part </w:t>
      </w:r>
      <w:r>
        <w:rPr>
          <w:rFonts w:ascii="Arial;sans-serif" w:hAnsi="Arial;sans-serif"/>
          <w:b w:val="false"/>
          <w:color w:val="000000"/>
          <w:sz w:val="18"/>
          <w:shd w:fill="FFFFFF" w:val="clear"/>
        </w:rPr>
        <w:t>of</w:t>
      </w:r>
      <w:r>
        <w:rPr>
          <w:color w:val="000000"/>
        </w:rPr>
        <w:t xml:space="preserve"> </w:t>
      </w:r>
      <w:r>
        <w:rPr>
          <w:rFonts w:ascii="Arial;sans-serif" w:hAnsi="Arial;sans-serif"/>
          <w:b w:val="false"/>
          <w:color w:val="000000"/>
          <w:sz w:val="18"/>
        </w:rPr>
        <w:t>its coordinated, on-going succession and retention planning, Talen Energy Corporation (the “Company”) announced that the Company’s board of directors (the “Board”) has named Terry L. Nutt as the Company’s next Chief Executive Officer (“CEO”) and President, effective January 1, 2027 (the “Effective Date”), at which time Mr. Nutt will also join the Board. As further described below, Mr. Nutt has entered into a second amended and restated employment agreement (the “Employment Agreement”) reflecting his new responsibilities as CEO and continued responsibilities as President that will become effective on the Effective Date.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Mark “Mac” A. McFarland, the Company’s current CEO, has given the Company notice of his intent to step down as CEO and as a member of the Board, effective on the Effective Date. Following the Effective Date, Mr. McFarland will serve as a Senior Advisor to the Company beginning on January 1, 2027 until his retirement on March 1, 2027 (the “Separation Date”). As further described below, Mr. McFarland has entered into a transition and retirement agreement with the Company (the “Transition Agreement”).</w:t>
      </w:r>
    </w:p>
    <w:p>
      <w:pPr>
        <w:pStyle w:val="TextBody"/>
        <w:bidi w:val="0"/>
        <w:spacing w:lineRule="auto" w:line="288" w:before="0" w:after="180"/>
        <w:jc w:val="left"/>
        <w:rPr/>
      </w:pPr>
      <w:r>
        <w:rPr>
          <w:rFonts w:ascii="Arial;sans-serif" w:hAnsi="Arial;sans-serif"/>
          <w:b w:val="false"/>
          <w:color w:val="000000"/>
          <w:sz w:val="18"/>
        </w:rPr>
        <w:t xml:space="preserve">Mr. Nutt was not appointed to his new positions under any arrangement or understanding between him and any other person. There are no transactions with Mr. Nutt that would be </w:t>
      </w:r>
      <w:r>
        <w:rPr>
          <w:rFonts w:ascii="Arial;sans-serif" w:hAnsi="Arial;sans-serif"/>
          <w:b w:val="false"/>
          <w:color w:val="000000"/>
          <w:sz w:val="18"/>
          <w:shd w:fill="FFFFFF" w:val="clear"/>
        </w:rPr>
        <w:t>reportable</w:t>
      </w:r>
      <w:r>
        <w:rPr>
          <w:color w:val="000000"/>
        </w:rPr>
        <w:t xml:space="preserve"> </w:t>
      </w:r>
      <w:r>
        <w:rPr>
          <w:rFonts w:ascii="Arial;sans-serif" w:hAnsi="Arial;sans-serif"/>
          <w:b w:val="false"/>
          <w:color w:val="000000"/>
          <w:sz w:val="18"/>
        </w:rPr>
        <w:t>under Item 404(a) of Regulation S-K and no family relationships exist between Mr. Nutt and any of the directors or other officers of the Company. Mr. McFarland’s retirement is not the result of any disagreement with the Company related to its operations, policies, or practices.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Biography of Mr. Nutt</w:t>
      </w:r>
    </w:p>
    <w:p>
      <w:pPr>
        <w:pStyle w:val="TextBody"/>
        <w:bidi w:val="0"/>
        <w:spacing w:lineRule="auto" w:line="288" w:before="0" w:after="180"/>
        <w:jc w:val="left"/>
        <w:rPr/>
      </w:pPr>
      <w:r>
        <w:rPr>
          <w:rFonts w:ascii="Arial;sans-serif" w:hAnsi="Arial;sans-serif"/>
          <w:b/>
          <w:color w:val="000000"/>
          <w:sz w:val="18"/>
        </w:rPr>
        <w:t>Mr. Nutt</w:t>
      </w:r>
      <w:r>
        <w:rPr>
          <w:rFonts w:ascii="Arial;sans-serif" w:hAnsi="Arial;sans-serif"/>
          <w:b w:val="false"/>
          <w:color w:val="000000"/>
          <w:sz w:val="18"/>
        </w:rPr>
        <w:t xml:space="preserve">, age 50, has served as the Company’s President since December 2025, prior to which he served as the Company’s Chief Financial Officer from July 2023 through December 2025. He has over 25 years of experience in the energy industry, including time spent at independent power producers and energy </w:t>
      </w:r>
      <w:r>
        <w:rPr>
          <w:rFonts w:ascii="Arial;sans-serif" w:hAnsi="Arial;sans-serif"/>
          <w:b w:val="false"/>
          <w:color w:val="000000"/>
          <w:sz w:val="18"/>
          <w:shd w:fill="FFFFFF" w:val="clear"/>
        </w:rPr>
        <w:t>trading</w:t>
      </w:r>
      <w:r>
        <w:rPr>
          <w:color w:val="000000"/>
        </w:rPr>
        <w:t xml:space="preserve"> </w:t>
      </w:r>
      <w:r>
        <w:rPr>
          <w:rFonts w:ascii="Arial;sans-serif" w:hAnsi="Arial;sans-serif"/>
          <w:b w:val="false"/>
          <w:color w:val="000000"/>
          <w:sz w:val="18"/>
        </w:rPr>
        <w:t xml:space="preserve">firms. From 2018 until 2023, he served as Chief Financial Officer and Managing Director for EDF Trading North America (“EDF”), the energy commodity trading subsidiary of Électricité de France (EDF) S.A., a </w:t>
      </w:r>
      <w:r>
        <w:rPr>
          <w:rFonts w:ascii="Arial;sans-serif" w:hAnsi="Arial;sans-serif"/>
          <w:b w:val="false"/>
          <w:color w:val="000000"/>
          <w:sz w:val="18"/>
          <w:shd w:fill="FFFFFF" w:val="clear"/>
        </w:rPr>
        <w:t>multinational</w:t>
      </w:r>
      <w:r>
        <w:rPr>
          <w:color w:val="000000"/>
        </w:rPr>
        <w:t xml:space="preserve"> </w:t>
      </w:r>
      <w:r>
        <w:rPr>
          <w:rFonts w:ascii="Arial;sans-serif" w:hAnsi="Arial;sans-serif"/>
          <w:b w:val="false"/>
          <w:color w:val="000000"/>
          <w:sz w:val="18"/>
        </w:rPr>
        <w:t>energy utility headquartered in France. Prior to his service at EDF, Mr. Nutt served in multiple senior finance positions at Vistra Corporation (and its predecessor entities) (“Vistra”), including as Senior Vice President and Controller and Senior Vice President of Risk Management. Prior to his time at Vistra, Mr. Nutt worked in various finance roles at Dynegy Inc. Mr. Nutt earned his M.S. in Accounting and his B.B.A., summa cum laude, from Texas A&amp;M University. Mr. Nutt has also completed the MIT Nuclear Reactor Technology Course for Utility Executives.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Employment and Transition and Retirement Arrangements – Named Executive Officers </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Salary and Incentive Compensation Changes</w:t>
      </w:r>
    </w:p>
    <w:p>
      <w:pPr>
        <w:pStyle w:val="TextBody"/>
        <w:bidi w:val="0"/>
        <w:spacing w:lineRule="auto" w:line="288" w:before="0" w:after="180"/>
        <w:jc w:val="left"/>
        <w:rPr/>
      </w:pPr>
      <w:r>
        <w:rPr>
          <w:rFonts w:ascii="Arial;sans-serif" w:hAnsi="Arial;sans-serif"/>
          <w:b w:val="false"/>
          <w:color w:val="000000"/>
          <w:sz w:val="18"/>
        </w:rPr>
        <w:t>In connection with Mr. Nutt’s appointment and the approval of his revised E</w:t>
      </w:r>
      <w:r>
        <w:rPr>
          <w:rFonts w:ascii="Arial;sans-serif" w:hAnsi="Arial;sans-serif"/>
          <w:b w:val="false"/>
          <w:color w:val="000000"/>
          <w:sz w:val="18"/>
          <w:shd w:fill="FFFFFF" w:val="clear"/>
        </w:rPr>
        <w:t>mployment</w:t>
      </w:r>
      <w:r>
        <w:rPr>
          <w:color w:val="000000"/>
        </w:rPr>
        <w:t xml:space="preserve"> </w:t>
      </w:r>
      <w:r>
        <w:rPr>
          <w:rFonts w:ascii="Arial;sans-serif" w:hAnsi="Arial;sans-serif"/>
          <w:b w:val="false"/>
          <w:color w:val="000000"/>
          <w:sz w:val="18"/>
        </w:rPr>
        <w:t xml:space="preserve">Agreement, the Board set his base salary at $1,200,000; target short-term annual incentive bonus at 135% of base salary; and target grant date value of long-term incentive award amounts at 700% of base salary. </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Employment Agreement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connection with Mr. Nutt’s appointment, he entered into the Employment Agreement, effective January 1, 2027, with an initial term through February 28, 2028 (subject to automatic annual renewals thereafter unless Mr. Nutt or the Company provides 90 days’ written notice of their intent not to extend the term). The terms of Mr. Nutt’s existing employment agreement will continue to apply until January 1, 2027.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Employment Agreement provides that, in the event that Mr. Nutt’s employment is terminated by the Company without Cause, the Company does not renew the term of the Employment Agreement, or Mr. Nutt resigns for Good Reason (each, as defined in the Employment Agreement and herein, a “Qualifying Termination”) and such termination is not on or within 18 months following a Change of Control (as defined in the Employment Agreement), Mr. Nutt will receive any earned but unpaid annual bonus for the year preceding the year in which the termination occurs (the “Prior Year Bonus”) and, subject to Mr. Nutt’s execution and nonrevocation of a release of claims in favor of the Company and continued compliance with his restrictive covenant obligations, (i) two times the sum of his annual base salary and target annual bonus, payable over 24 months following the Qualifying Termination, (ii) a pro-rated target bonus amount for the year of termination, and (iii) eligibility to continue on the Company’s health plan at a monthly rate equal to the Company’s full Consolidated Omnibus Budget Reconciliation Act (“COBRA”) rates for up to 36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months at Mr. Nutt’s sole expense (the “COBRA Continuation”). If Mr. Nutt experiences a Qualifying Termination within 18 months following a Change of Control, he will receive the Prior Year Bonus and, subject to his execution and nonrevocation of a release in favor of the Company and continued compliance with his restrictive covenant obligations, (i) a lump sum equal to 2.99 times the sum of his annual base salary and target annual bonus, (ii) a pro-rated target bonus amount for the year of termination, and (iii) eligibility for COBRA Continuation at a monthly rate that is no greater than the premiums he paid for coverage under the Company’s group health plan immediately prior to the termination date for up to 36 months. In the event Mr. Nutt’s employment is terminated due to Mr. Nutt’s death or disability, he shall receive (i) the Prior Year Bonus, (ii) a pro-rated portion of his target bonus for the year of termination, and (iii) eligibility for COBRA Continuation at a monthly rate equal to the Company’s full COBRA rates for up to 36 months. Additionally, where Mr. Nutt provides 90 days’ notice on a non-renewal of the term of the Employment Agreement, he shall be entitled to receive the Prior Year Bonus, subject to his execution and nonrevocation of a release of claims in favor of the Company and continued compliance with his restrictive covenant obligations.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Under the terms of the Employment Agreement, Mr. Nutt is subject to perpetual confidentiality, assignment of intellectual property and non-disparagement covenants as well as non-competition and non-solicitation covenants applicable during employment and for one year thereafter.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foregoing description is qualified in its entirety by reference to the full text of the Employment Agreement, a copy of which is filed as Exhibit 10.1 to this Current Report on Form 8-K (this “Report”) and which is incorporated by reference into this Item 5.02.</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Transition and Retirement Agreement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connection with Mr. McFarland’s retirement, Mr. McFarland entered into the Transition Agreement with the Company, dated as of September 28, 2026, which provides for a transition from his current role as CEO and as a member of the Board to a role as Senior Advisor to the Company, reporting to the Chairman of the Board, beginning on January 1, 2027 and ending on the Separation Date. Mr. McFarland will be paid $100,000 for his services as a Senior Advisor and will continue to receive his current benefits through the Separation Date (other than any new grants of equity). Upon his separation, subject to his execution and non-revocation of a general release of claims in favor of the Company and his continued compliance with his restrictive covenant obligations to the Company, its subsidiaries, and affiliates, he will receive (x) the COBRA Continuation for up to 36 months and (y) his annual bonus for the 2026 fiscal year, based on actual performance.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foregoing description is qualified in its entirety by reference to the full text of the Transition Agreement, a copy of which is filed as Exhibit 10.2 to this Report and which is incorporated by reference into this Item 5.02.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color w:val="000000"/>
          <w:sz w:val="18"/>
          <w:shd w:fill="FFFFFF" w:val="clear"/>
        </w:rPr>
        <w:t>Item 7.01.</w:t>
      </w:r>
      <w:r>
        <w:rPr>
          <w:color w:val="000000"/>
        </w:rPr>
        <w:t xml:space="preserve"> </w:t>
      </w:r>
      <w:r>
        <w:rPr>
          <w:rFonts w:ascii="Arial;sans-serif" w:hAnsi="Arial;sans-serif"/>
          <w:b/>
          <w:color w:val="000000"/>
          <w:sz w:val="18"/>
          <w:shd w:fill="FFFFFF" w:val="clear"/>
        </w:rPr>
        <w:t>Regulation FD Disclosure.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September 29, 2026, the Company issued a press release regarding the executive matters described above, and additionally announcing its entry into the capacity monetization transaction, the upsize of the Company’s share repurchase program and its entry into accelerated share repurchase agreements, each as described below, a copy of which is furnished as Exhibit 99.1 to this Report and which is incorporated by reference into this Item 7.01.</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information provided under this Item 7.01 and in Exhibit 99.1 to this Report is being furnished and shall not be deemed “filed” for the purpose of Section 18 of the Securities Exchange Act of 1934, as amended (the “Exchange Act”), or otherwise subject to the liabilities of that Section. Such information shall not be incorporated by reference into any registration statement or other document pursuant to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Arial;sans-serif" w:hAnsi="Arial;sans-serif"/>
          <w:b/>
          <w:color w:val="000000"/>
          <w:sz w:val="18"/>
          <w:shd w:fill="FFFFFF" w:val="clear"/>
        </w:rPr>
        <w:t>Item 8.01.</w:t>
      </w:r>
      <w:r>
        <w:rPr>
          <w:color w:val="000000"/>
        </w:rPr>
        <w:t xml:space="preserve"> </w:t>
      </w:r>
      <w:r>
        <w:rPr>
          <w:rFonts w:ascii="Arial;sans-serif" w:hAnsi="Arial;sans-serif"/>
          <w:b/>
          <w:color w:val="000000"/>
          <w:sz w:val="18"/>
          <w:shd w:fill="FFFFFF" w:val="clear"/>
        </w:rPr>
        <w:t>Other Events.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Capacity Monetization Transaction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September 25, 2026, Talen Energy Marketing, LLC (“TEM”), an indirect wholly owned subsidiary of the Company, entered into an arrangement with an unaffiliated third party to sell future capacity revenues awarded by PJM and cleared by TEM in PJM’s capacity auctions for the 2027/2028 and 2028/2029 delivery years (the “Capacity Monetization Transaction”) related to certain of the Company’s generation fleet. Under the terms of the Capacity Monetization Transaction, TEM transferred the rights of future cash flows for certain cleared capacity with volumes of approximately 6.5 GW and 6.0 GW for the 2027/2028 and 2028/2029 delivery years, respectively, and aggregate revenues of approximately $1.5 billion. In exchange, TEM was advanced proceeds equal to the aggregate capacity revenues less a rate of SOFR plus 200 basis points, with SOFR to be calculated on October 1, 2026. The Company remains responsible for operating its generation facilities, retains the obligation to perform as a PJM generation capacity resource with respect to the capacity sold in the transaction, has retained its rights for any earned capacity performance bonus payments, and has retained the risks associated with performance deficiency penalties. The Capacity Monetization Transaction is only for capacity and does not include the sale of energy.</w: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Upsize of Share Repurchase Program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On September 23, 2026, the Board approved the upsizing of its existing share repurchase program (the “SRP”) to increase the amount of shares of its common stock, par value $0.001 per share (the “common stock”), which the Company may repurchase by $1.5 billion (the “Additional Authorization”). As a result of the Additional Authorization, the aggregate authorization remaining under the Company’s SRP increased from $1.5 billion to $3.0 billion (subject to any utilization for the ASR Agreements described below).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Company intends to fund the SRP with proceeds of the Capacity Monetization Transaction, cash on hand and cash generated by operations. The shares of common stock may be repurchased from time to time in open market transactions at prevailing market prices, negotiated transactions, accelerated share repurchase agreements, or other means in accordance with federal securities laws. The timing, number, and value of shares of common stock repurchased under the SRP (other than the ASR Agreements) will be at management’s discretion and will depend on several factors, including the market price of the Company’s common stock, alternate uses of capital, general market and economic conditions, and applicable legal requirements. The Company has no obligation to repurchase any amount of its common stock under the program. The program may be suspended, modified, or discontinued by the Board at any time without prior notice.</w:t>
      </w:r>
    </w:p>
    <w:p>
      <w:pPr>
        <w:pStyle w:val="TextBody"/>
        <w:bidi w:val="0"/>
        <w:spacing w:lineRule="auto" w:line="288" w:before="0" w:after="180"/>
        <w:jc w:val="left"/>
        <w:rPr>
          <w:rFonts w:ascii="Arial;sans-serif" w:hAnsi="Arial;sans-serif"/>
          <w:b/>
          <w:color w:val="000000"/>
          <w:sz w:val="18"/>
          <w:shd w:fill="FFFFFF" w:val="clear"/>
        </w:rPr>
      </w:pPr>
      <w:r>
        <w:rPr>
          <w:rFonts w:ascii="Arial;sans-serif" w:hAnsi="Arial;sans-serif"/>
          <w:b/>
          <w:color w:val="000000"/>
          <w:sz w:val="18"/>
          <w:shd w:fill="FFFFFF" w:val="clear"/>
        </w:rPr>
        <w:t>Accelerated Share Repurchases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September 29, 2026, the Company entered into ASR Agreements with multiple dealers to repurchase an aggregate of $1.5 billion of shares of the Company’s common stock using the proceeds of the Capacity Monetization Transaction and cash on hand. The ASR Agreements were undertaken as part of the Additional Authorization of the Company’s SRP.</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Under the terms of the ASR Agreements, the Company will initially receive approximately 4.0 million shares, representing approximately 80% of the total shares the Company expects to repurchase under the respective ASR Agreements assuming the share price at market close on September 28, 2026. The final number of shares repurchased will be based on the arithmetic average of the daily volume-weighted average prices of the Company’s common stock during the term of the ASR Agreements less an agreed discount and subject to customary adjustments related to the terms and conditions of the ASR Agreements. The final settlement of the ASR Agreements is expected to be completed no later than the first quarter of 2027. As of September 28, 2026, the Company had approximately 47.3 million shares of common stock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0" w:after="180"/>
        <w:jc w:val="left"/>
        <w:rPr/>
      </w:pPr>
      <w:r>
        <w:rPr>
          <w:rFonts w:ascii="Arial;sans-serif" w:hAnsi="Arial;sans-serif"/>
          <w:b w:val="false"/>
          <w:color w:val="000000"/>
          <w:sz w:val="18"/>
        </w:rPr>
        <w:t xml:space="preserve">(d) </w:t>
      </w:r>
      <w:r>
        <w:rPr>
          <w:rFonts w:ascii="Arial;sans-serif" w:hAnsi="Arial;sans-serif"/>
          <w:b w:val="false"/>
          <w:i/>
          <w:color w:val="000000"/>
          <w:sz w:val="18"/>
        </w:rPr>
        <w:t>Exhibits.</w:t>
      </w:r>
    </w:p>
    <w:tbl>
      <w:tblPr>
        <w:tblW w:w="10205" w:type="dxa"/>
        <w:jc w:val="left"/>
        <w:tblInd w:w="0" w:type="dxa"/>
        <w:tblLayout w:type="fixed"/>
        <w:tblCellMar>
          <w:top w:w="28" w:type="dxa"/>
          <w:left w:w="28" w:type="dxa"/>
          <w:bottom w:w="28" w:type="dxa"/>
          <w:right w:w="28" w:type="dxa"/>
        </w:tblCellMar>
      </w:tblPr>
      <w:tblGrid>
        <w:gridCol w:w="331"/>
        <w:gridCol w:w="292"/>
        <w:gridCol w:w="293"/>
        <w:gridCol w:w="2712"/>
        <w:gridCol w:w="2712"/>
        <w:gridCol w:w="3865"/>
      </w:tblGrid>
      <w:tr>
        <w:trPr/>
        <w:tc>
          <w:tcPr>
            <w:tcW w:w="3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Exhibit No.</w:t>
            </w:r>
          </w:p>
        </w:tc>
        <w:tc>
          <w:tcPr>
            <w:tcW w:w="92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916"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8"/>
              </w:rPr>
              <w:t>10.1</w:t>
            </w:r>
            <w:r>
              <w:rPr>
                <w:color w:val="000000"/>
              </w:rPr>
              <w:t>†</w:t>
            </w:r>
            <w:r>
              <w:rPr>
                <w:rFonts w:ascii="Arial Narrow;sans-serif" w:hAnsi="Arial Narrow;sans-serif"/>
                <w:b w:val="false"/>
                <w:color w:val="000000"/>
                <w:sz w:val="13"/>
              </w:rPr>
              <w:t>^</w:t>
            </w:r>
          </w:p>
        </w:tc>
        <w:tc>
          <w:tcPr>
            <w:tcW w:w="928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101secondamendedandresta.htm">
              <w:r>
                <w:rPr>
                  <w:rStyle w:val="InternetLink"/>
                  <w:rFonts w:ascii="Arial;sans-serif" w:hAnsi="Arial;sans-serif"/>
                  <w:b w:val="false"/>
                  <w:color w:val="0000EE"/>
                  <w:sz w:val="18"/>
                  <w:u w:val="single"/>
                </w:rPr>
                <w:t>Second Amended and Restated Employment Agreement, effective January 1, 2027, by and between Talen Energy Corporation and Terry L. Nutt.</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8"/>
              </w:rPr>
              <w:t>10.2</w:t>
            </w:r>
            <w:r>
              <w:rPr>
                <w:color w:val="000000"/>
              </w:rPr>
              <w:t>†</w:t>
            </w:r>
            <w:r>
              <w:rPr>
                <w:rFonts w:ascii="Arial Narrow;sans-serif" w:hAnsi="Arial Narrow;sans-serif"/>
                <w:b w:val="false"/>
                <w:color w:val="000000"/>
                <w:sz w:val="13"/>
              </w:rPr>
              <w:t>^</w:t>
            </w:r>
          </w:p>
        </w:tc>
        <w:tc>
          <w:tcPr>
            <w:tcW w:w="928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102transitionandretireme.htm">
              <w:r>
                <w:rPr>
                  <w:rStyle w:val="InternetLink"/>
                  <w:rFonts w:ascii="Arial;sans-serif" w:hAnsi="Arial;sans-serif"/>
                  <w:b w:val="false"/>
                  <w:color w:val="000080"/>
                  <w:sz w:val="18"/>
                  <w:u w:val="single"/>
                </w:rPr>
                <w:t xml:space="preserve">Transition and Retirement Agreement and Release of Claims, dated as of September </w:t>
              </w:r>
            </w:hyperlink>
            <w:hyperlink w:anchor="ex102transitionandretireme.htm">
              <w:r>
                <w:rPr>
                  <w:rStyle w:val="InternetLink"/>
                  <w:rFonts w:ascii="Arial;sans-serif" w:hAnsi="Arial;sans-serif"/>
                  <w:b w:val="false"/>
                  <w:color w:val="000080"/>
                  <w:sz w:val="18"/>
                  <w:u w:val="single"/>
                </w:rPr>
                <w:t>28</w:t>
              </w:r>
            </w:hyperlink>
            <w:hyperlink w:anchor="ex102transitionandretireme.htm">
              <w:r>
                <w:rPr>
                  <w:rStyle w:val="InternetLink"/>
                  <w:rFonts w:ascii="Arial;sans-serif" w:hAnsi="Arial;sans-serif"/>
                  <w:b w:val="false"/>
                  <w:color w:val="000080"/>
                  <w:sz w:val="18"/>
                  <w:u w:val="single"/>
                </w:rPr>
                <w:t>, 2026, by and between Talen Energy Corporation and Mark “Mac” A. McFarland.</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928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20260929pressreleasecapac.htm">
              <w:r>
                <w:rPr>
                  <w:rStyle w:val="InternetLink"/>
                  <w:rFonts w:ascii="Arial;sans-serif" w:hAnsi="Arial;sans-serif"/>
                  <w:b w:val="false"/>
                  <w:color w:val="000080"/>
                  <w:sz w:val="18"/>
                  <w:u w:val="single"/>
                </w:rPr>
                <w:t xml:space="preserve">Press Release dated September </w:t>
              </w:r>
            </w:hyperlink>
            <w:hyperlink w:anchor="a20260929pressreleasecapac.htm">
              <w:r>
                <w:rPr>
                  <w:rStyle w:val="InternetLink"/>
                  <w:rFonts w:ascii="Arial;sans-serif" w:hAnsi="Arial;sans-serif"/>
                  <w:b w:val="false"/>
                  <w:color w:val="000080"/>
                  <w:sz w:val="18"/>
                  <w:u w:val="single"/>
                </w:rPr>
                <w:t>29</w:t>
              </w:r>
            </w:hyperlink>
            <w:hyperlink w:anchor="a20260929pressreleasecapac.htm">
              <w:r>
                <w:rPr>
                  <w:rStyle w:val="InternetLink"/>
                  <w:rFonts w:ascii="Arial;sans-serif" w:hAnsi="Arial;sans-serif"/>
                  <w:b w:val="false"/>
                  <w:color w:val="000080"/>
                  <w:sz w:val="18"/>
                  <w:u w:val="single"/>
                </w:rPr>
                <w:t>, 2026.</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2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(cover page XBRL tags embedded within the Inline XBRL document).</w:t>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________________</w:t>
      </w:r>
    </w:p>
    <w:p>
      <w:pPr>
        <w:pStyle w:val="TextBody"/>
        <w:bidi w:val="0"/>
        <w:spacing w:lineRule="auto" w:line="288" w:before="0" w:after="0"/>
        <w:jc w:val="left"/>
        <w:rPr/>
      </w:pPr>
      <w:r>
        <w:rPr>
          <w:color w:val="000000"/>
        </w:rPr>
        <w:t>†     </w:t>
      </w:r>
      <w:r>
        <w:rPr>
          <w:rFonts w:ascii="Arial;sans-serif" w:hAnsi="Arial;sans-serif"/>
          <w:b w:val="false"/>
          <w:color w:val="000000"/>
          <w:sz w:val="16"/>
        </w:rPr>
        <w:t>Management contract or compensatory plan or arrangement.</w:t>
      </w:r>
    </w:p>
    <w:p>
      <w:pPr>
        <w:pStyle w:val="TextBody"/>
        <w:bidi w:val="0"/>
        <w:spacing w:lineRule="auto" w:line="288" w:before="0" w:after="180"/>
        <w:jc w:val="left"/>
        <w:rPr/>
      </w:pPr>
      <w:r>
        <w:rPr>
          <w:rFonts w:ascii="Arial;sans-serif" w:hAnsi="Arial;sans-serif"/>
          <w:b w:val="false"/>
          <w:color w:val="000000"/>
          <w:sz w:val="12"/>
        </w:rPr>
        <w:t>^</w:t>
      </w:r>
      <w:r>
        <w:rPr>
          <w:color w:val="000000"/>
        </w:rPr>
        <w:t>    </w:t>
      </w:r>
      <w:r>
        <w:rPr>
          <w:rFonts w:ascii="Arial;sans-serif" w:hAnsi="Arial;sans-serif"/>
          <w:b w:val="false"/>
          <w:color w:val="000000"/>
          <w:sz w:val="16"/>
        </w:rPr>
        <w:t>Certain private and immaterial portions of the exhibit have been redacted pursuant to Item 601(a)(6)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5892" w:type="dxa"/>
        <w:jc w:val="left"/>
        <w:tblInd w:w="0" w:type="dxa"/>
        <w:tblLayout w:type="fixed"/>
        <w:tblCellMar>
          <w:top w:w="28" w:type="dxa"/>
          <w:left w:w="28" w:type="dxa"/>
          <w:bottom w:w="28" w:type="dxa"/>
          <w:right w:w="28" w:type="dxa"/>
        </w:tblCellMar>
      </w:tblPr>
      <w:tblGrid>
        <w:gridCol w:w="201"/>
        <w:gridCol w:w="176"/>
        <w:gridCol w:w="178"/>
        <w:gridCol w:w="589"/>
        <w:gridCol w:w="589"/>
        <w:gridCol w:w="591"/>
        <w:gridCol w:w="214"/>
        <w:gridCol w:w="214"/>
        <w:gridCol w:w="216"/>
        <w:gridCol w:w="856"/>
        <w:gridCol w:w="856"/>
        <w:gridCol w:w="1212"/>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ENERGY CORPORATION</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Date:</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September 29, 2026</w:t>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By:</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/s/ Cole Muller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Name:</w:t>
            </w:r>
          </w:p>
        </w:tc>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Cole Muller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Title:</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Exhibit 10.1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320"/>
        <w:jc w:val="center"/>
        <w:rPr>
          <w:rFonts w:ascii="Times New Roman;serif" w:hAnsi="Times New Roman;serif"/>
          <w:b/>
          <w:color w:val="000000"/>
          <w:sz w:val="24"/>
        </w:rPr>
      </w:pPr>
      <w:r>
        <w:rPr>
          <w:rFonts w:ascii="Times New Roman;serif" w:hAnsi="Times New Roman;serif"/>
          <w:b/>
          <w:color w:val="000000"/>
          <w:sz w:val="24"/>
        </w:rPr>
        <w:t>SECOND AMENDED AND RESTATED EMPLOYMENT AGREEMENT</w:t>
      </w:r>
    </w:p>
    <w:p>
      <w:pPr>
        <w:pStyle w:val="TextBody"/>
        <w:bidi w:val="0"/>
        <w:spacing w:lineRule="auto" w:line="240" w:before="0" w:after="3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Second Amended and Restated Employment Agreement (“Agreement”) is made and entered into by and between Talen Energy Corporation, a Delaware corporation (the “Company”), and Terry L. Nutt (“Employee”) as of the date set forth on the signature page hereto, to be effective as of January 1, 2027 (the “Effective Date”).</w:t>
      </w:r>
    </w:p>
    <w:p>
      <w:pPr>
        <w:pStyle w:val="TextBody"/>
        <w:bidi w:val="0"/>
        <w:spacing w:lineRule="auto" w:line="240" w:before="0" w:after="3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Employee and the Company entered into an employment agreement, effective as of July 10, 2023, which was amended and restated on December 12, 2025 (as amended and restated, the “Prior Agreement”); and</w:t>
      </w:r>
    </w:p>
    <w:p>
      <w:pPr>
        <w:pStyle w:val="TextBody"/>
        <w:bidi w:val="0"/>
        <w:spacing w:lineRule="auto" w:line="240" w:before="0" w:after="3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Employee and the Company mutually desire that Employee continue to provide services to the Company and its affiliates on the terms set forth in this Agreement, which replaces and supersedes in its entirety the Prior Agreement as of the Effective Date.</w:t>
      </w:r>
    </w:p>
    <w:p>
      <w:pPr>
        <w:pStyle w:val="TextBody"/>
        <w:bidi w:val="0"/>
        <w:spacing w:lineRule="auto" w:line="240" w:before="0" w:after="3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such employment and the mutual covenants and promises herein contained, and for other good and valuable consideration, the receipt and sufficiency of which are hereby acknowledged, the Company and Employee agree as follows:</w:t>
      </w:r>
    </w:p>
    <w:p>
      <w:pPr>
        <w:pStyle w:val="TextBody"/>
        <w:bidi w:val="0"/>
        <w:spacing w:lineRule="auto" w:line="240" w:before="0" w:after="320"/>
        <w:ind w:left="0" w:right="0" w:firstLine="720"/>
        <w:jc w:val="both"/>
        <w:rPr/>
      </w:pPr>
      <w:r>
        <w:rPr>
          <w:rFonts w:ascii="Times New Roman;serif" w:hAnsi="Times New Roman;serif"/>
          <w:b w:val="false"/>
          <w:color w:val="010000"/>
          <w:sz w:val="24"/>
        </w:rPr>
        <w:t>1.</w:t>
      </w:r>
      <w:r>
        <w:rPr>
          <w:rFonts w:ascii="Times New Roman;serif" w:hAnsi="Times New Roman;serif"/>
          <w:b/>
          <w:color w:val="000000"/>
          <w:sz w:val="24"/>
          <w:u w:val="single"/>
        </w:rPr>
        <w:t>Employment</w:t>
      </w:r>
      <w:r>
        <w:rPr>
          <w:rFonts w:ascii="Times New Roman;serif" w:hAnsi="Times New Roman;serif"/>
          <w:b w:val="false"/>
          <w:color w:val="000000"/>
          <w:sz w:val="24"/>
        </w:rPr>
        <w:t xml:space="preserve">. </w:t>
      </w:r>
    </w:p>
    <w:p>
      <w:pPr>
        <w:pStyle w:val="TextBody"/>
        <w:bidi w:val="0"/>
        <w:spacing w:lineRule="auto" w:line="240" w:before="0" w:after="32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During the Employment Period (as defined below), the Company shall continue to employ Employee, and Employee shall serve, as Chief Executive Officer and President of the Company and in such other position or positions as may be assigned from time to time by the board of directors (the “Board”) of the Company. The Board shall take such action as may be necessary to appoint or elect Employee as a member of the Board as of the Effective Date, and during the Employment Period, to nominate Employee for re-election upon the expiration of his term as a director. In addition, if requested by the Company, Employee shall serve as an officer or member of the board of directors of any subsidiaries or affiliates of the Company without additional compensation. </w:t>
      </w:r>
    </w:p>
    <w:p>
      <w:pPr>
        <w:pStyle w:val="TextBody"/>
        <w:bidi w:val="0"/>
        <w:spacing w:lineRule="auto" w:line="240" w:before="0" w:after="32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Employee expressly and irrevocably waives and releases any and all claims Employee may have to terminate Employee’s employment for Good Reason under the Employee’s Prior Agreement and receive payments and benefits or otherwise be entitled to any other rights under any plan, program, agreement or other arrangement sponsored by the Company or any of its subsidiaries or affiliates, as the result of Employee’s role change from President under the Prior Agreement to Chief Executive Officer and President (as set forth in Section 1(a) above). </w:t>
      </w:r>
    </w:p>
    <w:p>
      <w:pPr>
        <w:pStyle w:val="TextBody"/>
        <w:bidi w:val="0"/>
        <w:spacing w:lineRule="auto" w:line="240" w:before="0" w:after="32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For the avoidance of doubt, the terms and conditions of Employee’s employment with the Company will continue to be governed by the Prior Agreement until the Effective Date. This Agreement will be null and avoid ab initio and of no further force nor effect in the event that Employee’s employment with the Company terminates for any reason prior to the Effective Date. </w:t>
      </w:r>
    </w:p>
    <w:p>
      <w:pPr>
        <w:pStyle w:val="TextBody"/>
        <w:bidi w:val="0"/>
        <w:spacing w:lineRule="auto" w:line="240" w:before="0" w:after="320"/>
        <w:ind w:left="0" w:right="0" w:firstLine="720"/>
        <w:jc w:val="both"/>
        <w:rPr/>
      </w:pPr>
      <w:r>
        <w:rPr>
          <w:rFonts w:ascii="Times New Roman;serif" w:hAnsi="Times New Roman;serif"/>
          <w:b w:val="false"/>
          <w:color w:val="010000"/>
          <w:sz w:val="24"/>
        </w:rPr>
        <w:t>2.</w:t>
      </w:r>
      <w:r>
        <w:rPr>
          <w:rFonts w:ascii="Times New Roman;serif" w:hAnsi="Times New Roman;serif"/>
          <w:b/>
          <w:color w:val="000000"/>
          <w:sz w:val="24"/>
          <w:u w:val="single"/>
        </w:rPr>
        <w:t>Duties and Responsibilities of Employee</w:t>
      </w:r>
      <w:r>
        <w:rPr>
          <w:rFonts w:ascii="Times New Roman;serif" w:hAnsi="Times New Roman;serif"/>
          <w:b w:val="false"/>
          <w:color w:val="000000"/>
          <w:sz w:val="24"/>
        </w:rPr>
        <w:t>.</w:t>
      </w:r>
    </w:p>
    <w:p>
      <w:pPr>
        <w:pStyle w:val="TextBody"/>
        <w:bidi w:val="0"/>
        <w:spacing w:lineRule="auto" w:line="240" w:before="0" w:after="3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During the Employment Period, Employee shall actively engage in the business and affairs of the Company (together with its direct and indirect subsidiaries, the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320"/>
        <w:jc w:val="both"/>
        <w:rPr/>
      </w:pPr>
      <w:r>
        <w:rPr>
          <w:color w:val="000000"/>
        </w:rPr>
        <w:t>“</w:t>
      </w:r>
      <w:r>
        <w:rPr>
          <w:rFonts w:ascii="Times New Roman;serif" w:hAnsi="Times New Roman;serif"/>
          <w:b w:val="false"/>
          <w:color w:val="000000"/>
          <w:sz w:val="24"/>
          <w:u w:val="single"/>
        </w:rPr>
        <w:t>Company Group</w:t>
      </w:r>
      <w:r>
        <w:rPr>
          <w:color w:val="000000"/>
        </w:rPr>
        <w:t>”</w:t>
      </w:r>
      <w:r>
        <w:rPr>
          <w:rFonts w:ascii="Times New Roman;serif" w:hAnsi="Times New Roman;serif"/>
          <w:b w:val="false"/>
          <w:color w:val="000000"/>
          <w:sz w:val="24"/>
        </w:rPr>
        <w:t xml:space="preserve">) as may be requested by the Board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Times New Roman;serif" w:hAnsi="Times New Roman;serif"/>
          <w:b w:val="false"/>
          <w:color w:val="000000"/>
          <w:sz w:val="24"/>
          <w:u w:val="single"/>
        </w:rPr>
        <w:t>Section 1</w:t>
      </w:r>
      <w:r>
        <w:rPr>
          <w:rFonts w:ascii="Times New Roman;serif" w:hAnsi="Times New Roman;serif"/>
          <w:b w:val="false"/>
          <w:color w:val="000000"/>
          <w:sz w:val="24"/>
        </w:rPr>
        <w:t xml:space="preserve">, as well as such additional duties as may be assigned to Employee by the Board from time to time, which duties and responsibilities may include providing services to other members of the Company Group in addition to the Company. Employee may, without violating this </w:t>
      </w:r>
      <w:r>
        <w:rPr>
          <w:rFonts w:ascii="Times New Roman;serif" w:hAnsi="Times New Roman;serif"/>
          <w:b w:val="false"/>
          <w:color w:val="000000"/>
          <w:sz w:val="24"/>
          <w:u w:val="single"/>
        </w:rPr>
        <w:t>Section 2(a)</w:t>
      </w:r>
      <w:r>
        <w:rPr>
          <w:rFonts w:ascii="Times New Roman;serif" w:hAnsi="Times New Roman;serif"/>
          <w:b w:val="false"/>
          <w:color w:val="000000"/>
          <w:sz w:val="24"/>
        </w:rPr>
        <w:t>, (i) as a passive investment, own publicly traded securities in such form or manner as will not require any services by Employee in the operation of the entities in which such securities are owned; (ii) engage in charitable and civic activities; (iii) with the prior written consent of the Board, engage in other personal and passive investment activities; and (iv) with the prior written consent of the Board, serve on the board of directors of one other for-profit corporation,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pStyle w:val="TextBody"/>
        <w:bidi w:val="0"/>
        <w:spacing w:lineRule="auto" w:line="240" w:before="0" w:after="3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pStyle w:val="TextBody"/>
        <w:bidi w:val="0"/>
        <w:spacing w:lineRule="auto" w:line="240" w:before="0" w:after="32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Employee owes each member of the Company Group fiduciary duties, and the obligations described in this Agreement are in addition to, and not in lieu of, the obligations Employee owes each member of the Company Group under statutory and common law.</w:t>
      </w:r>
    </w:p>
    <w:p>
      <w:pPr>
        <w:pStyle w:val="TextBody"/>
        <w:bidi w:val="0"/>
        <w:spacing w:lineRule="auto" w:line="240" w:before="0" w:after="320"/>
        <w:ind w:left="0" w:right="0" w:firstLine="720"/>
        <w:jc w:val="both"/>
        <w:rPr/>
      </w:pPr>
      <w:r>
        <w:rPr>
          <w:rFonts w:ascii="Times New Roman;serif" w:hAnsi="Times New Roman;serif"/>
          <w:b w:val="false"/>
          <w:color w:val="010000"/>
          <w:sz w:val="24"/>
        </w:rPr>
        <w:t>3.</w:t>
      </w:r>
      <w:r>
        <w:rPr>
          <w:rFonts w:ascii="Times New Roman;serif" w:hAnsi="Times New Roman;serif"/>
          <w:b/>
          <w:color w:val="000000"/>
          <w:sz w:val="24"/>
          <w:u w:val="single"/>
        </w:rPr>
        <w:t>Compensation</w:t>
      </w:r>
      <w:r>
        <w:rPr>
          <w:rFonts w:ascii="Times New Roman;serif" w:hAnsi="Times New Roman;serif"/>
          <w:b w:val="false"/>
          <w:color w:val="000000"/>
          <w:sz w:val="24"/>
        </w:rPr>
        <w:t>.</w:t>
      </w:r>
    </w:p>
    <w:p>
      <w:pPr>
        <w:pStyle w:val="TextBody"/>
        <w:bidi w:val="0"/>
        <w:spacing w:lineRule="auto" w:line="240" w:before="0" w:after="3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Base Salar</w:t>
      </w:r>
      <w:r>
        <w:rPr>
          <w:rFonts w:ascii="Times New Roman;serif" w:hAnsi="Times New Roman;serif"/>
          <w:b w:val="false"/>
          <w:color w:val="000000"/>
          <w:sz w:val="24"/>
        </w:rPr>
        <w:t>y. During the Employment Period, the Company shall pay to Employee an annualized base salary of $1,200,000 (the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Times New Roman;serif" w:hAnsi="Times New Roman;serif"/>
          <w:b w:val="false"/>
          <w:color w:val="000000"/>
          <w:sz w:val="24"/>
          <w:u w:val="single"/>
        </w:rPr>
        <w:t>Compensation Committee</w:t>
      </w:r>
      <w:r>
        <w:rPr>
          <w:color w:val="000000"/>
        </w:rPr>
        <w:t>”</w:t>
      </w:r>
      <w:r>
        <w:rPr>
          <w:rFonts w:ascii="Times New Roman;serif" w:hAnsi="Times New Roman;serif"/>
          <w:b w:val="false"/>
          <w:color w:val="000000"/>
          <w:sz w:val="24"/>
        </w:rPr>
        <w:t>) or the Board and may be increased, but not decreased, at the discretion of the Compensation Committee or the Board.</w:t>
      </w:r>
    </w:p>
    <w:p>
      <w:pPr>
        <w:pStyle w:val="TextBody"/>
        <w:bidi w:val="0"/>
        <w:spacing w:lineRule="auto" w:line="240" w:before="0" w:after="3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Annual Bonus</w:t>
      </w:r>
      <w:r>
        <w:rPr>
          <w:rFonts w:ascii="Times New Roman;serif" w:hAnsi="Times New Roman;serif"/>
          <w:b w:val="false"/>
          <w:color w:val="000000"/>
          <w:sz w:val="24"/>
        </w:rPr>
        <w:t>. Beginning on the Effective Date, Employee shall be eligible for bonus compensation for calendar year 2027 and each subsequent complete calendar year that Employee is employed by the Company hereunder (the “</w:t>
      </w:r>
      <w:r>
        <w:rPr>
          <w:rFonts w:ascii="Times New Roman;serif" w:hAnsi="Times New Roman;serif"/>
          <w:b w:val="false"/>
          <w:color w:val="000000"/>
          <w:sz w:val="24"/>
          <w:u w:val="single"/>
        </w:rPr>
        <w:t>Annual Bonus</w:t>
      </w:r>
      <w:r>
        <w:rPr>
          <w:color w:val="000000"/>
        </w:rPr>
        <w:t>”</w:t>
      </w:r>
      <w:r>
        <w:rPr>
          <w:rFonts w:ascii="Times New Roman;serif" w:hAnsi="Times New Roman;serif"/>
          <w:b w:val="false"/>
          <w:color w:val="000000"/>
          <w:sz w:val="24"/>
        </w:rPr>
        <w:t>). The target Annual Bonus for each such calendar year (the “</w:t>
      </w:r>
      <w:r>
        <w:rPr>
          <w:rFonts w:ascii="Times New Roman;serif" w:hAnsi="Times New Roman;serif"/>
          <w:b w:val="false"/>
          <w:color w:val="000000"/>
          <w:sz w:val="24"/>
          <w:u w:val="single"/>
        </w:rPr>
        <w:t>Bonus Year</w:t>
      </w:r>
      <w:r>
        <w:rPr>
          <w:color w:val="000000"/>
        </w:rPr>
        <w:t>”</w:t>
      </w:r>
      <w:r>
        <w:rPr>
          <w:rFonts w:ascii="Times New Roman;serif" w:hAnsi="Times New Roman;serif"/>
          <w:b w:val="false"/>
          <w:color w:val="000000"/>
          <w:sz w:val="24"/>
        </w:rPr>
        <w:t xml:space="preserve">)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320"/>
        <w:jc w:val="both"/>
        <w:rPr/>
      </w:pPr>
      <w:r>
        <w:rPr>
          <w:rFonts w:ascii="Times New Roman;serif" w:hAnsi="Times New Roman;serif"/>
          <w:b w:val="false"/>
          <w:color w:val="000000"/>
          <w:sz w:val="24"/>
        </w:rPr>
        <w:t>135% of Employee’s Base Salary in effect as of the first day of the Bonus Year (the “</w:t>
      </w:r>
      <w:r>
        <w:rPr>
          <w:rFonts w:ascii="Times New Roman;serif" w:hAnsi="Times New Roman;serif"/>
          <w:b w:val="false"/>
          <w:color w:val="000000"/>
          <w:sz w:val="24"/>
          <w:u w:val="single"/>
        </w:rPr>
        <w:t>Target Bonus</w:t>
      </w:r>
      <w:r>
        <w:rPr>
          <w:color w:val="000000"/>
        </w:rPr>
        <w:t>”</w:t>
      </w:r>
      <w:r>
        <w:rPr>
          <w:rFonts w:ascii="Times New Roman;serif" w:hAnsi="Times New Roman;serif"/>
          <w:b w:val="false"/>
          <w:color w:val="000000"/>
          <w:sz w:val="24"/>
        </w:rPr>
        <w:t xml:space="preserve">), with the actual Annual Bonus for a Bonus Year depending on the level of achievement of the performance targets as determined by the Compensation Committee or the Board for the Bonus Year. The performance targets that must be achieved in order to be eligible for certain bonus levels shall be established by the Compensation Committee or the Board annually, in its sole discretion, and communicated to Employee within the first one-hundred twenty (120) days of the applicable Bonus Year. Each Annual Bonus, if any, shall be paid as soon as administratively feasible after the Compensation Committee or the Board, as applicable, certifies whether the applicable performance targets for the applicable Bonus Year have been achieved, but in no event later than March 15 following the end of such Bonus Year. For the avoidance of doubt, Employee’s Annual Bonus for calendar year 2026 shall continue to be governed by the provisions of the Prior Agreement. Notwithstanding anything in this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 xml:space="preserve">to the contrary, but subject to </w:t>
      </w:r>
      <w:r>
        <w:rPr>
          <w:rFonts w:ascii="Times New Roman;serif" w:hAnsi="Times New Roman;serif"/>
          <w:b w:val="false"/>
          <w:color w:val="000000"/>
          <w:sz w:val="24"/>
          <w:u w:val="single"/>
        </w:rPr>
        <w:t>Section 7</w:t>
      </w:r>
      <w:r>
        <w:rPr>
          <w:rFonts w:ascii="Times New Roman;serif" w:hAnsi="Times New Roman;serif"/>
          <w:b w:val="false"/>
          <w:color w:val="000000"/>
          <w:sz w:val="24"/>
        </w:rPr>
        <w:t>, no Annual Bonus, if any, nor any portion thereof, shall be payable for any Bonus Year unless Employee remains continuously employed by the Company from the Effective Date through the date on which such Annual Bonus is paid.</w:t>
      </w:r>
    </w:p>
    <w:p>
      <w:pPr>
        <w:pStyle w:val="TextBody"/>
        <w:bidi w:val="0"/>
        <w:spacing w:lineRule="auto" w:line="240" w:before="0" w:after="32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u w:val="single"/>
        </w:rPr>
        <w:t>Long-Term Incentive Awards</w:t>
      </w:r>
      <w:r>
        <w:rPr>
          <w:rFonts w:ascii="Times New Roman;serif" w:hAnsi="Times New Roman;serif"/>
          <w:b w:val="false"/>
          <w:color w:val="000000"/>
          <w:sz w:val="24"/>
        </w:rPr>
        <w:t xml:space="preserve">. </w:t>
      </w:r>
    </w:p>
    <w:p>
      <w:pPr>
        <w:pStyle w:val="TextBody"/>
        <w:bidi w:val="0"/>
        <w:spacing w:lineRule="auto" w:line="240" w:before="0" w:after="320"/>
        <w:ind w:left="0" w:right="0" w:firstLine="1440"/>
        <w:jc w:val="both"/>
        <w:rPr/>
      </w:pPr>
      <w:r>
        <w:rPr>
          <w:rFonts w:ascii="Times New Roman;serif" w:hAnsi="Times New Roman;serif"/>
          <w:b w:val="false"/>
          <w:color w:val="010000"/>
          <w:sz w:val="24"/>
        </w:rPr>
        <w:t>(i)</w:t>
      </w:r>
      <w:r>
        <w:rPr>
          <w:rFonts w:ascii="Times New Roman;serif" w:hAnsi="Times New Roman;serif"/>
          <w:b w:val="false"/>
          <w:i/>
          <w:color w:val="000000"/>
          <w:sz w:val="24"/>
        </w:rPr>
        <w:t>Annual Grants</w:t>
      </w:r>
      <w:r>
        <w:rPr>
          <w:rFonts w:ascii="Times New Roman;serif" w:hAnsi="Times New Roman;serif"/>
          <w:b w:val="false"/>
          <w:color w:val="000000"/>
          <w:sz w:val="24"/>
        </w:rPr>
        <w:t>. Provided that Employee is employed by the Company on the applicable date of grant, Employee shall be eligible to receive an annual grant under the Talen Energy Corporation 2023 Equity Incentive Plan or any applicable successor plan (the “</w:t>
      </w:r>
      <w:r>
        <w:rPr>
          <w:rFonts w:ascii="Times New Roman;serif" w:hAnsi="Times New Roman;serif"/>
          <w:b w:val="false"/>
          <w:color w:val="000000"/>
          <w:sz w:val="24"/>
          <w:u w:val="single"/>
        </w:rPr>
        <w:t>LTIP</w:t>
      </w:r>
      <w:r>
        <w:rPr>
          <w:color w:val="000000"/>
        </w:rPr>
        <w:t>”</w:t>
      </w:r>
      <w:r>
        <w:rPr>
          <w:rFonts w:ascii="Times New Roman;serif" w:hAnsi="Times New Roman;serif"/>
          <w:b w:val="false"/>
          <w:color w:val="000000"/>
          <w:sz w:val="24"/>
        </w:rPr>
        <w:t>) with a grant date target value not less than 700% of Employee’s Base Salary as in effect on the applicable date of grant of such award on such terms and conditions as the Board and the Compensation Committee shall determine from time to time (collectively, the “</w:t>
      </w:r>
      <w:r>
        <w:rPr>
          <w:rFonts w:ascii="Times New Roman;serif" w:hAnsi="Times New Roman;serif"/>
          <w:b w:val="false"/>
          <w:color w:val="000000"/>
          <w:sz w:val="24"/>
          <w:u w:val="single"/>
        </w:rPr>
        <w:t>LTIP Awards</w:t>
      </w:r>
      <w:r>
        <w:rPr>
          <w:color w:val="000000"/>
        </w:rPr>
        <w:t>”</w:t>
      </w:r>
      <w:r>
        <w:rPr>
          <w:rFonts w:ascii="Times New Roman;serif" w:hAnsi="Times New Roman;serif"/>
          <w:b w:val="false"/>
          <w:color w:val="000000"/>
          <w:sz w:val="24"/>
        </w:rPr>
        <w:t xml:space="preserve">). All LTIP Awards granted to Employee under the LTIP shall be subject to and governed by the terms and provisions of the LTIP as in effect from time to time and the award agreements evidencing such awards. </w:t>
      </w:r>
    </w:p>
    <w:p>
      <w:pPr>
        <w:pStyle w:val="TextBody"/>
        <w:bidi w:val="0"/>
        <w:spacing w:lineRule="auto" w:line="240" w:before="0" w:after="320"/>
        <w:ind w:left="0" w:right="0" w:firstLine="1440"/>
        <w:jc w:val="both"/>
        <w:rPr/>
      </w:pPr>
      <w:r>
        <w:rPr>
          <w:rFonts w:ascii="Times New Roman;serif" w:hAnsi="Times New Roman;serif"/>
          <w:b w:val="false"/>
          <w:color w:val="010000"/>
          <w:sz w:val="24"/>
        </w:rPr>
        <w:t>(ii)</w:t>
      </w:r>
      <w:r>
        <w:rPr>
          <w:rFonts w:ascii="Times New Roman;serif" w:hAnsi="Times New Roman;serif"/>
          <w:b w:val="false"/>
          <w:i/>
          <w:color w:val="000000"/>
          <w:sz w:val="24"/>
        </w:rPr>
        <w:t>Cash-Settlement; Stock Ownership Guidelines</w:t>
      </w:r>
      <w:r>
        <w:rPr>
          <w:rFonts w:ascii="Times New Roman;serif" w:hAnsi="Times New Roman;serif"/>
          <w:b w:val="false"/>
          <w:color w:val="000000"/>
          <w:sz w:val="24"/>
        </w:rPr>
        <w:t>. Notwithstanding anything in the applicable award agreement to the contrary, if, on the date of vesting of any performance stock units (“</w:t>
      </w:r>
      <w:r>
        <w:rPr>
          <w:rFonts w:ascii="Times New Roman;serif" w:hAnsi="Times New Roman;serif"/>
          <w:b w:val="false"/>
          <w:color w:val="000000"/>
          <w:sz w:val="24"/>
          <w:u w:val="single"/>
        </w:rPr>
        <w:t>PSUs</w:t>
      </w:r>
      <w:r>
        <w:rPr>
          <w:color w:val="000000"/>
        </w:rPr>
        <w:t>”</w:t>
      </w:r>
      <w:r>
        <w:rPr>
          <w:rFonts w:ascii="Times New Roman;serif" w:hAnsi="Times New Roman;serif"/>
          <w:b w:val="false"/>
          <w:color w:val="000000"/>
          <w:sz w:val="24"/>
        </w:rPr>
        <w:t>), Employee holds Company Common Stock (as defined in the LTIP) in excess of two hundred percent (200%) of the stock ownership requirements applicable to Employee under the Company’s Stock Ownership Guidelines, adopted March 14, 2024 and as updated from time to time (and, for the avoidance of doubt, such calculation shall not take into account the PSUs that vest on the applicable date of vesting), fifty percent (50%) of the net after-tax value of such PSUs will be settled in cash (the “</w:t>
      </w:r>
      <w:r>
        <w:rPr>
          <w:rFonts w:ascii="Times New Roman;serif" w:hAnsi="Times New Roman;serif"/>
          <w:b w:val="false"/>
          <w:color w:val="000000"/>
          <w:sz w:val="24"/>
          <w:u w:val="single"/>
        </w:rPr>
        <w:t>Cash-Settled Portion</w:t>
      </w:r>
      <w:r>
        <w:rPr>
          <w:color w:val="000000"/>
        </w:rPr>
        <w:t>”</w:t>
      </w:r>
      <w:r>
        <w:rPr>
          <w:rFonts w:ascii="Times New Roman;serif" w:hAnsi="Times New Roman;serif"/>
          <w:b w:val="false"/>
          <w:color w:val="000000"/>
          <w:sz w:val="24"/>
        </w:rPr>
        <w:t>) and the remaining portion will be settled in Company Common Stock, with such settlement otherwise subject to the terms of the applicable award agreement. Notwithstanding the foregoing, if the Compensation Committee reasonably determines that the settlement of all or a portion of the Cash-Settled Portion of the PSUs in cash would materially and adversely affect the Company (a “</w:t>
      </w:r>
      <w:r>
        <w:rPr>
          <w:rFonts w:ascii="Times New Roman;serif" w:hAnsi="Times New Roman;serif"/>
          <w:b w:val="false"/>
          <w:color w:val="000000"/>
          <w:sz w:val="24"/>
          <w:u w:val="single"/>
        </w:rPr>
        <w:t>Liquidity Constraint</w:t>
      </w:r>
      <w:r>
        <w:rPr>
          <w:color w:val="000000"/>
        </w:rPr>
        <w:t>”</w:t>
      </w:r>
      <w:r>
        <w:rPr>
          <w:rFonts w:ascii="Times New Roman;serif" w:hAnsi="Times New Roman;serif"/>
          <w:b w:val="false"/>
          <w:color w:val="000000"/>
          <w:sz w:val="24"/>
        </w:rPr>
        <w:t xml:space="preserve">), the Compensation Committee may elect to reduce the Cash-Settled Portion to the extent necessary to address the Liquidity Constraint. </w:t>
      </w:r>
    </w:p>
    <w:p>
      <w:pPr>
        <w:pStyle w:val="TextBody"/>
        <w:bidi w:val="0"/>
        <w:spacing w:lineRule="auto" w:line="240" w:before="0" w:after="320"/>
        <w:ind w:left="0" w:right="0" w:firstLine="720"/>
        <w:jc w:val="both"/>
        <w:rPr/>
      </w:pPr>
      <w:r>
        <w:rPr>
          <w:rFonts w:ascii="Times New Roman;serif" w:hAnsi="Times New Roman;serif"/>
          <w:b w:val="false"/>
          <w:color w:val="010000"/>
          <w:sz w:val="24"/>
        </w:rPr>
        <w:t>4.</w:t>
      </w:r>
      <w:r>
        <w:rPr>
          <w:rFonts w:ascii="Times New Roman;serif" w:hAnsi="Times New Roman;serif"/>
          <w:b/>
          <w:color w:val="000000"/>
          <w:sz w:val="24"/>
          <w:u w:val="single"/>
        </w:rPr>
        <w:t>Term of Employment</w:t>
      </w:r>
      <w:r>
        <w:rPr>
          <w:rFonts w:ascii="Times New Roman;serif" w:hAnsi="Times New Roman;serif"/>
          <w:b w:val="false"/>
          <w:color w:val="000000"/>
          <w:sz w:val="24"/>
        </w:rPr>
        <w:t>. The term of Employee’s employment under this Agreement shall be for the period beginning on the Effective Date and ending on February 28, 2028 (the “</w:t>
      </w:r>
      <w:r>
        <w:rPr>
          <w:rFonts w:ascii="Times New Roman;serif" w:hAnsi="Times New Roman;serif"/>
          <w:b w:val="false"/>
          <w:color w:val="000000"/>
          <w:sz w:val="24"/>
          <w:u w:val="single"/>
        </w:rPr>
        <w:t>Term</w:t>
      </w:r>
      <w:r>
        <w:rPr>
          <w:color w:val="000000"/>
        </w:rPr>
        <w:t>”</w:t>
      </w:r>
      <w:r>
        <w:rPr>
          <w:rFonts w:ascii="Times New Roman;serif" w:hAnsi="Times New Roman;serif"/>
          <w:b w:val="false"/>
          <w:color w:val="000000"/>
          <w:sz w:val="24"/>
        </w:rPr>
        <w:t xml:space="preserve">). Thereafter, the term of this Agreement will automatically extend, on the same terms, for successive one-year periods, unless either party provides written notice of non-extension at least ninety (90) days prior to the end of the Term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320"/>
        <w:jc w:val="both"/>
        <w:rPr/>
      </w:pPr>
      <w:r>
        <w:rPr>
          <w:rFonts w:ascii="Times New Roman;serif" w:hAnsi="Times New Roman;serif"/>
          <w:b w:val="false"/>
          <w:color w:val="000000"/>
          <w:sz w:val="24"/>
        </w:rPr>
        <w:t xml:space="preserve">extension thereof. Notwithstanding any other provision of this Agreement, Employee’s employment pursuant to this Agreement may be terminated at any time in accordance with </w:t>
      </w:r>
      <w:r>
        <w:rPr>
          <w:rFonts w:ascii="Times New Roman;serif" w:hAnsi="Times New Roman;serif"/>
          <w:b w:val="false"/>
          <w:color w:val="000000"/>
          <w:sz w:val="24"/>
          <w:u w:val="single"/>
        </w:rPr>
        <w:t>Section 7</w:t>
      </w:r>
      <w:r>
        <w:rPr>
          <w:rFonts w:ascii="Times New Roman;serif" w:hAnsi="Times New Roman;serif"/>
          <w:b w:val="false"/>
          <w:color w:val="000000"/>
          <w:sz w:val="24"/>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Times New Roman;serif" w:hAnsi="Times New Roman;serif"/>
          <w:b w:val="false"/>
          <w:color w:val="000000"/>
          <w:sz w:val="24"/>
          <w:u w:val="single"/>
        </w:rPr>
        <w:t>Employment Period.</w:t>
      </w:r>
      <w:r>
        <w:rPr>
          <w:color w:val="000000"/>
        </w:rPr>
        <w:t>”</w:t>
      </w:r>
    </w:p>
    <w:p>
      <w:pPr>
        <w:pStyle w:val="TextBody"/>
        <w:bidi w:val="0"/>
        <w:spacing w:lineRule="auto" w:line="240" w:before="0" w:after="320"/>
        <w:ind w:left="0" w:right="0" w:firstLine="720"/>
        <w:jc w:val="both"/>
        <w:rPr/>
      </w:pPr>
      <w:r>
        <w:rPr>
          <w:rFonts w:ascii="Times New Roman;serif" w:hAnsi="Times New Roman;serif"/>
          <w:b w:val="false"/>
          <w:color w:val="010000"/>
          <w:sz w:val="24"/>
        </w:rPr>
        <w:t>5.</w:t>
      </w:r>
      <w:r>
        <w:rPr>
          <w:rFonts w:ascii="Times New Roman;serif" w:hAnsi="Times New Roman;serif"/>
          <w:b/>
          <w:color w:val="000000"/>
          <w:sz w:val="24"/>
          <w:u w:val="single"/>
        </w:rPr>
        <w:t>Business Expenses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26</w:t>
      </w:r>
      <w:r>
        <w:rPr>
          <w:rFonts w:ascii="Times New Roman;serif" w:hAnsi="Times New Roman;serif"/>
          <w:b w:val="false"/>
          <w:color w:val="000000"/>
          <w:sz w:val="24"/>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pStyle w:val="TextBody"/>
        <w:bidi w:val="0"/>
        <w:spacing w:lineRule="auto" w:line="240" w:before="0" w:after="320"/>
        <w:ind w:left="0" w:right="0" w:firstLine="720"/>
        <w:jc w:val="both"/>
        <w:rPr/>
      </w:pPr>
      <w:r>
        <w:rPr>
          <w:rFonts w:ascii="Times New Roman;serif" w:hAnsi="Times New Roman;serif"/>
          <w:b w:val="false"/>
          <w:color w:val="010000"/>
          <w:sz w:val="24"/>
        </w:rPr>
        <w:t>6.</w:t>
      </w:r>
      <w:r>
        <w:rPr>
          <w:rFonts w:ascii="Times New Roman;serif" w:hAnsi="Times New Roman;serif"/>
          <w:b/>
          <w:color w:val="000000"/>
          <w:sz w:val="24"/>
          <w:u w:val="single"/>
        </w:rPr>
        <w:t>Benefits</w:t>
      </w:r>
      <w:r>
        <w:rPr>
          <w:rFonts w:ascii="Times New Roman;serif" w:hAnsi="Times New Roman;serif"/>
          <w:b w:val="false"/>
          <w:color w:val="000000"/>
          <w:sz w:val="24"/>
        </w:rPr>
        <w:t>.</w:t>
      </w:r>
    </w:p>
    <w:p>
      <w:pPr>
        <w:pStyle w:val="TextBody"/>
        <w:bidi w:val="0"/>
        <w:spacing w:lineRule="auto" w:line="240" w:before="0" w:after="3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During the Employment Period, Employee shall continue to be eligible to participate in the same benefit plans and programs (including vacation and paid time off programs) in which other similarly situated Company employees are eligible to participate, subject to the terms and conditions of the applicable plans and programs in effect from time to time. The Company shall not, however, by reason of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be obligated to institute, maintain, or refrain from changing, amending, or discontinuing, any such plan or policy, so long as such changes are similarly applicable to similarly situated Company employees generally.</w:t>
      </w:r>
    </w:p>
    <w:p>
      <w:pPr>
        <w:pStyle w:val="TextBody"/>
        <w:bidi w:val="0"/>
        <w:spacing w:lineRule="auto" w:line="240" w:before="0" w:after="3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The Company shall cover Employee under directors’ and officers’ liability insurance through the Employment Period, and, while potential liability exists, after the termination of Employee’s employment with the Company, on the most favorable terms as provided to any other director or executive officer of the Company.</w:t>
      </w:r>
    </w:p>
    <w:p>
      <w:pPr>
        <w:pStyle w:val="TextBody"/>
        <w:bidi w:val="0"/>
        <w:spacing w:lineRule="auto" w:line="240" w:before="0" w:after="32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The Company shall reimburse Employee up to $5,000 for legal fees incurred in connection with the review of this Agreement.</w:t>
      </w:r>
    </w:p>
    <w:p>
      <w:pPr>
        <w:pStyle w:val="TextBody"/>
        <w:bidi w:val="0"/>
        <w:spacing w:lineRule="auto" w:line="240" w:before="0" w:after="320"/>
        <w:ind w:left="0" w:right="0" w:firstLine="720"/>
        <w:jc w:val="both"/>
        <w:rPr/>
      </w:pPr>
      <w:r>
        <w:rPr>
          <w:rFonts w:ascii="Times New Roman;serif" w:hAnsi="Times New Roman;serif"/>
          <w:b w:val="false"/>
          <w:color w:val="010000"/>
          <w:sz w:val="24"/>
        </w:rPr>
        <w:t>7.</w:t>
      </w:r>
      <w:r>
        <w:rPr>
          <w:rFonts w:ascii="Times New Roman;serif" w:hAnsi="Times New Roman;serif"/>
          <w:b/>
          <w:color w:val="000000"/>
          <w:sz w:val="24"/>
          <w:u w:val="single"/>
        </w:rPr>
        <w:t>Termination of Employment</w:t>
      </w:r>
      <w:r>
        <w:rPr>
          <w:rFonts w:ascii="Times New Roman;serif" w:hAnsi="Times New Roman;serif"/>
          <w:b w:val="false"/>
          <w:color w:val="000000"/>
          <w:sz w:val="24"/>
        </w:rPr>
        <w:t>.</w:t>
      </w:r>
    </w:p>
    <w:p>
      <w:pPr>
        <w:pStyle w:val="TextBody"/>
        <w:bidi w:val="0"/>
        <w:spacing w:lineRule="auto" w:line="240" w:before="0" w:after="3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Company’s Ri</w:t>
      </w:r>
      <w:r>
        <w:rPr>
          <w:rFonts w:ascii="Times New Roman;serif" w:hAnsi="Times New Roman;serif"/>
          <w:b w:val="false"/>
          <w:color w:val="000000"/>
          <w:sz w:val="24"/>
        </w:rPr>
        <w:t>g</w:t>
      </w:r>
      <w:r>
        <w:rPr>
          <w:rFonts w:ascii="Times New Roman;serif" w:hAnsi="Times New Roman;serif"/>
          <w:b w:val="false"/>
          <w:color w:val="000000"/>
          <w:sz w:val="24"/>
          <w:u w:val="single"/>
        </w:rPr>
        <w:t>ht to Terminate Employee’s Employment for Cause</w:t>
      </w:r>
      <w:r>
        <w:rPr>
          <w:rFonts w:ascii="Times New Roman;serif" w:hAnsi="Times New Roman;serif"/>
          <w:b w:val="false"/>
          <w:color w:val="000000"/>
          <w:sz w:val="24"/>
        </w:rPr>
        <w:t>. The Company shall have the right to terminate Employee’s employment hereunder at any time for Cause. For purposes of this Agreement,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 Employee’s commission of an act or omission, or Employee causing the Company or any other member of the Company Group to commit an act or omission, that constitutes:</w:t>
      </w:r>
    </w:p>
    <w:p>
      <w:pPr>
        <w:pStyle w:val="TextBody"/>
        <w:bidi w:val="0"/>
        <w:spacing w:lineRule="auto" w:line="240" w:before="0" w:after="32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Employee’s fraud or misconduct;</w:t>
      </w:r>
    </w:p>
    <w:p>
      <w:pPr>
        <w:pStyle w:val="TextBody"/>
        <w:bidi w:val="0"/>
        <w:spacing w:lineRule="auto" w:line="240" w:before="0" w:after="32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32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Employee’s material breach of this Agreement or any other written agreement between Employee and one or more members of the Company Group, including Employee’s material breach of any representation, warranty or covenant made under any such agreement;</w:t>
      </w:r>
    </w:p>
    <w:p>
      <w:pPr>
        <w:pStyle w:val="TextBody"/>
        <w:bidi w:val="0"/>
        <w:spacing w:lineRule="auto" w:line="240" w:before="0" w:after="320"/>
        <w:ind w:left="0" w:right="0" w:firstLine="1440"/>
        <w:jc w:val="both"/>
        <w:rPr/>
      </w:pPr>
      <w:r>
        <w:rPr>
          <w:rFonts w:ascii="Times New Roman;serif" w:hAnsi="Times New Roman;serif"/>
          <w:b w:val="false"/>
          <w:color w:val="010000"/>
          <w:sz w:val="24"/>
        </w:rPr>
        <w:t>(iv)</w:t>
      </w:r>
      <w:r>
        <w:rPr>
          <w:rFonts w:ascii="Times New Roman;serif" w:hAnsi="Times New Roman;serif"/>
          <w:b w:val="false"/>
          <w:color w:val="000000"/>
          <w:sz w:val="24"/>
        </w:rPr>
        <w:t>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w:t>
      </w:r>
    </w:p>
    <w:p>
      <w:pPr>
        <w:pStyle w:val="TextBody"/>
        <w:bidi w:val="0"/>
        <w:spacing w:lineRule="auto" w:line="240" w:before="0" w:after="320"/>
        <w:ind w:left="0" w:right="0" w:firstLine="1440"/>
        <w:jc w:val="both"/>
        <w:rPr/>
      </w:pPr>
      <w:r>
        <w:rPr>
          <w:rFonts w:ascii="Times New Roman;serif" w:hAnsi="Times New Roman;serif"/>
          <w:b w:val="false"/>
          <w:color w:val="010000"/>
          <w:sz w:val="24"/>
        </w:rPr>
        <w:t>(v)</w:t>
      </w:r>
      <w:r>
        <w:rPr>
          <w:rFonts w:ascii="Times New Roman;serif" w:hAnsi="Times New Roman;serif"/>
          <w:b w:val="false"/>
          <w:color w:val="000000"/>
          <w:sz w:val="24"/>
        </w:rPr>
        <w:t>Employee’s breach of his duty of loyalty to the Company or violation of the Company’s policies (to the extent such policies have been clearly communicated in writing to Employee), including the Company’s code of conduct and business ethics (or similar policies), anti-harassment policy, anti-retaliation, or policies related to age, sex or other prohibited discrimination in the workplace; or</w:t>
      </w:r>
    </w:p>
    <w:p>
      <w:pPr>
        <w:pStyle w:val="TextBody"/>
        <w:bidi w:val="0"/>
        <w:spacing w:lineRule="auto" w:line="240" w:before="0" w:after="320"/>
        <w:ind w:left="0" w:right="0" w:firstLine="1440"/>
        <w:jc w:val="both"/>
        <w:rPr/>
      </w:pPr>
      <w:r>
        <w:rPr>
          <w:rFonts w:ascii="Times New Roman;serif" w:hAnsi="Times New Roman;serif"/>
          <w:b w:val="false"/>
          <w:color w:val="010000"/>
          <w:sz w:val="24"/>
        </w:rPr>
        <w:t>(vi)</w:t>
      </w:r>
      <w:r>
        <w:rPr>
          <w:rFonts w:ascii="Times New Roman;serif" w:hAnsi="Times New Roman;serif"/>
          <w:b w:val="false"/>
          <w:color w:val="000000"/>
          <w:sz w:val="24"/>
        </w:rPr>
        <w:t xml:space="preserve">Employee’s conviction or plea of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to a felony or crime involving moral turpitude.</w:t>
      </w:r>
    </w:p>
    <w:p>
      <w:pPr>
        <w:pStyle w:val="TextBody"/>
        <w:bidi w:val="0"/>
        <w:spacing w:lineRule="auto" w:line="288" w:before="0" w:after="320"/>
        <w:jc w:val="both"/>
        <w:rPr/>
      </w:pPr>
      <w:r>
        <w:rPr>
          <w:rFonts w:ascii="Times New Roman;serif" w:hAnsi="Times New Roman;serif"/>
          <w:b w:val="false"/>
          <w:color w:val="000000"/>
          <w:sz w:val="24"/>
        </w:rPr>
        <w:t xml:space="preserve">Notwithstanding the foregoing, no determination of “Cause” may be made pursuant to </w:t>
      </w:r>
      <w:r>
        <w:rPr>
          <w:rFonts w:ascii="Times New Roman;serif" w:hAnsi="Times New Roman;serif"/>
          <w:b w:val="false"/>
          <w:color w:val="000000"/>
          <w:sz w:val="24"/>
          <w:u w:val="single"/>
        </w:rPr>
        <w:t>Sections 7(a)(ii)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unless (1) Employee has been given written notice by the Board describing the specific alleged action(s) or omission(s) that constitute “Cause,” and (2) Employee has failed to cure such acts or omissions within thirty (30) days of such notice from the Board. Upon the termination of Employee’s employment pursuant to this </w:t>
      </w:r>
      <w:r>
        <w:rPr>
          <w:rFonts w:ascii="Times New Roman;serif" w:hAnsi="Times New Roman;serif"/>
          <w:b w:val="false"/>
          <w:color w:val="000000"/>
          <w:sz w:val="24"/>
          <w:u w:val="single"/>
        </w:rPr>
        <w:t>Section 7(a)</w:t>
      </w:r>
      <w:r>
        <w:rPr>
          <w:rFonts w:ascii="Times New Roman;serif" w:hAnsi="Times New Roman;serif"/>
          <w:b w:val="false"/>
          <w:color w:val="000000"/>
          <w:sz w:val="24"/>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Times New Roman;serif" w:hAnsi="Times New Roman;serif"/>
          <w:b w:val="false"/>
          <w:color w:val="000000"/>
          <w:sz w:val="24"/>
          <w:u w:val="single"/>
        </w:rPr>
        <w:t>Sections 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6(c)</w:t>
      </w:r>
      <w:r>
        <w:rPr>
          <w:rFonts w:ascii="Times New Roman;serif" w:hAnsi="Times New Roman;serif"/>
          <w:b w:val="false"/>
          <w:color w:val="000000"/>
          <w:sz w:val="24"/>
        </w:rPr>
        <w:t xml:space="preserve">, and (C) benefits to which Employee is entitled under the terms of any applicable benefit plan or program described in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(collectively, the “</w:t>
      </w:r>
      <w:r>
        <w:rPr>
          <w:rFonts w:ascii="Times New Roman;serif" w:hAnsi="Times New Roman;serif"/>
          <w:b w:val="false"/>
          <w:color w:val="000000"/>
          <w:sz w:val="24"/>
          <w:u w:val="single"/>
        </w:rPr>
        <w:t>Accrued Benefits</w:t>
      </w:r>
      <w:r>
        <w:rPr>
          <w:color w:val="000000"/>
        </w:rPr>
        <w:t>”</w:t>
      </w:r>
      <w:r>
        <w:rPr>
          <w:rFonts w:ascii="Times New Roman;serif" w:hAnsi="Times New Roman;serif"/>
          <w:b w:val="false"/>
          <w:color w:val="000000"/>
          <w:sz w:val="24"/>
        </w:rPr>
        <w:t xml:space="preserve">). In addition, subject to any limitation under applicable law, previously paid compensation pursuant to </w:t>
      </w:r>
      <w:r>
        <w:rPr>
          <w:rFonts w:ascii="Times New Roman;serif" w:hAnsi="Times New Roman;serif"/>
          <w:b w:val="false"/>
          <w:color w:val="000000"/>
          <w:sz w:val="24"/>
          <w:u w:val="single"/>
        </w:rPr>
        <w:t>Sections 3(b)</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3(c)</w:t>
      </w:r>
      <w:r>
        <w:rPr>
          <w:color w:val="000000"/>
        </w:rPr>
        <w:t xml:space="preserve"> </w:t>
      </w:r>
      <w:r>
        <w:rPr>
          <w:rFonts w:ascii="Times New Roman;serif" w:hAnsi="Times New Roman;serif"/>
          <w:b w:val="false"/>
          <w:color w:val="000000"/>
          <w:sz w:val="24"/>
        </w:rPr>
        <w:t>shall be subject to clawback or forfeiture and cancellation at the discretion of the Compensation Committee in the event of a termination of Employee’s employment for Cause.</w:t>
      </w:r>
    </w:p>
    <w:p>
      <w:pPr>
        <w:pStyle w:val="TextBody"/>
        <w:bidi w:val="0"/>
        <w:spacing w:lineRule="auto" w:line="240" w:before="0" w:after="3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Company’s Ri</w:t>
      </w:r>
      <w:r>
        <w:rPr>
          <w:rFonts w:ascii="Times New Roman;serif" w:hAnsi="Times New Roman;serif"/>
          <w:b w:val="false"/>
          <w:color w:val="000000"/>
          <w:sz w:val="24"/>
        </w:rPr>
        <w:t>g</w:t>
      </w:r>
      <w:r>
        <w:rPr>
          <w:rFonts w:ascii="Times New Roman;serif" w:hAnsi="Times New Roman;serif"/>
          <w:b w:val="false"/>
          <w:color w:val="000000"/>
          <w:sz w:val="24"/>
          <w:u w:val="single"/>
        </w:rPr>
        <w:t>ht to Terminate for Convenience or for Non-Renewal of Term</w:t>
      </w:r>
      <w:r>
        <w:rPr>
          <w:rFonts w:ascii="Times New Roman;serif" w:hAnsi="Times New Roman;serif"/>
          <w:b w:val="false"/>
          <w:color w:val="000000"/>
          <w:sz w:val="24"/>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Times New Roman;serif" w:hAnsi="Times New Roman;serif"/>
          <w:b w:val="false"/>
          <w:color w:val="000000"/>
          <w:sz w:val="24"/>
          <w:u w:val="single"/>
        </w:rPr>
        <w:t>Section 7(f)</w:t>
      </w:r>
      <w:r>
        <w:rPr>
          <w:rFonts w:ascii="Times New Roman;serif" w:hAnsi="Times New Roman;serif"/>
          <w:b w:val="false"/>
          <w:color w:val="000000"/>
          <w:sz w:val="24"/>
        </w:rPr>
        <w:t xml:space="preserve">. The Company shall also have the right to terminate Employee by non-renewal of the Term or any extension thereof upon ninety (90)-days written notice to Employee, in which event Employee shall receive the compensation and benefits described in </w:t>
      </w:r>
      <w:r>
        <w:rPr>
          <w:rFonts w:ascii="Times New Roman;serif" w:hAnsi="Times New Roman;serif"/>
          <w:b w:val="false"/>
          <w:color w:val="000000"/>
          <w:sz w:val="24"/>
          <w:u w:val="single"/>
        </w:rPr>
        <w:t>Section 7(f)</w:t>
      </w:r>
      <w:r>
        <w:rPr>
          <w:rFonts w:ascii="Times New Roman;serif" w:hAnsi="Times New Roman;serif"/>
          <w:b w:val="false"/>
          <w:color w:val="000000"/>
          <w:sz w:val="24"/>
        </w:rPr>
        <w:t>.</w:t>
      </w:r>
    </w:p>
    <w:p>
      <w:pPr>
        <w:pStyle w:val="TextBody"/>
        <w:bidi w:val="0"/>
        <w:spacing w:lineRule="auto" w:line="240" w:before="0" w:after="32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u w:val="single"/>
        </w:rPr>
        <w:t>Employee’s Ri</w:t>
      </w:r>
      <w:r>
        <w:rPr>
          <w:rFonts w:ascii="Times New Roman;serif" w:hAnsi="Times New Roman;serif"/>
          <w:b w:val="false"/>
          <w:color w:val="000000"/>
          <w:sz w:val="24"/>
        </w:rPr>
        <w:t>g</w:t>
      </w:r>
      <w:r>
        <w:rPr>
          <w:rFonts w:ascii="Times New Roman;serif" w:hAnsi="Times New Roman;serif"/>
          <w:b w:val="false"/>
          <w:color w:val="000000"/>
          <w:sz w:val="24"/>
          <w:u w:val="single"/>
        </w:rPr>
        <w:t>ht to Terminate for Good Reason</w:t>
      </w:r>
      <w:r>
        <w:rPr>
          <w:rFonts w:ascii="Times New Roman;serif" w:hAnsi="Times New Roman;serif"/>
          <w:b w:val="false"/>
          <w:color w:val="000000"/>
          <w:sz w:val="24"/>
        </w:rPr>
        <w:t xml:space="preserve">. Employee shall have the right to terminate Employee’s employment with the Company at any time for Good Reason, in which event Employee shall receive the compensation and benefits described in </w:t>
      </w:r>
      <w:r>
        <w:rPr>
          <w:rFonts w:ascii="Times New Roman;serif" w:hAnsi="Times New Roman;serif"/>
          <w:b w:val="false"/>
          <w:color w:val="000000"/>
          <w:sz w:val="24"/>
          <w:u w:val="single"/>
        </w:rPr>
        <w:t>Section 7(f)</w:t>
      </w:r>
      <w:r>
        <w:rPr>
          <w:rFonts w:ascii="Times New Roman;serif" w:hAnsi="Times New Roman;serif"/>
          <w:b w:val="false"/>
          <w:color w:val="000000"/>
          <w:sz w:val="24"/>
        </w:rPr>
        <w:t>. For purposes of this Agreement,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shall mean any of the following occurring without Employee’s consent:</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32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a material adverse change in Employee’s title, duties or responsibilities (including reporting responsibilities);</w:t>
      </w:r>
    </w:p>
    <w:p>
      <w:pPr>
        <w:pStyle w:val="TextBody"/>
        <w:bidi w:val="0"/>
        <w:spacing w:lineRule="auto" w:line="240" w:before="0" w:after="32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a material reduction in Employee’s Base Salary;</w:t>
      </w:r>
    </w:p>
    <w:p>
      <w:pPr>
        <w:pStyle w:val="TextBody"/>
        <w:bidi w:val="0"/>
        <w:spacing w:lineRule="auto" w:line="240" w:before="0" w:after="32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a relocation of Employee’s primary work location to a distance of more than 50 miles from the Houston, Texas metropolitan area; or</w:t>
      </w:r>
    </w:p>
    <w:p>
      <w:pPr>
        <w:pStyle w:val="TextBody"/>
        <w:bidi w:val="0"/>
        <w:spacing w:lineRule="auto" w:line="240" w:before="0" w:after="320"/>
        <w:ind w:left="0" w:right="0" w:firstLine="1440"/>
        <w:jc w:val="both"/>
        <w:rPr/>
      </w:pPr>
      <w:r>
        <w:rPr>
          <w:rFonts w:ascii="Times New Roman;serif" w:hAnsi="Times New Roman;serif"/>
          <w:b w:val="false"/>
          <w:color w:val="010000"/>
          <w:sz w:val="24"/>
        </w:rPr>
        <w:t>(iv)</w:t>
      </w:r>
      <w:r>
        <w:rPr>
          <w:rFonts w:ascii="Times New Roman;serif" w:hAnsi="Times New Roman;serif"/>
          <w:b w:val="false"/>
          <w:color w:val="000000"/>
          <w:sz w:val="24"/>
        </w:rPr>
        <w:t>a material breach by the Company of any of its obligations under this Agreement.</w:t>
      </w:r>
    </w:p>
    <w:p>
      <w:pPr>
        <w:pStyle w:val="TextBody"/>
        <w:bidi w:val="0"/>
        <w:spacing w:lineRule="auto" w:line="240" w:before="0" w:after="3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and Employee agree that Good Reason shall not exist unless and until Employee provides the Company with written notice of the acts alleged to constitute Good Reason within ninety (90) days of Employee’s knowledge of the occurrence of such event, and Company fails to cure such acts within thirty (30) days of receipt of such notice. Employee must terminate employment within sixty (60) days following the expiration of such cure period for the termination to be on account of Good Reason. </w:t>
      </w:r>
    </w:p>
    <w:p>
      <w:pPr>
        <w:pStyle w:val="TextBody"/>
        <w:bidi w:val="0"/>
        <w:spacing w:lineRule="auto" w:line="240" w:before="0" w:after="32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u w:val="single"/>
        </w:rPr>
        <w:t>Death or Disabilit</w:t>
      </w:r>
      <w:r>
        <w:rPr>
          <w:rFonts w:ascii="Times New Roman;serif" w:hAnsi="Times New Roman;serif"/>
          <w:b w:val="false"/>
          <w:color w:val="000000"/>
          <w:sz w:val="24"/>
        </w:rPr>
        <w:t>y.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(the “</w:t>
      </w:r>
      <w:r>
        <w:rPr>
          <w:rFonts w:ascii="Times New Roman;serif" w:hAnsi="Times New Roman;serif"/>
          <w:b w:val="false"/>
          <w:color w:val="000000"/>
          <w:sz w:val="24"/>
          <w:u w:val="single"/>
        </w:rPr>
        <w:t>Prior Year Bonus</w:t>
      </w:r>
      <w:r>
        <w:rPr>
          <w:color w:val="000000"/>
        </w:rPr>
        <w:t>”</w:t>
      </w:r>
      <w:r>
        <w:rPr>
          <w:rFonts w:ascii="Times New Roman;serif" w:hAnsi="Times New Roman;serif"/>
          <w:b w:val="false"/>
          <w:color w:val="000000"/>
          <w:sz w:val="24"/>
        </w:rPr>
        <w:t>) (which amount shall be paid within sixty (60) days following the date of such termination of employment but in no event later than March 15 of the year following the Bonus Year to which such Annual Bonus relates), (iii) an amount equal to the Target Bonus for the year in which such termination of employment occurs, prorated for the period of days beginning on January 1 and ending on the date of such termination of employment relative to the number of days in the applicable Bonus Year (the “</w:t>
      </w:r>
      <w:r>
        <w:rPr>
          <w:rFonts w:ascii="Times New Roman;serif" w:hAnsi="Times New Roman;serif"/>
          <w:b w:val="false"/>
          <w:color w:val="000000"/>
          <w:sz w:val="24"/>
          <w:u w:val="single"/>
        </w:rPr>
        <w:t>Prorated Target Bonus</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Prorated Target Bonus described in clause (iii) of the preceding sentence, if any, shall be paid in a lump sum in cash on the Company’s first regularly scheduled pay date that is on or after the date that is sixty (60) days after the date on which Employee’s employment terminates (the “</w:t>
      </w:r>
      <w:r>
        <w:rPr>
          <w:rFonts w:ascii="Times New Roman;serif" w:hAnsi="Times New Roman;serif"/>
          <w:b w:val="false"/>
          <w:color w:val="000000"/>
          <w:sz w:val="24"/>
          <w:u w:val="single"/>
        </w:rPr>
        <w:t>Termination Date</w:t>
      </w:r>
      <w:r>
        <w:rPr>
          <w:color w:val="000000"/>
        </w:rPr>
        <w:t>”</w:t>
      </w:r>
      <w:r>
        <w:rPr>
          <w:rFonts w:ascii="Times New Roman;serif" w:hAnsi="Times New Roman;serif"/>
          <w:b w:val="false"/>
          <w:color w:val="000000"/>
          <w:sz w:val="24"/>
        </w:rPr>
        <w:t>), and (iv) subject to Employee’s timely election of continuation coverage under the Consolidated Omnibus Budget Reconciliation Act of 1985, as amended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xml:space="preserve">), continued participation (pursuant to COBRA) in the Company’s group health plan (to the extent permitted under applicable law and the terms of such plan) covering Employee and Employee’s eligible dependents for a period of thirty-six (36) months at Employee’s (or Employee’s estate’s, in the case of Employee’s death) sole expense,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Company may modify the continuation coverage contemplated by this </w:t>
      </w:r>
      <w:r>
        <w:rPr>
          <w:rFonts w:ascii="Times New Roman;serif" w:hAnsi="Times New Roman;serif"/>
          <w:b w:val="false"/>
          <w:color w:val="000000"/>
          <w:sz w:val="24"/>
          <w:u w:val="single"/>
        </w:rPr>
        <w:t>Section 7(d)</w:t>
      </w:r>
      <w:r>
        <w:rPr>
          <w:color w:val="000000"/>
        </w:rPr>
        <w:t xml:space="preserve"> </w:t>
      </w:r>
      <w:r>
        <w:rPr>
          <w:rFonts w:ascii="Times New Roman;serif" w:hAnsi="Times New Roman;serif"/>
          <w:b w:val="false"/>
          <w:color w:val="000000"/>
          <w:sz w:val="24"/>
        </w:rPr>
        <w:t>to the extent reasonably necessary to avoid the imposition of any excise taxes on the Company for failure to comply with the nondiscrimination requirements of Section 105(h) of the Internal Revenue Code of 1986, as amended; the Patient Protection and Affordable Care Act of 2010, as amended; and/or the Health Care and Education Reconciliation Act of 2010, as amended, and in each case, the regulations and guidance promulgated thereunder (to the extent applicable) (the “</w:t>
      </w:r>
      <w:r>
        <w:rPr>
          <w:rFonts w:ascii="Times New Roman;serif" w:hAnsi="Times New Roman;serif"/>
          <w:b w:val="false"/>
          <w:color w:val="000000"/>
          <w:sz w:val="24"/>
          <w:u w:val="single"/>
        </w:rPr>
        <w:t>COBRA Continuation</w:t>
      </w:r>
      <w:r>
        <w:rPr>
          <w:color w:val="000000"/>
        </w:rPr>
        <w:t>”</w:t>
      </w:r>
      <w:r>
        <w:rPr>
          <w:rFonts w:ascii="Times New Roman;serif" w:hAnsi="Times New Roman;serif"/>
          <w:b w:val="false"/>
          <w:color w:val="000000"/>
          <w:sz w:val="24"/>
        </w:rPr>
        <w:t>). For purposes of this Agreement, a “</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32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u w:val="single"/>
        </w:rPr>
        <w:t>Employee’s Ri</w:t>
      </w:r>
      <w:r>
        <w:rPr>
          <w:rFonts w:ascii="Times New Roman;serif" w:hAnsi="Times New Roman;serif"/>
          <w:b w:val="false"/>
          <w:color w:val="000000"/>
          <w:sz w:val="24"/>
        </w:rPr>
        <w:t>g</w:t>
      </w:r>
      <w:r>
        <w:rPr>
          <w:rFonts w:ascii="Times New Roman;serif" w:hAnsi="Times New Roman;serif"/>
          <w:b w:val="false"/>
          <w:color w:val="000000"/>
          <w:sz w:val="24"/>
          <w:u w:val="single"/>
        </w:rPr>
        <w:t>ht to Terminate for Convenience or Non-Renewal of Term</w:t>
      </w:r>
      <w:r>
        <w:rPr>
          <w:rFonts w:ascii="Times New Roman;serif" w:hAnsi="Times New Roman;serif"/>
          <w:b w:val="false"/>
          <w:color w:val="000000"/>
          <w:sz w:val="24"/>
        </w:rPr>
        <w:t xml:space="preserve">. In addition to Employee’s right to terminate Employee’s employment for Good Reason, Employee shall have the right to terminate Employee’s employment with the Company for convenience at any time and for any other reason, or no reason at all, upon sixty (60) days’ advance written notice to the Company (or ninety (90) days’, in the event of a non-renewal of the Term or any extension thereof);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Times New Roman;serif" w:hAnsi="Times New Roman;serif"/>
          <w:b w:val="false"/>
          <w:color w:val="000000"/>
          <w:sz w:val="24"/>
          <w:u w:val="single"/>
        </w:rPr>
        <w:t>Section 7(b)</w:t>
      </w:r>
      <w:r>
        <w:rPr>
          <w:rFonts w:ascii="Times New Roman;serif" w:hAnsi="Times New Roman;serif"/>
          <w:b w:val="false"/>
          <w:color w:val="000000"/>
          <w:sz w:val="24"/>
        </w:rPr>
        <w:t xml:space="preserve">). Upon the termination of Employee’s employment pursuant to this </w:t>
      </w:r>
      <w:r>
        <w:rPr>
          <w:rFonts w:ascii="Times New Roman;serif" w:hAnsi="Times New Roman;serif"/>
          <w:b w:val="false"/>
          <w:color w:val="000000"/>
          <w:sz w:val="24"/>
          <w:u w:val="single"/>
        </w:rPr>
        <w:t>Section 7(e)</w:t>
      </w:r>
      <w:r>
        <w:rPr>
          <w:rFonts w:ascii="Times New Roman;serif" w:hAnsi="Times New Roman;serif"/>
          <w:b w:val="false"/>
          <w:color w:val="000000"/>
          <w:sz w:val="24"/>
        </w:rPr>
        <w:t xml:space="preserve">, (i) the Company shall pay to Employee the Accrued Benefits and (ii) if Employee provides at least ninety (90) days’ written notice of termination and such termination occurs at or following the end of the initial Term, Employee shall be eligible for the COBRA Continuation, subject to the same terms, conditions and eligibility requirements set forth in </w:t>
      </w:r>
      <w:r>
        <w:rPr>
          <w:rFonts w:ascii="Times New Roman;serif" w:hAnsi="Times New Roman;serif"/>
          <w:b w:val="false"/>
          <w:color w:val="000000"/>
          <w:sz w:val="24"/>
          <w:u w:val="single"/>
        </w:rPr>
        <w:t>Section 7(d)</w:t>
      </w:r>
      <w:r>
        <w:rPr>
          <w:rFonts w:ascii="Times New Roman;serif" w:hAnsi="Times New Roman;serif"/>
          <w:b w:val="false"/>
          <w:color w:val="000000"/>
          <w:sz w:val="24"/>
        </w:rPr>
        <w:t>. Additionally, if Employee (a) provides at least ninety (90) days’ written notice of termination related to a non-renewal of term (including any renewal terms following the initial Term), (b)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upon such termination, and (c) abides by the terms of each of </w:t>
      </w:r>
      <w:r>
        <w:rPr>
          <w:rFonts w:ascii="Times New Roman;serif" w:hAnsi="Times New Roman;serif"/>
          <w:b w:val="false"/>
          <w:color w:val="000000"/>
          <w:sz w:val="24"/>
          <w:u w:val="single"/>
        </w:rPr>
        <w:t>Sections 8</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13</w:t>
      </w:r>
      <w:r>
        <w:rPr>
          <w:rFonts w:ascii="Times New Roman;serif" w:hAnsi="Times New Roman;serif"/>
          <w:b w:val="false"/>
          <w:color w:val="000000"/>
          <w:sz w:val="24"/>
        </w:rPr>
        <w:t>, Employee shall receive the Prior Year Bonus, if any (which amount shall be paid within sixty (60) days following the date of such termination of employment but in no event later than March 15 of the year following the Bonus Year to which such Annual Bonus relates).</w:t>
      </w:r>
    </w:p>
    <w:p>
      <w:pPr>
        <w:pStyle w:val="TextBody"/>
        <w:bidi w:val="0"/>
        <w:spacing w:lineRule="auto" w:line="240" w:before="0" w:after="32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u w:val="single"/>
        </w:rPr>
        <w:t>Effect of Termination of Employment without Cause, for Good Reason, or for the Company’s Non-Renewal of the Term</w:t>
      </w:r>
      <w:r>
        <w:rPr>
          <w:rFonts w:ascii="Times New Roman;serif" w:hAnsi="Times New Roman;serif"/>
          <w:b w:val="false"/>
          <w:color w:val="000000"/>
          <w:sz w:val="24"/>
        </w:rPr>
        <w:t>.</w:t>
      </w:r>
    </w:p>
    <w:p>
      <w:pPr>
        <w:pStyle w:val="TextBody"/>
        <w:bidi w:val="0"/>
        <w:spacing w:lineRule="auto" w:line="240" w:before="0" w:after="32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u w:val="single"/>
        </w:rPr>
        <w:t>Termination Outside a Change in Control Period</w:t>
      </w:r>
      <w:r>
        <w:rPr>
          <w:rFonts w:ascii="Times New Roman;serif" w:hAnsi="Times New Roman;serif"/>
          <w:b w:val="false"/>
          <w:color w:val="000000"/>
          <w:sz w:val="24"/>
        </w:rPr>
        <w:t xml:space="preserve">. If Employee’s employment hereunder is terminated (A) by the Company without Cause (including as a result of a non-renewal of the Term or any extension thereof) pursuant to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 xml:space="preserve">or is terminated by Employee for Good Reason pursuant to </w:t>
      </w:r>
      <w:r>
        <w:rPr>
          <w:rFonts w:ascii="Times New Roman;serif" w:hAnsi="Times New Roman;serif"/>
          <w:b w:val="false"/>
          <w:color w:val="000000"/>
          <w:sz w:val="24"/>
          <w:u w:val="single"/>
        </w:rPr>
        <w:t>Section 7(c)</w:t>
      </w:r>
      <w:r>
        <w:rPr>
          <w:rFonts w:ascii="Times New Roman;serif" w:hAnsi="Times New Roman;serif"/>
          <w:b w:val="false"/>
          <w:color w:val="000000"/>
          <w:sz w:val="24"/>
        </w:rPr>
        <w:t>, and (B) the Termination Date is not on or within eighteen (18) months following a Change in Control (as defined in the LTIP, and such period, the “</w:t>
      </w:r>
      <w:r>
        <w:rPr>
          <w:rFonts w:ascii="Times New Roman;serif" w:hAnsi="Times New Roman;serif"/>
          <w:b w:val="false"/>
          <w:color w:val="000000"/>
          <w:sz w:val="24"/>
          <w:u w:val="single"/>
        </w:rPr>
        <w:t>Change in Control Period</w:t>
      </w:r>
      <w:r>
        <w:rPr>
          <w:color w:val="000000"/>
        </w:rPr>
        <w:t>”</w:t>
      </w:r>
      <w:r>
        <w:rPr>
          <w:rFonts w:ascii="Times New Roman;serif" w:hAnsi="Times New Roman;serif"/>
          <w:b w:val="false"/>
          <w:color w:val="000000"/>
          <w:sz w:val="24"/>
        </w:rPr>
        <w:t xml:space="preserve">), then the Company shall pay Employee the Accrued Benefits and any Prior Year Bonus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the Release, which Release shall release each member of the Company Group and their respective affiliates, and the foregoing entities’ respective shareholders, members, partners, officers, managers, directors, fiduciaries, employees, representatives, agents and benefit plans (and fiduciaries of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320"/>
        <w:jc w:val="both"/>
        <w:rPr/>
      </w:pPr>
      <w:r>
        <w:rPr>
          <w:rFonts w:ascii="Times New Roman;serif" w:hAnsi="Times New Roman;serif"/>
          <w:b w:val="false"/>
          <w:color w:val="000000"/>
          <w:sz w:val="24"/>
        </w:rPr>
        <w:t xml:space="preserve">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Times New Roman;serif" w:hAnsi="Times New Roman;serif"/>
          <w:b w:val="false"/>
          <w:color w:val="000000"/>
          <w:sz w:val="24"/>
          <w:u w:val="single"/>
        </w:rPr>
        <w:t>Section7(f)(i)</w:t>
      </w:r>
      <w:r>
        <w:rPr>
          <w:rFonts w:ascii="Times New Roman;serif" w:hAnsi="Times New Roman;serif"/>
          <w:b w:val="false"/>
          <w:color w:val="000000"/>
          <w:sz w:val="24"/>
        </w:rPr>
        <w:t xml:space="preserve">; and (y) abides by the terms of each of </w:t>
      </w:r>
      <w:r>
        <w:rPr>
          <w:rFonts w:ascii="Times New Roman;serif" w:hAnsi="Times New Roman;serif"/>
          <w:b w:val="false"/>
          <w:color w:val="000000"/>
          <w:sz w:val="24"/>
          <w:u w:val="single"/>
        </w:rPr>
        <w:t>Sections 8</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13</w:t>
      </w:r>
      <w:r>
        <w:rPr>
          <w:color w:val="000000"/>
        </w:rPr>
        <w:t xml:space="preserve"> </w:t>
      </w:r>
      <w:r>
        <w:rPr>
          <w:rFonts w:ascii="Times New Roman;serif" w:hAnsi="Times New Roman;serif"/>
          <w:b w:val="false"/>
          <w:color w:val="000000"/>
          <w:sz w:val="24"/>
        </w:rPr>
        <w:t>then:</w:t>
      </w:r>
    </w:p>
    <w:p>
      <w:pPr>
        <w:pStyle w:val="TextBody"/>
        <w:bidi w:val="0"/>
        <w:spacing w:lineRule="auto" w:line="240" w:before="0" w:after="3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The Company shall make severance payments to Employee in a total amount equal to (i) twenty-four (24) months’ worth of Employee’s Base Salary and (ii) two (2) times the target Annual Bonus, where each are determined as of the year in which such termination occurs (such total severance payments being referred to as the “</w:t>
      </w:r>
      <w:r>
        <w:rPr>
          <w:rFonts w:ascii="Times New Roman;serif" w:hAnsi="Times New Roman;serif"/>
          <w:b w:val="false"/>
          <w:color w:val="000000"/>
          <w:sz w:val="24"/>
          <w:u w:val="single"/>
        </w:rPr>
        <w:t>Non-CIC Severance Payment</w:t>
      </w:r>
      <w:r>
        <w:rPr>
          <w:color w:val="000000"/>
        </w:rPr>
        <w:t>”</w:t>
      </w:r>
      <w:r>
        <w:rPr>
          <w:rFonts w:ascii="Times New Roman;serif" w:hAnsi="Times New Roman;serif"/>
          <w:b w:val="false"/>
          <w:color w:val="000000"/>
          <w:sz w:val="24"/>
        </w:rPr>
        <w:t>). The Non-CIC Severance Payment will be divided into substantially equal installments paid over the twenty-four (24)-month period following the Termination Date. On the Company’s first regularly scheduled pay date that is on or after the date that is sixty (60) days after the Termination Date (the “</w:t>
      </w:r>
      <w:r>
        <w:rPr>
          <w:rFonts w:ascii="Times New Roman;serif" w:hAnsi="Times New Roman;serif"/>
          <w:b w:val="false"/>
          <w:color w:val="000000"/>
          <w:sz w:val="24"/>
          <w:u w:val="single"/>
        </w:rPr>
        <w:t>First Payment Date</w:t>
      </w:r>
      <w:r>
        <w:rPr>
          <w:color w:val="000000"/>
        </w:rPr>
        <w:t>”</w:t>
      </w:r>
      <w:r>
        <w:rPr>
          <w:rFonts w:ascii="Times New Roman;serif" w:hAnsi="Times New Roman;serif"/>
          <w:b w:val="false"/>
          <w:color w:val="000000"/>
          <w:sz w:val="24"/>
        </w:rPr>
        <w:t xml:space="preserve">), the Company shall pay to Employee,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such twenty-four (24)-month period;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to the extent, if any, that the aggregate amount of the installments of the Non-CIC Severance Payment that would otherwise be paid pursuant to the preceding provisions of this </w:t>
      </w:r>
      <w:r>
        <w:rPr>
          <w:rFonts w:ascii="Times New Roman;serif" w:hAnsi="Times New Roman;serif"/>
          <w:b w:val="false"/>
          <w:color w:val="000000"/>
          <w:sz w:val="24"/>
          <w:u w:val="single"/>
        </w:rPr>
        <w:t>Section 7(f)(i)(A)</w:t>
      </w:r>
      <w:r>
        <w:rPr>
          <w:color w:val="000000"/>
        </w:rPr>
        <w:t xml:space="preserve"> </w:t>
      </w:r>
      <w:r>
        <w:rPr>
          <w:rFonts w:ascii="Times New Roman;serif" w:hAnsi="Times New Roman;serif"/>
          <w:b w:val="false"/>
          <w:color w:val="000000"/>
          <w:sz w:val="24"/>
        </w:rPr>
        <w:t>after March 15 of the calendar year following the calendar year in which the Termination Date occurs (the “</w:t>
      </w:r>
      <w:r>
        <w:rPr>
          <w:rFonts w:ascii="Times New Roman;serif" w:hAnsi="Times New Roman;serif"/>
          <w:b w:val="false"/>
          <w:color w:val="000000"/>
          <w:sz w:val="24"/>
          <w:u w:val="single"/>
        </w:rPr>
        <w:t>Applicable March 15</w:t>
      </w:r>
      <w:r>
        <w:rPr>
          <w:color w:val="000000"/>
        </w:rPr>
        <w:t>”</w:t>
      </w:r>
      <w:r>
        <w:rPr>
          <w:rFonts w:ascii="Times New Roman;serif" w:hAnsi="Times New Roman;serif"/>
          <w:b w:val="false"/>
          <w:color w:val="000000"/>
          <w:sz w:val="24"/>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Non-CIC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except a Saturday, Sunday or other day on which commercial banks in Houston, Texas, are authorized or required by law to be closed.</w:t>
      </w:r>
    </w:p>
    <w:p>
      <w:pPr>
        <w:pStyle w:val="TextBody"/>
        <w:bidi w:val="0"/>
        <w:spacing w:lineRule="auto" w:line="240" w:before="0" w:after="3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The Company shall pay to Employee the Prorated Target Bonus, payable in a lump sum on the Company’s first regularly scheduled pay date that is on or after the date that is sixty (60) days after the Termination Date.</w:t>
      </w:r>
    </w:p>
    <w:p>
      <w:pPr>
        <w:pStyle w:val="TextBody"/>
        <w:bidi w:val="0"/>
        <w:spacing w:lineRule="auto" w:line="240" w:before="0" w:after="32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Employee shall be eligible for the COBRA Continuation, subject to the same terms, conditions and eligibility requirements set forth in </w:t>
      </w:r>
      <w:r>
        <w:rPr>
          <w:rFonts w:ascii="Times New Roman;serif" w:hAnsi="Times New Roman;serif"/>
          <w:b w:val="false"/>
          <w:color w:val="000000"/>
          <w:sz w:val="24"/>
          <w:u w:val="single"/>
        </w:rPr>
        <w:t>Section 7(d)</w:t>
      </w:r>
      <w:r>
        <w:rPr>
          <w:rFonts w:ascii="Times New Roman;serif" w:hAnsi="Times New Roman;serif"/>
          <w:b w:val="false"/>
          <w:color w:val="000000"/>
          <w:sz w:val="24"/>
        </w:rPr>
        <w:t>.</w:t>
      </w:r>
    </w:p>
    <w:p>
      <w:pPr>
        <w:pStyle w:val="TextBody"/>
        <w:bidi w:val="0"/>
        <w:spacing w:lineRule="auto" w:line="288" w:before="0" w:after="320"/>
        <w:jc w:val="both"/>
        <w:rPr/>
      </w:pPr>
      <w:r>
        <w:rPr>
          <w:rFonts w:ascii="Times New Roman;serif" w:hAnsi="Times New Roman;serif"/>
          <w:b w:val="false"/>
          <w:color w:val="000000"/>
          <w:sz w:val="24"/>
        </w:rPr>
        <w:t>The payments and benefits described in clauses (A), (B), and (C) above are collectively referred to herein as the “</w:t>
      </w:r>
      <w:r>
        <w:rPr>
          <w:rFonts w:ascii="Times New Roman;serif" w:hAnsi="Times New Roman;serif"/>
          <w:b w:val="false"/>
          <w:color w:val="000000"/>
          <w:sz w:val="24"/>
          <w:u w:val="single"/>
        </w:rPr>
        <w:t>Non-CIC Termination Benefits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32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u w:val="single"/>
        </w:rPr>
        <w:t>Termination Within a Change in Control Period</w:t>
      </w:r>
      <w:r>
        <w:rPr>
          <w:rFonts w:ascii="Times New Roman;serif" w:hAnsi="Times New Roman;serif"/>
          <w:b w:val="false"/>
          <w:color w:val="000000"/>
          <w:sz w:val="24"/>
        </w:rPr>
        <w:t xml:space="preserve">. If Employee’s employment hereunder is terminated (A) by the Company without Cause (including as a result of a non-renewal of the Term or any extension thereof) pursuant to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 xml:space="preserve">or is terminated by Employee for Good Reason pursuant to </w:t>
      </w:r>
      <w:r>
        <w:rPr>
          <w:rFonts w:ascii="Times New Roman;serif" w:hAnsi="Times New Roman;serif"/>
          <w:b w:val="false"/>
          <w:color w:val="000000"/>
          <w:sz w:val="24"/>
          <w:u w:val="single"/>
        </w:rPr>
        <w:t>Section 7(c)</w:t>
      </w:r>
      <w:r>
        <w:rPr>
          <w:color w:val="000000"/>
        </w:rPr>
        <w:t xml:space="preserve"> </w:t>
      </w:r>
      <w:r>
        <w:rPr>
          <w:rFonts w:ascii="Times New Roman;serif" w:hAnsi="Times New Roman;serif"/>
          <w:b w:val="false"/>
          <w:color w:val="000000"/>
          <w:sz w:val="24"/>
        </w:rPr>
        <w:t xml:space="preserve">and (B) the Termination Date is within the Change in Control Period, then the Company shall pay Employee the Accrued Benefits and any Prior Year Bonus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and does not revoke within any time provided by the Company to do so, the Release,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Times New Roman;serif" w:hAnsi="Times New Roman;serif"/>
          <w:b w:val="false"/>
          <w:color w:val="000000"/>
          <w:sz w:val="24"/>
          <w:u w:val="single"/>
        </w:rPr>
        <w:t>Section 7(f)(ii)</w:t>
      </w:r>
      <w:r>
        <w:rPr>
          <w:rFonts w:ascii="Times New Roman;serif" w:hAnsi="Times New Roman;serif"/>
          <w:b w:val="false"/>
          <w:color w:val="000000"/>
          <w:sz w:val="24"/>
        </w:rPr>
        <w:t xml:space="preserve">; and (y) abides by the terms of each of </w:t>
      </w:r>
      <w:r>
        <w:rPr>
          <w:rFonts w:ascii="Times New Roman;serif" w:hAnsi="Times New Roman;serif"/>
          <w:b w:val="false"/>
          <w:color w:val="000000"/>
          <w:sz w:val="24"/>
          <w:u w:val="single"/>
        </w:rPr>
        <w:t>Sections 8</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13</w:t>
      </w:r>
      <w:r>
        <w:rPr>
          <w:color w:val="000000"/>
        </w:rPr>
        <w:t xml:space="preserve"> </w:t>
      </w:r>
      <w:r>
        <w:rPr>
          <w:rFonts w:ascii="Times New Roman;serif" w:hAnsi="Times New Roman;serif"/>
          <w:b w:val="false"/>
          <w:color w:val="000000"/>
          <w:sz w:val="24"/>
        </w:rPr>
        <w:t xml:space="preserve">then: </w:t>
      </w:r>
    </w:p>
    <w:p>
      <w:pPr>
        <w:pStyle w:val="TextBody"/>
        <w:bidi w:val="0"/>
        <w:spacing w:lineRule="auto" w:line="240" w:before="0" w:after="3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The Company shall make a lump sum payment to Employee equal to the product of two and ninety-nine hundredths (2.99) times the sum of (I) twelve (12) months’ of Employee’s Base Salary and (II) the target Annual Bonus, where each are determined as of the year in which such termination occurs, with such lump sum payable on the Company’s first regularly scheduled pay date that is on or after the date that is sixty (60) days after the Termination Date. </w:t>
      </w:r>
    </w:p>
    <w:p>
      <w:pPr>
        <w:pStyle w:val="TextBody"/>
        <w:bidi w:val="0"/>
        <w:spacing w:lineRule="auto" w:line="240" w:before="0" w:after="3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The Company shall pay to Employee the Prorated Target Bonus, payable in a lump sum on the Company’s first regularly scheduled pay date that is on or after the date that is sixty (60) days after the Termination Date.</w:t>
      </w:r>
    </w:p>
    <w:p>
      <w:pPr>
        <w:pStyle w:val="TextBody"/>
        <w:bidi w:val="0"/>
        <w:spacing w:lineRule="auto" w:line="240" w:before="0" w:after="32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Employee shall be eligible for the COBRA Continuation, subject to the same terms, conditions and eligibility requirements set forth in </w:t>
      </w:r>
      <w:r>
        <w:rPr>
          <w:rFonts w:ascii="Times New Roman;serif" w:hAnsi="Times New Roman;serif"/>
          <w:b w:val="false"/>
          <w:color w:val="000000"/>
          <w:sz w:val="24"/>
          <w:u w:val="single"/>
        </w:rPr>
        <w:t>Section 7(d)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such COBRA Continuation will be provided at a monthly rate that is no greater than the monthly premium payable by Employee for coverage under the Company’s group health plan covering Employee and Employee’s eligible dependents as of immediately prior to the Termination Date, with any cost in excess of such amount being paid or reimbursed by the Company.</w:t>
      </w:r>
    </w:p>
    <w:p>
      <w:pPr>
        <w:pStyle w:val="TextBody"/>
        <w:bidi w:val="0"/>
        <w:spacing w:lineRule="auto" w:line="288" w:before="0" w:after="320"/>
        <w:jc w:val="both"/>
        <w:rPr/>
      </w:pPr>
      <w:r>
        <w:rPr>
          <w:rFonts w:ascii="Times New Roman;serif" w:hAnsi="Times New Roman;serif"/>
          <w:b w:val="false"/>
          <w:color w:val="000000"/>
          <w:sz w:val="24"/>
        </w:rPr>
        <w:t>The payments and benefits described in clauses (A), (B), and (C) above are collectively referred to herein as the “</w:t>
      </w:r>
      <w:r>
        <w:rPr>
          <w:rFonts w:ascii="Times New Roman;serif" w:hAnsi="Times New Roman;serif"/>
          <w:b w:val="false"/>
          <w:color w:val="000000"/>
          <w:sz w:val="24"/>
          <w:u w:val="single"/>
        </w:rPr>
        <w:t>CIC Termination Benefits</w:t>
      </w:r>
      <w:r>
        <w:rPr>
          <w:color w:val="000000"/>
        </w:rPr>
        <w:t xml:space="preserve">” </w:t>
      </w:r>
      <w:r>
        <w:rPr>
          <w:rFonts w:ascii="Times New Roman;serif" w:hAnsi="Times New Roman;serif"/>
          <w:b w:val="false"/>
          <w:color w:val="000000"/>
          <w:sz w:val="24"/>
        </w:rPr>
        <w:t>(and together with the Non-CIC Termination Benefits, as applicable, the “</w:t>
      </w:r>
      <w:r>
        <w:rPr>
          <w:rFonts w:ascii="Times New Roman;serif" w:hAnsi="Times New Roman;serif"/>
          <w:b w:val="false"/>
          <w:color w:val="000000"/>
          <w:sz w:val="24"/>
          <w:u w:val="single"/>
        </w:rPr>
        <w:t>Termination Benefits</w:t>
      </w:r>
      <w:r>
        <w:rPr>
          <w:color w:val="000000"/>
        </w:rPr>
        <w:t>”</w:t>
      </w:r>
      <w:r>
        <w:rPr>
          <w:rFonts w:ascii="Times New Roman;serif" w:hAnsi="Times New Roman;serif"/>
          <w:b w:val="false"/>
          <w:color w:val="000000"/>
          <w:sz w:val="24"/>
        </w:rPr>
        <w:t>).</w:t>
      </w:r>
    </w:p>
    <w:p>
      <w:pPr>
        <w:pStyle w:val="TextBody"/>
        <w:bidi w:val="0"/>
        <w:spacing w:lineRule="auto" w:line="240" w:before="0" w:after="32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If the Release is not executed and returned to the Company on or before the Release Expiration Date, and the required revocation period has not fully expired without revocation of the Release by Employee, then Employee shall not be entitled to any portion of the applicable Termination Benefits. As used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320"/>
        <w:jc w:val="both"/>
        <w:rPr/>
      </w:pPr>
      <w:r>
        <w:rPr>
          <w:rFonts w:ascii="Times New Roman;serif" w:hAnsi="Times New Roman;serif"/>
          <w:b w:val="false"/>
          <w:color w:val="000000"/>
          <w:sz w:val="24"/>
        </w:rPr>
        <w:t>herein, the “</w:t>
      </w:r>
      <w:r>
        <w:rPr>
          <w:rFonts w:ascii="Times New Roman;serif" w:hAnsi="Times New Roman;serif"/>
          <w:b w:val="false"/>
          <w:color w:val="000000"/>
          <w:sz w:val="24"/>
          <w:u w:val="single"/>
        </w:rPr>
        <w:t>Release Expiration Date</w:t>
      </w:r>
      <w:r>
        <w:rPr>
          <w:color w:val="000000"/>
        </w:rPr>
        <w:t xml:space="preserve">” </w:t>
      </w:r>
      <w:r>
        <w:rPr>
          <w:rFonts w:ascii="Times New Roman;serif" w:hAnsi="Times New Roman;serif"/>
          <w:b w:val="false"/>
          <w:color w:val="000000"/>
          <w:sz w:val="24"/>
        </w:rPr>
        <w:t>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pStyle w:val="TextBody"/>
        <w:bidi w:val="0"/>
        <w:spacing w:lineRule="auto" w:line="240" w:before="0" w:after="320"/>
        <w:ind w:left="0" w:right="0" w:firstLine="1440"/>
        <w:jc w:val="both"/>
        <w:rPr/>
      </w:pPr>
      <w:r>
        <w:rPr>
          <w:rFonts w:ascii="Times New Roman;serif" w:hAnsi="Times New Roman;serif"/>
          <w:b w:val="false"/>
          <w:color w:val="010000"/>
          <w:sz w:val="24"/>
        </w:rPr>
        <w:t>(g)</w:t>
      </w:r>
      <w:r>
        <w:rPr>
          <w:rFonts w:ascii="Times New Roman;serif" w:hAnsi="Times New Roman;serif"/>
          <w:b w:val="false"/>
          <w:color w:val="000000"/>
          <w:sz w:val="24"/>
          <w:u w:val="single"/>
        </w:rPr>
        <w:t>After-Acquired Evidence</w:t>
      </w:r>
      <w:r>
        <w:rPr>
          <w:rFonts w:ascii="Times New Roman;serif" w:hAnsi="Times New Roman;serif"/>
          <w:b w:val="false"/>
          <w:color w:val="000000"/>
          <w:sz w:val="24"/>
        </w:rPr>
        <w:t xml:space="preserve">. Notwithstanding any provision of this Agreement to the contrary, in the event that the Company determines, in good faith, that Employee is eligible to receive Termination Benefits pursuant to </w:t>
      </w:r>
      <w:r>
        <w:rPr>
          <w:rFonts w:ascii="Times New Roman;serif" w:hAnsi="Times New Roman;serif"/>
          <w:b w:val="false"/>
          <w:color w:val="000000"/>
          <w:sz w:val="24"/>
          <w:u w:val="single"/>
        </w:rPr>
        <w:t>Section 7(f)</w:t>
      </w:r>
      <w:r>
        <w:rPr>
          <w:color w:val="000000"/>
        </w:rPr>
        <w:t xml:space="preserve"> </w:t>
      </w:r>
      <w:r>
        <w:rPr>
          <w:rFonts w:ascii="Times New Roman;serif" w:hAnsi="Times New Roman;serif"/>
          <w:b w:val="false"/>
          <w:color w:val="000000"/>
          <w:sz w:val="24"/>
        </w:rPr>
        <w:t xml:space="preserve">but, after such determination, the Company subsequently acquires evidence or determines that: (i) Employee has failed to abide by the terms of any of </w:t>
      </w:r>
      <w:r>
        <w:rPr>
          <w:rFonts w:ascii="Times New Roman;serif" w:hAnsi="Times New Roman;serif"/>
          <w:b w:val="false"/>
          <w:color w:val="000000"/>
          <w:sz w:val="24"/>
          <w:u w:val="single"/>
        </w:rPr>
        <w:t>Sections 8</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13</w:t>
      </w:r>
      <w:r>
        <w:rPr>
          <w:rFonts w:ascii="Times New Roman;serif" w:hAnsi="Times New Roman;serif"/>
          <w:b w:val="false"/>
          <w:color w:val="000000"/>
          <w:sz w:val="24"/>
        </w:rPr>
        <w:t xml:space="preserve">; or (ii) a Cause condition existed prior to the Termination Date that, had the Company been fully aware of such condition, would have given the Company the right to terminate Employee’s employment pursuant to </w:t>
      </w:r>
      <w:r>
        <w:rPr>
          <w:rFonts w:ascii="Times New Roman;serif" w:hAnsi="Times New Roman;serif"/>
          <w:b w:val="false"/>
          <w:color w:val="000000"/>
          <w:sz w:val="24"/>
          <w:u w:val="single"/>
        </w:rPr>
        <w:t>Section 7(a)</w:t>
      </w:r>
      <w:r>
        <w:rPr>
          <w:rFonts w:ascii="Times New Roman;serif" w:hAnsi="Times New Roman;serif"/>
          <w:b w:val="false"/>
          <w:color w:val="000000"/>
          <w:sz w:val="24"/>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Times New Roman;serif" w:hAnsi="Times New Roman;serif"/>
          <w:b w:val="false"/>
          <w:color w:val="000000"/>
          <w:sz w:val="24"/>
          <w:u w:val="single"/>
        </w:rPr>
        <w:t>Section 7(g)</w:t>
      </w:r>
      <w:r>
        <w:rPr>
          <w:color w:val="000000"/>
        </w:rPr>
        <w:t xml:space="preserve"> </w:t>
      </w:r>
      <w:r>
        <w:rPr>
          <w:rFonts w:ascii="Times New Roman;serif" w:hAnsi="Times New Roman;serif"/>
          <w:b w:val="false"/>
          <w:color w:val="000000"/>
          <w:sz w:val="24"/>
        </w:rPr>
        <w:t xml:space="preserve">have been satisfied. In addition, the provisions of the last sentence of </w:t>
      </w:r>
      <w:r>
        <w:rPr>
          <w:rFonts w:ascii="Times New Roman;serif" w:hAnsi="Times New Roman;serif"/>
          <w:b w:val="false"/>
          <w:color w:val="000000"/>
          <w:sz w:val="24"/>
          <w:u w:val="single"/>
        </w:rPr>
        <w:t>Section 7(a)</w:t>
      </w:r>
      <w:r>
        <w:rPr>
          <w:color w:val="000000"/>
        </w:rPr>
        <w:t xml:space="preserve"> </w:t>
      </w:r>
      <w:r>
        <w:rPr>
          <w:rFonts w:ascii="Times New Roman;serif" w:hAnsi="Times New Roman;serif"/>
          <w:b w:val="false"/>
          <w:color w:val="000000"/>
          <w:sz w:val="24"/>
        </w:rPr>
        <w:t xml:space="preserve">shall apply, and, subject to any limitation under applicable law, previously paid compensation pursuant to </w:t>
      </w:r>
      <w:r>
        <w:rPr>
          <w:rFonts w:ascii="Times New Roman;serif" w:hAnsi="Times New Roman;serif"/>
          <w:b w:val="false"/>
          <w:color w:val="000000"/>
          <w:sz w:val="24"/>
          <w:u w:val="single"/>
        </w:rPr>
        <w:t>Sections 3(b)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3(c)</w:t>
      </w:r>
      <w:r>
        <w:rPr>
          <w:color w:val="000000"/>
        </w:rPr>
        <w:t xml:space="preserve"> </w:t>
      </w:r>
      <w:r>
        <w:rPr>
          <w:rFonts w:ascii="Times New Roman;serif" w:hAnsi="Times New Roman;serif"/>
          <w:b w:val="false"/>
          <w:color w:val="000000"/>
          <w:sz w:val="24"/>
        </w:rPr>
        <w:t xml:space="preserve">shall be subject to clawback or forfeiture and cancellation at the discretion of the Compensation Committee in the event Employee fails to abide by the terms of any of </w:t>
      </w:r>
      <w:r>
        <w:rPr>
          <w:rFonts w:ascii="Times New Roman;serif" w:hAnsi="Times New Roman;serif"/>
          <w:b w:val="false"/>
          <w:color w:val="000000"/>
          <w:sz w:val="24"/>
          <w:u w:val="single"/>
        </w:rPr>
        <w:t>Sections 8</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13</w:t>
      </w:r>
      <w:r>
        <w:rPr>
          <w:rFonts w:ascii="Times New Roman;serif" w:hAnsi="Times New Roman;serif"/>
          <w:b w:val="false"/>
          <w:color w:val="000000"/>
          <w:sz w:val="24"/>
        </w:rPr>
        <w:t>.</w:t>
      </w:r>
    </w:p>
    <w:p>
      <w:pPr>
        <w:pStyle w:val="TextBody"/>
        <w:bidi w:val="0"/>
        <w:spacing w:lineRule="auto" w:line="240" w:before="0" w:after="320"/>
        <w:ind w:left="0" w:right="0" w:firstLine="720"/>
        <w:jc w:val="both"/>
        <w:rPr/>
      </w:pPr>
      <w:r>
        <w:rPr>
          <w:rFonts w:ascii="Times New Roman;serif" w:hAnsi="Times New Roman;serif"/>
          <w:b w:val="false"/>
          <w:color w:val="010000"/>
          <w:sz w:val="24"/>
        </w:rPr>
        <w:t>8.</w:t>
      </w:r>
      <w:r>
        <w:rPr>
          <w:rFonts w:ascii="Times New Roman;serif" w:hAnsi="Times New Roman;serif"/>
          <w:b/>
          <w:color w:val="000000"/>
          <w:sz w:val="24"/>
          <w:u w:val="single"/>
        </w:rPr>
        <w:t>Disclosures</w:t>
      </w:r>
      <w:r>
        <w:rPr>
          <w:rFonts w:ascii="Times New Roman;serif" w:hAnsi="Times New Roman;serif"/>
          <w:b w:val="false"/>
          <w:color w:val="000000"/>
          <w:sz w:val="24"/>
        </w:rPr>
        <w:t>. Promptly (and in any event, within three (3) Business Days) upon becoming aware of (a) any actual or 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Times New Roman;serif" w:hAnsi="Times New Roman;serif"/>
          <w:b w:val="false"/>
          <w:color w:val="000000"/>
          <w:sz w:val="24"/>
          <w:u w:val="single"/>
        </w:rPr>
        <w:t>Conflict of Interest</w:t>
      </w:r>
      <w:r>
        <w:rPr>
          <w:color w:val="000000"/>
        </w:rPr>
        <w:t xml:space="preserve">” </w:t>
      </w:r>
      <w:r>
        <w:rPr>
          <w:rFonts w:ascii="Times New Roman;serif" w:hAnsi="Times New Roman;serif"/>
          <w:b w:val="false"/>
          <w:color w:val="000000"/>
          <w:sz w:val="24"/>
        </w:rPr>
        <w:t>shall exist when Employee engages in, or plans to engage in, any activities, associations, or interests that conflict with, or create an appearance of a conflict with, Employee’s duties, responsibilities, authorities, or obligations for or to any member of the Company Group.</w:t>
      </w:r>
    </w:p>
    <w:p>
      <w:pPr>
        <w:pStyle w:val="TextBody"/>
        <w:bidi w:val="0"/>
        <w:spacing w:lineRule="auto" w:line="240" w:before="0" w:after="320"/>
        <w:ind w:left="0" w:right="0" w:firstLine="720"/>
        <w:jc w:val="both"/>
        <w:rPr/>
      </w:pPr>
      <w:r>
        <w:rPr>
          <w:rFonts w:ascii="Times New Roman;serif" w:hAnsi="Times New Roman;serif"/>
          <w:b w:val="false"/>
          <w:color w:val="010000"/>
          <w:sz w:val="24"/>
        </w:rPr>
        <w:t>9.</w:t>
      </w:r>
      <w:r>
        <w:rPr>
          <w:rFonts w:ascii="Times New Roman;serif" w:hAnsi="Times New Roman;serif"/>
          <w:b/>
          <w:color w:val="000000"/>
          <w:sz w:val="24"/>
          <w:u w:val="single"/>
        </w:rPr>
        <w:t>Confidentiality</w:t>
      </w:r>
      <w:r>
        <w:rPr>
          <w:rFonts w:ascii="Times New Roman;serif" w:hAnsi="Times New Roman;serif"/>
          <w:b w:val="false"/>
          <w:color w:val="000000"/>
          <w:sz w:val="24"/>
        </w:rPr>
        <w:t xml:space="preserve">. In the course of Employee’s employment with the Company and the performance of Employee’s 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Times New Roman;serif" w:hAnsi="Times New Roman;serif"/>
          <w:b w:val="false"/>
          <w:color w:val="000000"/>
          <w:sz w:val="24"/>
          <w:u w:val="single"/>
        </w:rPr>
        <w:t>Section 9</w:t>
      </w:r>
      <w:r>
        <w:rPr>
          <w:rFonts w:ascii="Times New Roman;serif" w:hAnsi="Times New Roman;serif"/>
          <w:b w:val="false"/>
          <w:color w:val="000000"/>
          <w:sz w:val="24"/>
        </w:rPr>
        <w:t>.</w:t>
      </w:r>
    </w:p>
    <w:p>
      <w:pPr>
        <w:pStyle w:val="TextBody"/>
        <w:bidi w:val="0"/>
        <w:spacing w:lineRule="auto" w:line="240" w:before="0" w:after="3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9(e)</w:t>
      </w:r>
      <w:r>
        <w:rPr>
          <w:rFonts w:ascii="Times New Roman;serif" w:hAnsi="Times New Roman;serif"/>
          <w:b w:val="false"/>
          <w:color w:val="000000"/>
          <w:sz w:val="24"/>
        </w:rPr>
        <w:t xml:space="preserve">, both during the Employment Period and thereafter, except as expressly permitted by this Agreement or by directive of the Board, for the benefit of the Company Group, or while acting in the course and scope of his employment, Employee shall not disclose any Confidential Information to any person or entity and shall not use any Confidential Information. Employee shall follow all Company policies and protocols regarding the security of all documents and other materials containing Confidential Information to the extent such policies have been clearly communicated in writing or made available to Employee (regardless of the medium on which Confidential Information is stored). The covenants of this </w:t>
      </w:r>
      <w:r>
        <w:rPr>
          <w:rFonts w:ascii="Times New Roman;serif" w:hAnsi="Times New Roman;serif"/>
          <w:b w:val="false"/>
          <w:color w:val="000000"/>
          <w:sz w:val="24"/>
          <w:u w:val="single"/>
        </w:rPr>
        <w:t>Section 9(a)</w:t>
      </w:r>
      <w:r>
        <w:rPr>
          <w:color w:val="000000"/>
        </w:rPr>
        <w:t xml:space="preserve"> </w:t>
      </w:r>
      <w:r>
        <w:rPr>
          <w:rFonts w:ascii="Times New Roman;serif" w:hAnsi="Times New Roman;serif"/>
          <w:b w:val="false"/>
          <w:color w:val="000000"/>
          <w:sz w:val="24"/>
        </w:rPr>
        <w:t xml:space="preserve">shall apply to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320"/>
        <w:jc w:val="both"/>
        <w:rPr>
          <w:rFonts w:ascii="Times New Roman;serif" w:hAnsi="Times New Roman;serif"/>
          <w:b w:val="false"/>
          <w:color w:val="000000"/>
          <w:sz w:val="24"/>
        </w:rPr>
      </w:pPr>
      <w:r>
        <w:rPr>
          <w:rFonts w:ascii="Times New Roman;serif" w:hAnsi="Times New Roman;serif"/>
          <w:b w:val="false"/>
          <w:color w:val="000000"/>
          <w:sz w:val="24"/>
        </w:rPr>
        <w:t>all Confidential Information, whether now known or later to become known to Employee during the period that Employee is employed by or affiliated with or providing services to the Company or any other member of the Company Group.</w:t>
      </w:r>
    </w:p>
    <w:p>
      <w:pPr>
        <w:pStyle w:val="TextBody"/>
        <w:bidi w:val="0"/>
        <w:spacing w:lineRule="auto" w:line="240" w:before="0" w:after="3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Notwithstanding any provision of </w:t>
      </w:r>
      <w:r>
        <w:rPr>
          <w:rFonts w:ascii="Times New Roman;serif" w:hAnsi="Times New Roman;serif"/>
          <w:b w:val="false"/>
          <w:color w:val="000000"/>
          <w:sz w:val="24"/>
          <w:u w:val="single"/>
        </w:rPr>
        <w:t>Section 9(a)</w:t>
      </w:r>
      <w:r>
        <w:rPr>
          <w:color w:val="000000"/>
        </w:rPr>
        <w:t xml:space="preserve"> </w:t>
      </w:r>
      <w:r>
        <w:rPr>
          <w:rFonts w:ascii="Times New Roman;serif" w:hAnsi="Times New Roman;serif"/>
          <w:b w:val="false"/>
          <w:color w:val="000000"/>
          <w:sz w:val="24"/>
        </w:rPr>
        <w:t>to the contrary, Employee may make the following disclosures and uses of Confidential Information:</w:t>
      </w:r>
    </w:p>
    <w:p>
      <w:pPr>
        <w:pStyle w:val="TextBody"/>
        <w:bidi w:val="0"/>
        <w:spacing w:lineRule="auto" w:line="240" w:before="0" w:after="32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disclosures to other employees of a member of the Company Group who have a need to know the information in connection with the businesses of the Company Group;</w:t>
      </w:r>
    </w:p>
    <w:p>
      <w:pPr>
        <w:pStyle w:val="TextBody"/>
        <w:bidi w:val="0"/>
        <w:spacing w:lineRule="auto" w:line="240" w:before="0" w:after="32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disclosures to third parties when, in the reasonable and good faith belief of Employee, such disclosure is in connection with Employee’s performance of Employee’s duties under this Agreement and in the best interest of the Company Group;</w:t>
      </w:r>
    </w:p>
    <w:p>
      <w:pPr>
        <w:pStyle w:val="TextBody"/>
        <w:bidi w:val="0"/>
        <w:spacing w:lineRule="auto" w:line="240" w:before="0" w:after="32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disclosures and uses that are approved in writing by the Board; or</w:t>
      </w:r>
    </w:p>
    <w:p>
      <w:pPr>
        <w:pStyle w:val="TextBody"/>
        <w:bidi w:val="0"/>
        <w:spacing w:lineRule="auto" w:line="240" w:before="0" w:after="320"/>
        <w:ind w:left="0" w:right="0" w:firstLine="1440"/>
        <w:jc w:val="both"/>
        <w:rPr/>
      </w:pPr>
      <w:r>
        <w:rPr>
          <w:rFonts w:ascii="Times New Roman;serif" w:hAnsi="Times New Roman;serif"/>
          <w:b w:val="false"/>
          <w:color w:val="010000"/>
          <w:sz w:val="24"/>
        </w:rPr>
        <w:t>(iv)</w:t>
      </w:r>
      <w:r>
        <w:rPr>
          <w:rFonts w:ascii="Times New Roman;serif" w:hAnsi="Times New Roman;serif"/>
          <w:b w:val="false"/>
          <w:color w:val="000000"/>
          <w:sz w:val="24"/>
        </w:rPr>
        <w:t>disclosures to a person or entity that has been retained by a member of the Company Group to provide services to one or more members of the Company Group and agreed in writing to abide by the terms of a confidentiality agreement.</w:t>
      </w:r>
    </w:p>
    <w:p>
      <w:pPr>
        <w:pStyle w:val="TextBody"/>
        <w:bidi w:val="0"/>
        <w:spacing w:lineRule="auto" w:line="240" w:before="0" w:after="32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pStyle w:val="TextBody"/>
        <w:bidi w:val="0"/>
        <w:spacing w:lineRule="auto" w:line="240" w:before="0" w:after="32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 xml:space="preserve">Moreover, all documents, videotapes, written presentations, brochures, drawings, memoranda, notes, records, files, correspondence, manuals, models, specifications, computer programs, e-mail, voice mail, electronic databases, maps, drawings, architectural renditions,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320"/>
        <w:jc w:val="both"/>
        <w:rPr/>
      </w:pPr>
      <w:r>
        <w:rPr>
          <w:rFonts w:ascii="Times New Roman;serif" w:hAnsi="Times New Roman;serif"/>
          <w:b w:val="false"/>
          <w:color w:val="000000"/>
          <w:sz w:val="24"/>
        </w:rPr>
        <w:t xml:space="preserve">models and all other writings or materials of any type including or embodying any of such information, ideas, concepts, improvements, discoveries, inventions and other similar forms of expression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Times New Roman;serif" w:hAnsi="Times New Roman;serif"/>
          <w:b w:val="false"/>
          <w:i/>
          <w:color w:val="000000"/>
          <w:sz w:val="24"/>
        </w:rPr>
        <w:t>provided, however</w:t>
      </w:r>
      <w:r>
        <w:rPr>
          <w:rFonts w:ascii="Times New Roman;serif" w:hAnsi="Times New Roman;serif"/>
          <w:b w:val="false"/>
          <w:color w:val="000000"/>
          <w:sz w:val="24"/>
        </w:rPr>
        <w:t>, that such source is not bound by a confidentiality agreement with, or other obligation with respect to confidentiality to, a member of the Company Group.</w:t>
      </w:r>
    </w:p>
    <w:p>
      <w:pPr>
        <w:pStyle w:val="TextBody"/>
        <w:bidi w:val="0"/>
        <w:spacing w:lineRule="auto" w:line="240" w:before="0" w:after="32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Notwithstanding the foregoing, nothing in this Agreement shall prohibit or restrict Employee from lawfully: (i) initiating communications directly with, cooperating with, providing information to, causing information to be provided to, or otherwise assisting in an investigation by, any governmental or regulatory agency, entity, official or authority regarding a possible violation of any law; (ii) 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Nothing in this Agreement shall be interpreted to prohibit or restrict Employee to disclose an act of sexual abuse or facts related to an act of sexual abuse.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pStyle w:val="TextBody"/>
        <w:bidi w:val="0"/>
        <w:spacing w:lineRule="auto" w:line="240" w:before="0" w:after="320"/>
        <w:ind w:left="0" w:right="0" w:firstLine="720"/>
        <w:jc w:val="both"/>
        <w:rPr/>
      </w:pPr>
      <w:r>
        <w:rPr>
          <w:rFonts w:ascii="Times New Roman;serif" w:hAnsi="Times New Roman;serif"/>
          <w:b w:val="false"/>
          <w:color w:val="010000"/>
          <w:sz w:val="24"/>
        </w:rPr>
        <w:t>10.</w:t>
      </w:r>
      <w:r>
        <w:rPr>
          <w:rFonts w:ascii="Times New Roman;serif" w:hAnsi="Times New Roman;serif"/>
          <w:b/>
          <w:color w:val="000000"/>
          <w:sz w:val="24"/>
          <w:u w:val="single"/>
        </w:rPr>
        <w:t>Non-Competition; Non-Solicitation</w:t>
      </w:r>
      <w:r>
        <w:rPr>
          <w:rFonts w:ascii="Times New Roman;serif" w:hAnsi="Times New Roman;serif"/>
          <w:b w:val="false"/>
          <w:color w:val="000000"/>
          <w:sz w:val="24"/>
        </w:rPr>
        <w:t xml:space="preserve">. Employee acknowledges that (i) Employee performs services of a unique nature for the Company Group that are irreplaceable, and that Employee’s performance of such services to a competing business will result in irreparable harm to the Company Group, (ii) Employee has had and will continue to have access to Confidential Information which, if disclosed, would unfairly and inappropriately assist in competition against the Company Group, (iii) in the course of Employee’s employment by a competitor, Employee would inevitably use or disclose such Confidential Information, (iv) the Company Group has substantial relationships with their Customers and Employee has had and will continue to have access to these Customers, (v) Employee has received and will receive specialized training from the Company Group, and (vi) Employee has generated and will continue to generate goodwill for the Company Group in the course of Employee’s employment. Accordingly, Employee agrees that for the duration of Employee’s employment and for one (1) year thereafter, Employee shall not, directly or indirectly: </w:t>
      </w:r>
    </w:p>
    <w:p>
      <w:pPr>
        <w:pStyle w:val="TextBody"/>
        <w:bidi w:val="0"/>
        <w:spacing w:lineRule="auto" w:line="240" w:before="0" w:after="3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own, manage, operate, control, be employed by (whether as an employee, consultant, independent contractor or otherwise, and whether or not for compensation) or render services to any person, firm, corporation or other entity, in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320"/>
        <w:jc w:val="both"/>
        <w:rPr/>
      </w:pPr>
      <w:r>
        <w:rPr>
          <w:rFonts w:ascii="Times New Roman;serif" w:hAnsi="Times New Roman;serif"/>
          <w:b w:val="false"/>
          <w:color w:val="000000"/>
          <w:sz w:val="24"/>
        </w:rPr>
        <w:t xml:space="preserve">whatever form, engaged in competition with the Company Group on the Termination Date, which includes the business of merchant power production, including nuclear power generation, or any business material to the Company Group which the Company Group has taken substantial steps to engage in on or prior to such date in the Pennsylvania-New Jersey-Maryland Interconnection region (as determined by the Federal Energy Regulatory Commission), Montana or any other geographic region in the United States where the Company Group conducts or has taken substantial steps to conduct business prior to the Termination Date and in which Employee had material responsibilities or made actual contact (whether in person, virtual, or by email, text, or phone) between Employee and a customer or prospective customer with whom Employee dealt on behalf of the Company Group or whose dealings with the Company Group were coordinated or supervised by Employee, or who received any product or service from the Company Group that resulted in payment of compensation to Employee, or about whom Employee obtained Confidential Information as a result of Employee’s employment with or service to the Company Group. Notwithstanding the foregoing, nothing herein shall prohibit Employee from being a passive owner of not more than three percent (3%) of the equity securities of a publicly traded corporation engaged in a business that is in competition with the Company Group, so long as Employee has no active participation in the business of such corporation. Nothing in this </w:t>
      </w:r>
      <w:r>
        <w:rPr>
          <w:rFonts w:ascii="Times New Roman;serif" w:hAnsi="Times New Roman;serif"/>
          <w:b w:val="false"/>
          <w:color w:val="000000"/>
          <w:sz w:val="24"/>
          <w:u w:val="single"/>
        </w:rPr>
        <w:t>Section 10(a)</w:t>
      </w:r>
      <w:r>
        <w:rPr>
          <w:color w:val="000000"/>
        </w:rPr>
        <w:t xml:space="preserve"> </w:t>
      </w:r>
      <w:r>
        <w:rPr>
          <w:rFonts w:ascii="Times New Roman;serif" w:hAnsi="Times New Roman;serif"/>
          <w:b w:val="false"/>
          <w:color w:val="000000"/>
          <w:sz w:val="24"/>
        </w:rPr>
        <w:t xml:space="preserve">shall prohibit Employee from being employed or engaged by any Person where such work would not involve any level of strategic, advisory, technical, creative, sales, or other activity similar to that which Employee provided to the Company Group (acknowledging that Employee’s role requires Employee to engage in strategic, managerial, and business development activity), or is in connection with an independent business line of such Person that is wholly unrelated to the business of the Company Group and Confidential Information (subject to protocols to prevent Employee from disclosing Confidential Information). In addition, the provisions of this </w:t>
      </w:r>
      <w:r>
        <w:rPr>
          <w:rFonts w:ascii="Times New Roman;serif" w:hAnsi="Times New Roman;serif"/>
          <w:b w:val="false"/>
          <w:color w:val="000000"/>
          <w:sz w:val="24"/>
          <w:u w:val="single"/>
        </w:rPr>
        <w:t>Section 10(a)</w:t>
      </w:r>
      <w:r>
        <w:rPr>
          <w:color w:val="000000"/>
        </w:rPr>
        <w:t xml:space="preserve"> </w:t>
      </w:r>
      <w:r>
        <w:rPr>
          <w:rFonts w:ascii="Times New Roman;serif" w:hAnsi="Times New Roman;serif"/>
          <w:b w:val="false"/>
          <w:color w:val="000000"/>
          <w:sz w:val="24"/>
        </w:rPr>
        <w:t>shall not be violated by Employee commencing employment with a subsidiary, division or unit of any entity that engages in a business in competition with the Company Group so long as Employee and such subsidiary, division or unit does not engage in a business in competition with the Company Group.</w:t>
      </w:r>
    </w:p>
    <w:p>
      <w:pPr>
        <w:pStyle w:val="TextBody"/>
        <w:bidi w:val="0"/>
        <w:spacing w:lineRule="auto" w:line="240" w:before="0" w:after="3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solicit, induce or attempt to induce any person who was, as of the Termination Date, an employee, agent or individual retained as an independent contractor of the Company or any member of the Company Group and with whom Employee had contact during the Employee’s employment with or service to the Company Group or who otherwise worked in the same department as the Employee (“</w:t>
      </w:r>
      <w:r>
        <w:rPr>
          <w:rFonts w:ascii="Times New Roman;serif" w:hAnsi="Times New Roman;serif"/>
          <w:b w:val="false"/>
          <w:color w:val="000000"/>
          <w:sz w:val="24"/>
          <w:u w:val="single"/>
        </w:rPr>
        <w:t>Covered Individuals</w:t>
      </w:r>
      <w:r>
        <w:rPr>
          <w:color w:val="000000"/>
        </w:rPr>
        <w:t>”</w:t>
      </w:r>
      <w:r>
        <w:rPr>
          <w:rFonts w:ascii="Times New Roman;serif" w:hAnsi="Times New Roman;serif"/>
          <w:b w:val="false"/>
          <w:color w:val="000000"/>
          <w:sz w:val="24"/>
        </w:rPr>
        <w:t xml:space="preserve">), to terminate his or her employment or contracting relationship with the Company Group, or to become an employee or independent contractor of any other Person or hire or retain any such employee, agent or individual, or take any action to materially assist or aid any other Person in identifying, hiring or soliciting any such employee, agent or individual (any employee, agent or individual retained as an independent contractor of the Company Group shall be deemed covered by this </w:t>
      </w:r>
      <w:r>
        <w:rPr>
          <w:rFonts w:ascii="Times New Roman;serif" w:hAnsi="Times New Roman;serif"/>
          <w:b w:val="false"/>
          <w:color w:val="000000"/>
          <w:sz w:val="24"/>
          <w:u w:val="single"/>
        </w:rPr>
        <w:t>Section 10(b)</w:t>
      </w:r>
      <w:r>
        <w:rPr>
          <w:color w:val="000000"/>
        </w:rPr>
        <w:t xml:space="preserve"> </w:t>
      </w:r>
      <w:r>
        <w:rPr>
          <w:rFonts w:ascii="Times New Roman;serif" w:hAnsi="Times New Roman;serif"/>
          <w:b w:val="false"/>
          <w:color w:val="000000"/>
          <w:sz w:val="24"/>
        </w:rPr>
        <w:t xml:space="preserve">while so employed or retained and for a period of six (6) months thereafter); notwithstanding anything to the contrary in this Agreement, general employment solicitations through advertisements for candidates in publicly available media for potential employment do not violate this provision; so long as such advertisements are not specifically targeted at any Covered Individuals; </w:t>
      </w:r>
    </w:p>
    <w:p>
      <w:pPr>
        <w:pStyle w:val="TextBody"/>
        <w:bidi w:val="0"/>
        <w:spacing w:lineRule="auto" w:line="240" w:before="0" w:after="32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solicit, induce or attempt to induce any Customer (as defined below) or any supplier or other business relation of the Company Group who was working with any member of the Company Group as of the Termination Date, to cease doing or reduce the amount of its business with such entity or in any way interfere with the relationship between any such Customer, supplier or other business relation and the Company Group; or</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32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interfere, or aid or induce any other person or entity in interfering, with the relationship between the Company Group and any of their respective vendors, joint venturers or licensors.</w:t>
      </w:r>
    </w:p>
    <w:p>
      <w:pPr>
        <w:pStyle w:val="TextBody"/>
        <w:bidi w:val="0"/>
        <w:spacing w:lineRule="auto" w:line="240" w:before="0" w:after="32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For the purposes of this </w:t>
      </w:r>
      <w:r>
        <w:rPr>
          <w:rFonts w:ascii="Times New Roman;serif" w:hAnsi="Times New Roman;serif"/>
          <w:b w:val="false"/>
          <w:color w:val="000000"/>
          <w:sz w:val="24"/>
          <w:u w:val="single"/>
        </w:rPr>
        <w:t>Section 10</w:t>
      </w:r>
      <w:r>
        <w:rPr>
          <w:rFonts w:ascii="Times New Roman;serif" w:hAnsi="Times New Roman;serif"/>
          <w:b w:val="false"/>
          <w:color w:val="000000"/>
          <w:sz w:val="24"/>
        </w:rPr>
        <w:t>, the following definitions shall apply:</w:t>
      </w:r>
    </w:p>
    <w:p>
      <w:pPr>
        <w:pStyle w:val="TextBody"/>
        <w:bidi w:val="0"/>
        <w:spacing w:lineRule="auto" w:line="240" w:before="0" w:after="320"/>
        <w:ind w:left="0" w:right="0" w:firstLine="1440"/>
        <w:jc w:val="both"/>
        <w:rPr/>
      </w:pPr>
      <w:r>
        <w:rPr>
          <w:rFonts w:ascii="Times New Roman;serif" w:hAnsi="Times New Roman;serif"/>
          <w:b w:val="false"/>
          <w:color w:val="010000"/>
          <w:sz w:val="24"/>
        </w:rPr>
        <w:t>(i)</w:t>
      </w:r>
      <w:r>
        <w:rPr>
          <w:color w:val="000000"/>
        </w:rPr>
        <w:t>“</w:t>
      </w:r>
      <w:r>
        <w:rPr>
          <w:rFonts w:ascii="Times New Roman;serif" w:hAnsi="Times New Roman;serif"/>
          <w:b w:val="false"/>
          <w:color w:val="000000"/>
          <w:sz w:val="24"/>
          <w:u w:val="single"/>
        </w:rPr>
        <w:t>Customer</w:t>
      </w:r>
      <w:r>
        <w:rPr>
          <w:color w:val="000000"/>
        </w:rPr>
        <w:t xml:space="preserve">” </w:t>
      </w:r>
      <w:r>
        <w:rPr>
          <w:rFonts w:ascii="Times New Roman;serif" w:hAnsi="Times New Roman;serif"/>
          <w:b w:val="false"/>
          <w:color w:val="000000"/>
          <w:sz w:val="24"/>
        </w:rPr>
        <w:t>means any Person who or which: (a) purchased products or services from the Company Group prior to or during Employee’s period of employment and who or which Employee was aware of or about whom or which Employee had received Confidential Information; or (b) was called upon or solicited by the Company or any member of the Company Group or any of their predecessors prior to or during the twelve (12) month period prior to the Termination Date, if Employee had direct or indirect contact with such Person as an employee or service provider of the Company Group or learned or became aware of such Person during Employee’s employment with or service to the Company Group.</w:t>
      </w:r>
    </w:p>
    <w:p>
      <w:pPr>
        <w:pStyle w:val="TextBody"/>
        <w:bidi w:val="0"/>
        <w:spacing w:lineRule="auto" w:line="240" w:before="0" w:after="320"/>
        <w:ind w:left="0" w:right="0" w:firstLine="1440"/>
        <w:jc w:val="both"/>
        <w:rPr/>
      </w:pPr>
      <w:r>
        <w:rPr>
          <w:rFonts w:ascii="Times New Roman;serif" w:hAnsi="Times New Roman;serif"/>
          <w:b w:val="false"/>
          <w:color w:val="010000"/>
          <w:sz w:val="24"/>
        </w:rPr>
        <w:t>(ii)</w:t>
      </w: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a partnership, a limited liability company, a corporation, an association, a joint stock company, a trust, a joint venture, an unincorporated organization and a governmental entity or any department, agency or political subdivision thereof.</w:t>
      </w:r>
    </w:p>
    <w:p>
      <w:pPr>
        <w:pStyle w:val="TextBody"/>
        <w:bidi w:val="0"/>
        <w:spacing w:lineRule="auto" w:line="240" w:before="0" w:after="320"/>
        <w:ind w:left="0" w:right="0" w:firstLine="720"/>
        <w:jc w:val="both"/>
        <w:rPr/>
      </w:pPr>
      <w:r>
        <w:rPr>
          <w:rFonts w:ascii="Times New Roman;serif" w:hAnsi="Times New Roman;serif"/>
          <w:b w:val="false"/>
          <w:color w:val="010000"/>
          <w:sz w:val="24"/>
        </w:rPr>
        <w:t>11.</w:t>
      </w:r>
      <w:r>
        <w:rPr>
          <w:rFonts w:ascii="Times New Roman;serif" w:hAnsi="Times New Roman;serif"/>
          <w:b/>
          <w:color w:val="000000"/>
          <w:sz w:val="24"/>
          <w:u w:val="single"/>
        </w:rPr>
        <w:t>Ownership of Intellectual Property</w:t>
      </w:r>
      <w:r>
        <w:rPr>
          <w:rFonts w:ascii="Times New Roman;serif" w:hAnsi="Times New Roman;serif"/>
          <w:b w:val="false"/>
          <w:color w:val="000000"/>
          <w:sz w:val="24"/>
        </w:rPr>
        <w:t>.</w:t>
      </w:r>
    </w:p>
    <w:p>
      <w:pPr>
        <w:pStyle w:val="TextBody"/>
        <w:bidi w:val="0"/>
        <w:spacing w:lineRule="auto" w:line="240" w:before="0" w:after="3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 (i) 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Times New Roman;serif" w:hAnsi="Times New Roman;serif"/>
          <w:b w:val="false"/>
          <w:color w:val="000000"/>
          <w:sz w:val="24"/>
          <w:u w:val="single"/>
        </w:rPr>
        <w:t>Company Intellectual Property</w:t>
      </w:r>
      <w:r>
        <w:rPr>
          <w:color w:val="000000"/>
        </w:rPr>
        <w:t>”</w:t>
      </w:r>
      <w:r>
        <w:rPr>
          <w:rFonts w:ascii="Times New Roman;serif" w:hAnsi="Times New Roman;serif"/>
          <w:b w:val="false"/>
          <w:color w:val="000000"/>
          <w:sz w:val="24"/>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pStyle w:val="TextBody"/>
        <w:bidi w:val="0"/>
        <w:spacing w:lineRule="auto" w:line="240" w:before="0" w:after="3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All of Employee’s works of authorship and associated copyrights created during the period in which Employee is employed by or affiliated with the Company or any other member of the Company Group and in the scope of Employee’s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320"/>
        <w:jc w:val="both"/>
        <w:rPr>
          <w:rFonts w:ascii="Times New Roman;serif" w:hAnsi="Times New Roman;serif"/>
          <w:b w:val="false"/>
          <w:color w:val="000000"/>
          <w:sz w:val="24"/>
        </w:rPr>
      </w:pPr>
      <w:r>
        <w:rPr>
          <w:rFonts w:ascii="Times New Roman;serif" w:hAnsi="Times New Roman;serif"/>
          <w:b w:val="false"/>
          <w:color w:val="000000"/>
          <w:sz w:val="24"/>
        </w:rPr>
        <w:t>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pStyle w:val="TextBody"/>
        <w:bidi w:val="0"/>
        <w:spacing w:lineRule="auto" w:line="240" w:before="0" w:after="32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pStyle w:val="TextBody"/>
        <w:bidi w:val="0"/>
        <w:spacing w:lineRule="auto" w:line="240" w:before="0" w:after="32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To the extent allowed by law, this Section applies to all rights that may be known as or referred to as “moral rights,” “artist’s rights,” “droit moral,” or the like, including without limitation those rights set forth in 17 U.S.C. §106A (collectively, “</w:t>
      </w:r>
      <w:r>
        <w:rPr>
          <w:rFonts w:ascii="Times New Roman;serif" w:hAnsi="Times New Roman;serif"/>
          <w:b w:val="false"/>
          <w:color w:val="000000"/>
          <w:sz w:val="24"/>
          <w:u w:val="single"/>
        </w:rPr>
        <w:t>Moral Rights</w:t>
      </w:r>
      <w:r>
        <w:rPr>
          <w:color w:val="000000"/>
        </w:rPr>
        <w:t>”</w:t>
      </w:r>
      <w:r>
        <w:rPr>
          <w:rFonts w:ascii="Times New Roman;serif" w:hAnsi="Times New Roman;serif"/>
          <w:b w:val="false"/>
          <w:color w:val="000000"/>
          <w:sz w:val="24"/>
        </w:rPr>
        <w:t>). To 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pStyle w:val="TextBody"/>
        <w:bidi w:val="0"/>
        <w:spacing w:lineRule="auto" w:line="240" w:before="0" w:after="32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Employee hereby represents and warrants that there are no inventions (whether or not patentable), original works of authorship, designs, know-how, mask works, ideas, information, developments, improvements, or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Times New Roman;serif" w:hAnsi="Times New Roman;serif"/>
          <w:b w:val="false"/>
          <w:color w:val="000000"/>
          <w:sz w:val="24"/>
          <w:u w:val="single"/>
        </w:rPr>
        <w:t>Prior Inventions</w:t>
      </w:r>
      <w:r>
        <w:rPr>
          <w:color w:val="000000"/>
        </w:rPr>
        <w:t>”</w:t>
      </w:r>
      <w:r>
        <w:rPr>
          <w:rFonts w:ascii="Times New Roman;serif" w:hAnsi="Times New Roman;serif"/>
          <w:b w:val="false"/>
          <w:color w:val="000000"/>
          <w:sz w:val="24"/>
        </w:rPr>
        <w:t>),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pStyle w:val="TextBody"/>
        <w:bidi w:val="0"/>
        <w:spacing w:lineRule="auto" w:line="240" w:before="0" w:after="32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 xml:space="preserve">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320"/>
        <w:jc w:val="both"/>
        <w:rPr>
          <w:rFonts w:ascii="Times New Roman;serif" w:hAnsi="Times New Roman;serif"/>
          <w:b w:val="false"/>
          <w:color w:val="000000"/>
          <w:sz w:val="24"/>
        </w:rPr>
      </w:pPr>
      <w:r>
        <w:rPr>
          <w:rFonts w:ascii="Times New Roman;serif" w:hAnsi="Times New Roman;serif"/>
          <w:b w:val="false"/>
          <w:color w:val="000000"/>
          <w:sz w:val="24"/>
        </w:rPr>
        <w:t>applications; (ii) in the enforcement of any applicable patents, copyrights, mask work, moral rights, trade secrets, or other proprietary rights; and (iii) in other legal proceedings related to the Company Intellectual Property or Confidential Information.</w:t>
      </w:r>
    </w:p>
    <w:p>
      <w:pPr>
        <w:pStyle w:val="TextBody"/>
        <w:bidi w:val="0"/>
        <w:spacing w:lineRule="auto" w:line="240" w:before="0" w:after="320"/>
        <w:ind w:left="0" w:right="0" w:firstLine="1440"/>
        <w:jc w:val="both"/>
        <w:rPr/>
      </w:pPr>
      <w:r>
        <w:rPr>
          <w:rFonts w:ascii="Times New Roman;serif" w:hAnsi="Times New Roman;serif"/>
          <w:b w:val="false"/>
          <w:color w:val="010000"/>
          <w:sz w:val="24"/>
        </w:rPr>
        <w:t>(g)</w:t>
      </w:r>
      <w:r>
        <w:rPr>
          <w:rFonts w:ascii="Times New Roman;serif" w:hAnsi="Times New Roman;serif"/>
          <w:b w:val="false"/>
          <w:color w:val="000000"/>
          <w:sz w:val="24"/>
        </w:rPr>
        <w:t>In the event that after reasonable and diligent effort to communicate with Employee, the Company (or, as applicable, a member of the Company Group) is unable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Employee.</w:t>
      </w:r>
    </w:p>
    <w:p>
      <w:pPr>
        <w:pStyle w:val="TextBody"/>
        <w:bidi w:val="0"/>
        <w:spacing w:lineRule="auto" w:line="240" w:before="0" w:after="320"/>
        <w:ind w:left="0" w:right="0" w:firstLine="1440"/>
        <w:jc w:val="both"/>
        <w:rPr/>
      </w:pPr>
      <w:r>
        <w:rPr>
          <w:rFonts w:ascii="Times New Roman;serif" w:hAnsi="Times New Roman;serif"/>
          <w:b w:val="false"/>
          <w:color w:val="010000"/>
          <w:sz w:val="24"/>
        </w:rPr>
        <w:t>(h)</w:t>
      </w:r>
      <w:r>
        <w:rPr>
          <w:rFonts w:ascii="Times New Roman;serif" w:hAnsi="Times New Roman;serif"/>
          <w:b w:val="false"/>
          <w:color w:val="000000"/>
          <w:sz w:val="24"/>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In the event that after reasonable and diligent effort to coordinate with Employee, the Company (or the applicable member of the Company Group) is unable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w:t>
      </w:r>
    </w:p>
    <w:p>
      <w:pPr>
        <w:pStyle w:val="TextBody"/>
        <w:bidi w:val="0"/>
        <w:spacing w:lineRule="auto" w:line="240" w:before="0" w:after="320"/>
        <w:ind w:left="0" w:right="0" w:firstLine="720"/>
        <w:jc w:val="both"/>
        <w:rPr/>
      </w:pPr>
      <w:r>
        <w:rPr>
          <w:rFonts w:ascii="Times New Roman;serif" w:hAnsi="Times New Roman;serif"/>
          <w:b w:val="false"/>
          <w:color w:val="010000"/>
          <w:sz w:val="24"/>
        </w:rPr>
        <w:t>12.</w:t>
      </w:r>
      <w:r>
        <w:rPr>
          <w:rFonts w:ascii="Times New Roman;serif" w:hAnsi="Times New Roman;serif"/>
          <w:b/>
          <w:color w:val="000000"/>
          <w:sz w:val="24"/>
          <w:u w:val="single"/>
        </w:rPr>
        <w:t>Defense of Claims</w:t>
      </w:r>
      <w:r>
        <w:rPr>
          <w:rFonts w:ascii="Times New Roman;serif" w:hAnsi="Times New Roman;serif"/>
          <w:b w:val="false"/>
          <w:color w:val="000000"/>
          <w:sz w:val="24"/>
        </w:rPr>
        <w:t>. During the Employment Period and for a period of one (1) year following the Termination Date, upon request from the Company, Employee shall reasonably cooperate with the Company Group, at times and locations agreeable to Employee, to assist (a) in the prosecution of any claims that may be made by the Company Group, to the extent that such claims may relate to Employee’s employment with the Company and about which Employee has substantial knowledge and (b) in the defense of any claims that may be made by or against any member of the Company Group that relate to Employee’s actual or prior areas of responsibility (collectively, (a) and (b) of this sentence, the “</w:t>
      </w:r>
      <w:r>
        <w:rPr>
          <w:rFonts w:ascii="Times New Roman;serif" w:hAnsi="Times New Roman;serif"/>
          <w:b w:val="false"/>
          <w:color w:val="000000"/>
          <w:sz w:val="24"/>
          <w:u w:val="single"/>
        </w:rPr>
        <w:t>Claims</w:t>
      </w:r>
      <w:r>
        <w:rPr>
          <w:color w:val="000000"/>
        </w:rPr>
        <w:t>”</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9(e)</w:t>
      </w:r>
      <w:r>
        <w:rPr>
          <w:rFonts w:ascii="Times New Roman;serif" w:hAnsi="Times New Roman;serif"/>
          <w:b w:val="false"/>
          <w:color w:val="000000"/>
          <w:sz w:val="24"/>
        </w:rPr>
        <w:t xml:space="preserve">, Employee agrees to promptly inform the Company if Employee becomes aware of any lawsuits involving Claims that may be filed or threatened against the Company Group. Subject to </w:t>
      </w:r>
      <w:r>
        <w:rPr>
          <w:rFonts w:ascii="Times New Roman;serif" w:hAnsi="Times New Roman;serif"/>
          <w:b w:val="false"/>
          <w:color w:val="000000"/>
          <w:sz w:val="24"/>
          <w:u w:val="single"/>
        </w:rPr>
        <w:t>Section 9(e)</w:t>
      </w:r>
      <w:r>
        <w:rPr>
          <w:rFonts w:ascii="Times New Roman;serif" w:hAnsi="Times New Roman;serif"/>
          <w:b w:val="false"/>
          <w:color w:val="000000"/>
          <w:sz w:val="24"/>
        </w:rPr>
        <w:t>, Employee also agrees to promptly inform the Company (to the extent that Employee is legally permitted to do so) if Employee is asked to assist in any investigation of the Company Group (or their actions) or another party attempts to obtain information or documents from Employee (other than in connection with any litigation or other proceeding in which Employee is a party-in-</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40" w:before="0" w:after="320"/>
        <w:jc w:val="both"/>
        <w:rPr/>
      </w:pPr>
      <w:r>
        <w:rPr>
          <w:rFonts w:ascii="Times New Roman;serif" w:hAnsi="Times New Roman;serif"/>
          <w:b w:val="false"/>
          <w:color w:val="000000"/>
          <w:sz w:val="24"/>
        </w:rPr>
        <w:t xml:space="preserve">opposition) with respect to matters Employee believes in good faith to relate to any investigation of the Company Group, in each case, regardless of whether a lawsuit or other proceeding has then been filed against the Company Group with respect to such investigation, and shall not do so unless legally required. Subject to </w:t>
      </w:r>
      <w:r>
        <w:rPr>
          <w:rFonts w:ascii="Times New Roman;serif" w:hAnsi="Times New Roman;serif"/>
          <w:b w:val="false"/>
          <w:color w:val="000000"/>
          <w:sz w:val="24"/>
          <w:u w:val="single"/>
        </w:rPr>
        <w:t>Section 9(e)</w:t>
      </w:r>
      <w:r>
        <w:rPr>
          <w:rFonts w:ascii="Times New Roman;serif" w:hAnsi="Times New Roman;serif"/>
          <w:b w:val="false"/>
          <w:color w:val="000000"/>
          <w:sz w:val="24"/>
        </w:rPr>
        <w:t xml:space="preserve">, during the pendency of any litigation or other proceeding involving Claims, Employee shall not communicate with anyone (other than Employee’s attorneys and tax and/or financial advisors and except to the extent that Employee determines in good faith is necessary in connection with the performance of Employee’s duties hereunder) with respect to the facts or subject matter of any pending or potential litigation or regulatory or administrative proceeding involving the Company Group without giving prior written notice to the Company or the Company’s counsel. </w:t>
      </w:r>
    </w:p>
    <w:p>
      <w:pPr>
        <w:pStyle w:val="TextBody"/>
        <w:bidi w:val="0"/>
        <w:spacing w:lineRule="auto" w:line="240" w:before="0" w:after="320"/>
        <w:ind w:left="0" w:right="0" w:firstLine="720"/>
        <w:jc w:val="both"/>
        <w:rPr/>
      </w:pPr>
      <w:r>
        <w:rPr>
          <w:rFonts w:ascii="Times New Roman;serif" w:hAnsi="Times New Roman;serif"/>
          <w:b w:val="false"/>
          <w:color w:val="010000"/>
          <w:sz w:val="24"/>
        </w:rPr>
        <w:t>13.</w:t>
      </w:r>
      <w:r>
        <w:rPr>
          <w:rFonts w:ascii="Times New Roman;serif" w:hAnsi="Times New Roman;serif"/>
          <w:b/>
          <w:color w:val="000000"/>
          <w:sz w:val="24"/>
          <w:u w:val="single"/>
        </w:rPr>
        <w:t>Non-Disparagement</w:t>
      </w:r>
      <w:r>
        <w:rPr>
          <w:rFonts w:ascii="Times New Roman;serif" w:hAnsi="Times New Roman;serif"/>
          <w:b w:val="false"/>
          <w:color w:val="000000"/>
          <w:sz w:val="24"/>
        </w:rPr>
        <w:t xml:space="preserve">. During the Employment Period and thereafter, except to the extent compelled or required by applicable law and subject to </w:t>
      </w:r>
      <w:r>
        <w:rPr>
          <w:rFonts w:ascii="Times New Roman;serif" w:hAnsi="Times New Roman;serif"/>
          <w:b w:val="false"/>
          <w:color w:val="000000"/>
          <w:sz w:val="24"/>
          <w:u w:val="single"/>
        </w:rPr>
        <w:t>Section 9(e)</w:t>
      </w:r>
      <w:r>
        <w:rPr>
          <w:rFonts w:ascii="Times New Roman;serif" w:hAnsi="Times New Roman;serif"/>
          <w:b w:val="false"/>
          <w:color w:val="000000"/>
          <w:sz w:val="24"/>
        </w:rPr>
        <w:t xml:space="preserve">, Employee agrees Employee shall not disparage the Company Group or its respective officers, directors, employees, shareholders or successors or their respective products or services, in any manner (including but not limited to, verbally or via hard copy, websites, blogs, social media forums or any other medium);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nothing in this Section shall prevent Employee from: engaging in concerted activity relative to the terms and conditions of Employee’s employment and in communications protected under the National Labor Relations Act, filing a charge or providing information to any governmental agency; and</w:t>
      </w:r>
      <w:r>
        <w:rPr>
          <w:color w:val="000000"/>
        </w:rPr>
        <w:t xml:space="preserve"> </w:t>
      </w:r>
      <w:r>
        <w:rPr>
          <w:rFonts w:ascii="Times New Roman;serif" w:hAnsi="Times New Roman;serif"/>
          <w:b w:val="false"/>
          <w:i/>
          <w:color w:val="000000"/>
          <w:sz w:val="24"/>
        </w:rPr>
        <w:t>provided, further</w:t>
      </w:r>
      <w:r>
        <w:rPr>
          <w:rFonts w:ascii="Times New Roman;serif" w:hAnsi="Times New Roman;serif"/>
          <w:b w:val="false"/>
          <w:color w:val="000000"/>
          <w:sz w:val="24"/>
        </w:rPr>
        <w:t>, that nothing in this Section shall prevent Employee from providing information in response to a subpoena or other enforceable legal process or as otherwise required by law.</w:t>
      </w:r>
    </w:p>
    <w:p>
      <w:pPr>
        <w:pStyle w:val="TextBody"/>
        <w:bidi w:val="0"/>
        <w:spacing w:lineRule="auto" w:line="240" w:before="0" w:after="320"/>
        <w:ind w:left="0" w:right="0" w:firstLine="720"/>
        <w:jc w:val="both"/>
        <w:rPr/>
      </w:pPr>
      <w:r>
        <w:rPr>
          <w:rFonts w:ascii="Times New Roman;serif" w:hAnsi="Times New Roman;serif"/>
          <w:b w:val="false"/>
          <w:color w:val="010000"/>
          <w:sz w:val="24"/>
        </w:rPr>
        <w:t>14.</w:t>
      </w:r>
      <w:r>
        <w:rPr>
          <w:rFonts w:ascii="Times New Roman;serif" w:hAnsi="Times New Roman;serif"/>
          <w:b/>
          <w:color w:val="000000"/>
          <w:sz w:val="24"/>
          <w:u w:val="single"/>
        </w:rPr>
        <w:t>Reasonableness of Covenants</w:t>
      </w:r>
      <w:r>
        <w:rPr>
          <w:rFonts w:ascii="Times New Roman;serif" w:hAnsi="Times New Roman;serif"/>
          <w:b w:val="false"/>
          <w:color w:val="000000"/>
          <w:sz w:val="24"/>
        </w:rPr>
        <w:t xml:space="preserve">. In signing this Agreement, Employee has carefully read and considered all of the terms and conditions of this Agreement, including the restraints imposed under </w:t>
      </w:r>
      <w:r>
        <w:rPr>
          <w:rFonts w:ascii="Times New Roman;serif" w:hAnsi="Times New Roman;serif"/>
          <w:b w:val="false"/>
          <w:color w:val="000000"/>
          <w:sz w:val="24"/>
          <w:u w:val="single"/>
        </w:rPr>
        <w:t>Sections 8</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13</w:t>
      </w:r>
      <w:r>
        <w:rPr>
          <w:rFonts w:ascii="Times New Roman;serif" w:hAnsi="Times New Roman;serif"/>
          <w:b w:val="false"/>
          <w:color w:val="000000"/>
          <w:sz w:val="24"/>
        </w:rPr>
        <w:t>. Employee agrees that these restraints are necessary for the reasonable and proper protection of the Company Group and their trade secrets and Confidential Information and that such restraints are reasonable in respect to subject matter, length of time and geographic area. Employee acknowledges that each of these covenants has a unique, very substantial and immeasurable value to the Company Group.</w:t>
      </w:r>
    </w:p>
    <w:p>
      <w:pPr>
        <w:pStyle w:val="TextBody"/>
        <w:bidi w:val="0"/>
        <w:spacing w:lineRule="auto" w:line="240" w:before="0" w:after="320"/>
        <w:ind w:left="0" w:right="0" w:firstLine="720"/>
        <w:jc w:val="both"/>
        <w:rPr/>
      </w:pPr>
      <w:r>
        <w:rPr>
          <w:rFonts w:ascii="Times New Roman;serif" w:hAnsi="Times New Roman;serif"/>
          <w:b w:val="false"/>
          <w:color w:val="010000"/>
          <w:sz w:val="24"/>
        </w:rPr>
        <w:t>15.</w:t>
      </w:r>
      <w:r>
        <w:rPr>
          <w:rFonts w:ascii="Times New Roman;serif" w:hAnsi="Times New Roman;serif"/>
          <w:b/>
          <w:color w:val="000000"/>
          <w:sz w:val="24"/>
          <w:u w:val="single"/>
        </w:rPr>
        <w:t>Tolling</w:t>
      </w:r>
      <w:r>
        <w:rPr>
          <w:rFonts w:ascii="Times New Roman;serif" w:hAnsi="Times New Roman;serif"/>
          <w:b w:val="false"/>
          <w:color w:val="000000"/>
          <w:sz w:val="24"/>
        </w:rPr>
        <w:t xml:space="preserve">. In the event of any violation of the provisions of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hereto, Employee acknowledges and agrees that the post-termination restrictions contained in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shall be extended by a period of time equal to the period of such violation, as determined by a court of law, it being the intention of the parties hereto that the running of the applicable post-termination restriction period shall be tolled during any period of such violation.</w:t>
      </w:r>
    </w:p>
    <w:p>
      <w:pPr>
        <w:pStyle w:val="TextBody"/>
        <w:bidi w:val="0"/>
        <w:spacing w:lineRule="auto" w:line="240" w:before="0" w:after="320"/>
        <w:ind w:left="0" w:right="0" w:firstLine="720"/>
        <w:jc w:val="both"/>
        <w:rPr/>
      </w:pPr>
      <w:r>
        <w:rPr>
          <w:rFonts w:ascii="Times New Roman;serif" w:hAnsi="Times New Roman;serif"/>
          <w:b w:val="false"/>
          <w:color w:val="010000"/>
          <w:sz w:val="24"/>
        </w:rPr>
        <w:t>16.</w:t>
      </w:r>
      <w:r>
        <w:rPr>
          <w:rFonts w:ascii="Times New Roman;serif" w:hAnsi="Times New Roman;serif"/>
          <w:b/>
          <w:color w:val="000000"/>
          <w:sz w:val="24"/>
          <w:u w:val="single"/>
        </w:rPr>
        <w:t>Withholdings; Deductions</w:t>
      </w:r>
      <w:r>
        <w:rPr>
          <w:rFonts w:ascii="Times New Roman;serif" w:hAnsi="Times New Roman;serif"/>
          <w:b w:val="false"/>
          <w:color w:val="000000"/>
          <w:sz w:val="24"/>
        </w:rPr>
        <w:t>. The Company may withhold and deduct from any benefits and payments made or to be made pursuant to this Agreement (a) all federal, state, local and other taxes as may be required pursuant to any law or governmental regulation or ruling and (b) any deductions consented to in writing by Employee.</w:t>
      </w:r>
    </w:p>
    <w:p>
      <w:pPr>
        <w:pStyle w:val="TextBody"/>
        <w:bidi w:val="0"/>
        <w:spacing w:lineRule="auto" w:line="240" w:before="0" w:after="320"/>
        <w:ind w:left="0" w:right="0" w:firstLine="720"/>
        <w:jc w:val="both"/>
        <w:rPr/>
      </w:pPr>
      <w:r>
        <w:rPr>
          <w:rFonts w:ascii="Times New Roman;serif" w:hAnsi="Times New Roman;serif"/>
          <w:b w:val="false"/>
          <w:color w:val="010000"/>
          <w:sz w:val="24"/>
        </w:rPr>
        <w:t>17.</w:t>
      </w:r>
      <w:r>
        <w:rPr>
          <w:rFonts w:ascii="Times New Roman;serif" w:hAnsi="Times New Roman;serif"/>
          <w:b/>
          <w:color w:val="000000"/>
          <w:sz w:val="24"/>
          <w:u w:val="single"/>
        </w:rPr>
        <w:t>Title and Headings; Construction</w:t>
      </w:r>
      <w:r>
        <w:rPr>
          <w:rFonts w:ascii="Times New Roman;serif" w:hAnsi="Times New Roman;serif"/>
          <w:b w:val="false"/>
          <w:color w:val="000000"/>
          <w:sz w:val="24"/>
        </w:rPr>
        <w:t xml:space="preserve">. Titles and headings to Sections hereof are for the purpose of reference only and 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40" w:before="0" w:after="320"/>
        <w:jc w:val="both"/>
        <w:rPr>
          <w:rFonts w:ascii="Times New Roman;serif" w:hAnsi="Times New Roman;serif"/>
          <w:b w:val="false"/>
          <w:color w:val="000000"/>
          <w:sz w:val="24"/>
        </w:rPr>
      </w:pPr>
      <w:r>
        <w:rPr>
          <w:rFonts w:ascii="Times New Roman;serif" w:hAnsi="Times New Roman;serif"/>
          <w:b w:val="false"/>
          <w:color w:val="000000"/>
          <w:sz w:val="24"/>
        </w:rPr>
        <w:t>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pStyle w:val="TextBody"/>
        <w:bidi w:val="0"/>
        <w:spacing w:lineRule="auto" w:line="240" w:before="0" w:after="320"/>
        <w:ind w:left="0" w:right="0" w:firstLine="720"/>
        <w:jc w:val="both"/>
        <w:rPr/>
      </w:pPr>
      <w:r>
        <w:rPr>
          <w:rFonts w:ascii="Times New Roman;serif" w:hAnsi="Times New Roman;serif"/>
          <w:b w:val="false"/>
          <w:color w:val="010000"/>
          <w:sz w:val="24"/>
        </w:rPr>
        <w:t>18.</w:t>
      </w:r>
      <w:r>
        <w:rPr>
          <w:rFonts w:ascii="Times New Roman;serif" w:hAnsi="Times New Roman;serif"/>
          <w:b/>
          <w:color w:val="000000"/>
          <w:sz w:val="24"/>
          <w:u w:val="single"/>
        </w:rPr>
        <w:t>Applicable Law</w:t>
      </w:r>
      <w:r>
        <w:rPr>
          <w:rFonts w:ascii="Times New Roman;serif" w:hAnsi="Times New Roman;serif"/>
          <w:b w:val="false"/>
          <w:color w:val="000000"/>
          <w:sz w:val="24"/>
        </w:rPr>
        <w:t>. This Agreement shall in all respects be construed according to the laws of the State of Texas 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Houston, Texas.</w:t>
      </w:r>
    </w:p>
    <w:p>
      <w:pPr>
        <w:pStyle w:val="TextBody"/>
        <w:bidi w:val="0"/>
        <w:spacing w:lineRule="auto" w:line="240" w:before="0" w:after="320"/>
        <w:ind w:left="0" w:right="0" w:firstLine="720"/>
        <w:jc w:val="both"/>
        <w:rPr/>
      </w:pPr>
      <w:r>
        <w:rPr>
          <w:rFonts w:ascii="Times New Roman;serif" w:hAnsi="Times New Roman;serif"/>
          <w:b w:val="false"/>
          <w:color w:val="010000"/>
          <w:sz w:val="24"/>
        </w:rPr>
        <w:t>19.</w:t>
      </w:r>
      <w:r>
        <w:rPr>
          <w:rFonts w:ascii="Times New Roman;serif" w:hAnsi="Times New Roman;serif"/>
          <w:b/>
          <w:color w:val="000000"/>
          <w:sz w:val="24"/>
          <w:u w:val="single"/>
        </w:rPr>
        <w:t>Entire Agreement and Amendment</w:t>
      </w:r>
      <w:r>
        <w:rPr>
          <w:rFonts w:ascii="Times New Roman;serif" w:hAnsi="Times New Roman;serif"/>
          <w:b w:val="false"/>
          <w:color w:val="000000"/>
          <w:sz w:val="24"/>
        </w:rPr>
        <w:t>. This Agreement contains the entire agreement of the parties with respect to the matters covered herein and, as of the Effective Date, supersedes all prior and contemporaneous agreements and understandings, oral or written, between the parties hereto concerning the subject matter hereof (including, without limitation, the Prior Agreement), other than (x) that certain Indemnification Agreement, dated July 10, 2023, between the Company and the Employee or any other indemnification rights of the Employee that are in effect or outstanding as of the Effective Date, (y) equity award agreements</w:t>
      </w:r>
      <w:r>
        <w:rPr>
          <w:color w:val="000000"/>
        </w:rPr>
        <w:t xml:space="preserve"> </w:t>
      </w:r>
      <w:r>
        <w:rPr>
          <w:rFonts w:ascii="Times New Roman;serif" w:hAnsi="Times New Roman;serif"/>
          <w:b w:val="false"/>
          <w:color w:val="000000"/>
          <w:sz w:val="24"/>
        </w:rPr>
        <w:t>that are in effect or outstanding as of the Effective Date, or (z) the terms of Employee’s Annual Bonus for the calendar year 2026. This Agreement may be amended only by a written instrument executed by both parties hereto.</w:t>
      </w:r>
    </w:p>
    <w:p>
      <w:pPr>
        <w:pStyle w:val="TextBody"/>
        <w:bidi w:val="0"/>
        <w:spacing w:lineRule="auto" w:line="240" w:before="0" w:after="320"/>
        <w:ind w:left="0" w:right="0" w:firstLine="720"/>
        <w:jc w:val="both"/>
        <w:rPr/>
      </w:pPr>
      <w:r>
        <w:rPr>
          <w:rFonts w:ascii="Times New Roman;serif" w:hAnsi="Times New Roman;serif"/>
          <w:b w:val="false"/>
          <w:color w:val="010000"/>
          <w:sz w:val="24"/>
        </w:rPr>
        <w:t>20.</w:t>
      </w:r>
      <w:r>
        <w:rPr>
          <w:rFonts w:ascii="Times New Roman;serif" w:hAnsi="Times New Roman;serif"/>
          <w:b/>
          <w:color w:val="000000"/>
          <w:sz w:val="24"/>
          <w:u w:val="single"/>
        </w:rPr>
        <w:t>Enforcement</w:t>
      </w:r>
      <w:r>
        <w:rPr>
          <w:rFonts w:ascii="Times New Roman;serif" w:hAnsi="Times New Roman;serif"/>
          <w:b w:val="false"/>
          <w:color w:val="000000"/>
          <w:sz w:val="24"/>
        </w:rPr>
        <w:t xml:space="preserve">. The parties hereto acknowledge that an award of damages for failure to comply with </w:t>
      </w:r>
      <w:r>
        <w:rPr>
          <w:rFonts w:ascii="Times New Roman;serif" w:hAnsi="Times New Roman;serif"/>
          <w:b w:val="false"/>
          <w:color w:val="000000"/>
          <w:sz w:val="24"/>
          <w:u w:val="single"/>
        </w:rPr>
        <w:t>Sections 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12</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13</w:t>
      </w:r>
      <w:r>
        <w:rPr>
          <w:color w:val="000000"/>
        </w:rPr>
        <w:t xml:space="preserve"> </w:t>
      </w:r>
      <w:r>
        <w:rPr>
          <w:rFonts w:ascii="Times New Roman;serif" w:hAnsi="Times New Roman;serif"/>
          <w:b w:val="false"/>
          <w:color w:val="000000"/>
          <w:sz w:val="24"/>
        </w:rPr>
        <w:t xml:space="preserve">of this Agreement may not be an adequate remedy for the Company attempting to enforce or prevent the breach of such provisions, and accordingly the parties hereto authorize the Company to (in addition to any other remedies or relief to which it may be entitled) bring an action against Employee for a permanent or temporary injunction, to compel the specific performance or any other equitable remedy by Employee of their obligations to comply with, or prevent the breach of or remedy the breach of, such provisions without proof of actual damages. </w:t>
      </w:r>
    </w:p>
    <w:p>
      <w:pPr>
        <w:pStyle w:val="TextBody"/>
        <w:bidi w:val="0"/>
        <w:spacing w:lineRule="auto" w:line="240" w:before="0" w:after="320"/>
        <w:ind w:left="0" w:right="0" w:firstLine="720"/>
        <w:jc w:val="both"/>
        <w:rPr/>
      </w:pPr>
      <w:r>
        <w:rPr>
          <w:rFonts w:ascii="Times New Roman;serif" w:hAnsi="Times New Roman;serif"/>
          <w:b w:val="false"/>
          <w:color w:val="010000"/>
          <w:sz w:val="24"/>
        </w:rPr>
        <w:t>21.</w:t>
      </w:r>
      <w:r>
        <w:rPr>
          <w:rFonts w:ascii="Times New Roman;serif" w:hAnsi="Times New Roman;serif"/>
          <w:b/>
          <w:color w:val="000000"/>
          <w:sz w:val="24"/>
          <w:u w:val="single"/>
        </w:rPr>
        <w:t>Waiver of Breach</w:t>
      </w:r>
      <w:r>
        <w:rPr>
          <w:rFonts w:ascii="Times New Roman;serif" w:hAnsi="Times New Roman;serif"/>
          <w:b w:val="false"/>
          <w:color w:val="000000"/>
          <w:sz w:val="24"/>
        </w:rPr>
        <w:t>. Any waiver of this Agreement must be executed by the party to be bound by such waiver. No 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40" w:before="0" w:after="320"/>
        <w:ind w:left="0" w:right="0" w:firstLine="720"/>
        <w:jc w:val="both"/>
        <w:rPr/>
      </w:pPr>
      <w:r>
        <w:rPr>
          <w:rFonts w:ascii="Times New Roman;serif" w:hAnsi="Times New Roman;serif"/>
          <w:b w:val="false"/>
          <w:color w:val="010000"/>
          <w:sz w:val="24"/>
        </w:rPr>
        <w:t>22.</w:t>
      </w:r>
      <w:r>
        <w:rPr>
          <w:rFonts w:ascii="Times New Roman;serif" w:hAnsi="Times New Roman;serif"/>
          <w:b/>
          <w:color w:val="000000"/>
          <w:sz w:val="24"/>
          <w:u w:val="single"/>
        </w:rPr>
        <w:t>Assignment</w:t>
      </w:r>
      <w:r>
        <w:rPr>
          <w:rFonts w:ascii="Times New Roman;serif" w:hAnsi="Times New Roman;serif"/>
          <w:b w:val="false"/>
          <w:color w:val="000000"/>
          <w:sz w:val="24"/>
        </w:rPr>
        <w:t>. This Agreement is personal to Employee, and neither this Agreement nor any rights or obligations hereunder shall be assignable or otherwise transferred by Employee. The Company may assign this Agreement without Employee’s consent, including to any member of the Company Group and to any successor (whether by merger, purchase or otherwise) to all or substantially all of the equity, assets or businesses of the Company.</w:t>
      </w:r>
    </w:p>
    <w:p>
      <w:pPr>
        <w:pStyle w:val="TextBody"/>
        <w:bidi w:val="0"/>
        <w:spacing w:lineRule="auto" w:line="240" w:before="0" w:after="320"/>
        <w:ind w:left="0" w:right="0" w:firstLine="720"/>
        <w:jc w:val="both"/>
        <w:rPr/>
      </w:pPr>
      <w:r>
        <w:rPr>
          <w:rFonts w:ascii="Times New Roman;serif" w:hAnsi="Times New Roman;serif"/>
          <w:b w:val="false"/>
          <w:color w:val="010000"/>
          <w:sz w:val="24"/>
        </w:rPr>
        <w:t>23.</w:t>
      </w:r>
      <w:r>
        <w:rPr>
          <w:rFonts w:ascii="Times New Roman;serif" w:hAnsi="Times New Roman;serif"/>
          <w:b/>
          <w:color w:val="000000"/>
          <w:sz w:val="24"/>
          <w:u w:val="single"/>
        </w:rPr>
        <w:t>Notices</w:t>
      </w:r>
      <w:r>
        <w:rPr>
          <w:rFonts w:ascii="Times New Roman;serif" w:hAnsi="Times New Roman;serif"/>
          <w:b w:val="false"/>
          <w:color w:val="000000"/>
          <w:sz w:val="24"/>
        </w:rPr>
        <w:t>. Notices provided for in this Agreement shall be in writing and shall be deemed to have been duly received (a) 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pStyle w:val="TextBody"/>
        <w:bidi w:val="0"/>
        <w:spacing w:lineRule="auto" w:line="288" w:before="0" w:after="320"/>
        <w:jc w:val="both"/>
        <w:rPr>
          <w:rFonts w:ascii="Times New Roman;serif" w:hAnsi="Times New Roman;serif"/>
          <w:b/>
          <w:color w:val="000000"/>
          <w:sz w:val="24"/>
        </w:rPr>
      </w:pPr>
      <w:r>
        <w:rPr>
          <w:rFonts w:ascii="Times New Roman;serif" w:hAnsi="Times New Roman;serif"/>
          <w:b/>
          <w:color w:val="000000"/>
          <w:sz w:val="24"/>
        </w:rPr>
        <w:t>If to the Company, addressed to:</w:t>
      </w:r>
    </w:p>
    <w:p>
      <w:pPr>
        <w:pStyle w:val="TextBody"/>
        <w:bidi w:val="0"/>
        <w:spacing w:lineRule="auto" w:line="288" w:before="0" w:after="0"/>
        <w:jc w:val="left"/>
        <w:rPr/>
      </w:pPr>
      <w:r>
        <w:rPr>
          <w:rFonts w:ascii="Times New Roman;serif" w:hAnsi="Times New Roman;serif"/>
          <w:b w:val="false"/>
          <w:color w:val="000000"/>
          <w:sz w:val="24"/>
        </w:rPr>
        <w:t>Talen Energy Corporation</w:t>
        <w:br/>
        <w:t>2929 Allen Parkway, 22</w:t>
      </w:r>
      <w:r>
        <w:rPr>
          <w:rFonts w:ascii="Times New Roman;serif" w:hAnsi="Times New Roman;serif"/>
          <w:b w:val="false"/>
          <w:color w:val="000000"/>
          <w:sz w:val="16"/>
        </w:rPr>
        <w:t>nd</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Houston, Texas 77019</w:t>
        <w:br/>
        <w:t>Attention: Board of Directors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If to Employee, addressed to: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Terry L. Nutt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13927 Myrtle Drive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Houston, Texas 77079</w:t>
      </w:r>
    </w:p>
    <w:p>
      <w:pPr>
        <w:pStyle w:val="TextBody"/>
        <w:bidi w:val="0"/>
        <w:spacing w:lineRule="auto" w:line="288" w:before="0" w:after="240"/>
        <w:jc w:val="left"/>
        <w:rPr/>
      </w:pPr>
      <w:r>
        <w:rPr>
          <w:rFonts w:ascii="Times New Roman;serif" w:hAnsi="Times New Roman;serif"/>
          <w:b w:val="false"/>
          <w:color w:val="000000"/>
          <w:sz w:val="24"/>
        </w:rPr>
        <w:br/>
        <w:t>(</w:t>
      </w:r>
      <w:r>
        <w:rPr>
          <w:rFonts w:ascii="Times New Roman;serif" w:hAnsi="Times New Roman;serif"/>
          <w:b w:val="false"/>
          <w:i/>
          <w:color w:val="000000"/>
          <w:sz w:val="24"/>
        </w:rPr>
        <w:t>Or, if different, the latest address on file with the Company</w:t>
      </w:r>
      <w:r>
        <w:rPr>
          <w:rFonts w:ascii="Times New Roman;serif" w:hAnsi="Times New Roman;serif"/>
          <w:b w:val="false"/>
          <w:color w:val="000000"/>
          <w:sz w:val="24"/>
        </w:rPr>
        <w:t>)</w:t>
      </w:r>
    </w:p>
    <w:p>
      <w:pPr>
        <w:pStyle w:val="TextBody"/>
        <w:bidi w:val="0"/>
        <w:spacing w:lineRule="auto" w:line="240" w:before="0" w:after="320"/>
        <w:ind w:left="0" w:right="0" w:firstLine="720"/>
        <w:jc w:val="both"/>
        <w:rPr/>
      </w:pPr>
      <w:r>
        <w:rPr>
          <w:rFonts w:ascii="Times New Roman;serif" w:hAnsi="Times New Roman;serif"/>
          <w:b w:val="false"/>
          <w:color w:val="010000"/>
          <w:sz w:val="24"/>
        </w:rPr>
        <w:t>24.</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may be executed in any number of counterparts, including by electronic mail or 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pStyle w:val="TextBody"/>
        <w:bidi w:val="0"/>
        <w:spacing w:lineRule="auto" w:line="240" w:before="0" w:after="320"/>
        <w:ind w:left="0" w:right="0" w:firstLine="720"/>
        <w:jc w:val="both"/>
        <w:rPr/>
      </w:pPr>
      <w:r>
        <w:rPr>
          <w:rFonts w:ascii="Times New Roman;serif" w:hAnsi="Times New Roman;serif"/>
          <w:b w:val="false"/>
          <w:color w:val="010000"/>
          <w:sz w:val="24"/>
        </w:rPr>
        <w:t>25.</w:t>
      </w:r>
      <w:r>
        <w:rPr>
          <w:rFonts w:ascii="Times New Roman;serif" w:hAnsi="Times New Roman;serif"/>
          <w:b/>
          <w:color w:val="000000"/>
          <w:sz w:val="24"/>
          <w:u w:val="single"/>
        </w:rPr>
        <w:t>Deemed Resignations</w:t>
      </w:r>
      <w:r>
        <w:rPr>
          <w:rFonts w:ascii="Times New Roman;serif" w:hAnsi="Times New Roman;serif"/>
          <w:b w:val="false"/>
          <w:color w:val="000000"/>
          <w:sz w:val="24"/>
        </w:rPr>
        <w:t>. Except as otherwise determined by the Board or as otherwise agreed to in writing by 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 (c) 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w:t>
      </w:r>
    </w:p>
    <w:p>
      <w:pPr>
        <w:pStyle w:val="TextBody"/>
        <w:bidi w:val="0"/>
        <w:spacing w:lineRule="auto" w:line="240" w:before="0" w:after="320"/>
        <w:ind w:left="0" w:right="0" w:firstLine="720"/>
        <w:jc w:val="both"/>
        <w:rPr/>
      </w:pPr>
      <w:r>
        <w:rPr>
          <w:rFonts w:ascii="Times New Roman;serif" w:hAnsi="Times New Roman;serif"/>
          <w:b w:val="false"/>
          <w:color w:val="010000"/>
          <w:sz w:val="24"/>
        </w:rPr>
        <w:t>26.</w:t>
      </w:r>
      <w:r>
        <w:rPr>
          <w:rFonts w:ascii="Times New Roman;serif" w:hAnsi="Times New Roman;serif"/>
          <w:b/>
          <w:color w:val="000000"/>
          <w:sz w:val="24"/>
          <w:u w:val="single"/>
        </w:rPr>
        <w:t>Section 409A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40" w:before="0" w:after="3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Notwithstanding any provision of this Agreement to the contrary, all provisions of this Agreement are intended to comply with Section 409A of the Code and the applicable Treasury regulations and administrative guidance issued thereunder (collectively,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pStyle w:val="TextBody"/>
        <w:bidi w:val="0"/>
        <w:spacing w:lineRule="auto" w:line="240" w:before="0" w:after="3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serif" w:hAnsi="Times New Roman;serif"/>
          <w:b w:val="false"/>
          <w:i/>
          <w:color w:val="000000"/>
          <w:sz w:val="24"/>
        </w:rPr>
        <w:t>provided</w:t>
      </w:r>
      <w:r>
        <w:rPr>
          <w:rFonts w:ascii="Times New Roman;serif" w:hAnsi="Times New Roman;serif"/>
          <w:b w:val="false"/>
          <w:color w:val="000000"/>
          <w:sz w:val="24"/>
        </w:rPr>
        <w:t>, that the foregoing clause shall not be violated with regard to expenses reimbursed under any arrangement covered by Section 105(b) of the Code solely because such expenses are subject to a limit related to the period in which the arrangement is in effect.</w:t>
      </w:r>
    </w:p>
    <w:p>
      <w:pPr>
        <w:pStyle w:val="TextBody"/>
        <w:bidi w:val="0"/>
        <w:spacing w:lineRule="auto" w:line="240" w:before="0" w:after="32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Notwithstanding any provision in this Agreement to the contrary, if any payment or benefit provided for herein would be subject to additional taxes and interest under Section 409A if Employee’s receipt of such payment or benefit is not delayed until the earlier of the date of Employee’s death or the date that is six (6) months after the Termination Date (such date, the “</w:t>
      </w:r>
      <w:r>
        <w:rPr>
          <w:rFonts w:ascii="Times New Roman;serif" w:hAnsi="Times New Roman;serif"/>
          <w:b w:val="false"/>
          <w:color w:val="000000"/>
          <w:sz w:val="24"/>
          <w:u w:val="single"/>
        </w:rPr>
        <w:t>Section 409A Payment Date</w:t>
      </w:r>
      <w:r>
        <w:rPr>
          <w:color w:val="000000"/>
        </w:rPr>
        <w:t>”</w:t>
      </w:r>
      <w:r>
        <w:rPr>
          <w:rFonts w:ascii="Times New Roman;serif" w:hAnsi="Times New Roman;serif"/>
          <w:b w:val="false"/>
          <w:color w:val="000000"/>
          <w:sz w:val="24"/>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pStyle w:val="TextBody"/>
        <w:bidi w:val="0"/>
        <w:spacing w:lineRule="auto" w:line="240" w:before="0" w:after="320"/>
        <w:ind w:left="0" w:right="0" w:firstLine="720"/>
        <w:jc w:val="both"/>
        <w:rPr/>
      </w:pPr>
      <w:r>
        <w:rPr>
          <w:rFonts w:ascii="Times New Roman;serif" w:hAnsi="Times New Roman;serif"/>
          <w:b w:val="false"/>
          <w:color w:val="010000"/>
          <w:sz w:val="24"/>
        </w:rPr>
        <w:t>27.</w:t>
      </w:r>
      <w:r>
        <w:rPr>
          <w:rFonts w:ascii="Times New Roman;serif" w:hAnsi="Times New Roman;serif"/>
          <w:b/>
          <w:color w:val="000000"/>
          <w:sz w:val="24"/>
          <w:u w:val="single"/>
        </w:rPr>
        <w:t>Effect of Termination</w:t>
      </w:r>
      <w:r>
        <w:rPr>
          <w:rFonts w:ascii="Times New Roman;serif" w:hAnsi="Times New Roman;serif"/>
          <w:b w:val="false"/>
          <w:color w:val="000000"/>
          <w:sz w:val="24"/>
        </w:rPr>
        <w:t xml:space="preserve">. The provisions of </w:t>
      </w:r>
      <w:r>
        <w:rPr>
          <w:rFonts w:ascii="Times New Roman;serif" w:hAnsi="Times New Roman;serif"/>
          <w:b w:val="false"/>
          <w:color w:val="000000"/>
          <w:sz w:val="24"/>
          <w:u w:val="single"/>
        </w:rPr>
        <w:t>Sections 7(a)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25</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26</w:t>
      </w:r>
      <w:r>
        <w:rPr>
          <w:color w:val="000000"/>
        </w:rPr>
        <w:t xml:space="preserve"> </w:t>
      </w:r>
      <w:r>
        <w:rPr>
          <w:rFonts w:ascii="Times New Roman;serif" w:hAnsi="Times New Roman;serif"/>
          <w:b w:val="false"/>
          <w:color w:val="000000"/>
          <w:sz w:val="24"/>
        </w:rPr>
        <w:t>and those provisions necessary to interpret and enforce them, shall survive any termination of this Agreement and any termination of the employment relationship between Employee and the Company.</w:t>
      </w:r>
    </w:p>
    <w:p>
      <w:pPr>
        <w:pStyle w:val="TextBody"/>
        <w:bidi w:val="0"/>
        <w:spacing w:lineRule="auto" w:line="240" w:before="0" w:after="320"/>
        <w:ind w:left="0" w:right="0" w:firstLine="720"/>
        <w:jc w:val="both"/>
        <w:rPr/>
      </w:pPr>
      <w:r>
        <w:rPr>
          <w:rFonts w:ascii="Times New Roman;serif" w:hAnsi="Times New Roman;serif"/>
          <w:b w:val="false"/>
          <w:color w:val="010000"/>
          <w:sz w:val="24"/>
        </w:rPr>
        <w:t>28.</w:t>
      </w:r>
      <w:r>
        <w:rPr>
          <w:rFonts w:ascii="Times New Roman;serif" w:hAnsi="Times New Roman;serif"/>
          <w:b/>
          <w:color w:val="000000"/>
          <w:sz w:val="24"/>
          <w:u w:val="single"/>
        </w:rPr>
        <w:t>Third-Party Beneficiaries</w:t>
      </w:r>
      <w:r>
        <w:rPr>
          <w:rFonts w:ascii="Times New Roman;serif" w:hAnsi="Times New Roman;serif"/>
          <w:b w:val="false"/>
          <w:color w:val="000000"/>
          <w:sz w:val="24"/>
        </w:rPr>
        <w:t xml:space="preserve">. Each member of the Company Group that is not a signatory to this Agreement shall be a third-party beneficiary of Employee’s obligations under </w:t>
      </w:r>
      <w:r>
        <w:rPr>
          <w:rFonts w:ascii="Times New Roman;serif" w:hAnsi="Times New Roman;serif"/>
          <w:b w:val="false"/>
          <w:color w:val="000000"/>
          <w:sz w:val="24"/>
          <w:u w:val="single"/>
        </w:rPr>
        <w:t>Sections 7-15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25</w:t>
      </w:r>
      <w:r>
        <w:rPr>
          <w:color w:val="000000"/>
        </w:rPr>
        <w:t xml:space="preserve"> </w:t>
      </w:r>
      <w:r>
        <w:rPr>
          <w:rFonts w:ascii="Times New Roman;serif" w:hAnsi="Times New Roman;serif"/>
          <w:b w:val="false"/>
          <w:color w:val="000000"/>
          <w:sz w:val="24"/>
        </w:rPr>
        <w:t>and shall be entitled to enforce such obligations as if a party hereto.</w:t>
      </w:r>
    </w:p>
    <w:p>
      <w:pPr>
        <w:pStyle w:val="TextBody"/>
        <w:bidi w:val="0"/>
        <w:spacing w:lineRule="auto" w:line="240" w:before="0" w:after="320"/>
        <w:ind w:left="0" w:right="0" w:firstLine="720"/>
        <w:jc w:val="both"/>
        <w:rPr/>
      </w:pPr>
      <w:r>
        <w:rPr>
          <w:rFonts w:ascii="Times New Roman;serif" w:hAnsi="Times New Roman;serif"/>
          <w:b w:val="false"/>
          <w:color w:val="010000"/>
          <w:sz w:val="24"/>
        </w:rPr>
        <w:t>29.</w:t>
      </w:r>
      <w:r>
        <w:rPr>
          <w:rFonts w:ascii="Times New Roman;serif" w:hAnsi="Times New Roman;serif"/>
          <w:b/>
          <w:color w:val="000000"/>
          <w:sz w:val="24"/>
          <w:u w:val="single"/>
        </w:rPr>
        <w:t>Certain Excise Taxes</w:t>
      </w:r>
      <w:r>
        <w:rPr>
          <w:rFonts w:ascii="Times New Roman;serif" w:hAnsi="Times New Roman;serif"/>
          <w:b w:val="false"/>
          <w:color w:val="000000"/>
          <w:sz w:val="24"/>
        </w:rPr>
        <w:t xml:space="preserve">. Notwithstanding anything to the contrary in this Agreement, if Employee is a “disqualified individual” (as defined in Section 280G(c) of the Code), and the benefits provided for in this Agreement, together with any other payments and benefits which Employee has the right to receive from the Company and its affiliates,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40" w:before="0" w:after="320"/>
        <w:jc w:val="both"/>
        <w:rPr/>
      </w:pPr>
      <w:r>
        <w:rPr>
          <w:rFonts w:ascii="Times New Roman;serif" w:hAnsi="Times New Roman;serif"/>
          <w:b w:val="false"/>
          <w:color w:val="000000"/>
          <w:sz w:val="24"/>
        </w:rPr>
        <w:t xml:space="preserve">would 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Times New Roman;serif" w:hAnsi="Times New Roman;serif"/>
          <w:b w:val="false"/>
          <w:color w:val="000000"/>
          <w:sz w:val="24"/>
          <w:u w:val="single"/>
        </w:rPr>
        <w:t>Section 29</w:t>
      </w:r>
      <w:r>
        <w:rPr>
          <w:color w:val="000000"/>
        </w:rPr>
        <w:t xml:space="preserve"> </w:t>
      </w:r>
      <w:r>
        <w:rPr>
          <w:rFonts w:ascii="Times New Roman;serif" w:hAnsi="Times New Roman;serif"/>
          <w:b w:val="false"/>
          <w:color w:val="000000"/>
          <w:sz w:val="24"/>
        </w:rPr>
        <w:t>shall require the Company to be responsible for, or have any liability or obligation with respect to, Employee’s excise tax liabilities under Section 4999 of the Code.</w:t>
      </w:r>
    </w:p>
    <w:p>
      <w:pPr>
        <w:pStyle w:val="TextBody"/>
        <w:bidi w:val="0"/>
        <w:spacing w:lineRule="auto" w:line="240" w:before="0" w:after="320"/>
        <w:ind w:left="0" w:right="0" w:firstLine="720"/>
        <w:jc w:val="both"/>
        <w:rPr/>
      </w:pPr>
      <w:r>
        <w:rPr>
          <w:rFonts w:ascii="Times New Roman;serif" w:hAnsi="Times New Roman;serif"/>
          <w:b w:val="false"/>
          <w:color w:val="010000"/>
          <w:sz w:val="24"/>
        </w:rPr>
        <w:t>30.</w:t>
      </w:r>
      <w:r>
        <w:rPr>
          <w:rFonts w:ascii="Times New Roman;serif" w:hAnsi="Times New Roman;serif"/>
          <w:b/>
          <w:color w:val="000000"/>
          <w:sz w:val="24"/>
          <w:u w:val="single"/>
        </w:rPr>
        <w:t>Severability</w:t>
      </w:r>
      <w:r>
        <w:rPr>
          <w:rFonts w:ascii="Times New Roman;serif" w:hAnsi="Times New Roman;serif"/>
          <w:b w:val="false"/>
          <w:color w:val="000000"/>
          <w:sz w:val="24"/>
        </w:rPr>
        <w:t>. If an arbitrator or court of competent jurisdiction determines that any provision of this Agreement (or 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 xml:space="preserve">Remainder of Page Intentionally Blank; </w:t>
        <w:b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IN WITNESS WHEREOF, </w:t>
      </w:r>
      <w:r>
        <w:rPr>
          <w:rFonts w:ascii="Times New Roman;serif" w:hAnsi="Times New Roman;serif"/>
          <w:b w:val="false"/>
          <w:color w:val="000000"/>
          <w:sz w:val="24"/>
        </w:rPr>
        <w:t>Employee and the Company each have caused this Agreement to be executed and effective as of the Effective Date.</w:t>
      </w:r>
    </w:p>
    <w:p>
      <w:pPr>
        <w:pStyle w:val="TextBody"/>
        <w:bidi w:val="0"/>
        <w:spacing w:before="0" w:after="240"/>
        <w:ind w:left="0" w:right="0" w:firstLine="720"/>
        <w:jc w:val="both"/>
        <w:rPr/>
      </w:pPr>
      <w:r>
        <w:rPr/>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EMPLOYEE</w:t>
      </w:r>
    </w:p>
    <w:p>
      <w:pPr>
        <w:pStyle w:val="TextBody"/>
        <w:bidi w:val="0"/>
        <w:spacing w:lineRule="auto" w:line="288" w:before="0" w:after="0"/>
        <w:jc w:val="left"/>
        <w:rPr/>
      </w:pPr>
      <w:r>
        <w:rPr>
          <w:rFonts w:ascii="Times New Roman;serif" w:hAnsi="Times New Roman;serif"/>
          <w:b w:val="false"/>
          <w:color w:val="000000"/>
          <w:sz w:val="24"/>
          <w:u w:val="single"/>
        </w:rPr>
        <w:t>/s/ Terry L. Nutt    </w:t>
      </w:r>
      <w:r>
        <w:rPr>
          <w:rFonts w:ascii="Times New Roman;serif" w:hAnsi="Times New Roman;serif"/>
          <w:b w:val="false"/>
          <w:color w:val="000000"/>
          <w:sz w:val="24"/>
        </w:rPr>
        <w:br/>
        <w:t>Terry L. Nutt</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Dated: September 28, 2026</w:t>
      </w:r>
    </w:p>
    <w:p>
      <w:pPr>
        <w:pStyle w:val="TextBody"/>
        <w:bidi w:val="0"/>
        <w:spacing w:lineRule="auto" w:line="288" w:before="0" w:after="720"/>
        <w:jc w:val="left"/>
        <w:rPr/>
      </w:pPr>
      <w:r>
        <w:rPr>
          <w:rFonts w:ascii="Times New Roman;serif" w:hAnsi="Times New Roman;serif"/>
          <w:b/>
          <w:color w:val="000000"/>
          <w:sz w:val="24"/>
        </w:rPr>
        <w:t>COMPANY</w:t>
        <w:br/>
        <w:br/>
      </w:r>
      <w:r>
        <w:rPr>
          <w:rFonts w:ascii="Times New Roman;serif" w:hAnsi="Times New Roman;serif"/>
          <w:b w:val="false"/>
          <w:color w:val="000000"/>
          <w:sz w:val="24"/>
        </w:rPr>
        <w:t>TALEN ENERGY CORPORATION</w:t>
      </w:r>
    </w:p>
    <w:p>
      <w:pPr>
        <w:pStyle w:val="TextBody"/>
        <w:bidi w:val="0"/>
        <w:spacing w:lineRule="auto" w:line="288" w:before="0" w:after="720"/>
        <w:ind w:left="0" w:right="0" w:hanging="45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Andrew Wright    </w:t>
      </w:r>
      <w:r>
        <w:rPr>
          <w:rFonts w:ascii="Times New Roman;serif" w:hAnsi="Times New Roman;serif"/>
          <w:b w:val="false"/>
          <w:color w:val="000000"/>
          <w:sz w:val="24"/>
        </w:rPr>
        <w:br/>
        <w:t>Name: Andrew Wright</w:t>
        <w:br/>
        <w:t>Title: Chief Administrative Officer</w:t>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Exhibit 10.2</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98475"/>
                <wp:effectExtent l="0" t="0" r="0" b="0"/>
                <wp:wrapNone/>
                <wp:docPr id="28" name="Frame28"/>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br/>
                              <w:t>TO SECOND AMENDED AND RESTATED</w:t>
                              <w:br/>
                              <w:t>EMPLOYMENT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br/>
                        <w:t>TO SECOND AMENDED AND RESTATED</w:t>
                        <w:br/>
                        <w:t>EMPLOYMENT AGREEMENT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September 28,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Mark McFarland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via e-mail</w:t>
      </w:r>
    </w:p>
    <w:p>
      <w:pPr>
        <w:pStyle w:val="TextBody"/>
        <w:bidi w:val="0"/>
        <w:spacing w:lineRule="auto" w:line="288" w:before="0" w:after="240"/>
        <w:ind w:left="0" w:right="0" w:firstLine="72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Re:    Transition and Retirement Agreement and Release of Claims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Dear Mac:</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letter agreement (this “</w:t>
      </w:r>
      <w:r>
        <w:rPr>
          <w:rFonts w:ascii="Times New Roman;serif" w:hAnsi="Times New Roman;serif"/>
          <w:b w:val="false"/>
          <w:color w:val="000000"/>
          <w:sz w:val="24"/>
          <w:u w:val="single"/>
        </w:rPr>
        <w:t>Letter Agreement</w:t>
      </w:r>
      <w:r>
        <w:rPr>
          <w:color w:val="000000"/>
        </w:rPr>
        <w:t>”</w:t>
      </w:r>
      <w:r>
        <w:rPr>
          <w:rFonts w:ascii="Times New Roman;serif" w:hAnsi="Times New Roman;serif"/>
          <w:b w:val="false"/>
          <w:color w:val="000000"/>
          <w:sz w:val="24"/>
        </w:rPr>
        <w:t>) confirms our agreement regarding the transition of your duties and retirement from employment with Talen Energy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its direct and indirect subsidiaries (collectively, the “</w:t>
      </w:r>
      <w:r>
        <w:rPr>
          <w:rFonts w:ascii="Times New Roman;serif" w:hAnsi="Times New Roman;serif"/>
          <w:b w:val="false"/>
          <w:color w:val="000000"/>
          <w:sz w:val="24"/>
          <w:u w:val="single"/>
        </w:rPr>
        <w:t>Company Group</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made herein to (a) the Amended and Restated Employment Agreement, by and between you and the Company, dated as of December 12, 2025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(b) the Talen Energy Corporation 2023 Equity Incentive Plan (as amended, restated, modified or otherwise supplemented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(c) the Restricted Stock Unit Award Agreement, by and between you and the Company, dated as of February 28, 2025 (the “</w:t>
      </w:r>
      <w:r>
        <w:rPr>
          <w:rFonts w:ascii="Times New Roman;serif" w:hAnsi="Times New Roman;serif"/>
          <w:b w:val="false"/>
          <w:color w:val="000000"/>
          <w:sz w:val="24"/>
          <w:u w:val="single"/>
        </w:rPr>
        <w:t>2025 RSU Award</w:t>
      </w:r>
      <w:r>
        <w:rPr>
          <w:color w:val="000000"/>
        </w:rPr>
        <w:t>”</w:t>
      </w:r>
      <w:r>
        <w:rPr>
          <w:rFonts w:ascii="Times New Roman;serif" w:hAnsi="Times New Roman;serif"/>
          <w:b w:val="false"/>
          <w:color w:val="000000"/>
          <w:sz w:val="24"/>
        </w:rPr>
        <w:t>); (d) the Performance-Based Restricted Stock Unit Award Agreement, by and between you and the Company, dated as of February 28, 2025 (together with the 2025 RSU Award, the “</w:t>
      </w:r>
      <w:r>
        <w:rPr>
          <w:rFonts w:ascii="Times New Roman;serif" w:hAnsi="Times New Roman;serif"/>
          <w:b w:val="false"/>
          <w:color w:val="000000"/>
          <w:sz w:val="24"/>
          <w:u w:val="single"/>
        </w:rPr>
        <w:t>2025 Awards</w:t>
      </w:r>
      <w:r>
        <w:rPr>
          <w:color w:val="000000"/>
        </w:rPr>
        <w:t>”</w:t>
      </w:r>
      <w:r>
        <w:rPr>
          <w:rFonts w:ascii="Times New Roman;serif" w:hAnsi="Times New Roman;serif"/>
          <w:b w:val="false"/>
          <w:color w:val="000000"/>
          <w:sz w:val="24"/>
        </w:rPr>
        <w:t>), (e) the Restricted Stock Unit Award Agreement, by and between you and the Company, dated as of February 26, 2026 (the “</w:t>
      </w:r>
      <w:r>
        <w:rPr>
          <w:rFonts w:ascii="Times New Roman;serif" w:hAnsi="Times New Roman;serif"/>
          <w:b w:val="false"/>
          <w:color w:val="000000"/>
          <w:sz w:val="24"/>
          <w:u w:val="single"/>
        </w:rPr>
        <w:t>2026 Standard RSU Award</w:t>
      </w:r>
      <w:r>
        <w:rPr>
          <w:color w:val="000000"/>
        </w:rPr>
        <w:t>”</w:t>
      </w:r>
      <w:r>
        <w:rPr>
          <w:rFonts w:ascii="Times New Roman;serif" w:hAnsi="Times New Roman;serif"/>
          <w:b w:val="false"/>
          <w:color w:val="000000"/>
          <w:sz w:val="24"/>
        </w:rPr>
        <w:t>), (f) the Performance-Based Restricted Stock Unit Award Agreement, by and between you and the Company, dated as of February 26, 2026 (the “</w:t>
      </w:r>
      <w:r>
        <w:rPr>
          <w:rFonts w:ascii="Times New Roman;serif" w:hAnsi="Times New Roman;serif"/>
          <w:b w:val="false"/>
          <w:color w:val="000000"/>
          <w:sz w:val="24"/>
          <w:u w:val="single"/>
        </w:rPr>
        <w:t>2026 Standard PSU Award</w:t>
      </w:r>
      <w:r>
        <w:rPr>
          <w:color w:val="000000"/>
        </w:rPr>
        <w:t xml:space="preserve">” </w:t>
      </w:r>
      <w:r>
        <w:rPr>
          <w:rFonts w:ascii="Times New Roman;serif" w:hAnsi="Times New Roman;serif"/>
          <w:b w:val="false"/>
          <w:color w:val="000000"/>
          <w:sz w:val="24"/>
        </w:rPr>
        <w:t>and, collectively with the 2026 Standard RSU Award, the “</w:t>
      </w:r>
      <w:r>
        <w:rPr>
          <w:rFonts w:ascii="Times New Roman;serif" w:hAnsi="Times New Roman;serif"/>
          <w:b w:val="false"/>
          <w:color w:val="000000"/>
          <w:sz w:val="24"/>
          <w:u w:val="single"/>
        </w:rPr>
        <w:t>2026 Standard Awards</w:t>
      </w:r>
      <w:r>
        <w:rPr>
          <w:color w:val="000000"/>
        </w:rPr>
        <w:t>”</w:t>
      </w:r>
      <w:r>
        <w:rPr>
          <w:rFonts w:ascii="Times New Roman;serif" w:hAnsi="Times New Roman;serif"/>
          <w:b w:val="false"/>
          <w:color w:val="000000"/>
          <w:sz w:val="24"/>
        </w:rPr>
        <w:t>), (g) the Restricted Stock Unit Award Agreement, by and between you and the Company, dated as of February 26, 2025 (the “</w:t>
      </w:r>
      <w:r>
        <w:rPr>
          <w:rFonts w:ascii="Times New Roman;serif" w:hAnsi="Times New Roman;serif"/>
          <w:b w:val="false"/>
          <w:color w:val="000000"/>
          <w:sz w:val="24"/>
          <w:u w:val="single"/>
        </w:rPr>
        <w:t>2026 True Up RSU Award</w:t>
      </w:r>
      <w:r>
        <w:rPr>
          <w:color w:val="000000"/>
        </w:rPr>
        <w:t>”</w:t>
      </w:r>
      <w:r>
        <w:rPr>
          <w:rFonts w:ascii="Times New Roman;serif" w:hAnsi="Times New Roman;serif"/>
          <w:b w:val="false"/>
          <w:color w:val="000000"/>
          <w:sz w:val="24"/>
        </w:rPr>
        <w:t>), and (h) the Performance-Based Restricted Stock Unit Award Agreement, by and between you and the Company, dated as of February 26, 2026 (the “</w:t>
      </w:r>
      <w:r>
        <w:rPr>
          <w:rFonts w:ascii="Times New Roman;serif" w:hAnsi="Times New Roman;serif"/>
          <w:b w:val="false"/>
          <w:color w:val="000000"/>
          <w:sz w:val="24"/>
          <w:u w:val="single"/>
        </w:rPr>
        <w:t>2026 True Up RSU Award</w:t>
      </w:r>
      <w:r>
        <w:rPr>
          <w:color w:val="000000"/>
        </w:rPr>
        <w:t xml:space="preserve">” </w:t>
      </w:r>
      <w:r>
        <w:rPr>
          <w:rFonts w:ascii="Times New Roman;serif" w:hAnsi="Times New Roman;serif"/>
          <w:b w:val="false"/>
          <w:color w:val="000000"/>
          <w:sz w:val="24"/>
        </w:rPr>
        <w:t>and together with the 2026 True Up RSU Award, the “</w:t>
      </w:r>
      <w:r>
        <w:rPr>
          <w:rFonts w:ascii="Times New Roman;serif" w:hAnsi="Times New Roman;serif"/>
          <w:b w:val="false"/>
          <w:color w:val="000000"/>
          <w:sz w:val="24"/>
          <w:u w:val="single"/>
        </w:rPr>
        <w:t>2026 True Up Awards</w:t>
      </w:r>
      <w:r>
        <w:rPr>
          <w:rFonts w:ascii="Times New Roman;serif" w:hAnsi="Times New Roman;serif"/>
          <w:b w:val="false"/>
          <w:color w:val="000000"/>
          <w:sz w:val="24"/>
        </w:rPr>
        <w:t>,” and collectively, with the 2025 Awards, and the 2026 Standard Awards, the “</w:t>
      </w:r>
      <w:r>
        <w:rPr>
          <w:rFonts w:ascii="Times New Roman;serif" w:hAnsi="Times New Roman;serif"/>
          <w:b w:val="false"/>
          <w:color w:val="000000"/>
          <w:sz w:val="24"/>
          <w:u w:val="single"/>
        </w:rPr>
        <w:t>Award Agreements</w:t>
      </w:r>
      <w:r>
        <w:rPr>
          <w:color w:val="000000"/>
        </w:rPr>
        <w:t>”</w:t>
      </w:r>
      <w:r>
        <w:rPr>
          <w:rFonts w:ascii="Times New Roman;serif" w:hAnsi="Times New Roman;serif"/>
          <w:b w:val="false"/>
          <w:color w:val="000000"/>
          <w:sz w:val="24"/>
        </w:rPr>
        <w:t>). For the avoidance of doubt, the Employment Agreement will continue to govern your employment with the Company until the Transition Date (as defined 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but not defined herein will have the meaning ascribed thereto in the Plan.</w:t>
      </w:r>
    </w:p>
    <w:p>
      <w:pPr>
        <w:pStyle w:val="TextBody"/>
        <w:bidi w:val="0"/>
        <w:spacing w:lineRule="auto" w:line="240"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rPr>
        <w:t>Transition Period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Effective as of the date of this Agreement, you and the Company acknowledge and agree that you will no longer be eligible to receive any new grants of equity awards under the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Effective as of January 1, 2027 (the “</w:t>
      </w:r>
      <w:r>
        <w:rPr>
          <w:rFonts w:ascii="Times New Roman;serif" w:hAnsi="Times New Roman;serif"/>
          <w:b w:val="false"/>
          <w:color w:val="000000"/>
          <w:sz w:val="24"/>
          <w:u w:val="single"/>
        </w:rPr>
        <w:t>Transition Date</w:t>
      </w:r>
      <w:r>
        <w:rPr>
          <w:color w:val="000000"/>
        </w:rPr>
        <w:t>”</w:t>
      </w:r>
      <w:r>
        <w:rPr>
          <w:rFonts w:ascii="Times New Roman;serif" w:hAnsi="Times New Roman;serif"/>
          <w:b w:val="false"/>
          <w:color w:val="000000"/>
          <w:sz w:val="24"/>
        </w:rPr>
        <w:t>), you will transition from your roles as Chief Executive Officer of the Company and member of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xml:space="preserve">) to the role of Senior Advisor to the Company, reporting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to the Chairman of the Board. Except as expressly permitted by the Chairman of the Board, effective as of the Transition Date, you will no longer have any authority to represent or bind the Company Group and will not hold yourself out as having any such authority. Except for your role as Senior Advisor to the Company or as described in </w:t>
      </w:r>
      <w:r>
        <w:rPr>
          <w:rFonts w:ascii="Times New Roman;serif" w:hAnsi="Times New Roman;serif"/>
          <w:b w:val="false"/>
          <w:color w:val="000000"/>
          <w:sz w:val="24"/>
          <w:u w:val="single"/>
        </w:rPr>
        <w:t>Section 1(c)</w:t>
      </w:r>
      <w:r>
        <w:rPr>
          <w:rFonts w:ascii="Times New Roman;serif" w:hAnsi="Times New Roman;serif"/>
          <w:b w:val="false"/>
          <w:color w:val="000000"/>
          <w:sz w:val="24"/>
        </w:rPr>
        <w:t>, as of the Transition Date, you will be deemed to have resigned from any positions with the Company Group (whether as a director, officer or otherwise).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During the period commencing on the Transition Date and ending on March 1, 2027 (the “</w:t>
      </w:r>
      <w:r>
        <w:rPr>
          <w:rFonts w:ascii="Times New Roman;serif" w:hAnsi="Times New Roman;serif"/>
          <w:b w:val="false"/>
          <w:color w:val="000000"/>
          <w:sz w:val="24"/>
          <w:u w:val="single"/>
        </w:rPr>
        <w:t>Separation Date</w:t>
      </w:r>
      <w:r>
        <w:rPr>
          <w:rFonts w:ascii="Times New Roman;serif" w:hAnsi="Times New Roman;serif"/>
          <w:b w:val="false"/>
          <w:color w:val="000000"/>
          <w:sz w:val="24"/>
        </w:rPr>
        <w:t>,” and such period, the “</w:t>
      </w:r>
      <w:r>
        <w:rPr>
          <w:rFonts w:ascii="Times New Roman;serif" w:hAnsi="Times New Roman;serif"/>
          <w:b w:val="false"/>
          <w:color w:val="000000"/>
          <w:sz w:val="24"/>
          <w:u w:val="single"/>
        </w:rPr>
        <w:t>Transition Period</w:t>
      </w:r>
      <w:r>
        <w:rPr>
          <w:color w:val="000000"/>
        </w:rPr>
        <w:t>”</w:t>
      </w:r>
      <w:r>
        <w:rPr>
          <w:rFonts w:ascii="Times New Roman;serif" w:hAnsi="Times New Roman;serif"/>
          <w:b w:val="false"/>
          <w:color w:val="000000"/>
          <w:sz w:val="24"/>
        </w:rPr>
        <w:t>), you will provide services reasonably requested by the Company, including transitioning your former duties, responsibilities and external relationships (the “</w:t>
      </w:r>
      <w:r>
        <w:rPr>
          <w:rFonts w:ascii="Times New Roman;serif" w:hAnsi="Times New Roman;serif"/>
          <w:b w:val="false"/>
          <w:color w:val="000000"/>
          <w:sz w:val="24"/>
          <w:u w:val="single"/>
        </w:rPr>
        <w:t>Transition Services</w:t>
      </w:r>
      <w:r>
        <w:rPr>
          <w:color w:val="000000"/>
        </w:rPr>
        <w:t>”</w:t>
      </w:r>
      <w:r>
        <w:rPr>
          <w:rFonts w:ascii="Times New Roman;serif" w:hAnsi="Times New Roman;serif"/>
          <w:b w:val="false"/>
          <w:color w:val="000000"/>
          <w:sz w:val="24"/>
        </w:rPr>
        <w:t>). During the Transition Period, the Company may direct you to work from home or from the Company’s office, depending on the Company’s needs (and subject to any applicable laws or policies).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During the Transition Period, the Company will provide you with the same employee benefits (including, without limitation, health plan coverage and those business expenses provided under Section 5 of the Employment Agreement) as in effect immediately prior to the Transition Date. Your outstanding equity awards will continue to vest in accordance with their terms during the Transition Period. Following the Transition Period, the Company will pay you a lump sum equal to $100,000 (in accordance with the Company’s ordinary payroll practices, but in no event later than 30 days following the Separation Date) for your services as a Senior Advisor (such payment, the “</w:t>
      </w:r>
      <w:r>
        <w:rPr>
          <w:rFonts w:ascii="Times New Roman;serif" w:hAnsi="Times New Roman;serif"/>
          <w:b w:val="false"/>
          <w:color w:val="000000"/>
          <w:sz w:val="24"/>
          <w:u w:val="single"/>
        </w:rPr>
        <w:t>SA Payment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As consideration for the rights and benefits offered pursuant to this Agreement (including, but not limited to, </w:t>
      </w:r>
      <w:r>
        <w:rPr>
          <w:rFonts w:ascii="Times New Roman;serif" w:hAnsi="Times New Roman;serif"/>
          <w:b w:val="false"/>
          <w:color w:val="000000"/>
          <w:sz w:val="24"/>
          <w:u w:val="single"/>
        </w:rPr>
        <w:t>Sections 1(d)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2(c)</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3</w:t>
      </w:r>
      <w:r>
        <w:rPr>
          <w:color w:val="000000"/>
        </w:rPr>
        <w:t xml:space="preserve"> </w:t>
      </w:r>
      <w:r>
        <w:rPr>
          <w:rFonts w:ascii="Times New Roman;serif" w:hAnsi="Times New Roman;serif"/>
          <w:b w:val="false"/>
          <w:color w:val="000000"/>
          <w:sz w:val="24"/>
        </w:rPr>
        <w:t>herein), you expressly and irrevocably waive and release any and all claims you may have to terminate your employment for Good Reason under the Employment Agreement and receive payments and benefits or otherwise be entitled to any other rights under any plan, program, agreement or other arrangement sponsored by the Company Group, as the result of your role change from Chief Executive Officer and member of the Board to Senior Advisor or any other changes to your duties, authorities, responsibilities or compensation under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rPr>
        <w:t>Separation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Following the Separation Date, you will no longer be an employee or service provider of (or hold any other positions with) the Company Group, and you will not hold yourself out as a partner, member, director, officer or employee of, or as otherwise affiliated with, the Company Group (including on social media). You will promptly execute any documents as may be requested by the Company to evidence your termination of employment with the Company. Additionally, on or following the Separation Date, you will execute the General Release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General Release</w:t>
      </w:r>
      <w:r>
        <w:rPr>
          <w:color w:val="000000"/>
        </w:rPr>
        <w:t>”</w:t>
      </w:r>
      <w:r>
        <w:rPr>
          <w:rFonts w:ascii="Times New Roman;serif" w:hAnsi="Times New Roman;serif"/>
          <w:b w:val="false"/>
          <w:color w:val="000000"/>
          <w:sz w:val="24"/>
        </w:rPr>
        <w:t>) such that the General Release becomes effective and irrevocable no later than 30 days following the Separation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shall pay any accrued but unpaid wages in a lump sum, less all applicable deductions and withholdings, within thirty (30) days following the Separation Date, or such earlier date as may be required by applicable law. For the sake of clarity, no payment will be owed to you in lieu of any accrued but unused paid time off as of the Separation Date, and any such accrued but unused paid time off will be forfeited for no consideration on the Separation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Subject to your execution and non-revocation of the General Release, the Company shall pay you the amount of your Annual Bonus that you would earn for 2026, based on actual performance, payable on the same date as other similarly situated Talen employees but in no case later than sixty (60) days following the Separation Date (but in no event prior to the Release Effective Date (as defined below)) (the “</w:t>
      </w:r>
      <w:r>
        <w:rPr>
          <w:rFonts w:ascii="Times New Roman;serif" w:hAnsi="Times New Roman;serif"/>
          <w:b w:val="false"/>
          <w:color w:val="000000"/>
          <w:sz w:val="24"/>
          <w:u w:val="single"/>
        </w:rPr>
        <w:t>2026 Bonus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4"/>
        </w:rPr>
        <w:t xml:space="preserve">COBRA. </w:t>
      </w:r>
      <w:r>
        <w:rPr>
          <w:rFonts w:ascii="Times New Roman;serif" w:hAnsi="Times New Roman;serif"/>
          <w:b w:val="false"/>
          <w:color w:val="000000"/>
          <w:sz w:val="24"/>
        </w:rPr>
        <w:t xml:space="preserve">As consideration for, and subject to, your compliance with this Letter Agreement, including </w:t>
      </w:r>
      <w:r>
        <w:rPr>
          <w:rFonts w:ascii="Times New Roman;serif" w:hAnsi="Times New Roman;serif"/>
          <w:b w:val="false"/>
          <w:color w:val="000000"/>
          <w:sz w:val="24"/>
          <w:u w:val="single"/>
        </w:rPr>
        <w:t>Sections 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w:t>
      </w:r>
      <w:r>
        <w:rPr>
          <w:rFonts w:ascii="Times New Roman;serif" w:hAnsi="Times New Roman;serif"/>
          <w:b w:val="false"/>
          <w:color w:val="000000"/>
          <w:sz w:val="24"/>
        </w:rPr>
        <w:t>, and with the General Release, subject to your timely election of continuation coverage under the Consolidated Omnibus Budget Reconciliation Act of 1985, as amended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xml:space="preserve">), you and your eligible dependents as of the Separation Date will be entitled to continued participation (pursuant to COBRA) in the Company’s group health plan (to the extent permitted under applicable law and the terms of such plan) covering you and your eligible dependents for a period of thirty-six (36) months following the Separation Date at your sole expense,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Company may modify the continuation coverage contemplated by this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to the extent reasonably necessary to avoid the imposition of any excise taxes on the Company for failure to comply with the nondiscrimination requirements of Section 105(h) of the Internal Revenue Code of 1986, as amended, the Patient Protection and Affordable Care Act of 2010, as amended, and/or the Health Care and Education Reconciliation Act of 2010, as amended, and in each case, the regulations and guidance promulgated thereunder (to the extent applicable) (the “</w:t>
      </w:r>
      <w:r>
        <w:rPr>
          <w:rFonts w:ascii="Times New Roman;serif" w:hAnsi="Times New Roman;serif"/>
          <w:b w:val="false"/>
          <w:color w:val="000000"/>
          <w:sz w:val="24"/>
          <w:u w:val="single"/>
        </w:rPr>
        <w:t>COBRA Benefit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rPr>
        <w:t>Incentive Equity Treatment</w:t>
      </w:r>
      <w:r>
        <w:rPr>
          <w:rFonts w:ascii="Times New Roman;serif" w:hAnsi="Times New Roman;serif"/>
          <w:b w:val="false"/>
          <w:color w:val="000000"/>
          <w:sz w:val="24"/>
        </w:rPr>
        <w:t>. You and the Company acknowledge and agree that, as of the Separation Date, all of your outstanding unvested restricted stock units and performance-based stock units will be automatically cancelled for no consideration without any further action by you or the Company Group in accordance with the applicable Award Agreements. For the avoidance of doubt, all provisions in the Award Agreements relating to accelerated vesting upon a termination due to death or Disability will continue to apply during the Transition Period.</w:t>
      </w:r>
    </w:p>
    <w:p>
      <w:pPr>
        <w:pStyle w:val="TextBody"/>
        <w:bidi w:val="0"/>
        <w:spacing w:lineRule="auto" w:line="240"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rPr>
        <w:t>General Release Conditions; Forfeiture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Release; Voluntary Execution</w:t>
      </w:r>
      <w:r>
        <w:rPr>
          <w:rFonts w:ascii="Times New Roman;serif" w:hAnsi="Times New Roman;serif"/>
          <w:b w:val="false"/>
          <w:color w:val="000000"/>
          <w:sz w:val="24"/>
        </w:rPr>
        <w:t xml:space="preserve">. The 2026 Bonus described in </w:t>
      </w:r>
      <w:r>
        <w:rPr>
          <w:rFonts w:ascii="Times New Roman;serif" w:hAnsi="Times New Roman;serif"/>
          <w:b w:val="false"/>
          <w:color w:val="000000"/>
          <w:sz w:val="24"/>
          <w:u w:val="single"/>
        </w:rPr>
        <w:t>Section 2(c)</w:t>
      </w:r>
      <w:r>
        <w:rPr>
          <w:color w:val="000000"/>
        </w:rPr>
        <w:t xml:space="preserve"> </w:t>
      </w:r>
      <w:r>
        <w:rPr>
          <w:rFonts w:ascii="Times New Roman;serif" w:hAnsi="Times New Roman;serif"/>
          <w:b w:val="false"/>
          <w:color w:val="000000"/>
          <w:sz w:val="24"/>
        </w:rPr>
        <w:t xml:space="preserve">and the COBRA Benefit contemplated by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 xml:space="preserve">will only be provided to or retained by you (as applicable) if, within twenty-one (21) days following the Separation Date (but in any event no earlier than the Separation Date), you deliver to the Company the executed General Release attached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and the General Release becomes effective and non-revocable in accordance with its terms (with the date on which the General Release first becomes effective and non-revocable, the “</w:t>
      </w:r>
      <w:r>
        <w:rPr>
          <w:rFonts w:ascii="Times New Roman;serif" w:hAnsi="Times New Roman;serif"/>
          <w:b w:val="false"/>
          <w:color w:val="000000"/>
          <w:sz w:val="24"/>
          <w:u w:val="single"/>
        </w:rPr>
        <w:t>Release Effective Date</w:t>
      </w:r>
      <w:r>
        <w:rPr>
          <w:color w:val="000000"/>
        </w:rPr>
        <w:t>”</w:t>
      </w:r>
      <w:r>
        <w:rPr>
          <w:rFonts w:ascii="Times New Roman;serif" w:hAnsi="Times New Roman;serif"/>
          <w:b w:val="false"/>
          <w:color w:val="000000"/>
          <w:sz w:val="24"/>
        </w:rPr>
        <w:t>). You understand that you may execute the General Release less than twenty-one (21) days after you receive it from the Company (but not before the Separation Date), but you agree that any such execution will represent your knowing waiver of any consideration period required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Forfeiture</w:t>
      </w:r>
      <w:r>
        <w:rPr>
          <w:rFonts w:ascii="Times New Roman;serif" w:hAnsi="Times New Roman;serif"/>
          <w:b w:val="false"/>
          <w:color w:val="000000"/>
          <w:sz w:val="24"/>
        </w:rPr>
        <w:t xml:space="preserve">. If the Company discovers that grounds for a cause termination existed prior to the Separation Date, if you breach any Restrictive Covenants (as defined in </w:t>
      </w:r>
      <w:r>
        <w:rPr>
          <w:rFonts w:ascii="Times New Roman;serif" w:hAnsi="Times New Roman;serif"/>
          <w:b w:val="false"/>
          <w:color w:val="000000"/>
          <w:sz w:val="24"/>
          <w:u w:val="single"/>
        </w:rPr>
        <w:t>Section 6</w:t>
      </w:r>
      <w:r>
        <w:rPr>
          <w:rFonts w:ascii="Times New Roman;serif" w:hAnsi="Times New Roman;serif"/>
          <w:b w:val="false"/>
          <w:color w:val="000000"/>
          <w:sz w:val="24"/>
        </w:rPr>
        <w:t xml:space="preserve">) or if you do not reasonably provide the Transition Services, your eligibility to receive any unearned portion of the SA Payment described in </w:t>
      </w:r>
      <w:r>
        <w:rPr>
          <w:rFonts w:ascii="Times New Roman;serif" w:hAnsi="Times New Roman;serif"/>
          <w:b w:val="false"/>
          <w:color w:val="000000"/>
          <w:sz w:val="24"/>
          <w:u w:val="single"/>
        </w:rPr>
        <w:t>Section 1(d)</w:t>
      </w:r>
      <w:r>
        <w:rPr>
          <w:rFonts w:ascii="Times New Roman;serif" w:hAnsi="Times New Roman;serif"/>
          <w:b w:val="false"/>
          <w:color w:val="000000"/>
          <w:sz w:val="24"/>
        </w:rPr>
        <w:t xml:space="preserve">, the 2026 Bonus described in </w:t>
      </w:r>
      <w:r>
        <w:rPr>
          <w:rFonts w:ascii="Times New Roman;serif" w:hAnsi="Times New Roman;serif"/>
          <w:b w:val="false"/>
          <w:color w:val="000000"/>
          <w:sz w:val="24"/>
          <w:u w:val="single"/>
        </w:rPr>
        <w:t>Section 2(c)</w:t>
      </w:r>
      <w:r>
        <w:rPr>
          <w:rFonts w:ascii="Times New Roman;serif" w:hAnsi="Times New Roman;serif"/>
          <w:b w:val="false"/>
          <w:color w:val="000000"/>
          <w:sz w:val="24"/>
        </w:rPr>
        <w:t xml:space="preserve">, and the COBRA Benefit pursuant to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will immediately cease and be forfeited.</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rPr>
        <w:t xml:space="preserve">Restrictive Covenants. </w:t>
      </w:r>
      <w:r>
        <w:rPr>
          <w:rFonts w:ascii="Times New Roman;serif" w:hAnsi="Times New Roman;serif"/>
          <w:b w:val="false"/>
          <w:color w:val="000000"/>
          <w:sz w:val="24"/>
        </w:rPr>
        <w:t>You hereby acknowledge and agree that you will continue to be bound by, and you reaffirm your obligations under, the restrictive covenants set forth in the Employment Agreement and any other written agreement by and between you, on the one hand, and the Company Group, on the other (collectively, the “</w:t>
      </w:r>
      <w:r>
        <w:rPr>
          <w:rFonts w:ascii="Times New Roman;serif" w:hAnsi="Times New Roman;serif"/>
          <w:b w:val="false"/>
          <w:color w:val="000000"/>
          <w:sz w:val="24"/>
          <w:u w:val="single"/>
        </w:rPr>
        <w:t>Restrictive Covenants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rPr>
        <w:t xml:space="preserve">Whistleblower Protection. </w:t>
      </w:r>
      <w:r>
        <w:rPr>
          <w:rFonts w:ascii="Times New Roman;serif" w:hAnsi="Times New Roman;serif"/>
          <w:b w:val="false"/>
          <w:color w:val="000000"/>
          <w:sz w:val="24"/>
        </w:rPr>
        <w:t>You understand that nothing contained in this Letter Agreement or the General Release limits your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(collectively, “</w:t>
      </w:r>
      <w:r>
        <w:rPr>
          <w:rFonts w:ascii="Times New Roman;serif" w:hAnsi="Times New Roman;serif"/>
          <w:b w:val="false"/>
          <w:color w:val="000000"/>
          <w:sz w:val="24"/>
          <w:u w:val="single"/>
        </w:rPr>
        <w:t>Government Agencies</w:t>
      </w:r>
      <w:r>
        <w:rPr>
          <w:color w:val="000000"/>
        </w:rPr>
        <w:t>”</w:t>
      </w:r>
      <w:r>
        <w:rPr>
          <w:rFonts w:ascii="Times New Roman;serif" w:hAnsi="Times New Roman;serif"/>
          <w:b w:val="false"/>
          <w:color w:val="000000"/>
          <w:sz w:val="24"/>
        </w:rPr>
        <w:t>); provided, that you may not receive any relief (including, without limitation, compensation, reinstatement, back pay, front pay, damages, attorneys’ or experts’ fees, costs, and/or disbursements) as a consequence of any such charge and/or any litigation arising out of any such charge to the fullest extent permitted by law. You further understand that neither this Letter Agreement nor the General Release limits your ability to (a) communicate with any Government Agencies or otherwise participate in any investigation or proceeding that may be conducted by any Government Agency, including providing documents or other information, without notice to the Company, or (b) make any other disclosures required by applicable law or legal process or other disclosures under the whistleblower provisions of federal law or regulation. This Letter Agreement does not limit your right to seek or receive an award for information provided to the Securities and Exchange Commission, including pursuant to Section 922 of the Dodd-Frank Wall Street Reform and Consumer Protection Act.</w:t>
      </w:r>
    </w:p>
    <w:p>
      <w:pPr>
        <w:pStyle w:val="TextBody"/>
        <w:bidi w:val="0"/>
        <w:spacing w:lineRule="auto" w:line="240"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rPr>
        <w:t xml:space="preserve">Defend Trade Secrets Act. </w:t>
      </w:r>
      <w:r>
        <w:rPr>
          <w:rFonts w:ascii="Times New Roman;serif" w:hAnsi="Times New Roman;serif"/>
          <w:b w:val="false"/>
          <w:color w:val="000000"/>
          <w:sz w:val="24"/>
        </w:rPr>
        <w:t>18 U.S.C. §1833(b) provides: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Letter Agreement is intended to conflict with 18 U.S.C. §1833(b) or create liability for disclosures of trade secrets that are expressly allowed by 18 U.S.C. §1833(b). Accordingly, the parties to this Letter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pStyle w:val="TextBody"/>
        <w:bidi w:val="0"/>
        <w:spacing w:lineRule="auto" w:line="240"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rPr>
        <w:t xml:space="preserve">Return of Company Property. </w:t>
      </w:r>
      <w:r>
        <w:rPr>
          <w:rFonts w:ascii="Times New Roman;serif" w:hAnsi="Times New Roman;serif"/>
          <w:b w:val="false"/>
          <w:color w:val="000000"/>
          <w:sz w:val="24"/>
        </w:rPr>
        <w:t>On or prior to the Separation Date, you will return to the Company any originals or copies of any and all materials, documents, notes, manuals or lists containing or embodying confidential information, or relating directly or indirectly to the business of the Company Group then in your possession or control.</w:t>
      </w:r>
    </w:p>
    <w:p>
      <w:pPr>
        <w:pStyle w:val="TextBody"/>
        <w:bidi w:val="0"/>
        <w:spacing w:lineRule="auto" w:line="240"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rPr>
        <w:t xml:space="preserve">Governing Law. </w:t>
      </w:r>
      <w:r>
        <w:rPr>
          <w:rFonts w:ascii="Times New Roman;serif" w:hAnsi="Times New Roman;serif"/>
          <w:b w:val="false"/>
          <w:color w:val="000000"/>
          <w:sz w:val="24"/>
        </w:rPr>
        <w:t xml:space="preserve">This Letter Agreement, the rights and obligations of the parties hereto and any claims or disputes relating thereto will be governed by and construed exclusively in accordance with the laws of the State of Texas, without regard to the choice of law provisions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claims or disputes relating to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will be governed by the Plan (and the Award Agreements thereunder),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rPr>
        <w:t xml:space="preserve">Entire Agreement. </w:t>
      </w:r>
      <w:r>
        <w:rPr>
          <w:rFonts w:ascii="Times New Roman;serif" w:hAnsi="Times New Roman;serif"/>
          <w:b w:val="false"/>
          <w:color w:val="000000"/>
          <w:sz w:val="24"/>
        </w:rPr>
        <w:t xml:space="preserve">Except as otherwise expressly provided herein, this Letter Agreement constitutes the entire agreement among you and the Company with respect to the subject matter hereof and supersedes any and all prior agreements or understandings among you and the Company with respect to the subject matter hereof, whether written or oral; </w:t>
      </w:r>
      <w:r>
        <w:rPr>
          <w:rFonts w:ascii="Times New Roman;serif" w:hAnsi="Times New Roman;serif"/>
          <w:b w:val="false"/>
          <w:color w:val="000000"/>
          <w:sz w:val="24"/>
          <w:u w:val="single"/>
        </w:rPr>
        <w:t>provided that</w:t>
      </w:r>
      <w:r>
        <w:rPr>
          <w:rFonts w:ascii="Times New Roman;serif" w:hAnsi="Times New Roman;serif"/>
          <w:b w:val="false"/>
          <w:color w:val="000000"/>
          <w:sz w:val="24"/>
        </w:rPr>
        <w:t>, except as otherwise modified hereby, the Employment Agreement, the Award Agreements, and the Indemnification Agreement between you and the Company dated May 17, 2023, will remain in full force and effect. All other agreements between you and the Company, which are not specifically superseded by this Letter Agreement, will remain in full force and effect in accordance with their terms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For the avoidance of doubt, except as explicitly set forth herein, none of the Restrictive Covenants are superseded or otherwise amended, modified or affected by this Letter Agreement. This Letter Agreement will bind the heirs, personal representatives, successors and assigns of you and the Company Group and inure to the benefit of you and the Company Group and your and their respective heirs, successors and assigns (as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you may not assign your rights or obligations hereunder. This Letter Agreement may be amended or modified only by a written instrument executed by you and the Company.</w:t>
      </w:r>
    </w:p>
    <w:p>
      <w:pPr>
        <w:pStyle w:val="TextBody"/>
        <w:bidi w:val="0"/>
        <w:spacing w:lineRule="auto" w:line="240"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rPr>
        <w:t xml:space="preserve">Counterparts &amp; Signatures. </w:t>
      </w:r>
      <w:r>
        <w:rPr>
          <w:rFonts w:ascii="Times New Roman;serif" w:hAnsi="Times New Roman;serif"/>
          <w:b w:val="false"/>
          <w:color w:val="000000"/>
          <w:sz w:val="24"/>
        </w:rPr>
        <w:t>This Letter Agreement may be executed in counterparts, each of which will be deemed an original, and together any counterparts will constitute one and the same instrument. Additionally, the parties agree that electronic reproductions of signatures (</w:t>
      </w:r>
      <w:r>
        <w:rPr>
          <w:rFonts w:ascii="Times New Roman;serif" w:hAnsi="Times New Roman;serif"/>
          <w:b w:val="false"/>
          <w:i/>
          <w:color w:val="000000"/>
          <w:sz w:val="24"/>
        </w:rPr>
        <w:t>i.e.</w:t>
      </w:r>
      <w:r>
        <w:rPr>
          <w:rFonts w:ascii="Times New Roman;serif" w:hAnsi="Times New Roman;serif"/>
          <w:b w:val="false"/>
          <w:color w:val="000000"/>
          <w:sz w:val="24"/>
        </w:rPr>
        <w:t>, scanned PDF versions of original signatures, facsimile transmissions and the like) will be treated as original signatures for purposes of execution of this Letter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 ON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this Letter Agreement accurately reflects your understanding as to the terms and conditions set forth herein, please sign one copy of this Letter Agreement in the space provided below and return the same for the records of 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TALEN ENERGY CORPORATION</w:t>
      </w:r>
    </w:p>
    <w:p>
      <w:pPr>
        <w:pStyle w:val="TextBody"/>
        <w:bidi w:val="0"/>
        <w:spacing w:lineRule="auto" w:line="288" w:before="0" w:after="24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Wright </w:t>
      </w:r>
      <w:r>
        <w:rPr>
          <w:rFonts w:ascii="Times New Roman;serif" w:hAnsi="Times New Roman;serif"/>
          <w:b w:val="false"/>
          <w:color w:val="000000"/>
          <w:sz w:val="24"/>
        </w:rPr>
        <w:t>_______________________    </w:t>
      </w:r>
      <w:r>
        <w:rPr>
          <w:rFonts w:ascii="Times New Roman;serif" w:hAnsi="Times New Roman;serif"/>
          <w:b w:val="false"/>
          <w:color w:val="000000"/>
          <w:sz w:val="24"/>
          <w:u w:val="single"/>
        </w:rPr>
        <w:br/>
      </w:r>
      <w:r>
        <w:rPr>
          <w:rFonts w:ascii="Times New Roman;serif" w:hAnsi="Times New Roman;serif"/>
          <w:b w:val="false"/>
          <w:color w:val="000000"/>
          <w:sz w:val="24"/>
        </w:rPr>
        <w:t>Name: Andrew Wright</w:t>
        <w:br/>
        <w:t>Title: Chief Administrative Officer</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EMPLOYEE</w:t>
      </w:r>
    </w:p>
    <w:p>
      <w:pPr>
        <w:pStyle w:val="TextBody"/>
        <w:bidi w:val="0"/>
        <w:spacing w:lineRule="auto" w:line="288" w:before="0" w:after="0"/>
        <w:ind w:left="0" w:right="0" w:firstLine="72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Mark McFarland    </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Mark McFarland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Letter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Letter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GENERAL RELEASE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I, Mark McFarland, in consideration of and subject to the performance by Talen Energy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of its obligations under the Letter Agreement, dated as of September 28, 2026 (the “</w:t>
      </w:r>
      <w:r>
        <w:rPr>
          <w:rFonts w:ascii="Times New Roman;serif" w:hAnsi="Times New Roman;serif"/>
          <w:b w:val="false"/>
          <w:color w:val="000000"/>
          <w:sz w:val="24"/>
          <w:u w:val="single"/>
        </w:rPr>
        <w:t>Letter Agreement</w:t>
      </w:r>
      <w:r>
        <w:rPr>
          <w:color w:val="000000"/>
        </w:rPr>
        <w:t>”</w:t>
      </w:r>
      <w:r>
        <w:rPr>
          <w:rFonts w:ascii="Times New Roman;serif" w:hAnsi="Times New Roman;serif"/>
          <w:b w:val="false"/>
          <w:color w:val="000000"/>
          <w:sz w:val="24"/>
        </w:rPr>
        <w:t>), am entering into this general release of claims (this “</w:t>
      </w:r>
      <w:r>
        <w:rPr>
          <w:rFonts w:ascii="Times New Roman;serif" w:hAnsi="Times New Roman;serif"/>
          <w:b w:val="false"/>
          <w:color w:val="000000"/>
          <w:sz w:val="24"/>
          <w:u w:val="single"/>
        </w:rPr>
        <w:t>General Release</w:t>
      </w:r>
      <w:r>
        <w:rPr>
          <w:color w:val="000000"/>
        </w:rPr>
        <w:t>”</w:t>
      </w:r>
      <w:r>
        <w:rPr>
          <w:rFonts w:ascii="Times New Roman;serif" w:hAnsi="Times New Roman;serif"/>
          <w:b w:val="false"/>
          <w:color w:val="000000"/>
          <w:sz w:val="24"/>
        </w:rPr>
        <w:t>) in connection with my separation from employment with the Company, and I hereby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I understand that the 2026 Bonus and the COBRA Benefit (each, as defined in the Letter Agreement) (collectively, the “</w:t>
      </w:r>
      <w:r>
        <w:rPr>
          <w:rFonts w:ascii="Times New Roman;serif" w:hAnsi="Times New Roman;serif"/>
          <w:b w:val="false"/>
          <w:color w:val="000000"/>
          <w:sz w:val="24"/>
          <w:u w:val="single"/>
        </w:rPr>
        <w:t>Termination Benefits</w:t>
      </w:r>
      <w:r>
        <w:rPr>
          <w:color w:val="000000"/>
        </w:rPr>
        <w:t>”</w:t>
      </w:r>
      <w:r>
        <w:rPr>
          <w:rFonts w:ascii="Times New Roman;serif" w:hAnsi="Times New Roman;serif"/>
          <w:b w:val="false"/>
          <w:color w:val="000000"/>
          <w:sz w:val="24"/>
        </w:rPr>
        <w:t>) represent, in part, consideration for signing this General Release and are not salary, wages or other payments or benefits to which I was already entitled. I understand and agree that I will receive or retain the Termination Benefits provided that I: (i) execute this General Release and do not revoke this General Release within the time period permitted hereafter and (ii) comply with the Letter Agreement, this General Release and the Restrictive Covenants at all times. Such consideration provided to me under the Letter Agreement will not be considered compensation for purposes of any employee benefit plan, program, policy or arrangement maintained or hereafter established by the Company Group (as defined in the Letter Agreement). I also acknowledge and represent that I have received all payments and benefits that I am entitled to receive (as of the date hereof) by virtue of any employment 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Except as provided in paragraph 4 and 12 below and except for the provisions of the Letter Agreement that expressly survive the termination of my employment with the Company, I knowingly and voluntarily (for myself and my heirs, executors, administrators and assigns) release and forever discharge the Company Group (as defined in the Letter Agreement) and all present and former managers, directors, officers, agents, representatives, employees, successors and assigns of the Company Group and their direct and indirect owners (collectively, the “</w:t>
      </w:r>
      <w:r>
        <w:rPr>
          <w:rFonts w:ascii="Times New Roman;serif" w:hAnsi="Times New Roman;serif"/>
          <w:b w:val="false"/>
          <w:color w:val="000000"/>
          <w:sz w:val="24"/>
          <w:u w:val="single"/>
        </w:rPr>
        <w:t>Released Parties</w:t>
      </w:r>
      <w:r>
        <w:rPr>
          <w:color w:val="000000"/>
        </w:rPr>
        <w:t>”</w:t>
      </w:r>
      <w:r>
        <w:rPr>
          <w:rFonts w:ascii="Times New Roman;serif" w:hAnsi="Times New Roman;serif"/>
          <w:b w:val="false"/>
          <w:color w:val="000000"/>
          <w:sz w:val="24"/>
        </w:rPr>
        <w:t>)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I execute this General Release), and whether known or unknown, suspected or claimed against the Company or any of the Released Parties (collectively, “</w:t>
      </w:r>
      <w:r>
        <w:rPr>
          <w:rFonts w:ascii="Times New Roman;serif" w:hAnsi="Times New Roman;serif"/>
          <w:b w:val="false"/>
          <w:color w:val="000000"/>
          <w:sz w:val="24"/>
          <w:u w:val="single"/>
        </w:rPr>
        <w:t>Claims</w:t>
      </w:r>
      <w:r>
        <w:rPr>
          <w:color w:val="000000"/>
        </w:rPr>
        <w:t>”</w:t>
      </w:r>
      <w:r>
        <w:rPr>
          <w:rFonts w:ascii="Times New Roman;serif" w:hAnsi="Times New Roman;serif"/>
          <w:b w:val="false"/>
          <w:color w:val="000000"/>
          <w:sz w:val="24"/>
        </w:rPr>
        <w:t>), that I, my spouse or any of my heirs, executors, administrators or assigns may have, including, without limitation, any Claims (i) that arise out of or are connected with any matter, including my employment with, or my separation or termination from, the Company; (ii) that arise under Title VII of the Civil Rights Act of 1964, as amended; the Civil Rights Act of 1991; the Age Discrimination in Employment Act of 1967, as amended (including the Older Workers Benefit Protection Act) (“</w:t>
      </w:r>
      <w:r>
        <w:rPr>
          <w:rFonts w:ascii="Times New Roman;serif" w:hAnsi="Times New Roman;serif"/>
          <w:b w:val="false"/>
          <w:color w:val="000000"/>
          <w:sz w:val="24"/>
          <w:u w:val="single"/>
        </w:rPr>
        <w:t>ADEA</w:t>
      </w:r>
      <w:r>
        <w:rPr>
          <w:color w:val="000000"/>
        </w:rPr>
        <w:t>”</w:t>
      </w:r>
      <w:r>
        <w:rPr>
          <w:rFonts w:ascii="Times New Roman;serif" w:hAnsi="Times New Roman;serif"/>
          <w:b w:val="false"/>
          <w:color w:val="000000"/>
          <w:sz w:val="24"/>
        </w:rPr>
        <w:t>); the Equal Pay Act of 1963, as amended; the Americans with Disabilities Act of 1990; the Family and Medical Leave Act of 1993; the Worker Adjustment Retraining and Notification Act; the Employee Retirement Income Security Act of 1974; any applicable Executive Orders; the Fair Labor Standards Act; or their state or local counterparts; or under any other federal, state or local civil or human rights law, or under any other local, state or federal law, regulation or ordinance; or under any public policy, contract or tort or under common law, including any Claim for wrongful discharge, breach of contract, infliction of emotional distress or defamation; (iii) that arise under any policies, practices or procedures of the Company; or (iv) for costs, fees or other expenses, including attorneys’ fees incurred in these matters.</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I represent that I have made no assignment or transfer of any Claim covered by paragraph 2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I agree that this General Release does not waive or release any rights or Claims that I may have under the ADEA that arise after the date I execute this General Release. I acknowledge and agree that my separation from employment with the Company is in compliance with the terms of the Letter Agreement and company policy and shall not serve as the basis for any Claim (including, without limitation, any Claim under the ADEA).</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Letter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shd w:fill="FFFFFF" w:val="clear"/>
        </w:rPr>
        <w:t>I represent that I am not aware of any pending charge or complaint of the type described in paragraph 2 above as of the execution of this General Release. 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w:t>
      </w:r>
      <w:r>
        <w:rPr>
          <w:color w:val="000000"/>
        </w:rPr>
        <w:t xml:space="preserve"> </w:t>
      </w:r>
      <w:r>
        <w:rPr>
          <w:rFonts w:ascii="Times New Roman;serif" w:hAnsi="Times New Roman;serif"/>
          <w:b w:val="false"/>
          <w:color w:val="000000"/>
          <w:sz w:val="24"/>
        </w:rPr>
        <w:t>Release and my decision to enter into it. Nevertheless, I hereby waive any Claim that might arise as a result of such different or additional Claims or facts.</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rPr>
        <w:t>I agree that neither this General Release, nor the furnishing of the consideration for this General Release, shall be deemed or construed at any time to be an admission by the Company, any Released Party or myself of any improper or unlawful conduct.</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rPr>
        <w:t>I agree that I will forfeit all unpaid or unprovided amounts and/or benefits payable or provided by the Company pursuant to the Letter Agreement if I challenge the validity of this General Release. I also agree that if I violate this General Release by suing the Company or the other Released Parties, I will pay all costs and expenses of defending against the suit incurred by the Released Parties, including attorneys’ fees, and upon the Company’s request, I will be required to return all amounts theretofore received by me pursuant to the Letter Agreement (other than the Cash Settlement (as defined in the Letter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rPr>
        <w:t>Nothing in this General Release prohibits or restricts me (or my attorney) from responding to any inquiry about this General Release or its underlying facts and circumstances by the Securities and Exchange Commission (SEC), the Financial Industry Regulatory Authority (FINRA), the National Association of Securities Dealers, Inc. (NASD), any other self- regulatory organization or governmental entity.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rPr>
        <w:t>I agree that, as of the date hereof, I have returned to the Company any and all property, tangible or intangible, relating to its business, that I possessed or had control over at any time (including, but not limited to, Company-provided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Notwithstanding anything in this General Release to the contrary, this General Release shall not relinquish, diminish or in any way affect (a) any rights or Claims arising out of any breach by the Company or by any Released Party of the Letter Agreement after the date hereof; (b) any rights or Claims that cannot be waived by law; (c) any Claims I may have to workers’ compensation or unemployment benefits; (d) any vested 401(k) benefits under the Company’s 401(k) benefit plan; or (e) any rights I may have to indemnification pursuant to applicable D&amp;O policies (including those in the Company’s governing documents or under the Indemnification Agreement between you and the Company dated May 17, 2023) in accordance with their terms or as a stockholder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and unenforceability shall not affect any other provision or its validity and enforceability in any other jurisdiction, but this General Release shall be reformed, construed and enforced in such jurisdiction as if such invalid, illegal or unenforceable provision had never been contained herein.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BY SIGNING THIS GENERAL RELEASE, I REPRESENT AND AGREE THAT: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(a)I HAVE READ IT CAREFULLY;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(b)I UNDERSTAND ALL OF ITS TERMS AND KNOW THAT I AM GIVING UP IMPORTANT RIGHTS, INCLUDING, BUT NOT LIMITED TO, RIGHTS UNDER THE ADEA; TITLE VII OF THE CIVIL RIGHTS ACT OF 1964, AS AMENDED; THE EQUAL PAY ACT OF 1963; THE AMERICANS WITH DISABILITIES ACT OF 1990; AND THE EMPLOYEE RETIREMENT INCOME SECURITY ACT OF 1974, AS AMENDED;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(c)I AM ENTERING INTO THIS GENERAL RELEASE KNOWINGLY, VOLUNTARILY AND IN EXCHANGE FOR GOOD AND VALUABLE CONSIDERATION TO WHICH I WOULD NOT HAVE BEEN ENTITLED IN THE ABSENCE OF EXECUTING AND NOT REVOKING THIS GENERAL RELEASE (INCLUDING, WITHOUT LIMITATION, THE TERMINATION BENEFITS);</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(d)I HAVE BEEN ADVISED TO CONSULT WITH AN ATTORNEY BEFORE EXECUTING IT AND I HAVE DONE SO OR, AFTER CAREFUL READING AND CONSIDERATION, I HAVE CHOSEN NOT TO DO SO OF MY OWN VOLITION;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(e)I HAVE HAD AT LEAST TWENTY-ONE (21) DAYS FROM THE DATE OF MY RECEIPT OF THIS GENERAL RELEASE TO CONSIDER IT AND THE CHANGES MADE SINCE MY RECEIPT OF THIS GENERAL RELEASE ARE NOT MATERIAL OR WERE MADE AT MY REQUEST AND WILL NOT RESTART THE REQUIRED TWENTY-ONE (21)-DAY PERIOD;</w:t>
      </w:r>
    </w:p>
    <w:p>
      <w:pPr>
        <w:pStyle w:val="TextBody"/>
        <w:bidi w:val="0"/>
        <w:spacing w:lineRule="auto" w:line="240" w:before="0" w:after="240"/>
        <w:ind w:left="0" w:right="0" w:hanging="720"/>
        <w:jc w:val="both"/>
        <w:rPr/>
      </w:pPr>
      <w:r>
        <w:rPr>
          <w:rFonts w:ascii="Times New Roman;serif" w:hAnsi="Times New Roman;serif"/>
          <w:b w:val="false"/>
          <w:color w:val="000000"/>
          <w:sz w:val="24"/>
        </w:rPr>
        <w:t>(f)I UNDERSTAND THAT I HAVE SEVEN (7) DAYS AFTER THE EXECUTION OF THIS GENERAL RELEASE TO REVOKE IT. SUCH REVOCATION MUST BE IN WRITING AND SENT VIA EMAIL TO ANDREW WRIGHT AT ANDREW.WRIGHT@TALENENERGY.COM. THIS GENERAL RELEASE SHALL BECOME EFFECTIVE AND ENFORCEABLE ON THE EIGHT (8</w:t>
      </w:r>
      <w:r>
        <w:rPr>
          <w:rFonts w:ascii="Times New Roman;serif" w:hAnsi="Times New Roman;serif"/>
          <w:b w:val="false"/>
          <w:color w:val="000000"/>
          <w:sz w:val="16"/>
        </w:rPr>
        <w:t>TH</w:t>
      </w:r>
      <w:r>
        <w:rPr>
          <w:rFonts w:ascii="Times New Roman;serif" w:hAnsi="Times New Roman;serif"/>
          <w:b w:val="false"/>
          <w:color w:val="000000"/>
          <w:sz w:val="24"/>
        </w:rPr>
        <w:t>) CALENDAR DAY AFTER I EXECUTE IT;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(g)I AGREE THAT THE PROVISIONS OF THIS GENERAL RELEASE MAY NOT BE AMENDED, WAIVED, CHANGED OR MODIFIED EXCEPT BY AN INSTRUMENT IN WRITING SIGNED BY AN AUTHORIZED REPRESENTATIVE OF THE COMPANY AND BY ME.</w:t>
      </w:r>
    </w:p>
    <w:p>
      <w:pPr>
        <w:pStyle w:val="TextBody"/>
        <w:bidi w:val="0"/>
        <w:spacing w:lineRule="auto" w:line="292" w:before="0" w:after="960"/>
        <w:jc w:val="center"/>
        <w:rPr>
          <w:rFonts w:ascii="Times New Roman;serif" w:hAnsi="Times New Roman;serif"/>
          <w:b/>
          <w:color w:val="000000"/>
          <w:sz w:val="24"/>
        </w:rPr>
      </w:pPr>
      <w:r>
        <w:rPr>
          <w:rFonts w:ascii="Times New Roman;serif" w:hAnsi="Times New Roman;serif"/>
          <w:b/>
          <w:color w:val="000000"/>
          <w:sz w:val="24"/>
        </w:rPr>
        <w:t>[DO NOT SIGN BEFORE THE SEPARATION DATE.]</w:t>
      </w:r>
    </w:p>
    <w:p>
      <w:pPr>
        <w:pStyle w:val="TextBody"/>
        <w:bidi w:val="0"/>
        <w:spacing w:lineRule="auto" w:line="288" w:before="0" w:after="0"/>
        <w:jc w:val="both"/>
        <w:rPr/>
      </w:pPr>
      <w:r>
        <w:rPr>
          <w:rFonts w:ascii="Times New Roman;serif" w:hAnsi="Times New Roman;serif"/>
          <w:b w:val="false"/>
          <w:color w:val="000000"/>
          <w:sz w:val="24"/>
        </w:rPr>
        <w:t>SIGNED:</w:t>
      </w:r>
      <w:r>
        <w:rPr>
          <w:color w:val="000000"/>
          <w:u w:val="single"/>
        </w:rPr>
        <w:t>                        </w:t>
      </w:r>
      <w:r>
        <w:rPr>
          <w:color w:val="000000"/>
        </w:rPr>
        <w:t>    </w:t>
      </w:r>
      <w:r>
        <w:rPr>
          <w:rFonts w:ascii="Times New Roman;serif" w:hAnsi="Times New Roman;serif"/>
          <w:b w:val="false"/>
          <w:color w:val="000000"/>
          <w:sz w:val="24"/>
        </w:rPr>
        <w:t>DATED:</w:t>
      </w:r>
      <w:r>
        <w:rPr>
          <w:color w:val="000000"/>
          <w:u w:val="single"/>
        </w:rPr>
        <w:t>                </w:t>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Mark McFarland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v:textbox>
                <w10:wrap type="none"/>
              </v:rect>
            </w:pict>
          </mc:Fallback>
        </mc:AlternateContent>
      </w:r>
    </w:p>
    <w:p>
      <w:pPr>
        <w:pStyle w:val="TextBody"/>
        <w:bidi w:val="0"/>
        <w:spacing w:lineRule="auto" w:line="288" w:before="0" w:after="180"/>
        <w:ind w:left="0" w:right="0" w:firstLine="360"/>
        <w:jc w:val="right"/>
        <w:rPr>
          <w:rFonts w:ascii="Arial;sans-serif" w:hAnsi="Arial;sans-serif"/>
          <w:b w:val="false"/>
          <w:color w:val="000000"/>
          <w:sz w:val="18"/>
        </w:rPr>
      </w:pPr>
      <w:r>
        <w:rPr>
          <w:rFonts w:ascii="Arial;sans-serif" w:hAnsi="Arial;sans-serif"/>
          <w:b w:val="false"/>
          <w:color w:val="000000"/>
          <w:sz w:val="18"/>
        </w:rPr>
        <w:t>Exhibit 99.1</w:t>
      </w:r>
    </w:p>
    <w:p>
      <w:pPr>
        <w:pStyle w:val="TextBody"/>
        <w:bidi w:val="0"/>
        <w:spacing w:lineRule="auto" w:line="252" w:before="0" w:after="180"/>
        <w:jc w:val="center"/>
        <w:rPr>
          <w:rFonts w:ascii="Arial;sans-serif" w:hAnsi="Arial;sans-serif"/>
          <w:b/>
          <w:color w:val="000000"/>
          <w:sz w:val="20"/>
        </w:rPr>
      </w:pPr>
      <w:r>
        <w:rPr>
          <w:rFonts w:ascii="Arial;sans-serif" w:hAnsi="Arial;sans-serif"/>
          <w:b/>
          <w:color w:val="000000"/>
          <w:sz w:val="20"/>
        </w:rPr>
        <w:t>Talen Names Terry Nutt Chief Executive Officer and Announces $1.5 Billion Accelerated Share Repurchase</w:t>
      </w:r>
    </w:p>
    <w:p>
      <w:pPr>
        <w:pStyle w:val="TextBody"/>
        <w:bidi w:val="0"/>
        <w:spacing w:lineRule="auto" w:line="252" w:before="0" w:after="60"/>
        <w:jc w:val="center"/>
        <w:rPr>
          <w:rFonts w:ascii="Arial;sans-serif" w:hAnsi="Arial;sans-serif"/>
          <w:b/>
          <w:i/>
          <w:color w:val="000000"/>
          <w:sz w:val="20"/>
        </w:rPr>
      </w:pPr>
      <w:r>
        <w:rPr>
          <w:rFonts w:ascii="Arial;sans-serif" w:hAnsi="Arial;sans-serif"/>
          <w:b/>
          <w:i/>
          <w:color w:val="000000"/>
          <w:sz w:val="20"/>
        </w:rPr>
        <w:t>Mac McFarland to retire as CEO at year-end and serve as senior advisor through March 2027</w:t>
      </w:r>
    </w:p>
    <w:p>
      <w:pPr>
        <w:pStyle w:val="TextBody"/>
        <w:bidi w:val="0"/>
        <w:spacing w:lineRule="auto" w:line="252" w:before="0" w:after="180"/>
        <w:jc w:val="center"/>
        <w:rPr>
          <w:rFonts w:ascii="Arial;sans-serif" w:hAnsi="Arial;sans-serif"/>
          <w:b/>
          <w:i/>
          <w:color w:val="000000"/>
          <w:sz w:val="20"/>
        </w:rPr>
      </w:pPr>
      <w:r>
        <w:rPr>
          <w:rFonts w:ascii="Arial;sans-serif" w:hAnsi="Arial;sans-serif"/>
          <w:b/>
          <w:i/>
          <w:color w:val="000000"/>
          <w:sz w:val="20"/>
        </w:rPr>
        <w:t>Upsizes share repurchase program to a total of $3.0 billion through 2028</w:t>
      </w:r>
    </w:p>
    <w:p>
      <w:pPr>
        <w:pStyle w:val="TextBody"/>
        <w:bidi w:val="0"/>
        <w:spacing w:lineRule="auto" w:line="276" w:before="0" w:after="0"/>
        <w:jc w:val="left"/>
        <w:rPr/>
      </w:pPr>
      <w:r>
        <w:rPr>
          <w:rFonts w:ascii="Arial;sans-serif" w:hAnsi="Arial;sans-serif"/>
          <w:b/>
          <w:color w:val="000000"/>
          <w:sz w:val="18"/>
        </w:rPr>
        <w:t xml:space="preserve">HOUSTON, </w:t>
      </w:r>
      <w:r>
        <w:rPr>
          <w:rFonts w:ascii="Arial;sans-serif" w:hAnsi="Arial;sans-serif"/>
          <w:b/>
          <w:color w:val="000000"/>
          <w:sz w:val="18"/>
          <w:shd w:fill="FFFFFF" w:val="clear"/>
        </w:rPr>
        <w:t>Sept. 29, 2026</w:t>
      </w:r>
      <w:r>
        <w:rPr>
          <w:color w:val="000000"/>
        </w:rPr>
        <w:t xml:space="preserve"> – </w:t>
      </w:r>
      <w:r>
        <w:rPr>
          <w:rFonts w:ascii="Arial;sans-serif" w:hAnsi="Arial;sans-serif"/>
          <w:b w:val="false"/>
          <w:color w:val="000000"/>
          <w:sz w:val="18"/>
          <w:shd w:fill="FFFFFF" w:val="clear"/>
        </w:rPr>
        <w:t>Talen Energy Corporation (“Talen,” the “Company,” “we,” or “our”</w:t>
      </w:r>
      <w:r>
        <w:rPr>
          <w:rFonts w:ascii="Arial;sans-serif" w:hAnsi="Arial;sans-serif"/>
          <w:b w:val="false"/>
          <w:color w:val="000000"/>
          <w:sz w:val="18"/>
        </w:rPr>
        <w:t>) (</w:t>
      </w:r>
      <w:r>
        <w:rPr>
          <w:rFonts w:ascii="Arial;sans-serif" w:hAnsi="Arial;sans-serif"/>
          <w:b w:val="false"/>
          <w:color w:val="0E32E1"/>
          <w:sz w:val="18"/>
          <w:u w:val="single"/>
        </w:rPr>
        <w:t>NASDAQ: TLN</w:t>
      </w:r>
      <w:r>
        <w:rPr>
          <w:rFonts w:ascii="Arial;sans-serif" w:hAnsi="Arial;sans-serif"/>
          <w:b w:val="false"/>
          <w:color w:val="000000"/>
          <w:sz w:val="18"/>
        </w:rPr>
        <w:t>), a leading independent power producer, today announced a planned CEO succession, $1.5 billion accelerated share repurchase transactions (“ASRs”) and an upsized $3.0 billion share repurchase program (“SRP”).</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Board of Directors (the “Board”) has named Terry Nutt as Talen’s next Chief Executive Officer (“CEO”), effective January 1, 2027. Mr. Nutt, currently Talen’s President, will also join the Board upon his appointment as CEO. Mac McFarland will remain CEO and a member of the Board through December 31, 2026, and will then serve as a senior advisor until his retirement in March 2027. The transition period is intended to support an orderly handoff and continuity in the Company’s strategy, operations and capital allocation priorities.</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Terry is the right leader to be Talen’s next CEO,” said Stephen Schaefer, Chairman of the Board. “He combines broad industry experience with deep knowledge of Talen’s assets, people and strategy. As President and previously as Chief Financial Officer, he has helped lead the Company’s operations, commercial activities and capital allocation. The Board has worked closely with Terry over the past three-plus years and has complete confidence in his ability to build on Talen’s strong performance and continue its focus on shareholder value.”</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I am honored to succeed Mac and grateful for his leadership and mentorship,” said Mr. Nutt. “As I prepare to lead Talen, my priorities are clear: maintain safe and reliable operations, execute Talen’s flywheel strategy and allocate capital with discipline. Today’s ASRs reflect that approach by reducing our share count at what we believe is an attractive free cash flow yield, while preserving liquidity and strategic flexibility.”</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It has been a privilege to work alongside Talen’s employees to build a company grounded in operational excellence and a relentless focus on creating value for our shareholders,” said Mr. McFarland. “What we have accomplished has been a true team effort — across our leadership and throughout Talen. Terry knows our company, our people, our markets and our opportunities, and he is the right person to lead this team forward. I look forward to supporting him and the entire team through the transition, and I am confident Talen is well positioned for continued success under his leadership.”</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Mr. Schaefer added, “Mac’s vision, discipline and focus on results have had a lasting impact on Talen. Under his leadership, the Company strengthened its operations, expanded its growth opportunities and delivered substantial value for shareholders. On behalf of the Board, I thank Mac for his leadership and contributions.”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Jonathan Krautmann, Partner at Rubric Capital Management, added, “During Mac’s tenure, Talen built an exceptional record of disciplined execution and value creation, and we thank him for the foundation he has laid. As Talen’s largest actively managed shareholder, we are deeply invested in this management team and Board, and we have seen firsthand how integral Terry has been to that success — across the balance sheet, capital allocation and commercial strategy. We congratulate Terry on his appointment as CEO. We have full confidence in his leadership and strongly support him and the entire Talen team as they build on the Company’s momentum and continue to create value for all shareholders.”</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As a significant shareholder of Talen, Energy Capital Partners is proud of what the Company has accomplished and excited about its future,” said Andrew Gilbert, Partner at Energy Capital Partners. “We thank Mac for his leadership and the significant value he and the Talen team have created. Talen is well positioned, with an exceptional team and meaningful opportunities ahead. We congratulate Terry on his appointment and are confident he is the right leader to build on this foundation and guide Talen through its next phase of growth and value creation.”</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About Terry Nutt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Mr. Nutt has more than 25 years of experience in the deregulated energy industry. He has served as Talen’s President since December 2025, overseeing the Company’s operations, commercial activities, administrative functions and external affairs. He previously served as Talen’s Chief Financial Officer from July 2023 through December 2025.</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Before joining Talen, Mr. Nutt was Chief Financial Officer and Managing Director of EDF Trading North America from 2018 to 2023. Earlier, he held senior finance and risk management roles at Vistra Corporation and its predecessor entities. He earned an M.S. in Accounting and a B.B.A., summa cum laude, from Texas A&amp;M University.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Mr. Nutt has entered into a new employment agreement reflecting his responsibilities as CEO. The agreement has an initial term through February 28, 2028, followed by automatic one-year renewals unless either party provides 90 days’ written notice of nonrenewal.</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22300"/>
                <wp:effectExtent l="0" t="0" r="0" b="0"/>
                <wp:wrapNone/>
                <wp:docPr id="39" name="Frame39"/>
                <a:graphic xmlns:a="http://schemas.openxmlformats.org/drawingml/2006/main">
                  <a:graphicData uri="http://schemas.microsoft.com/office/word/2010/wordprocessingShape">
                    <wps:wsp>
                      <wps:cNvSpPr txBox="1"/>
                      <wps:spPr>
                        <a:xfrm>
                          <a:off x="0" y="0"/>
                          <a:ext cx="6480175" cy="6223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SRP and ASRs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Board also increased the remaining capacity under Talen’s SRP to $3.0 billion through December 31, 2028. The authorization includes the $1.5 billion ASR agreements announced today, leaving $1.5 billion available for further repurchases through 2028, in addition to the ASRs and repurchases completed before today. Talen has repurchased 600,000 shares quarter-to-date in the third quarter of 2026.</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uncollared ASRs are expected to be completed by the end of the first quarter of 2027 and, at the current stock price, would repurchase more than 10% of Talen’s shares outstanding. The final number of shares repurchased pursuant to the ASRs will be based on the arithmetic average of the daily volume-weighted average prices of Talen’s common stock during the ASRs’ terms, less an agreed discount and subject to customary adjustments. The ASRs are expected to be accretive to free cash flow per share.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Talen expects to fund the ASRs principally through the monetization of approximately $1.5 billion of cleared capacity revenues associated with the PJM 2027/2028 and 2028/2029 delivery years. The capacity monetization was executed with Citi at a rate of SOFR + 200 basis points. The transaction brings forward a portion of contracted future cash flows while maintaining Talen’s liquidity position, consistent with its targeted net leverage ratio of 3.5x. Talen expects to meet the targeted net leverage level during the second half of 2027, and that level is expected to decline further as the associated capacity revenues are generated and the remaining obligation is reduced.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forecasts approximately $4 billion of adjusted free cash flow from 2H 2026 through year-end 2028, supported by locked-in and highly visible cash flows. After giving effect to the monetized capacity revenues, the Company expects approximately $2.8 billion of adjusted free cash flow during that period, preserving capacity for additional repurchases, strategic investments and other value-enhancing opportunities.</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Talen’s strong balance sheet, durable cash flow outlook and disciplined capital allocation framework provide us with the flexibility to return substantial capital to shareholders while maintaining our financial strength,” said Cole Muller, Talen’s Chief Financial Officer. “This accelerated repurchase reflects our confidence in Talen and the strength of our future cash flows and allows us to acquire a meaningful number of shares at what we believe are highly attractive free cash flow yields. After executing this transaction, Talen will have bought back approximately one-third of the shares outstanding at emergence three years ago. We continue to have a direct line of sight to achieving our targeted net leverage ratio of 3.5x by the second half of 2027.”</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Under the ASR agreements with Goldman Sachs &amp; Co. LLC and Banco Santander, S.A., Talen will pay an aggregate of $1.5 billion and will initially receive approximately 4.0 million shares, or about 80% of the expected number of shares to be repurchased assuming the share price at market close on September 28, 2026. At final settlement, depending on the average of the daily volume-weighted average price of Talen’s common stock over the terms of the ASRs (less an agreed discount and subject to customary adjustments), Talen may receive additional shares or, in certain circumstances, be required to make a settlement payment in cash or shares at the Company’s election and subject to the terms of the agreements.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timing and amount of any repurchases under the remaining $1.5 billion of SRP capacity will depend on market conditions, the Company’s capital needs and other factors. The Board’s approval of the $3.0 billion SRP capacity does not obligate Talen to repurchase any particular amount of common stock beyond the ASRs, and the SRP may be suspended, modified or discontinued at any time.</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About Talen</w:t>
      </w:r>
    </w:p>
    <w:p>
      <w:pPr>
        <w:pStyle w:val="TextBody"/>
        <w:bidi w:val="0"/>
        <w:spacing w:lineRule="auto" w:line="288" w:before="0" w:after="180"/>
        <w:jc w:val="left"/>
        <w:rPr/>
      </w:pPr>
      <w:r>
        <w:rPr>
          <w:rFonts w:ascii="Arial;sans-serif" w:hAnsi="Arial;sans-serif"/>
          <w:b w:val="false"/>
          <w:color w:val="000000"/>
          <w:sz w:val="18"/>
        </w:rPr>
        <w:t>Talen Energy (</w:t>
      </w:r>
      <w:r>
        <w:rPr>
          <w:rFonts w:ascii="Arial;sans-serif" w:hAnsi="Arial;sans-serif"/>
          <w:b w:val="false"/>
          <w:color w:val="0E32E1"/>
          <w:sz w:val="18"/>
          <w:u w:val="single"/>
        </w:rPr>
        <w:t>NASDAQ: TLN</w:t>
      </w:r>
      <w:r>
        <w:rPr>
          <w:rFonts w:ascii="Arial;sans-serif" w:hAnsi="Arial;sans-serif"/>
          <w:b w:val="false"/>
          <w:color w:val="000000"/>
          <w:sz w:val="18"/>
        </w:rPr>
        <w:t xml:space="preserve">) is a leading independent power producer and energy infrastructure company dedicated to powering the future. We own and operate approximately 15.5 gigawatts of power infrastructure in the United States, including 2.2 gigawatts of nuclear power and a significant dispatchable fossil fleet. We produce and sell electricity, capacity, and ancillary services into wholesale U.S. power markets, with generation in the Mid-Atlantic, Ohio, Indiana, and Montana. Our team is committed to generating power safely and reliably while delivering the most value per megawatt produced. Talen is also powering the digital infrastructure revolution. We are well positioned to serve this growing industry, as artificial intelligence data centers increasingly demand more reliable power. Talen is headquartered in Houston, Texas. For more information, visit </w:t>
      </w:r>
      <w:r>
        <w:rPr>
          <w:rFonts w:ascii="Arial;sans-serif" w:hAnsi="Arial;sans-serif"/>
          <w:b w:val="false"/>
          <w:color w:val="0E32E1"/>
          <w:sz w:val="18"/>
          <w:u w:val="single"/>
        </w:rPr>
        <w:t>https://www.talenenergy.com/</w:t>
      </w:r>
      <w:r>
        <w:rPr>
          <w:rFonts w:ascii="Arial;sans-serif" w:hAnsi="Arial;sans-serif"/>
          <w:b w:val="false"/>
          <w:color w:val="000000"/>
          <w:sz w:val="18"/>
        </w:rPr>
        <w:t>.</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Investor Relations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Bill Appicelli</w:t>
      </w:r>
    </w:p>
    <w:p>
      <w:pPr>
        <w:pStyle w:val="TextBody"/>
        <w:bidi w:val="0"/>
        <w:spacing w:lineRule="auto" w:line="288" w:before="0" w:after="0"/>
        <w:jc w:val="left"/>
        <w:rPr/>
      </w:pPr>
      <w:r>
        <w:rPr>
          <w:rFonts w:ascii="Arial;sans-serif" w:hAnsi="Arial;sans-serif"/>
          <w:b w:val="false"/>
          <w:color w:val="000000"/>
          <w:sz w:val="18"/>
        </w:rPr>
        <w:t>Senior Vice President, Investor Relations</w:t>
        <w:br/>
      </w:r>
      <w:r>
        <w:rPr>
          <w:rFonts w:ascii="Arial;sans-serif" w:hAnsi="Arial;sans-serif"/>
          <w:b w:val="false"/>
          <w:color w:val="0E32E1"/>
          <w:sz w:val="18"/>
          <w:u w:val="single"/>
        </w:rPr>
        <w:t>InvestorRelations@talenenergy.com</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Media</w:t>
      </w:r>
    </w:p>
    <w:p>
      <w:pPr>
        <w:pStyle w:val="TextBody"/>
        <w:bidi w:val="0"/>
        <w:spacing w:lineRule="auto" w:line="288" w:before="0" w:after="180"/>
        <w:jc w:val="left"/>
        <w:rPr/>
      </w:pPr>
      <w:r>
        <w:rPr>
          <w:rFonts w:ascii="Arial;sans-serif" w:hAnsi="Arial;sans-serif"/>
          <w:b w:val="false"/>
          <w:color w:val="000000"/>
          <w:sz w:val="18"/>
        </w:rPr>
        <w:t>Taryne Williams</w:t>
        <w:br/>
        <w:t>Director, Corporate Communications</w:t>
        <w:br/>
      </w:r>
      <w:r>
        <w:rPr>
          <w:rFonts w:ascii="Arial;sans-serif" w:hAnsi="Arial;sans-serif"/>
          <w:b w:val="false"/>
          <w:color w:val="0E32E1"/>
          <w:sz w:val="18"/>
          <w:u w:val="single"/>
        </w:rPr>
        <w:t>Taryne.Williams@talenenergy.com</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2300"/>
                <wp:effectExtent l="0" t="0" r="0" b="0"/>
                <wp:wrapNone/>
                <wp:docPr id="40" name="Frame40"/>
                <a:graphic xmlns:a="http://schemas.openxmlformats.org/drawingml/2006/main">
                  <a:graphicData uri="http://schemas.microsoft.com/office/word/2010/wordprocessingShape">
                    <wps:wsp>
                      <wps:cNvSpPr txBox="1"/>
                      <wps:spPr>
                        <a:xfrm>
                          <a:off x="0" y="0"/>
                          <a:ext cx="6480175" cy="6223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Forward-Looking Statements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This communication contains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communication,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the leadership transition, the timing, size, completion, and impacts of the capacity monetization, ASR, and remaining SRP, capital expenditures, earnings, litigation, regulatory matters, hedging, liquidity and capital resources, accounting matters, expectations, beliefs, plans, objectives, goals, strategies, future events or performance, shareholder returns and underlying assumptions. </w:t>
      </w:r>
    </w:p>
    <w:p>
      <w:pPr>
        <w:pStyle w:val="TextBody"/>
        <w:bidi w:val="0"/>
        <w:spacing w:lineRule="auto" w:line="268" w:before="0" w:after="180"/>
        <w:jc w:val="both"/>
        <w:rPr>
          <w:rFonts w:ascii="Arial;sans-serif" w:hAnsi="Arial;sans-serif"/>
          <w:b w:val="false"/>
          <w:color w:val="000000"/>
          <w:sz w:val="18"/>
        </w:rPr>
      </w:pPr>
      <w:r>
        <w:rPr>
          <w:rFonts w:ascii="Arial;sans-serif" w:hAnsi="Arial;sans-serif"/>
          <w:b w:val="false"/>
          <w:color w:val="000000"/>
          <w:sz w:val="18"/>
        </w:rPr>
        <w:t>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Non-GAAP Financial Measures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This press release refers to adjusted free cash flow, which is not a financial measure prepared under GAAP. Non-GAAP financial measures do not have definitions under GAAP and may be defined and calculated differently by, and not be comparable to, similarly titled measures used by other companies. Non-GAAP measures have limitations as analytical tools and should not be considered in isolation or as a substitute for analyzing our results as reported under GAAP. Please see our August 5, 2026 earnings presentation for a definition of adjusted free cash flow, additional information regarding its uses and limitations, and a reconciliation to the most directly comparable GAAP measure.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22300"/>
                <wp:effectExtent l="0" t="0" r="0" b="0"/>
                <wp:wrapNone/>
                <wp:docPr id="41" name="Frame41"/>
                <a:graphic xmlns:a="http://schemas.openxmlformats.org/drawingml/2006/main">
                  <a:graphicData uri="http://schemas.microsoft.com/office/word/2010/wordprocessingShape">
                    <wps:wsp>
                      <wps:cNvSpPr txBox="1"/>
                      <wps:spPr>
                        <a:xfrm>
                          <a:off x="0" y="0"/>
                          <a:ext cx="6480175" cy="6223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20581</Words>
  <Characters>111246</Characters>
  <CharactersWithSpaces>131588</CharactersWithSpaces>
  <Paragraphs>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