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9"/>
          <w:szCs w:val="29"/>
          <w:b w:val="1"/>
          <w:bCs w:val="1"/>
          <w:color w:val="auto"/>
        </w:rPr>
        <w:t>UNITED STATES</w:t>
      </w:r>
    </w:p>
    <w:p>
      <w:pPr>
        <w:spacing w:after="0" w:line="166"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SECURITIES AND EXCHANGE COMMISSION</w:t>
      </w:r>
    </w:p>
    <w:p>
      <w:pPr>
        <w:spacing w:after="0" w:line="51"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2196465</wp:posOffset>
            </wp:positionH>
            <wp:positionV relativeFrom="paragraph">
              <wp:posOffset>263525</wp:posOffset>
            </wp:positionV>
            <wp:extent cx="25285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8-K/A</w:t>
      </w:r>
    </w:p>
    <w:p>
      <w:pPr>
        <w:spacing w:after="0" w:line="186"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2188210</wp:posOffset>
            </wp:positionH>
            <wp:positionV relativeFrom="paragraph">
              <wp:posOffset>200660</wp:posOffset>
            </wp:positionV>
            <wp:extent cx="25374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CURRENT REPORT</w:t>
      </w:r>
    </w:p>
    <w:p>
      <w:pPr>
        <w:spacing w:after="0" w:line="181"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67"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June 18, 2026 (November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2188210</wp:posOffset>
            </wp:positionH>
            <wp:positionV relativeFrom="paragraph">
              <wp:posOffset>303530</wp:posOffset>
            </wp:positionV>
            <wp:extent cx="2537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Talen Energy Corporation</w:t>
      </w:r>
    </w:p>
    <w:p>
      <w:pPr>
        <w:spacing w:after="0" w:line="54"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2188210</wp:posOffset>
            </wp:positionH>
            <wp:positionV relativeFrom="paragraph">
              <wp:posOffset>224790</wp:posOffset>
            </wp:positionV>
            <wp:extent cx="2537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223"/>
        </w:trPr>
        <w:tc>
          <w:tcPr>
            <w:tcW w:w="3280" w:type="dxa"/>
            <w:vAlign w:val="bottom"/>
          </w:tcPr>
          <w:p>
            <w:pPr>
              <w:jc w:val="center"/>
              <w:ind w:left="799"/>
              <w:spacing w:after="0"/>
              <w:rPr>
                <w:sz w:val="20"/>
                <w:szCs w:val="20"/>
                <w:color w:val="auto"/>
              </w:rPr>
            </w:pPr>
            <w:r>
              <w:rPr>
                <w:rFonts w:ascii="Arial" w:cs="Arial" w:eastAsia="Arial" w:hAnsi="Arial"/>
                <w:sz w:val="16"/>
                <w:szCs w:val="16"/>
                <w:b w:val="1"/>
                <w:bCs w:val="1"/>
                <w:color w:val="auto"/>
              </w:rPr>
              <w:t>Delaware</w:t>
            </w:r>
          </w:p>
        </w:tc>
        <w:tc>
          <w:tcPr>
            <w:tcW w:w="3140" w:type="dxa"/>
            <w:vAlign w:val="bottom"/>
            <w:gridSpan w:val="3"/>
          </w:tcPr>
          <w:p>
            <w:pPr>
              <w:jc w:val="center"/>
              <w:ind w:left="919"/>
              <w:spacing w:after="0"/>
              <w:rPr>
                <w:sz w:val="20"/>
                <w:szCs w:val="20"/>
                <w:color w:val="auto"/>
              </w:rPr>
            </w:pPr>
            <w:r>
              <w:rPr>
                <w:rFonts w:ascii="Arial" w:cs="Arial" w:eastAsia="Arial" w:hAnsi="Arial"/>
                <w:sz w:val="16"/>
                <w:szCs w:val="16"/>
                <w:b w:val="1"/>
                <w:bCs w:val="1"/>
                <w:color w:val="auto"/>
              </w:rPr>
              <w:t>001-37388</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80" w:type="dxa"/>
            <w:vAlign w:val="bottom"/>
          </w:tcPr>
          <w:p>
            <w:pPr>
              <w:jc w:val="center"/>
              <w:ind w:right="1019"/>
              <w:spacing w:after="0"/>
              <w:rPr>
                <w:sz w:val="20"/>
                <w:szCs w:val="20"/>
                <w:color w:val="auto"/>
              </w:rPr>
            </w:pPr>
            <w:r>
              <w:rPr>
                <w:rFonts w:ascii="Arial" w:cs="Arial" w:eastAsia="Arial" w:hAnsi="Arial"/>
                <w:sz w:val="16"/>
                <w:szCs w:val="16"/>
                <w:b w:val="1"/>
                <w:bCs w:val="1"/>
                <w:color w:val="auto"/>
              </w:rPr>
              <w:t>47-1197305</w:t>
            </w:r>
          </w:p>
        </w:tc>
      </w:tr>
      <w:tr>
        <w:trPr>
          <w:trHeight w:val="170"/>
        </w:trPr>
        <w:tc>
          <w:tcPr>
            <w:tcW w:w="3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r>
      <w:tr>
        <w:trPr>
          <w:trHeight w:val="195"/>
        </w:trPr>
        <w:tc>
          <w:tcPr>
            <w:tcW w:w="3280" w:type="dxa"/>
            <w:vAlign w:val="bottom"/>
          </w:tcPr>
          <w:p>
            <w:pPr>
              <w:jc w:val="center"/>
              <w:ind w:left="779"/>
              <w:spacing w:after="0"/>
              <w:rPr>
                <w:sz w:val="20"/>
                <w:szCs w:val="20"/>
                <w:color w:val="auto"/>
              </w:rPr>
            </w:pPr>
            <w:r>
              <w:rPr>
                <w:rFonts w:ascii="Arial" w:cs="Arial" w:eastAsia="Arial" w:hAnsi="Arial"/>
                <w:sz w:val="16"/>
                <w:szCs w:val="16"/>
                <w:color w:val="auto"/>
              </w:rPr>
              <w:t>(State or other jurisdiction of</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60" w:type="dxa"/>
            <w:vAlign w:val="bottom"/>
            <w:gridSpan w:val="3"/>
          </w:tcPr>
          <w:p>
            <w:pPr>
              <w:jc w:val="center"/>
              <w:ind w:right="1220"/>
              <w:spacing w:after="0"/>
              <w:rPr>
                <w:sz w:val="20"/>
                <w:szCs w:val="20"/>
                <w:color w:val="auto"/>
              </w:rPr>
            </w:pPr>
            <w:r>
              <w:rPr>
                <w:rFonts w:ascii="Arial" w:cs="Arial" w:eastAsia="Arial" w:hAnsi="Arial"/>
                <w:sz w:val="16"/>
                <w:szCs w:val="16"/>
                <w:color w:val="auto"/>
              </w:rPr>
              <w:t>(Commission File Number)</w:t>
            </w:r>
          </w:p>
        </w:tc>
        <w:tc>
          <w:tcPr>
            <w:tcW w:w="3080" w:type="dxa"/>
            <w:vAlign w:val="bottom"/>
          </w:tcPr>
          <w:p>
            <w:pPr>
              <w:jc w:val="center"/>
              <w:ind w:right="999"/>
              <w:spacing w:after="0"/>
              <w:rPr>
                <w:sz w:val="20"/>
                <w:szCs w:val="20"/>
                <w:color w:val="auto"/>
              </w:rPr>
            </w:pPr>
            <w:r>
              <w:rPr>
                <w:rFonts w:ascii="Arial" w:cs="Arial" w:eastAsia="Arial" w:hAnsi="Arial"/>
                <w:sz w:val="16"/>
                <w:szCs w:val="16"/>
                <w:color w:val="auto"/>
                <w:w w:val="99"/>
              </w:rPr>
              <w:t>(IRS Employer</w:t>
            </w:r>
          </w:p>
        </w:tc>
      </w:tr>
      <w:tr>
        <w:trPr>
          <w:trHeight w:val="215"/>
        </w:trPr>
        <w:tc>
          <w:tcPr>
            <w:tcW w:w="3280" w:type="dxa"/>
            <w:vAlign w:val="bottom"/>
          </w:tcPr>
          <w:p>
            <w:pPr>
              <w:jc w:val="center"/>
              <w:ind w:left="799"/>
              <w:spacing w:after="0"/>
              <w:rPr>
                <w:sz w:val="20"/>
                <w:szCs w:val="20"/>
                <w:color w:val="auto"/>
              </w:rPr>
            </w:pPr>
            <w:r>
              <w:rPr>
                <w:rFonts w:ascii="Arial" w:cs="Arial" w:eastAsia="Arial" w:hAnsi="Arial"/>
                <w:sz w:val="16"/>
                <w:szCs w:val="16"/>
                <w:color w:val="auto"/>
              </w:rPr>
              <w:t>incorporation)</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80" w:type="dxa"/>
            <w:vAlign w:val="bottom"/>
          </w:tcPr>
          <w:p>
            <w:pPr>
              <w:jc w:val="center"/>
              <w:ind w:right="1019"/>
              <w:spacing w:after="0"/>
              <w:rPr>
                <w:sz w:val="20"/>
                <w:szCs w:val="20"/>
                <w:color w:val="auto"/>
              </w:rPr>
            </w:pPr>
            <w:r>
              <w:rPr>
                <w:rFonts w:ascii="Arial" w:cs="Arial" w:eastAsia="Arial" w:hAnsi="Arial"/>
                <w:sz w:val="16"/>
                <w:szCs w:val="16"/>
                <w:color w:val="auto"/>
              </w:rPr>
              <w:t>Identification No.)</w:t>
            </w:r>
          </w:p>
        </w:tc>
      </w:tr>
      <w:tr>
        <w:trPr>
          <w:trHeight w:val="622"/>
        </w:trPr>
        <w:tc>
          <w:tcPr>
            <w:tcW w:w="3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gridSpan w:val="3"/>
          </w:tcPr>
          <w:p>
            <w:pPr>
              <w:jc w:val="center"/>
              <w:ind w:right="1180"/>
              <w:spacing w:after="0"/>
              <w:rPr>
                <w:sz w:val="20"/>
                <w:szCs w:val="20"/>
                <w:color w:val="auto"/>
              </w:rPr>
            </w:pPr>
            <w:r>
              <w:rPr>
                <w:rFonts w:ascii="Arial" w:cs="Arial" w:eastAsia="Arial" w:hAnsi="Arial"/>
                <w:sz w:val="16"/>
                <w:szCs w:val="16"/>
                <w:b w:val="1"/>
                <w:bCs w:val="1"/>
                <w:color w:val="auto"/>
              </w:rPr>
              <w:t>2929 Allen Pkwy, Suite 2200</w:t>
            </w:r>
          </w:p>
        </w:tc>
        <w:tc>
          <w:tcPr>
            <w:tcW w:w="3080" w:type="dxa"/>
            <w:vAlign w:val="bottom"/>
          </w:tcPr>
          <w:p>
            <w:pPr>
              <w:spacing w:after="0"/>
              <w:rPr>
                <w:sz w:val="24"/>
                <w:szCs w:val="24"/>
                <w:color w:val="auto"/>
              </w:rPr>
            </w:pPr>
          </w:p>
        </w:tc>
      </w:tr>
      <w:tr>
        <w:trPr>
          <w:trHeight w:val="189"/>
        </w:trPr>
        <w:tc>
          <w:tcPr>
            <w:tcW w:w="3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60" w:type="dxa"/>
            <w:vAlign w:val="bottom"/>
            <w:gridSpan w:val="3"/>
          </w:tcPr>
          <w:p>
            <w:pPr>
              <w:jc w:val="center"/>
              <w:ind w:right="1200"/>
              <w:spacing w:after="0"/>
              <w:rPr>
                <w:sz w:val="20"/>
                <w:szCs w:val="20"/>
                <w:color w:val="auto"/>
              </w:rPr>
            </w:pPr>
            <w:r>
              <w:rPr>
                <w:rFonts w:ascii="Arial" w:cs="Arial" w:eastAsia="Arial" w:hAnsi="Arial"/>
                <w:sz w:val="16"/>
                <w:szCs w:val="16"/>
                <w:b w:val="1"/>
                <w:bCs w:val="1"/>
                <w:color w:val="auto"/>
              </w:rPr>
              <w:t>Houston, TX 77019</w:t>
            </w:r>
          </w:p>
        </w:tc>
        <w:tc>
          <w:tcPr>
            <w:tcW w:w="3080" w:type="dxa"/>
            <w:vAlign w:val="bottom"/>
          </w:tcPr>
          <w:p>
            <w:pPr>
              <w:spacing w:after="0"/>
              <w:rPr>
                <w:sz w:val="16"/>
                <w:szCs w:val="16"/>
                <w:color w:val="auto"/>
              </w:rPr>
            </w:pPr>
          </w:p>
        </w:tc>
      </w:tr>
      <w:tr>
        <w:trPr>
          <w:trHeight w:val="215"/>
        </w:trPr>
        <w:tc>
          <w:tcPr>
            <w:tcW w:w="3280" w:type="dxa"/>
            <w:vAlign w:val="bottom"/>
          </w:tcPr>
          <w:p>
            <w:pPr>
              <w:spacing w:after="0"/>
              <w:rPr>
                <w:sz w:val="18"/>
                <w:szCs w:val="18"/>
                <w:color w:val="auto"/>
              </w:rPr>
            </w:pPr>
          </w:p>
        </w:tc>
        <w:tc>
          <w:tcPr>
            <w:tcW w:w="4360" w:type="dxa"/>
            <w:vAlign w:val="bottom"/>
            <w:gridSpan w:val="5"/>
          </w:tcPr>
          <w:p>
            <w:pPr>
              <w:jc w:val="center"/>
              <w:ind w:right="180"/>
              <w:spacing w:after="0"/>
              <w:rPr>
                <w:sz w:val="20"/>
                <w:szCs w:val="20"/>
                <w:color w:val="auto"/>
              </w:rPr>
            </w:pPr>
            <w:r>
              <w:rPr>
                <w:rFonts w:ascii="Arial" w:cs="Arial" w:eastAsia="Arial" w:hAnsi="Arial"/>
                <w:sz w:val="16"/>
                <w:szCs w:val="16"/>
                <w:color w:val="auto"/>
              </w:rPr>
              <w:t>(Address of principal executive offices) (Zip Code)</w:t>
            </w:r>
          </w:p>
        </w:tc>
        <w:tc>
          <w:tcPr>
            <w:tcW w:w="3080" w:type="dxa"/>
            <w:vAlign w:val="bottom"/>
          </w:tcPr>
          <w:p>
            <w:pPr>
              <w:spacing w:after="0"/>
              <w:rPr>
                <w:sz w:val="18"/>
                <w:szCs w:val="18"/>
                <w:color w:val="auto"/>
              </w:rPr>
            </w:pPr>
          </w:p>
        </w:tc>
      </w:tr>
      <w:tr>
        <w:trPr>
          <w:trHeight w:val="339"/>
        </w:trPr>
        <w:tc>
          <w:tcPr>
            <w:tcW w:w="3280" w:type="dxa"/>
            <w:vAlign w:val="bottom"/>
          </w:tcPr>
          <w:p>
            <w:pPr>
              <w:spacing w:after="0"/>
              <w:rPr>
                <w:sz w:val="24"/>
                <w:szCs w:val="24"/>
                <w:color w:val="auto"/>
              </w:rPr>
            </w:pPr>
          </w:p>
        </w:tc>
        <w:tc>
          <w:tcPr>
            <w:tcW w:w="3140" w:type="dxa"/>
            <w:vAlign w:val="bottom"/>
            <w:gridSpan w:val="3"/>
          </w:tcPr>
          <w:p>
            <w:pPr>
              <w:jc w:val="center"/>
              <w:ind w:left="939"/>
              <w:spacing w:after="0"/>
              <w:rPr>
                <w:sz w:val="20"/>
                <w:szCs w:val="20"/>
                <w:color w:val="auto"/>
              </w:rPr>
            </w:pPr>
            <w:r>
              <w:rPr>
                <w:rFonts w:ascii="Arial" w:cs="Arial" w:eastAsia="Arial" w:hAnsi="Arial"/>
                <w:sz w:val="16"/>
                <w:szCs w:val="16"/>
                <w:b w:val="1"/>
                <w:bCs w:val="1"/>
                <w:color w:val="auto"/>
                <w:w w:val="98"/>
              </w:rPr>
              <w:t>(888) 211-6011</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15"/>
        </w:trPr>
        <w:tc>
          <w:tcPr>
            <w:tcW w:w="3280" w:type="dxa"/>
            <w:vAlign w:val="bottom"/>
          </w:tcPr>
          <w:p>
            <w:pPr>
              <w:spacing w:after="0"/>
              <w:rPr>
                <w:sz w:val="18"/>
                <w:szCs w:val="18"/>
                <w:color w:val="auto"/>
              </w:rPr>
            </w:pPr>
          </w:p>
        </w:tc>
        <w:tc>
          <w:tcPr>
            <w:tcW w:w="4360" w:type="dxa"/>
            <w:vAlign w:val="bottom"/>
            <w:gridSpan w:val="5"/>
          </w:tcPr>
          <w:p>
            <w:pPr>
              <w:jc w:val="center"/>
              <w:ind w:right="200"/>
              <w:spacing w:after="0"/>
              <w:rPr>
                <w:sz w:val="20"/>
                <w:szCs w:val="20"/>
                <w:color w:val="auto"/>
              </w:rPr>
            </w:pPr>
            <w:r>
              <w:rPr>
                <w:rFonts w:ascii="Arial" w:cs="Arial" w:eastAsia="Arial" w:hAnsi="Arial"/>
                <w:sz w:val="16"/>
                <w:szCs w:val="16"/>
                <w:color w:val="auto"/>
              </w:rPr>
              <w:t>(Registrant’s telephone number, including area code)</w:t>
            </w:r>
          </w:p>
        </w:tc>
        <w:tc>
          <w:tcPr>
            <w:tcW w:w="3080" w:type="dxa"/>
            <w:vAlign w:val="bottom"/>
          </w:tcPr>
          <w:p>
            <w:pPr>
              <w:spacing w:after="0"/>
              <w:rPr>
                <w:sz w:val="18"/>
                <w:szCs w:val="18"/>
                <w:color w:val="auto"/>
              </w:rPr>
            </w:pPr>
          </w:p>
        </w:tc>
      </w:tr>
    </w:tbl>
    <w:p>
      <w:pPr>
        <w:spacing w:after="0" w:line="136"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Not applicable</w:t>
      </w:r>
    </w:p>
    <w:p>
      <w:pPr>
        <w:spacing w:after="0" w:line="35"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2188210</wp:posOffset>
            </wp:positionH>
            <wp:positionV relativeFrom="paragraph">
              <wp:posOffset>259080</wp:posOffset>
            </wp:positionV>
            <wp:extent cx="2537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spacing w:after="0" w:line="26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60" w:hanging="343"/>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8" w:lineRule="exact"/>
        <w:rPr>
          <w:rFonts w:ascii="MS PGothic" w:cs="MS PGothic" w:eastAsia="MS PGothic" w:hAnsi="MS PGothic"/>
          <w:sz w:val="16"/>
          <w:szCs w:val="16"/>
          <w:color w:val="auto"/>
        </w:rPr>
      </w:pPr>
    </w:p>
    <w:p>
      <w:pPr>
        <w:ind w:left="360" w:hanging="343"/>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360" w:hanging="343"/>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360" w:hanging="343"/>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46"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73" w:lineRule="exact"/>
        <w:rPr>
          <w:sz w:val="24"/>
          <w:szCs w:val="24"/>
          <w:color w:val="auto"/>
        </w:rPr>
      </w:pPr>
    </w:p>
    <w:tbl>
      <w:tblPr>
        <w:tblLayout w:type="fixed"/>
        <w:tblInd w:w="80" w:type="dxa"/>
        <w:tblCellMar>
          <w:top w:w="0" w:type="dxa"/>
          <w:left w:w="0" w:type="dxa"/>
          <w:bottom w:w="0" w:type="dxa"/>
          <w:right w:w="0" w:type="dxa"/>
        </w:tblCellMar>
      </w:tblPr>
      <w:tr>
        <w:trPr>
          <w:trHeight w:val="223"/>
        </w:trPr>
        <w:tc>
          <w:tcPr>
            <w:tcW w:w="4280" w:type="dxa"/>
            <w:vAlign w:val="bottom"/>
            <w:gridSpan w:val="2"/>
          </w:tcPr>
          <w:p>
            <w:pPr>
              <w:ind w:left="1440"/>
              <w:spacing w:after="0"/>
              <w:rPr>
                <w:sz w:val="20"/>
                <w:szCs w:val="20"/>
                <w:color w:val="auto"/>
              </w:rPr>
            </w:pPr>
            <w:r>
              <w:rPr>
                <w:rFonts w:ascii="Arial" w:cs="Arial" w:eastAsia="Arial" w:hAnsi="Arial"/>
                <w:sz w:val="16"/>
                <w:szCs w:val="16"/>
                <w:b w:val="1"/>
                <w:bCs w:val="1"/>
                <w:color w:val="auto"/>
              </w:rPr>
              <w:t>Title of each class</w:t>
            </w:r>
          </w:p>
        </w:tc>
        <w:tc>
          <w:tcPr>
            <w:tcW w:w="2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Trading Symbol(s)</w:t>
            </w:r>
          </w:p>
        </w:tc>
        <w:tc>
          <w:tcPr>
            <w:tcW w:w="41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69"/>
        </w:trPr>
        <w:tc>
          <w:tcPr>
            <w:tcW w:w="41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180" w:type="dxa"/>
            <w:vAlign w:val="bottom"/>
            <w:tcBorders>
              <w:bottom w:val="single" w:sz="8" w:color="auto"/>
            </w:tcBorders>
          </w:tcPr>
          <w:p>
            <w:pPr>
              <w:spacing w:after="0"/>
              <w:rPr>
                <w:sz w:val="14"/>
                <w:szCs w:val="14"/>
                <w:color w:val="auto"/>
              </w:rPr>
            </w:pPr>
          </w:p>
        </w:tc>
      </w:tr>
      <w:tr>
        <w:trPr>
          <w:trHeight w:val="221"/>
        </w:trPr>
        <w:tc>
          <w:tcPr>
            <w:tcW w:w="4280" w:type="dxa"/>
            <w:vAlign w:val="bottom"/>
            <w:gridSpan w:val="2"/>
          </w:tcPr>
          <w:p>
            <w:pPr>
              <w:ind w:left="560"/>
              <w:spacing w:after="0"/>
              <w:rPr>
                <w:sz w:val="20"/>
                <w:szCs w:val="20"/>
                <w:color w:val="auto"/>
              </w:rPr>
            </w:pPr>
            <w:r>
              <w:rPr>
                <w:rFonts w:ascii="Arial" w:cs="Arial" w:eastAsia="Arial" w:hAnsi="Arial"/>
                <w:sz w:val="16"/>
                <w:szCs w:val="16"/>
                <w:color w:val="auto"/>
              </w:rPr>
              <w:t>Common stock, par value $0.001 per share</w:t>
            </w:r>
          </w:p>
        </w:tc>
        <w:tc>
          <w:tcPr>
            <w:tcW w:w="228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TLN</w:t>
            </w:r>
          </w:p>
        </w:tc>
        <w:tc>
          <w:tcPr>
            <w:tcW w:w="418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r>
    </w:tbl>
    <w:p>
      <w:pPr>
        <w:spacing w:after="0" w:line="200" w:lineRule="exact"/>
        <w:rPr>
          <w:sz w:val="24"/>
          <w:szCs w:val="24"/>
          <w:color w:val="auto"/>
        </w:rPr>
      </w:pPr>
    </w:p>
    <w:p>
      <w:pPr>
        <w:spacing w:after="0" w:line="206" w:lineRule="exact"/>
        <w:rPr>
          <w:sz w:val="24"/>
          <w:szCs w:val="24"/>
          <w:color w:val="auto"/>
        </w:rPr>
      </w:pPr>
    </w:p>
    <w:p>
      <w:pPr>
        <w:ind w:right="360"/>
        <w:spacing w:after="0" w:line="30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3" w:lineRule="exact"/>
        <w:rPr>
          <w:sz w:val="24"/>
          <w:szCs w:val="24"/>
          <w:color w:val="auto"/>
        </w:rPr>
      </w:pPr>
    </w:p>
    <w:p>
      <w:pPr>
        <w:ind w:right="40"/>
        <w:spacing w:after="0" w:line="22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-121285</wp:posOffset>
            </wp:positionH>
            <wp:positionV relativeFrom="paragraph">
              <wp:posOffset>608965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361" w:right="459" w:bottom="1440" w:gutter="0" w:footer="0" w:header="0"/>
        </w:sectPr>
      </w:pPr>
    </w:p>
    <w:bookmarkStart w:id="1" w:name="page2"/>
    <w:bookmarkEnd w:id="1"/>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Introductory Note</w:t>
      </w:r>
    </w:p>
    <w:p>
      <w:pPr>
        <w:spacing w:after="0" w:line="16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This Amendment No. 2 on Form 8-K/A (this “Amendment No. 2”) amends the Current Report on Form 8-K filed by Talen Energy Corporation (the “Company”) with the U.S. Securities and Exchange Commission (the “SEC”) on November 25, 2025 that reported, among other things, the consummation of the acquisitions of Freedom and Guernsey (the “Acquisitions”) on November 25, 2025, as further amended by Amendment No. 1 on Form 8-K/A which was filed by the Company with the SEC on February 9, 2026 to include the financial statements required by Item 9.01(a) of Form 8-K and the pro forma financial information required by Item 9.01(b) of Form 8-K (the “Original Report”).</w:t>
      </w:r>
    </w:p>
    <w:p>
      <w:pPr>
        <w:spacing w:after="0" w:line="118"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This Amendment No. 2 to the Original Report is being filed solely to amend Item 9.01 of the Original Report to include such pro forma financial information for the year ended December 31, 2025 in connection with the filing of a registration statement on Form S-3 by the Company. Except as provided herein, the disclosures made in the Original Report remain unchanged.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6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Pro Forma Financial Information.</w:t>
      </w:r>
    </w:p>
    <w:p>
      <w:pPr>
        <w:spacing w:after="0" w:line="165"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Company is providing the unaudited pro forma condensed combined financial information of the Company, after giving effect to the Acquisitions, which is comprised of the unaudited pro forma condensed combined statement of operations for the year ended December 31, 2025. Such unaudited pro forma condensed combined financial information and the related notes thereto is set forth in Exhibit 99.1 hereto and incorporated herein by reference.</w:t>
      </w:r>
    </w:p>
    <w:p>
      <w:pPr>
        <w:spacing w:after="0" w:line="112"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Exhibits.</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8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ind w:left="900" w:right="380" w:hanging="863"/>
        <w:spacing w:after="0" w:line="246" w:lineRule="auto"/>
        <w:tabs>
          <w:tab w:leader="none" w:pos="88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u w:val="single" w:color="auto"/>
          <w:color w:val="0000FF"/>
        </w:rPr>
        <w:t>Unaudited pro forma condensed combined financial information of Talen Energy Corporation, giving effect to the Acquisitions, comprised of unaudited pro forma condensed combined statement of operations for the year ended December 31, 2025 and the related notes thereto.</w:t>
      </w:r>
    </w:p>
    <w:p>
      <w:pPr>
        <w:spacing w:after="0" w:line="1" w:lineRule="exact"/>
        <w:rPr>
          <w:sz w:val="20"/>
          <w:szCs w:val="20"/>
          <w:color w:val="auto"/>
        </w:rPr>
      </w:pPr>
    </w:p>
    <w:p>
      <w:pPr>
        <w:ind w:left="900" w:hanging="874"/>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Cover Page Interactive Data File (cover page XBRL tags embedded within the Inline XBRL document).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0"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67" w:lineRule="exact"/>
        <w:rPr>
          <w:sz w:val="20"/>
          <w:szCs w:val="20"/>
          <w:color w:val="auto"/>
        </w:rPr>
      </w:pPr>
    </w:p>
    <w:p>
      <w:pPr>
        <w:ind w:right="640" w:firstLine="324"/>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420" w:type="dxa"/>
            <w:vAlign w:val="bottom"/>
          </w:tcPr>
          <w:p>
            <w:pPr>
              <w:ind w:left="20"/>
              <w:spacing w:after="0"/>
              <w:rPr>
                <w:sz w:val="20"/>
                <w:szCs w:val="20"/>
                <w:color w:val="auto"/>
              </w:rPr>
            </w:pPr>
            <w:r>
              <w:rPr>
                <w:rFonts w:ascii="Arial" w:cs="Arial" w:eastAsia="Arial" w:hAnsi="Arial"/>
                <w:sz w:val="16"/>
                <w:szCs w:val="16"/>
                <w:color w:val="auto"/>
              </w:rPr>
              <w:t>TALEN ENERGY CORPORATION</w:t>
            </w: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3340" w:type="dxa"/>
            <w:vAlign w:val="bottom"/>
            <w:vMerge w:val="restart"/>
          </w:tcPr>
          <w:p>
            <w:pPr>
              <w:ind w:left="160"/>
              <w:spacing w:after="0"/>
              <w:rPr>
                <w:sz w:val="20"/>
                <w:szCs w:val="20"/>
                <w:color w:val="auto"/>
              </w:rPr>
            </w:pPr>
            <w:r>
              <w:rPr>
                <w:rFonts w:ascii="Arial" w:cs="Arial" w:eastAsia="Arial" w:hAnsi="Arial"/>
                <w:sz w:val="16"/>
                <w:szCs w:val="16"/>
                <w:color w:val="auto"/>
              </w:rPr>
              <w:t>June 18, 2026</w:t>
            </w:r>
          </w:p>
        </w:tc>
        <w:tc>
          <w:tcPr>
            <w:tcW w:w="2920" w:type="dxa"/>
            <w:vAlign w:val="bottom"/>
          </w:tcPr>
          <w:p>
            <w:pPr>
              <w:ind w:left="2160"/>
              <w:spacing w:after="0"/>
              <w:rPr>
                <w:sz w:val="20"/>
                <w:szCs w:val="20"/>
                <w:color w:val="auto"/>
              </w:rPr>
            </w:pPr>
            <w:r>
              <w:rPr>
                <w:rFonts w:ascii="Arial" w:cs="Arial" w:eastAsia="Arial" w:hAnsi="Arial"/>
                <w:sz w:val="16"/>
                <w:szCs w:val="16"/>
                <w:color w:val="auto"/>
              </w:rPr>
              <w:t>By:</w:t>
            </w:r>
          </w:p>
        </w:tc>
        <w:tc>
          <w:tcPr>
            <w:tcW w:w="4420" w:type="dxa"/>
            <w:vAlign w:val="bottom"/>
          </w:tcPr>
          <w:p>
            <w:pPr>
              <w:ind w:left="20"/>
              <w:spacing w:after="0"/>
              <w:rPr>
                <w:sz w:val="20"/>
                <w:szCs w:val="20"/>
                <w:color w:val="auto"/>
              </w:rPr>
            </w:pPr>
            <w:r>
              <w:rPr>
                <w:rFonts w:ascii="Arial" w:cs="Arial" w:eastAsia="Arial" w:hAnsi="Arial"/>
                <w:sz w:val="16"/>
                <w:szCs w:val="16"/>
                <w:i w:val="1"/>
                <w:iCs w:val="1"/>
                <w:color w:val="auto"/>
              </w:rPr>
              <w:t>/s/ Cole Muller</w:t>
            </w:r>
          </w:p>
        </w:tc>
        <w:tc>
          <w:tcPr>
            <w:tcW w:w="0" w:type="dxa"/>
            <w:vAlign w:val="bottom"/>
          </w:tcPr>
          <w:p>
            <w:pPr>
              <w:spacing w:after="0"/>
              <w:rPr>
                <w:sz w:val="1"/>
                <w:szCs w:val="1"/>
                <w:color w:val="auto"/>
              </w:rPr>
            </w:pPr>
          </w:p>
        </w:tc>
      </w:tr>
      <w:tr>
        <w:trPr>
          <w:trHeight w:val="81"/>
        </w:trPr>
        <w:tc>
          <w:tcPr>
            <w:tcW w:w="540" w:type="dxa"/>
            <w:vAlign w:val="bottom"/>
          </w:tcPr>
          <w:p>
            <w:pPr>
              <w:spacing w:after="0"/>
              <w:rPr>
                <w:sz w:val="7"/>
                <w:szCs w:val="7"/>
                <w:color w:val="auto"/>
              </w:rPr>
            </w:pPr>
          </w:p>
        </w:tc>
        <w:tc>
          <w:tcPr>
            <w:tcW w:w="3340" w:type="dxa"/>
            <w:vAlign w:val="bottom"/>
            <w:vMerge w:val="continue"/>
          </w:tcPr>
          <w:p>
            <w:pPr>
              <w:spacing w:after="0"/>
              <w:rPr>
                <w:sz w:val="7"/>
                <w:szCs w:val="7"/>
                <w:color w:val="auto"/>
              </w:rPr>
            </w:pPr>
          </w:p>
        </w:tc>
        <w:tc>
          <w:tcPr>
            <w:tcW w:w="2920" w:type="dxa"/>
            <w:vAlign w:val="bottom"/>
          </w:tcPr>
          <w:p>
            <w:pPr>
              <w:spacing w:after="0"/>
              <w:rPr>
                <w:sz w:val="7"/>
                <w:szCs w:val="7"/>
                <w:color w:val="auto"/>
              </w:rPr>
            </w:pPr>
          </w:p>
        </w:tc>
        <w:tc>
          <w:tcPr>
            <w:tcW w:w="4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5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920" w:type="dxa"/>
            <w:vAlign w:val="bottom"/>
            <w:vMerge w:val="restart"/>
          </w:tcPr>
          <w:p>
            <w:pPr>
              <w:ind w:left="2160"/>
              <w:spacing w:after="0"/>
              <w:rPr>
                <w:sz w:val="20"/>
                <w:szCs w:val="20"/>
                <w:color w:val="auto"/>
              </w:rPr>
            </w:pPr>
            <w:r>
              <w:rPr>
                <w:rFonts w:ascii="Arial" w:cs="Arial" w:eastAsia="Arial" w:hAnsi="Arial"/>
                <w:sz w:val="16"/>
                <w:szCs w:val="16"/>
                <w:color w:val="auto"/>
              </w:rPr>
              <w:t>Name:</w:t>
            </w:r>
          </w:p>
        </w:tc>
        <w:tc>
          <w:tcPr>
            <w:tcW w:w="4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5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920" w:type="dxa"/>
            <w:vAlign w:val="bottom"/>
            <w:vMerge w:val="continue"/>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6"/>
                <w:szCs w:val="16"/>
                <w:color w:val="auto"/>
              </w:rPr>
              <w:t>Cole Muller</w:t>
            </w:r>
          </w:p>
        </w:tc>
        <w:tc>
          <w:tcPr>
            <w:tcW w:w="0" w:type="dxa"/>
            <w:vAlign w:val="bottom"/>
          </w:tcPr>
          <w:p>
            <w:pPr>
              <w:spacing w:after="0"/>
              <w:rPr>
                <w:sz w:val="1"/>
                <w:szCs w:val="1"/>
                <w:color w:val="auto"/>
              </w:rPr>
            </w:pPr>
          </w:p>
        </w:tc>
      </w:tr>
      <w:tr>
        <w:trPr>
          <w:trHeight w:val="405"/>
        </w:trPr>
        <w:tc>
          <w:tcPr>
            <w:tcW w:w="5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920" w:type="dxa"/>
            <w:vAlign w:val="bottom"/>
          </w:tcPr>
          <w:p>
            <w:pPr>
              <w:ind w:left="2160"/>
              <w:spacing w:after="0"/>
              <w:rPr>
                <w:sz w:val="20"/>
                <w:szCs w:val="20"/>
                <w:color w:val="auto"/>
              </w:rPr>
            </w:pPr>
            <w:r>
              <w:rPr>
                <w:rFonts w:ascii="Arial" w:cs="Arial" w:eastAsia="Arial" w:hAnsi="Arial"/>
                <w:sz w:val="16"/>
                <w:szCs w:val="16"/>
                <w:color w:val="auto"/>
              </w:rPr>
              <w:t>Title:</w:t>
            </w:r>
          </w:p>
        </w:tc>
        <w:tc>
          <w:tcPr>
            <w:tcW w:w="4420" w:type="dxa"/>
            <w:vAlign w:val="bottom"/>
          </w:tcPr>
          <w:p>
            <w:pPr>
              <w:ind w:left="2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color w:val="auto"/>
        </w:rPr>
        <w:t>Ex.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Pro Forma Condensed Combined Financial Information</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On July 17, 2025, Talen Energy Corporation (“TEC”, “Talen”, or the “Company”), through its wholly owned subsidiary, Talen Generation, LLC, entered into two purchase and sale agreements in contemplation of each other (collectively, the “Purchase Agreements”) with affiliates of Caithness Energy, L.L.C., pursuant to which we agreed to purchase the (i) the Freedom Energy Center, a 1,045 MW (summer rating) natural gas fired combined cycle generation plant located in Luzerne County, Pennsylvania (the “Freedom Acquisition”); and (ii) the Guernsey Power Station, a 1,836 MW (summer rating) natural gas fired combined cycle generation plant located in Guernsey County, Ohio (the “Guernsey Acquisition” and, together with the Freedom Acquisition, the “Acquisitions”). The aggregate purchase price for the Acquisitions was $3.8 billion, in each case as adjusted in accordance with the applicable Purchase Agreement.</w:t>
      </w:r>
    </w:p>
    <w:p>
      <w:pPr>
        <w:spacing w:after="0" w:line="32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November 25, 2025 (the “Closing Date”), the Company consummated the Acquisitions and related transactions pursuant to the Purchase Agreements (the “Closing”) and acquired all of the issued and outstanding membership interests in (i) Moxie Freedom, LLC, a Delaware limited liability company and (ii) Guernsey Power Holdings, LLC, a Delaware limited liability company (which owns 100% of the membership interests in Guernsey Power Station, LLC, a Delaware limited liability company) (collectively, the “Acquired Entities”).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Acquisitions, the Company completed the following financing transactions (“Financing Transactions”):</w:t>
      </w:r>
    </w:p>
    <w:p>
      <w:pPr>
        <w:spacing w:after="0" w:line="167" w:lineRule="exact"/>
        <w:rPr>
          <w:sz w:val="20"/>
          <w:szCs w:val="20"/>
          <w:color w:val="auto"/>
        </w:rPr>
      </w:pPr>
    </w:p>
    <w:p>
      <w:pPr>
        <w:jc w:val="both"/>
        <w:ind w:left="340" w:hanging="332"/>
        <w:spacing w:after="0" w:line="271" w:lineRule="auto"/>
        <w:tabs>
          <w:tab w:leader="none" w:pos="343"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Unsecured Notes Issuances. </w:t>
      </w:r>
      <w:r>
        <w:rPr>
          <w:rFonts w:ascii="Arial" w:cs="Arial" w:eastAsia="Arial" w:hAnsi="Arial"/>
          <w:sz w:val="16"/>
          <w:szCs w:val="16"/>
          <w:color w:val="auto"/>
        </w:rPr>
        <w:t>In October 2025, issued in private offerings and each at par: (i) $1.4 billion in aggregate principal amount of unsecured</w:t>
      </w:r>
      <w:r>
        <w:rPr>
          <w:rFonts w:ascii="Arial" w:cs="Arial" w:eastAsia="Arial" w:hAnsi="Arial"/>
          <w:sz w:val="16"/>
          <w:szCs w:val="16"/>
          <w:i w:val="1"/>
          <w:iCs w:val="1"/>
          <w:color w:val="auto"/>
        </w:rPr>
        <w:t xml:space="preserve"> </w:t>
      </w:r>
      <w:r>
        <w:rPr>
          <w:rFonts w:ascii="Arial" w:cs="Arial" w:eastAsia="Arial" w:hAnsi="Arial"/>
          <w:sz w:val="16"/>
          <w:szCs w:val="16"/>
          <w:color w:val="auto"/>
        </w:rPr>
        <w:t>notes due 2034 and (ii) $1.3 billion in aggregate principal amount of unsecured notes due 2036 (together, the “Unsecured Notes”). The proceeds of the Unsecured Notes were used, together with the net proceeds of the senior secured term loan B credit facility (as discussed below), to fund the Acquisitions.</w:t>
      </w:r>
    </w:p>
    <w:p>
      <w:pPr>
        <w:spacing w:after="0" w:line="113" w:lineRule="exact"/>
        <w:rPr>
          <w:rFonts w:ascii="Arial" w:cs="Arial" w:eastAsia="Arial" w:hAnsi="Arial"/>
          <w:sz w:val="16"/>
          <w:szCs w:val="16"/>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Credit Facility Transactions. </w:t>
      </w:r>
      <w:r>
        <w:rPr>
          <w:rFonts w:ascii="Arial" w:cs="Arial" w:eastAsia="Arial" w:hAnsi="Arial"/>
          <w:sz w:val="16"/>
          <w:szCs w:val="16"/>
          <w:color w:val="auto"/>
        </w:rPr>
        <w:t>In November 2025, several financing transactions became effective concurrently with the Closing:</w:t>
      </w:r>
    </w:p>
    <w:p>
      <w:pPr>
        <w:spacing w:after="0" w:line="153" w:lineRule="exact"/>
        <w:rPr>
          <w:rFonts w:ascii="Arial" w:cs="Arial" w:eastAsia="Arial" w:hAnsi="Arial"/>
          <w:sz w:val="16"/>
          <w:szCs w:val="16"/>
          <w:color w:val="auto"/>
        </w:rPr>
      </w:pPr>
    </w:p>
    <w:p>
      <w:pPr>
        <w:ind w:left="660" w:hanging="328"/>
        <w:spacing w:after="0" w:line="286" w:lineRule="auto"/>
        <w:tabs>
          <w:tab w:leader="none" w:pos="649" w:val="left"/>
        </w:tabs>
        <w:numPr>
          <w:ilvl w:val="1"/>
          <w:numId w:val="5"/>
        </w:numPr>
        <w:rPr>
          <w:rFonts w:ascii="Arial" w:cs="Arial" w:eastAsia="Arial" w:hAnsi="Arial"/>
          <w:sz w:val="16"/>
          <w:szCs w:val="16"/>
          <w:color w:val="auto"/>
        </w:rPr>
      </w:pPr>
      <w:r>
        <w:rPr>
          <w:rFonts w:ascii="Arial" w:cs="Arial" w:eastAsia="Arial" w:hAnsi="Arial"/>
          <w:sz w:val="16"/>
          <w:szCs w:val="16"/>
          <w:color w:val="auto"/>
        </w:rPr>
        <w:t>TLB-3. Drew in full the $1.2 billion senior secured term loan B credit facility (the “TLB-3”), the proceeds of which, together with the proceeds from the unsecured notes, were used to fund the Acquisitions.</w:t>
      </w:r>
    </w:p>
    <w:p>
      <w:pPr>
        <w:spacing w:after="0" w:line="101" w:lineRule="exact"/>
        <w:rPr>
          <w:rFonts w:ascii="Arial" w:cs="Arial" w:eastAsia="Arial" w:hAnsi="Arial"/>
          <w:sz w:val="16"/>
          <w:szCs w:val="16"/>
          <w:color w:val="auto"/>
        </w:rPr>
      </w:pPr>
    </w:p>
    <w:p>
      <w:pPr>
        <w:ind w:left="640" w:hanging="308"/>
        <w:spacing w:after="0"/>
        <w:tabs>
          <w:tab w:leader="none" w:pos="640" w:val="left"/>
        </w:tabs>
        <w:numPr>
          <w:ilvl w:val="1"/>
          <w:numId w:val="5"/>
        </w:numPr>
        <w:rPr>
          <w:rFonts w:ascii="Arial" w:cs="Arial" w:eastAsia="Arial" w:hAnsi="Arial"/>
          <w:sz w:val="16"/>
          <w:szCs w:val="16"/>
          <w:color w:val="auto"/>
        </w:rPr>
      </w:pPr>
      <w:r>
        <w:rPr>
          <w:rFonts w:ascii="Arial" w:cs="Arial" w:eastAsia="Arial" w:hAnsi="Arial"/>
          <w:sz w:val="16"/>
          <w:szCs w:val="16"/>
          <w:color w:val="auto"/>
        </w:rPr>
        <w:t>Revolving Credit Facility (the “RCF”). Increased its existing RCF (including its revolving LC capacity) from $700 million to $900 million.</w:t>
      </w:r>
    </w:p>
    <w:p>
      <w:pPr>
        <w:spacing w:after="0" w:line="180" w:lineRule="exact"/>
        <w:rPr>
          <w:rFonts w:ascii="Arial" w:cs="Arial" w:eastAsia="Arial" w:hAnsi="Arial"/>
          <w:sz w:val="16"/>
          <w:szCs w:val="16"/>
          <w:color w:val="auto"/>
        </w:rPr>
      </w:pPr>
    </w:p>
    <w:p>
      <w:pPr>
        <w:ind w:left="660" w:hanging="328"/>
        <w:spacing w:after="0" w:line="286" w:lineRule="auto"/>
        <w:tabs>
          <w:tab w:leader="none" w:pos="649" w:val="left"/>
        </w:tabs>
        <w:numPr>
          <w:ilvl w:val="1"/>
          <w:numId w:val="5"/>
        </w:numPr>
        <w:rPr>
          <w:rFonts w:ascii="Arial" w:cs="Arial" w:eastAsia="Arial" w:hAnsi="Arial"/>
          <w:sz w:val="16"/>
          <w:szCs w:val="16"/>
          <w:color w:val="auto"/>
        </w:rPr>
      </w:pPr>
      <w:r>
        <w:rPr>
          <w:rFonts w:ascii="Arial" w:cs="Arial" w:eastAsia="Arial" w:hAnsi="Arial"/>
          <w:sz w:val="16"/>
          <w:szCs w:val="16"/>
          <w:color w:val="auto"/>
        </w:rPr>
        <w:t>Letter of Credit Facility (the “LCF”). Upsized its existing $900 million LCF to $1.1 billion and extended the maturity from December 2026 to December 2027.</w:t>
      </w:r>
    </w:p>
    <w:p>
      <w:pPr>
        <w:spacing w:after="0" w:line="10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unaudited pro forma condensed combined financial information of Talen, referred to in this section as the pro forma financial information, is presented to illustrate the effects of the Acquisitions and the related Financing Transactions, which are referred to in this section as the pro forma transactions. The unaudited pro forma condensed combined financial information is comprised of an unaudited pro forma condensed combined statement of operations for the year ended December 31, 2025, referred to herein as the pro forma income statement, and accompanying notes, referred to herein as the notes to the pro forma financial statements. The pro forma income statement gives effect to the pro forma transactions, which for purposes of the pro forma financial information include the incurrence of approximately $3.8 billion (net of fees) of aggregate indebtedness under the Financing Transactions, as if they had occurred on January 1, 2025, the first day of Talen’s fiscal year ended December 31, 2025. An unaudited pro forma condensed combined balance sheet as of December 31, 2025 is not presented as the Acquisitions and related Financing Transactions, and the Acquisitions, were fully reflected in Talen’s annual report on Form 10-K for the year ended December 31, 2025, filed with the Securities and Exchange Commission (the “SEC”) on February 26, 2026</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pro forma financial information is based on and should be read in conjunction with the following historical financial statements of Talen, Moxie Freedom, LLC (“Freedom”) and Guernsey Power Holdings, LLC (“Guernsey”):</w:t>
      </w:r>
    </w:p>
    <w:p>
      <w:pPr>
        <w:spacing w:after="0" w:line="115" w:lineRule="exact"/>
        <w:rPr>
          <w:sz w:val="20"/>
          <w:szCs w:val="20"/>
          <w:color w:val="auto"/>
        </w:rPr>
      </w:pPr>
    </w:p>
    <w:p>
      <w:pPr>
        <w:ind w:left="340" w:right="200" w:hanging="332"/>
        <w:spacing w:after="0" w:line="286" w:lineRule="auto"/>
        <w:tabs>
          <w:tab w:leader="none" w:pos="329" w:val="left"/>
        </w:tabs>
        <w:numPr>
          <w:ilvl w:val="0"/>
          <w:numId w:val="6"/>
        </w:numPr>
        <w:rPr>
          <w:rFonts w:ascii="Arial" w:cs="Arial" w:eastAsia="Arial" w:hAnsi="Arial"/>
          <w:sz w:val="16"/>
          <w:szCs w:val="16"/>
          <w:color w:val="auto"/>
        </w:rPr>
      </w:pPr>
      <w:r>
        <w:rPr>
          <w:rFonts w:ascii="Arial" w:cs="Arial" w:eastAsia="Arial" w:hAnsi="Arial"/>
          <w:sz w:val="16"/>
          <w:szCs w:val="16"/>
          <w:color w:val="auto"/>
        </w:rPr>
        <w:t>Talen’s historical audited consolidated financial statements and related notes for the year ended December 31, 2025, included in Talen’s annual report on Form 10-K for the year ended December 31, 2025, filed with the SEC on February 26, 2026.</w:t>
      </w:r>
    </w:p>
    <w:p>
      <w:pPr>
        <w:spacing w:after="0" w:line="101" w:lineRule="exact"/>
        <w:rPr>
          <w:rFonts w:ascii="Arial" w:cs="Arial" w:eastAsia="Arial" w:hAnsi="Arial"/>
          <w:sz w:val="16"/>
          <w:szCs w:val="16"/>
          <w:color w:val="auto"/>
        </w:rPr>
      </w:pPr>
    </w:p>
    <w:p>
      <w:pPr>
        <w:jc w:val="both"/>
        <w:ind w:left="340" w:hanging="332"/>
        <w:spacing w:after="0" w:line="287" w:lineRule="auto"/>
        <w:tabs>
          <w:tab w:leader="none" w:pos="329" w:val="left"/>
        </w:tabs>
        <w:numPr>
          <w:ilvl w:val="0"/>
          <w:numId w:val="6"/>
        </w:numPr>
        <w:rPr>
          <w:rFonts w:ascii="Arial" w:cs="Arial" w:eastAsia="Arial" w:hAnsi="Arial"/>
          <w:sz w:val="16"/>
          <w:szCs w:val="16"/>
          <w:color w:val="auto"/>
        </w:rPr>
      </w:pPr>
      <w:r>
        <w:rPr>
          <w:rFonts w:ascii="Arial" w:cs="Arial" w:eastAsia="Arial" w:hAnsi="Arial"/>
          <w:sz w:val="16"/>
          <w:szCs w:val="16"/>
          <w:color w:val="auto"/>
        </w:rPr>
        <w:t>Freedom’s historical unaudited condensed financial statements and related notes for the three and nine months ended September 30, 2025, attached as Exhibit 99.2 to the Form 8-K/A filed with the SEC on February 9, 2026 as an amendment to the Form 8-K originally filed and dated November 25, 2025.</w:t>
      </w:r>
    </w:p>
    <w:p>
      <w:pPr>
        <w:spacing w:after="0" w:line="315" w:lineRule="exact"/>
        <w:rPr>
          <w:rFonts w:ascii="Arial" w:cs="Arial" w:eastAsia="Arial" w:hAnsi="Arial"/>
          <w:sz w:val="16"/>
          <w:szCs w:val="16"/>
          <w:color w:val="auto"/>
        </w:rPr>
      </w:pPr>
    </w:p>
    <w:p>
      <w:pPr>
        <w:jc w:val="both"/>
        <w:ind w:left="340" w:hanging="332"/>
        <w:spacing w:after="0" w:line="266" w:lineRule="auto"/>
        <w:tabs>
          <w:tab w:leader="none" w:pos="329" w:val="left"/>
        </w:tabs>
        <w:numPr>
          <w:ilvl w:val="0"/>
          <w:numId w:val="6"/>
        </w:numPr>
        <w:rPr>
          <w:rFonts w:ascii="Arial" w:cs="Arial" w:eastAsia="Arial" w:hAnsi="Arial"/>
          <w:sz w:val="16"/>
          <w:szCs w:val="16"/>
          <w:color w:val="auto"/>
        </w:rPr>
      </w:pPr>
      <w:r>
        <w:rPr>
          <w:rFonts w:ascii="Arial" w:cs="Arial" w:eastAsia="Arial" w:hAnsi="Arial"/>
          <w:sz w:val="16"/>
          <w:szCs w:val="16"/>
          <w:color w:val="auto"/>
        </w:rPr>
        <w:t>Guernsey’s historical unaudited condensed consolidated financial statements and related notes for the three and nine months ended September 30, 2025, attached as Exhibit 99.4 to the Form 8-K/A filed with the SEC on February 9, 2026 as an amendment to the Form 8-K originally filed and dated November 25, 2025.</w:t>
      </w:r>
    </w:p>
    <w:p>
      <w:pPr>
        <w:spacing w:after="0" w:line="131"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The financial information of Freedom and Guernsey for the period from October 1, 2025 through November 24, 2025 is based on unaudited accounting records of Freedom and Guernsey.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5" w:right="339" w:bottom="1440" w:gutter="0" w:footer="0" w:header="0"/>
        </w:sectPr>
      </w:pPr>
    </w:p>
    <w:bookmarkStart w:id="4" w:name="page5"/>
    <w:bookmarkEnd w:id="4"/>
    <w:p>
      <w:pPr>
        <w:jc w:val="both"/>
        <w:spacing w:after="0" w:line="242" w:lineRule="auto"/>
        <w:rPr>
          <w:sz w:val="20"/>
          <w:szCs w:val="20"/>
          <w:color w:val="auto"/>
        </w:rPr>
      </w:pPr>
      <w:r>
        <w:rPr>
          <w:rFonts w:ascii="Arial" w:cs="Arial" w:eastAsia="Arial" w:hAnsi="Arial"/>
          <w:sz w:val="16"/>
          <w:szCs w:val="16"/>
          <w:color w:val="auto"/>
        </w:rPr>
        <w:t>The pro forma financial information has been prepared using the acquisition method of accounting for business combinations under accounting principles generally accepted in the United States, referred to as GAAP, in accordance with Accounting Standards Codifications (ASC) 805, Business Combinations. Under the acquisition method of accounting, the preliminary purchase price is allocated to the underlying tangible and intangible assets to be acquired and liabilities assumed based upon their estimated fair values as of the acquisition date, with any excess purchase price allocated to goodwill. Talen has made a preliminary allocation of the purchase price to the assets acquired and liabilities assumed as of the Closing Date of the Acquisitions based on Talen’s preliminary valuation of the tangible and intangible assets to be acquired and liabilities assumed in the Purchase Agreements using information currently available. Adjustments to the preliminary amounts may be made in subsequent periods, up to one year from the Closing Date, as information necessary to complete the analysis is obtained. The final valuation of assets acquired and liabilities assumed in the Acquisitions may be materially different than the estimated values assumed in the pro forma financial information.</w:t>
      </w:r>
    </w:p>
    <w:p>
      <w:pPr>
        <w:spacing w:after="0" w:line="13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accordance with Article 11 of Regulation S-X, the pro forma financial information has been prepared for illustrative and informational purposes only and is not intended to represent what Talen’s results of operations or financial position would have been had the Acquisitions occurred on the dates indicated, or what they will be for any future periods or as of any future date. The pro forma financial information does not reflect the realization of any expected cost savings or other synergies or dis-synergies that may be realized as a result of the Acquisitions.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246"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3"/>
          <w:szCs w:val="13"/>
          <w:color w:val="auto"/>
        </w:rPr>
        <w:t>(Millions of Dollars, except share data)</w:t>
      </w:r>
    </w:p>
    <w:p>
      <w:pPr>
        <w:spacing w:after="0" w:line="48" w:lineRule="exact"/>
        <w:rPr>
          <w:sz w:val="20"/>
          <w:szCs w:val="20"/>
          <w:color w:val="auto"/>
        </w:rPr>
      </w:pPr>
    </w:p>
    <w:p>
      <w:pPr>
        <w:ind w:left="20" w:right="520"/>
        <w:spacing w:after="0" w:line="301" w:lineRule="auto"/>
        <w:rPr>
          <w:sz w:val="20"/>
          <w:szCs w:val="20"/>
          <w:color w:val="auto"/>
        </w:rPr>
      </w:pPr>
      <w:r>
        <w:rPr>
          <w:rFonts w:ascii="Arial" w:cs="Arial" w:eastAsia="Arial" w:hAnsi="Arial"/>
          <w:sz w:val="14"/>
          <w:szCs w:val="14"/>
          <w:color w:val="auto"/>
        </w:rPr>
        <w:t>Energy and other revenues Capacity revenues</w:t>
      </w:r>
    </w:p>
    <w:p>
      <w:pPr>
        <w:spacing w:after="0" w:line="1" w:lineRule="exact"/>
        <w:rPr>
          <w:sz w:val="20"/>
          <w:szCs w:val="20"/>
          <w:color w:val="auto"/>
        </w:rPr>
      </w:pPr>
    </w:p>
    <w:p>
      <w:pPr>
        <w:ind w:left="100" w:hanging="80"/>
        <w:spacing w:after="0" w:line="244" w:lineRule="auto"/>
        <w:rPr>
          <w:sz w:val="20"/>
          <w:szCs w:val="20"/>
          <w:color w:val="auto"/>
        </w:rPr>
      </w:pPr>
      <w:r>
        <w:rPr>
          <w:rFonts w:ascii="Arial" w:cs="Arial" w:eastAsia="Arial" w:hAnsi="Arial"/>
          <w:sz w:val="14"/>
          <w:szCs w:val="14"/>
          <w:color w:val="auto"/>
        </w:rPr>
        <w:t>Unrealized gain (loss)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7056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Operating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7056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97" w:lineRule="exact"/>
        <w:rPr>
          <w:sz w:val="20"/>
          <w:szCs w:val="20"/>
          <w:color w:val="auto"/>
        </w:rPr>
      </w:pPr>
    </w:p>
    <w:p>
      <w:pPr>
        <w:ind w:left="20" w:right="520"/>
        <w:spacing w:after="0" w:line="301" w:lineRule="auto"/>
        <w:rPr>
          <w:sz w:val="20"/>
          <w:szCs w:val="20"/>
          <w:color w:val="auto"/>
        </w:rPr>
      </w:pPr>
      <w:r>
        <w:rPr>
          <w:rFonts w:ascii="Arial" w:cs="Arial" w:eastAsia="Arial" w:hAnsi="Arial"/>
          <w:sz w:val="14"/>
          <w:szCs w:val="14"/>
          <w:color w:val="auto"/>
        </w:rPr>
        <w:t>Fuel and energy purchases Nuclear fuel amortization</w:t>
      </w:r>
    </w:p>
    <w:p>
      <w:pPr>
        <w:spacing w:after="0" w:line="1" w:lineRule="exact"/>
        <w:rPr>
          <w:sz w:val="20"/>
          <w:szCs w:val="20"/>
          <w:color w:val="auto"/>
        </w:rPr>
      </w:pPr>
    </w:p>
    <w:p>
      <w:pPr>
        <w:ind w:left="100" w:hanging="80"/>
        <w:spacing w:after="0" w:line="244" w:lineRule="auto"/>
        <w:rPr>
          <w:sz w:val="20"/>
          <w:szCs w:val="20"/>
          <w:color w:val="auto"/>
        </w:rPr>
      </w:pPr>
      <w:r>
        <w:rPr>
          <w:rFonts w:ascii="Arial" w:cs="Arial" w:eastAsia="Arial" w:hAnsi="Arial"/>
          <w:sz w:val="14"/>
          <w:szCs w:val="14"/>
          <w:color w:val="auto"/>
        </w:rPr>
        <w:t>Unrealized gain (loss)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7056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4" w:lineRule="exact"/>
        <w:rPr>
          <w:sz w:val="20"/>
          <w:szCs w:val="20"/>
          <w:color w:val="auto"/>
        </w:rPr>
      </w:pPr>
    </w:p>
    <w:p>
      <w:pPr>
        <w:ind w:left="20" w:right="860"/>
        <w:spacing w:after="0" w:line="372" w:lineRule="auto"/>
        <w:rPr>
          <w:sz w:val="20"/>
          <w:szCs w:val="20"/>
          <w:color w:val="auto"/>
        </w:rPr>
      </w:pPr>
      <w:r>
        <w:rPr>
          <w:rFonts w:ascii="Arial" w:cs="Arial" w:eastAsia="Arial" w:hAnsi="Arial"/>
          <w:sz w:val="14"/>
          <w:szCs w:val="14"/>
          <w:b w:val="1"/>
          <w:bCs w:val="1"/>
          <w:color w:val="auto"/>
        </w:rPr>
        <w:t>Energy Expenses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17056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760"/>
        <w:spacing w:after="0"/>
        <w:rPr>
          <w:sz w:val="20"/>
          <w:szCs w:val="20"/>
          <w:color w:val="auto"/>
        </w:rPr>
      </w:pPr>
      <w:r>
        <w:rPr>
          <w:rFonts w:ascii="Arial" w:cs="Arial" w:eastAsia="Arial" w:hAnsi="Arial"/>
          <w:sz w:val="16"/>
          <w:szCs w:val="16"/>
          <w:b w:val="1"/>
          <w:bCs w:val="1"/>
          <w:color w:val="auto"/>
        </w:rPr>
        <w:t>Unaudited Pro Forma Condensed Combined Statement of Operations</w:t>
      </w:r>
    </w:p>
    <w:p>
      <w:pPr>
        <w:spacing w:after="0" w:line="21" w:lineRule="exact"/>
        <w:rPr>
          <w:sz w:val="20"/>
          <w:szCs w:val="20"/>
          <w:color w:val="auto"/>
        </w:rPr>
      </w:pPr>
    </w:p>
    <w:p>
      <w:pPr>
        <w:jc w:val="center"/>
        <w:ind w:right="2760"/>
        <w:spacing w:after="0"/>
        <w:rPr>
          <w:sz w:val="20"/>
          <w:szCs w:val="20"/>
          <w:color w:val="auto"/>
        </w:rPr>
      </w:pPr>
      <w:r>
        <w:rPr>
          <w:rFonts w:ascii="Arial" w:cs="Arial" w:eastAsia="Arial" w:hAnsi="Arial"/>
          <w:sz w:val="16"/>
          <w:szCs w:val="16"/>
          <w:b w:val="1"/>
          <w:bCs w:val="1"/>
          <w:color w:val="auto"/>
        </w:rPr>
        <w:t>for the Year ended December 31,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Historical Acquired</w:t>
            </w:r>
          </w:p>
        </w:tc>
        <w:tc>
          <w:tcPr>
            <w:tcW w:w="14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1380" w:type="dxa"/>
            <w:vAlign w:val="bottom"/>
            <w:gridSpan w:val="3"/>
            <w:vMerge w:val="restart"/>
          </w:tcPr>
          <w:p>
            <w:pPr>
              <w:jc w:val="center"/>
              <w:ind w:right="80"/>
              <w:spacing w:after="0" w:line="139" w:lineRule="exact"/>
              <w:rPr>
                <w:sz w:val="20"/>
                <w:szCs w:val="20"/>
                <w:color w:val="auto"/>
              </w:rPr>
            </w:pPr>
            <w:r>
              <w:rPr>
                <w:rFonts w:ascii="Arial" w:cs="Arial" w:eastAsia="Arial" w:hAnsi="Arial"/>
                <w:sz w:val="14"/>
                <w:szCs w:val="14"/>
                <w:b w:val="1"/>
                <w:bCs w:val="1"/>
                <w:color w:val="auto"/>
              </w:rPr>
              <w:t>Acquired Entities</w:t>
            </w: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rPr>
              <w:t>Entities</w:t>
            </w:r>
          </w:p>
        </w:tc>
        <w:tc>
          <w:tcPr>
            <w:tcW w:w="13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rPr>
              <w:t>for October 1,</w:t>
            </w: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rPr>
              <w:t>as Reported for</w:t>
            </w:r>
          </w:p>
        </w:tc>
        <w:tc>
          <w:tcPr>
            <w:tcW w:w="14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60" w:type="dxa"/>
            <w:vAlign w:val="bottom"/>
            <w:gridSpan w:val="3"/>
            <w:vMerge w:val="restart"/>
          </w:tcPr>
          <w:p>
            <w:pPr>
              <w:jc w:val="center"/>
              <w:ind w:right="80"/>
              <w:spacing w:after="0" w:line="145" w:lineRule="exact"/>
              <w:rPr>
                <w:sz w:val="20"/>
                <w:szCs w:val="20"/>
                <w:color w:val="auto"/>
              </w:rPr>
            </w:pPr>
            <w:r>
              <w:rPr>
                <w:rFonts w:ascii="Arial" w:cs="Arial" w:eastAsia="Arial" w:hAnsi="Arial"/>
                <w:sz w:val="14"/>
                <w:szCs w:val="14"/>
                <w:b w:val="1"/>
                <w:bCs w:val="1"/>
                <w:color w:val="auto"/>
              </w:rPr>
              <w:t>Historical Talen</w:t>
            </w:r>
          </w:p>
        </w:tc>
        <w:tc>
          <w:tcPr>
            <w:tcW w:w="14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restart"/>
          </w:tcPr>
          <w:p>
            <w:pPr>
              <w:jc w:val="center"/>
              <w:ind w:right="220"/>
              <w:spacing w:after="0" w:line="145" w:lineRule="exact"/>
              <w:rPr>
                <w:sz w:val="20"/>
                <w:szCs w:val="20"/>
                <w:color w:val="auto"/>
              </w:rPr>
            </w:pPr>
            <w:r>
              <w:rPr>
                <w:rFonts w:ascii="Arial" w:cs="Arial" w:eastAsia="Arial" w:hAnsi="Arial"/>
                <w:sz w:val="14"/>
                <w:szCs w:val="14"/>
                <w:b w:val="1"/>
                <w:bCs w:val="1"/>
                <w:color w:val="auto"/>
              </w:rPr>
              <w:t>2025 to</w:t>
            </w:r>
          </w:p>
        </w:tc>
        <w:tc>
          <w:tcPr>
            <w:tcW w:w="120" w:type="dxa"/>
            <w:vAlign w:val="bottom"/>
          </w:tcPr>
          <w:p>
            <w:pPr>
              <w:spacing w:after="0"/>
              <w:rPr>
                <w:sz w:val="4"/>
                <w:szCs w:val="4"/>
                <w:color w:val="auto"/>
              </w:rPr>
            </w:pPr>
          </w:p>
        </w:tc>
        <w:tc>
          <w:tcPr>
            <w:tcW w:w="1040" w:type="dxa"/>
            <w:vAlign w:val="bottom"/>
            <w:vMerge w:val="restart"/>
          </w:tcPr>
          <w:p>
            <w:pPr>
              <w:jc w:val="center"/>
              <w:ind w:right="48"/>
              <w:spacing w:after="0" w:line="145" w:lineRule="exact"/>
              <w:rPr>
                <w:sz w:val="20"/>
                <w:szCs w:val="20"/>
                <w:color w:val="auto"/>
              </w:rPr>
            </w:pPr>
            <w:r>
              <w:rPr>
                <w:rFonts w:ascii="Arial" w:cs="Arial" w:eastAsia="Arial" w:hAnsi="Arial"/>
                <w:sz w:val="14"/>
                <w:szCs w:val="14"/>
                <w:b w:val="1"/>
                <w:bCs w:val="1"/>
                <w:color w:val="auto"/>
              </w:rPr>
              <w:t>Acquisition</w:t>
            </w: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gridSpan w:val="2"/>
            <w:vMerge w:val="restart"/>
          </w:tcPr>
          <w:p>
            <w:pPr>
              <w:jc w:val="center"/>
              <w:ind w:right="500"/>
              <w:spacing w:after="0" w:line="14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1260" w:type="dxa"/>
            <w:vAlign w:val="bottom"/>
            <w:gridSpan w:val="3"/>
            <w:vMerge w:val="continue"/>
          </w:tcPr>
          <w:p>
            <w:pPr>
              <w:spacing w:after="0"/>
              <w:rPr>
                <w:sz w:val="7"/>
                <w:szCs w:val="7"/>
                <w:color w:val="auto"/>
              </w:rPr>
            </w:pPr>
          </w:p>
        </w:tc>
        <w:tc>
          <w:tcPr>
            <w:tcW w:w="1520" w:type="dxa"/>
            <w:vAlign w:val="bottom"/>
            <w:gridSpan w:val="3"/>
            <w:vMerge w:val="restart"/>
          </w:tcPr>
          <w:p>
            <w:pPr>
              <w:jc w:val="center"/>
              <w:ind w:right="80"/>
              <w:spacing w:after="0" w:line="145" w:lineRule="exact"/>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Energy</w:t>
            </w:r>
          </w:p>
        </w:tc>
        <w:tc>
          <w:tcPr>
            <w:tcW w:w="152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November 24,</w:t>
            </w:r>
          </w:p>
        </w:tc>
        <w:tc>
          <w:tcPr>
            <w:tcW w:w="120" w:type="dxa"/>
            <w:vAlign w:val="bottom"/>
          </w:tcPr>
          <w:p>
            <w:pPr>
              <w:spacing w:after="0"/>
              <w:rPr>
                <w:sz w:val="4"/>
                <w:szCs w:val="4"/>
                <w:color w:val="auto"/>
              </w:rPr>
            </w:pPr>
          </w:p>
        </w:tc>
        <w:tc>
          <w:tcPr>
            <w:tcW w:w="104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Accounting</w:t>
            </w: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rPr>
              <w:t>Accounting</w:t>
            </w:r>
          </w:p>
        </w:tc>
        <w:tc>
          <w:tcPr>
            <w:tcW w:w="160" w:type="dxa"/>
            <w:vAlign w:val="bottom"/>
          </w:tcPr>
          <w:p>
            <w:pPr>
              <w:spacing w:after="0"/>
              <w:rPr>
                <w:sz w:val="4"/>
                <w:szCs w:val="4"/>
                <w:color w:val="auto"/>
              </w:rPr>
            </w:pPr>
          </w:p>
        </w:tc>
        <w:tc>
          <w:tcPr>
            <w:tcW w:w="10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5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rPr>
              <w:t>September 30, 2025</w:t>
            </w: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rPr>
              <w:t xml:space="preserve">Corporation </w:t>
            </w:r>
            <w:r>
              <w:rPr>
                <w:rFonts w:ascii="Arial" w:cs="Arial" w:eastAsia="Arial" w:hAnsi="Arial"/>
                <w:sz w:val="17"/>
                <w:szCs w:val="17"/>
                <w:b w:val="1"/>
                <w:bCs w:val="1"/>
                <w:color w:val="auto"/>
                <w:vertAlign w:val="superscript"/>
              </w:rPr>
              <w:t>(a)</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9"/>
                <w:szCs w:val="9"/>
                <w:b w:val="1"/>
                <w:bCs w:val="1"/>
                <w:color w:val="auto"/>
              </w:rPr>
              <w:t>(b)</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68"/>
              <w:spacing w:after="0" w:line="149"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48"/>
              <w:spacing w:after="0" w:line="149" w:lineRule="exact"/>
              <w:rPr>
                <w:sz w:val="20"/>
                <w:szCs w:val="20"/>
                <w:color w:val="auto"/>
              </w:rPr>
            </w:pPr>
            <w:r>
              <w:rPr>
                <w:rFonts w:ascii="Arial" w:cs="Arial" w:eastAsia="Arial" w:hAnsi="Arial"/>
                <w:sz w:val="14"/>
                <w:szCs w:val="14"/>
                <w:b w:val="1"/>
                <w:bCs w:val="1"/>
                <w:color w:val="auto"/>
              </w:rPr>
              <w:t>Adjustments</w:t>
            </w: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48"/>
              <w:spacing w:after="0" w:line="149" w:lineRule="exact"/>
              <w:rPr>
                <w:sz w:val="20"/>
                <w:szCs w:val="20"/>
                <w:color w:val="auto"/>
              </w:rPr>
            </w:pPr>
            <w:r>
              <w:rPr>
                <w:rFonts w:ascii="Arial" w:cs="Arial" w:eastAsia="Arial" w:hAnsi="Arial"/>
                <w:sz w:val="14"/>
                <w:szCs w:val="14"/>
                <w:b w:val="1"/>
                <w:bCs w:val="1"/>
                <w:color w:val="auto"/>
              </w:rPr>
              <w:t>Adjustments</w:t>
            </w:r>
          </w:p>
        </w:tc>
        <w:tc>
          <w:tcPr>
            <w:tcW w:w="3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48"/>
              <w:spacing w:after="0" w:line="149" w:lineRule="exact"/>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88"/>
        </w:trPr>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2,141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606</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2,802</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78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75"/>
        </w:trPr>
        <w:tc>
          <w:tcPr>
            <w:tcW w:w="1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2,581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684</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3,346</w:t>
            </w: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(908)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(355)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w:t>
            </w: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3(a)</w:t>
            </w:r>
          </w:p>
        </w:tc>
        <w:tc>
          <w:tcPr>
            <w:tcW w:w="14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(1,209)</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(1,066)</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(355)</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w:t>
            </w:r>
          </w:p>
        </w:tc>
        <w:tc>
          <w:tcPr>
            <w:tcW w:w="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-1079500</wp:posOffset>
            </wp:positionV>
            <wp:extent cx="7123430" cy="214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3430" cy="21463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-616585</wp:posOffset>
            </wp:positionV>
            <wp:extent cx="712343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128905"/>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-359410</wp:posOffset>
            </wp:positionV>
            <wp:extent cx="7123430" cy="214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21463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51435</wp:posOffset>
            </wp:positionV>
            <wp:extent cx="712343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128905"/>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-1344930</wp:posOffset>
            </wp:positionV>
            <wp:extent cx="712343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288" w:lineRule="exact"/>
        <w:rPr>
          <w:sz w:val="20"/>
          <w:szCs w:val="20"/>
          <w:color w:val="auto"/>
        </w:rPr>
      </w:pPr>
    </w:p>
    <w:p>
      <w:pPr>
        <w:sectPr>
          <w:pgSz w:w="11900" w:h="16838" w:orient="portrait"/>
          <w:cols w:equalWidth="0" w:num="2">
            <w:col w:w="2280" w:space="500"/>
            <w:col w:w="8440"/>
          </w:cols>
          <w:pgMar w:left="320" w:top="1259" w:right="359" w:bottom="1440" w:gutter="0" w:footer="0" w:header="0"/>
        </w:sectPr>
      </w:pPr>
    </w:p>
    <w:p>
      <w:pPr>
        <w:ind w:left="20" w:right="760"/>
        <w:spacing w:after="0" w:line="244" w:lineRule="auto"/>
        <w:rPr>
          <w:sz w:val="20"/>
          <w:szCs w:val="20"/>
          <w:color w:val="auto"/>
        </w:rPr>
      </w:pPr>
      <w:r>
        <w:rPr>
          <w:rFonts w:ascii="Arial" w:cs="Arial" w:eastAsia="Arial" w:hAnsi="Arial"/>
          <w:sz w:val="14"/>
          <w:szCs w:val="14"/>
          <w:color w:val="auto"/>
        </w:rPr>
        <w:t>Operation, maintenance and development</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General and administrative</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Depreciation, amortization and accretion</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operating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7056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Operating Income (Loss)</w:t>
      </w:r>
    </w:p>
    <w:p>
      <w:pPr>
        <w:spacing w:after="0" w:line="55" w:lineRule="exact"/>
        <w:rPr>
          <w:sz w:val="20"/>
          <w:szCs w:val="20"/>
          <w:color w:val="auto"/>
        </w:rPr>
      </w:pPr>
    </w:p>
    <w:p>
      <w:pPr>
        <w:ind w:left="100" w:right="220" w:hanging="80"/>
        <w:spacing w:after="0" w:line="244" w:lineRule="auto"/>
        <w:rPr>
          <w:sz w:val="20"/>
          <w:szCs w:val="20"/>
          <w:color w:val="auto"/>
        </w:rPr>
      </w:pPr>
      <w:r>
        <w:rPr>
          <w:rFonts w:ascii="Arial" w:cs="Arial" w:eastAsia="Arial" w:hAnsi="Arial"/>
          <w:sz w:val="14"/>
          <w:szCs w:val="14"/>
          <w:color w:val="auto"/>
        </w:rPr>
        <w:t>Nuclear decommissioning trust funds gain (loss), net</w:t>
      </w:r>
    </w:p>
    <w:p>
      <w:pPr>
        <w:spacing w:after="0" w:line="51" w:lineRule="exact"/>
        <w:rPr>
          <w:sz w:val="20"/>
          <w:szCs w:val="20"/>
          <w:color w:val="auto"/>
        </w:rPr>
      </w:pPr>
    </w:p>
    <w:p>
      <w:pPr>
        <w:ind w:left="20" w:right="360"/>
        <w:spacing w:after="0" w:line="244" w:lineRule="auto"/>
        <w:rPr>
          <w:sz w:val="20"/>
          <w:szCs w:val="20"/>
          <w:color w:val="auto"/>
        </w:rPr>
      </w:pPr>
      <w:r>
        <w:rPr>
          <w:rFonts w:ascii="Arial" w:cs="Arial" w:eastAsia="Arial" w:hAnsi="Arial"/>
          <w:sz w:val="14"/>
          <w:szCs w:val="14"/>
          <w:color w:val="auto"/>
        </w:rPr>
        <w:t>Interest expense and other finance charges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Gain (loss) on sale of assets, net</w:t>
      </w:r>
    </w:p>
    <w:p>
      <w:pPr>
        <w:spacing w:after="0" w:line="42" w:lineRule="exact"/>
        <w:rPr>
          <w:sz w:val="20"/>
          <w:szCs w:val="20"/>
          <w:color w:val="auto"/>
        </w:rPr>
      </w:pPr>
    </w:p>
    <w:p>
      <w:pPr>
        <w:ind w:left="20" w:right="60"/>
        <w:spacing w:after="0" w:line="244" w:lineRule="auto"/>
        <w:rPr>
          <w:sz w:val="20"/>
          <w:szCs w:val="20"/>
          <w:color w:val="auto"/>
        </w:rPr>
      </w:pPr>
      <w:r>
        <w:rPr>
          <w:rFonts w:ascii="Arial" w:cs="Arial" w:eastAsia="Arial" w:hAnsi="Arial"/>
          <w:sz w:val="14"/>
          <w:szCs w:val="14"/>
          <w:color w:val="auto"/>
        </w:rPr>
        <w:t>Other non-operating income (expense), net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jc w:val="right"/>
              <w:spacing w:after="0"/>
              <w:rPr>
                <w:sz w:val="20"/>
                <w:szCs w:val="20"/>
                <w:color w:val="auto"/>
              </w:rPr>
            </w:pPr>
            <w:r>
              <w:rPr>
                <w:rFonts w:ascii="Arial" w:cs="Arial" w:eastAsia="Arial" w:hAnsi="Arial"/>
                <w:sz w:val="14"/>
                <w:szCs w:val="14"/>
                <w:color w:val="auto"/>
              </w:rPr>
              <w:t>(620)</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w:t>
            </w:r>
          </w:p>
        </w:tc>
        <w:tc>
          <w:tcPr>
            <w:tcW w:w="400" w:type="dxa"/>
            <w:vAlign w:val="bottom"/>
          </w:tcPr>
          <w:p>
            <w:pPr>
              <w:ind w:left="100"/>
              <w:spacing w:after="0"/>
              <w:rPr>
                <w:sz w:val="20"/>
                <w:szCs w:val="20"/>
                <w:color w:val="auto"/>
              </w:rPr>
            </w:pPr>
            <w:r>
              <w:rPr>
                <w:rFonts w:ascii="Arial" w:cs="Arial" w:eastAsia="Arial" w:hAnsi="Arial"/>
                <w:sz w:val="13"/>
                <w:szCs w:val="13"/>
                <w:color w:val="auto"/>
              </w:rPr>
              <w:t>3(b)</w:t>
            </w:r>
          </w:p>
        </w:tc>
        <w:tc>
          <w:tcPr>
            <w:tcW w:w="1180" w:type="dxa"/>
            <w:vAlign w:val="bottom"/>
          </w:tcPr>
          <w:p>
            <w:pPr>
              <w:ind w:left="9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270"/>
        </w:trPr>
        <w:tc>
          <w:tcPr>
            <w:tcW w:w="1160" w:type="dxa"/>
            <w:vAlign w:val="bottom"/>
          </w:tcPr>
          <w:p>
            <w:pPr>
              <w:jc w:val="right"/>
              <w:spacing w:after="0"/>
              <w:rPr>
                <w:sz w:val="20"/>
                <w:szCs w:val="20"/>
                <w:color w:val="auto"/>
              </w:rPr>
            </w:pPr>
            <w:r>
              <w:rPr>
                <w:rFonts w:ascii="Arial" w:cs="Arial" w:eastAsia="Arial" w:hAnsi="Arial"/>
                <w:sz w:val="14"/>
                <w:szCs w:val="14"/>
                <w:color w:val="auto"/>
              </w:rPr>
              <w:t>(624)</w:t>
            </w:r>
          </w:p>
        </w:tc>
        <w:tc>
          <w:tcPr>
            <w:tcW w:w="100" w:type="dxa"/>
            <w:vAlign w:val="bottom"/>
          </w:tcPr>
          <w:p>
            <w:pPr>
              <w:spacing w:after="0"/>
              <w:rPr>
                <w:sz w:val="23"/>
                <w:szCs w:val="23"/>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1180" w:type="dxa"/>
            <w:vAlign w:val="bottom"/>
          </w:tcPr>
          <w:p>
            <w:pPr>
              <w:ind w:left="9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203"/>
        </w:trPr>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7"/>
                <w:szCs w:val="17"/>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67</w:t>
            </w:r>
          </w:p>
        </w:tc>
        <w:tc>
          <w:tcPr>
            <w:tcW w:w="400" w:type="dxa"/>
            <w:vAlign w:val="bottom"/>
            <w:vMerge w:val="restart"/>
          </w:tcPr>
          <w:p>
            <w:pPr>
              <w:ind w:left="100"/>
              <w:spacing w:after="0"/>
              <w:rPr>
                <w:sz w:val="20"/>
                <w:szCs w:val="20"/>
                <w:color w:val="auto"/>
              </w:rPr>
            </w:pPr>
            <w:r>
              <w:rPr>
                <w:rFonts w:ascii="Arial" w:cs="Arial" w:eastAsia="Arial" w:hAnsi="Arial"/>
                <w:sz w:val="13"/>
                <w:szCs w:val="13"/>
                <w:color w:val="auto"/>
              </w:rPr>
              <w:t>3(c)</w:t>
            </w:r>
          </w:p>
        </w:tc>
        <w:tc>
          <w:tcPr>
            <w:tcW w:w="1180" w:type="dxa"/>
            <w:vAlign w:val="bottom"/>
          </w:tcPr>
          <w:p>
            <w:pPr>
              <w:ind w:left="9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(109)</w:t>
            </w:r>
          </w:p>
        </w:tc>
        <w:tc>
          <w:tcPr>
            <w:tcW w:w="400" w:type="dxa"/>
            <w:vAlign w:val="bottom"/>
            <w:vMerge w:val="continue"/>
          </w:tcPr>
          <w:p>
            <w:pPr>
              <w:spacing w:after="0"/>
              <w:rPr>
                <w:sz w:val="18"/>
                <w:szCs w:val="18"/>
                <w:color w:val="auto"/>
              </w:rPr>
            </w:pPr>
          </w:p>
        </w:tc>
        <w:tc>
          <w:tcPr>
            <w:tcW w:w="1180" w:type="dxa"/>
            <w:vAlign w:val="bottom"/>
          </w:tcPr>
          <w:p>
            <w:pPr>
              <w:ind w:left="9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6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9"/>
                <w:szCs w:val="19"/>
                <w:color w:val="auto"/>
              </w:rPr>
            </w:pPr>
          </w:p>
        </w:tc>
        <w:tc>
          <w:tcPr>
            <w:tcW w:w="1180" w:type="dxa"/>
            <w:vAlign w:val="bottom"/>
          </w:tcPr>
          <w:p>
            <w:pPr>
              <w:ind w:left="9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99"/>
        </w:trPr>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w:t>
            </w:r>
          </w:p>
        </w:tc>
        <w:tc>
          <w:tcPr>
            <w:tcW w:w="10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228</w:t>
            </w:r>
          </w:p>
        </w:tc>
        <w:tc>
          <w:tcPr>
            <w:tcW w:w="8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w:t>
            </w:r>
          </w:p>
        </w:tc>
        <w:tc>
          <w:tcPr>
            <w:tcW w:w="400" w:type="dxa"/>
            <w:vAlign w:val="bottom"/>
          </w:tcPr>
          <w:p>
            <w:pPr>
              <w:spacing w:after="0"/>
              <w:rPr>
                <w:sz w:val="17"/>
                <w:szCs w:val="17"/>
                <w:color w:val="auto"/>
              </w:rPr>
            </w:pPr>
          </w:p>
        </w:tc>
        <w:tc>
          <w:tcPr>
            <w:tcW w:w="118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212</w:t>
            </w:r>
          </w:p>
        </w:tc>
        <w:tc>
          <w:tcPr>
            <w:tcW w:w="0" w:type="dxa"/>
            <w:vAlign w:val="bottom"/>
          </w:tcPr>
          <w:p>
            <w:pPr>
              <w:spacing w:after="0"/>
              <w:rPr>
                <w:sz w:val="1"/>
                <w:szCs w:val="1"/>
                <w:color w:val="auto"/>
              </w:rPr>
            </w:pPr>
          </w:p>
        </w:tc>
      </w:tr>
      <w:tr>
        <w:trPr>
          <w:trHeight w:val="257"/>
        </w:trPr>
        <w:tc>
          <w:tcPr>
            <w:tcW w:w="116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22"/>
                <w:szCs w:val="22"/>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80" w:type="dxa"/>
            <w:vAlign w:val="bottom"/>
          </w:tcPr>
          <w:p>
            <w:pPr>
              <w:ind w:left="9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70"/>
        </w:trPr>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3"/>
                <w:szCs w:val="23"/>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23"/>
                <w:szCs w:val="23"/>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95</w:t>
            </w:r>
          </w:p>
        </w:tc>
        <w:tc>
          <w:tcPr>
            <w:tcW w:w="400" w:type="dxa"/>
            <w:vAlign w:val="bottom"/>
            <w:vMerge w:val="restart"/>
          </w:tcPr>
          <w:p>
            <w:pPr>
              <w:ind w:left="100"/>
              <w:spacing w:after="0"/>
              <w:rPr>
                <w:sz w:val="20"/>
                <w:szCs w:val="20"/>
                <w:color w:val="auto"/>
              </w:rPr>
            </w:pPr>
            <w:r>
              <w:rPr>
                <w:rFonts w:ascii="Arial" w:cs="Arial" w:eastAsia="Arial" w:hAnsi="Arial"/>
                <w:sz w:val="13"/>
                <w:szCs w:val="13"/>
                <w:color w:val="auto"/>
              </w:rPr>
              <w:t>3(d)</w:t>
            </w:r>
          </w:p>
        </w:tc>
        <w:tc>
          <w:tcPr>
            <w:tcW w:w="1180" w:type="dxa"/>
            <w:vAlign w:val="bottom"/>
            <w:vMerge w:val="restart"/>
          </w:tcPr>
          <w:p>
            <w:pPr>
              <w:ind w:left="820"/>
              <w:spacing w:after="0"/>
              <w:rPr>
                <w:sz w:val="20"/>
                <w:szCs w:val="20"/>
                <w:color w:val="auto"/>
              </w:rPr>
            </w:pPr>
            <w:r>
              <w:rPr>
                <w:rFonts w:ascii="Arial" w:cs="Arial" w:eastAsia="Arial" w:hAnsi="Arial"/>
                <w:sz w:val="14"/>
                <w:szCs w:val="14"/>
                <w:color w:val="auto"/>
              </w:rPr>
              <w:t>(211)</w:t>
            </w:r>
          </w:p>
        </w:tc>
        <w:tc>
          <w:tcPr>
            <w:tcW w:w="380" w:type="dxa"/>
            <w:vAlign w:val="bottom"/>
            <w:vMerge w:val="restart"/>
          </w:tcPr>
          <w:p>
            <w:pPr>
              <w:ind w:left="80"/>
              <w:spacing w:after="0"/>
              <w:rPr>
                <w:sz w:val="20"/>
                <w:szCs w:val="20"/>
                <w:color w:val="auto"/>
              </w:rPr>
            </w:pPr>
            <w:r>
              <w:rPr>
                <w:rFonts w:ascii="Arial" w:cs="Arial" w:eastAsia="Arial" w:hAnsi="Arial"/>
                <w:sz w:val="13"/>
                <w:szCs w:val="13"/>
                <w:color w:val="auto"/>
              </w:rPr>
              <w:t>4(a)</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w:t>
            </w:r>
          </w:p>
        </w:tc>
        <w:tc>
          <w:tcPr>
            <w:tcW w:w="4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6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180" w:type="dxa"/>
            <w:vAlign w:val="bottom"/>
          </w:tcPr>
          <w:p>
            <w:pPr>
              <w:ind w:left="9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70"/>
        </w:trPr>
        <w:tc>
          <w:tcPr>
            <w:tcW w:w="11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1180" w:type="dxa"/>
            <w:vAlign w:val="bottom"/>
          </w:tcPr>
          <w:p>
            <w:pPr>
              <w:ind w:left="9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-1451610</wp:posOffset>
            </wp:positionV>
            <wp:extent cx="712343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3430" cy="128905"/>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-1048385</wp:posOffset>
            </wp:positionV>
            <wp:extent cx="712343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128905"/>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-294005</wp:posOffset>
            </wp:positionV>
            <wp:extent cx="712343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3430" cy="128905"/>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-782955</wp:posOffset>
            </wp:positionV>
            <wp:extent cx="7123430"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3430" cy="222885"/>
                    </a:xfrm>
                    <a:prstGeom prst="rect">
                      <a:avLst/>
                    </a:prstGeom>
                    <a:noFill/>
                  </pic:spPr>
                </pic:pic>
              </a:graphicData>
            </a:graphic>
          </wp:anchor>
        </w:drawing>
      </w:r>
    </w:p>
    <w:p>
      <w:pPr>
        <w:spacing w:after="0" w:line="70" w:lineRule="exact"/>
        <w:rPr>
          <w:sz w:val="20"/>
          <w:szCs w:val="20"/>
          <w:color w:val="auto"/>
        </w:rPr>
      </w:pPr>
    </w:p>
    <w:p>
      <w:pPr>
        <w:sectPr>
          <w:pgSz w:w="11900" w:h="16838" w:orient="portrait"/>
          <w:cols w:equalWidth="0" w:num="2">
            <w:col w:w="2600" w:space="180"/>
            <w:col w:w="8440"/>
          </w:cols>
          <w:pgMar w:left="320" w:top="1259" w:right="35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2700" w:type="dxa"/>
            <w:vAlign w:val="bottom"/>
            <w:tcBorders>
              <w:top w:val="single" w:sz="8" w:color="auto"/>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80" w:type="dxa"/>
            <w:vAlign w:val="bottom"/>
            <w:tcBorders>
              <w:top w:val="single" w:sz="8" w:color="E1E1E2"/>
            </w:tcBorders>
            <w:shd w:val="clear" w:color="auto" w:fill="E1E1E2"/>
          </w:tcPr>
          <w:p>
            <w:pPr>
              <w:spacing w:after="0"/>
              <w:rPr>
                <w:sz w:val="17"/>
                <w:szCs w:val="17"/>
                <w:color w:val="auto"/>
              </w:rPr>
            </w:pPr>
          </w:p>
        </w:tc>
        <w:tc>
          <w:tcPr>
            <w:tcW w:w="380" w:type="dxa"/>
            <w:vAlign w:val="bottom"/>
            <w:tcBorders>
              <w:top w:val="single" w:sz="8" w:color="auto"/>
              <w:bottom w:val="single" w:sz="8" w:color="auto"/>
            </w:tcBorders>
            <w:shd w:val="clear" w:color="auto" w:fill="E1E1E2"/>
          </w:tcPr>
          <w:p>
            <w:pPr>
              <w:spacing w:after="0"/>
              <w:rPr>
                <w:sz w:val="17"/>
                <w:szCs w:val="17"/>
                <w:color w:val="auto"/>
              </w:rPr>
            </w:pPr>
          </w:p>
        </w:tc>
        <w:tc>
          <w:tcPr>
            <w:tcW w:w="780" w:type="dxa"/>
            <w:vAlign w:val="bottom"/>
            <w:tcBorders>
              <w:top w:val="single" w:sz="8" w:color="auto"/>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(166)</w:t>
            </w:r>
          </w:p>
        </w:tc>
        <w:tc>
          <w:tcPr>
            <w:tcW w:w="100" w:type="dxa"/>
            <w:vAlign w:val="bottom"/>
            <w:tcBorders>
              <w:top w:val="single" w:sz="8" w:color="E1E1E2"/>
            </w:tcBorders>
            <w:shd w:val="clear" w:color="auto" w:fill="E1E1E2"/>
          </w:tcPr>
          <w:p>
            <w:pPr>
              <w:spacing w:after="0"/>
              <w:rPr>
                <w:sz w:val="17"/>
                <w:szCs w:val="17"/>
                <w:color w:val="auto"/>
              </w:rPr>
            </w:pPr>
          </w:p>
        </w:tc>
        <w:tc>
          <w:tcPr>
            <w:tcW w:w="620" w:type="dxa"/>
            <w:vAlign w:val="bottom"/>
            <w:tcBorders>
              <w:top w:val="single" w:sz="8" w:color="auto"/>
              <w:bottom w:val="single" w:sz="8" w:color="auto"/>
            </w:tcBorders>
            <w:shd w:val="clear" w:color="auto" w:fill="E1E1E2"/>
          </w:tcPr>
          <w:p>
            <w:pPr>
              <w:spacing w:after="0"/>
              <w:rPr>
                <w:sz w:val="17"/>
                <w:szCs w:val="17"/>
                <w:color w:val="auto"/>
              </w:rPr>
            </w:pPr>
          </w:p>
        </w:tc>
        <w:tc>
          <w:tcPr>
            <w:tcW w:w="820" w:type="dxa"/>
            <w:vAlign w:val="bottom"/>
            <w:tcBorders>
              <w:top w:val="single" w:sz="8" w:color="auto"/>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138</w:t>
            </w:r>
          </w:p>
        </w:tc>
        <w:tc>
          <w:tcPr>
            <w:tcW w:w="80" w:type="dxa"/>
            <w:vAlign w:val="bottom"/>
            <w:tcBorders>
              <w:top w:val="single" w:sz="8" w:color="E1E1E2"/>
            </w:tcBorders>
            <w:shd w:val="clear" w:color="auto" w:fill="E1E1E2"/>
          </w:tcPr>
          <w:p>
            <w:pPr>
              <w:spacing w:after="0"/>
              <w:rPr>
                <w:sz w:val="17"/>
                <w:szCs w:val="17"/>
                <w:color w:val="auto"/>
              </w:rPr>
            </w:pPr>
          </w:p>
        </w:tc>
        <w:tc>
          <w:tcPr>
            <w:tcW w:w="580" w:type="dxa"/>
            <w:vAlign w:val="bottom"/>
            <w:tcBorders>
              <w:top w:val="single" w:sz="8" w:color="auto"/>
              <w:bottom w:val="single" w:sz="8" w:color="auto"/>
            </w:tcBorders>
            <w:shd w:val="clear" w:color="auto" w:fill="E1E1E2"/>
          </w:tcPr>
          <w:p>
            <w:pPr>
              <w:spacing w:after="0"/>
              <w:rPr>
                <w:sz w:val="17"/>
                <w:szCs w:val="17"/>
                <w:color w:val="auto"/>
              </w:rPr>
            </w:pPr>
          </w:p>
        </w:tc>
        <w:tc>
          <w:tcPr>
            <w:tcW w:w="700" w:type="dxa"/>
            <w:vAlign w:val="bottom"/>
            <w:tcBorders>
              <w:top w:val="single" w:sz="8" w:color="auto"/>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Borders>
              <w:top w:val="single" w:sz="8" w:color="E1E1E2"/>
            </w:tcBorders>
            <w:shd w:val="clear" w:color="auto" w:fill="E1E1E2"/>
          </w:tcPr>
          <w:p>
            <w:pPr>
              <w:spacing w:after="0"/>
              <w:rPr>
                <w:sz w:val="17"/>
                <w:szCs w:val="17"/>
                <w:color w:val="auto"/>
              </w:rPr>
            </w:pPr>
          </w:p>
        </w:tc>
        <w:tc>
          <w:tcPr>
            <w:tcW w:w="480" w:type="dxa"/>
            <w:vAlign w:val="bottom"/>
            <w:tcBorders>
              <w:top w:val="single" w:sz="8" w:color="auto"/>
              <w:bottom w:val="single" w:sz="8" w:color="auto"/>
            </w:tcBorders>
            <w:shd w:val="clear" w:color="auto" w:fill="E1E1E2"/>
          </w:tcPr>
          <w:p>
            <w:pPr>
              <w:spacing w:after="0"/>
              <w:rPr>
                <w:sz w:val="17"/>
                <w:szCs w:val="17"/>
                <w:color w:val="auto"/>
              </w:rPr>
            </w:pPr>
          </w:p>
        </w:tc>
        <w:tc>
          <w:tcPr>
            <w:tcW w:w="680" w:type="dxa"/>
            <w:vAlign w:val="bottom"/>
            <w:tcBorders>
              <w:top w:val="single" w:sz="8" w:color="auto"/>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155</w:t>
            </w:r>
          </w:p>
        </w:tc>
        <w:tc>
          <w:tcPr>
            <w:tcW w:w="400" w:type="dxa"/>
            <w:vAlign w:val="bottom"/>
            <w:tcBorders>
              <w:top w:val="single" w:sz="8" w:color="E1E1E2"/>
            </w:tcBorders>
            <w:shd w:val="clear" w:color="auto" w:fill="E1E1E2"/>
          </w:tcPr>
          <w:p>
            <w:pPr>
              <w:spacing w:after="0"/>
              <w:rPr>
                <w:sz w:val="17"/>
                <w:szCs w:val="17"/>
                <w:color w:val="auto"/>
              </w:rPr>
            </w:pPr>
          </w:p>
        </w:tc>
        <w:tc>
          <w:tcPr>
            <w:tcW w:w="460" w:type="dxa"/>
            <w:vAlign w:val="bottom"/>
            <w:tcBorders>
              <w:top w:val="single" w:sz="8" w:color="auto"/>
              <w:bottom w:val="single" w:sz="8" w:color="auto"/>
            </w:tcBorders>
            <w:shd w:val="clear" w:color="auto" w:fill="E1E1E2"/>
          </w:tcPr>
          <w:p>
            <w:pPr>
              <w:spacing w:after="0"/>
              <w:rPr>
                <w:sz w:val="17"/>
                <w:szCs w:val="17"/>
                <w:color w:val="auto"/>
              </w:rPr>
            </w:pPr>
          </w:p>
        </w:tc>
        <w:tc>
          <w:tcPr>
            <w:tcW w:w="720" w:type="dxa"/>
            <w:vAlign w:val="bottom"/>
            <w:tcBorders>
              <w:top w:val="single" w:sz="8" w:color="auto"/>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(211)</w:t>
            </w:r>
          </w:p>
        </w:tc>
        <w:tc>
          <w:tcPr>
            <w:tcW w:w="380" w:type="dxa"/>
            <w:vAlign w:val="bottom"/>
            <w:tcBorders>
              <w:top w:val="single" w:sz="8" w:color="E1E1E2"/>
            </w:tcBorders>
            <w:shd w:val="clear" w:color="auto" w:fill="E1E1E2"/>
          </w:tcPr>
          <w:p>
            <w:pPr>
              <w:spacing w:after="0"/>
              <w:rPr>
                <w:sz w:val="17"/>
                <w:szCs w:val="17"/>
                <w:color w:val="auto"/>
              </w:rPr>
            </w:pPr>
          </w:p>
        </w:tc>
        <w:tc>
          <w:tcPr>
            <w:tcW w:w="380" w:type="dxa"/>
            <w:vAlign w:val="bottom"/>
            <w:tcBorders>
              <w:top w:val="single" w:sz="8" w:color="auto"/>
              <w:bottom w:val="single" w:sz="8" w:color="auto"/>
            </w:tcBorders>
            <w:shd w:val="clear" w:color="auto" w:fill="E1E1E2"/>
          </w:tcPr>
          <w:p>
            <w:pPr>
              <w:spacing w:after="0"/>
              <w:rPr>
                <w:sz w:val="17"/>
                <w:szCs w:val="17"/>
                <w:color w:val="auto"/>
              </w:rPr>
            </w:pPr>
          </w:p>
        </w:tc>
        <w:tc>
          <w:tcPr>
            <w:tcW w:w="780" w:type="dxa"/>
            <w:vAlign w:val="bottom"/>
            <w:tcBorders>
              <w:top w:val="single" w:sz="8" w:color="auto"/>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(75)</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w:t>
            </w:r>
          </w:p>
        </w:tc>
        <w:tc>
          <w:tcPr>
            <w:tcW w:w="80" w:type="dxa"/>
            <w:vAlign w:val="bottom"/>
            <w:tcBorders>
              <w:bottom w:val="single" w:sz="8" w:color="E1E1E2"/>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E1E1E2"/>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400" w:type="dxa"/>
            <w:vAlign w:val="bottom"/>
            <w:tcBorders>
              <w:bottom w:val="single" w:sz="8" w:color="E1E1E2"/>
            </w:tcBorders>
          </w:tcPr>
          <w:p>
            <w:pPr>
              <w:jc w:val="center"/>
              <w:spacing w:after="0"/>
              <w:rPr>
                <w:sz w:val="20"/>
                <w:szCs w:val="20"/>
                <w:color w:val="auto"/>
              </w:rPr>
            </w:pPr>
            <w:r>
              <w:rPr>
                <w:rFonts w:ascii="Arial" w:cs="Arial" w:eastAsia="Arial" w:hAnsi="Arial"/>
                <w:sz w:val="13"/>
                <w:szCs w:val="13"/>
                <w:color w:val="auto"/>
                <w:w w:val="94"/>
              </w:rPr>
              <w:t>3(e)</w:t>
            </w:r>
          </w:p>
        </w:tc>
        <w:tc>
          <w:tcPr>
            <w:tcW w:w="4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w:t>
            </w:r>
          </w:p>
        </w:tc>
        <w:tc>
          <w:tcPr>
            <w:tcW w:w="380" w:type="dxa"/>
            <w:vAlign w:val="bottom"/>
            <w:tcBorders>
              <w:bottom w:val="single" w:sz="8" w:color="E1E1E2"/>
            </w:tcBorders>
          </w:tcPr>
          <w:p>
            <w:pPr>
              <w:ind w:left="80"/>
              <w:spacing w:after="0"/>
              <w:rPr>
                <w:sz w:val="20"/>
                <w:szCs w:val="20"/>
                <w:color w:val="auto"/>
              </w:rPr>
            </w:pPr>
            <w:r>
              <w:rPr>
                <w:rFonts w:ascii="Arial" w:cs="Arial" w:eastAsia="Arial" w:hAnsi="Arial"/>
                <w:sz w:val="13"/>
                <w:szCs w:val="13"/>
                <w:color w:val="auto"/>
              </w:rPr>
              <w:t>4(b)</w:t>
            </w: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6"/>
        </w:trPr>
        <w:tc>
          <w:tcPr>
            <w:tcW w:w="2780" w:type="dxa"/>
            <w:vAlign w:val="bottom"/>
            <w:gridSpan w:val="2"/>
            <w:shd w:val="clear" w:color="auto" w:fill="E1E1E2"/>
          </w:tcPr>
          <w:p>
            <w:pPr>
              <w:ind w:left="20"/>
              <w:spacing w:after="0" w:line="146" w:lineRule="exact"/>
              <w:rPr>
                <w:sz w:val="20"/>
                <w:szCs w:val="20"/>
                <w:color w:val="auto"/>
              </w:rPr>
            </w:pPr>
            <w:r>
              <w:rPr>
                <w:rFonts w:ascii="Arial" w:cs="Arial" w:eastAsia="Arial" w:hAnsi="Arial"/>
                <w:sz w:val="14"/>
                <w:szCs w:val="14"/>
                <w:b w:val="1"/>
                <w:bCs w:val="1"/>
                <w:color w:val="auto"/>
              </w:rPr>
              <w:t>Net Income (Loss) Attributable to</w:t>
            </w:r>
          </w:p>
        </w:tc>
        <w:tc>
          <w:tcPr>
            <w:tcW w:w="380" w:type="dxa"/>
            <w:vAlign w:val="bottom"/>
            <w:vMerge w:val="restart"/>
            <w:shd w:val="clear" w:color="auto" w:fill="E1E1E2"/>
          </w:tcPr>
          <w:p>
            <w:pPr>
              <w:jc w:val="right"/>
              <w:ind w:right="208"/>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(219)</w:t>
            </w:r>
          </w:p>
        </w:tc>
        <w:tc>
          <w:tcPr>
            <w:tcW w:w="100" w:type="dxa"/>
            <w:vAlign w:val="bottom"/>
            <w:shd w:val="clear" w:color="auto" w:fill="E1E1E2"/>
          </w:tcPr>
          <w:p>
            <w:pPr>
              <w:spacing w:after="0"/>
              <w:rPr>
                <w:sz w:val="12"/>
                <w:szCs w:val="12"/>
                <w:color w:val="auto"/>
              </w:rPr>
            </w:pPr>
          </w:p>
        </w:tc>
        <w:tc>
          <w:tcPr>
            <w:tcW w:w="620" w:type="dxa"/>
            <w:vAlign w:val="bottom"/>
            <w:vMerge w:val="restart"/>
            <w:shd w:val="clear" w:color="auto" w:fill="E1E1E2"/>
          </w:tcPr>
          <w:p>
            <w:pPr>
              <w:jc w:val="right"/>
              <w:ind w:right="448"/>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138</w:t>
            </w:r>
          </w:p>
        </w:tc>
        <w:tc>
          <w:tcPr>
            <w:tcW w:w="80" w:type="dxa"/>
            <w:vAlign w:val="bottom"/>
            <w:shd w:val="clear" w:color="auto" w:fill="E1E1E2"/>
          </w:tcPr>
          <w:p>
            <w:pPr>
              <w:spacing w:after="0"/>
              <w:rPr>
                <w:sz w:val="12"/>
                <w:szCs w:val="12"/>
                <w:color w:val="auto"/>
              </w:rPr>
            </w:pPr>
          </w:p>
        </w:tc>
        <w:tc>
          <w:tcPr>
            <w:tcW w:w="580" w:type="dxa"/>
            <w:vAlign w:val="bottom"/>
            <w:vMerge w:val="restart"/>
            <w:shd w:val="clear" w:color="auto" w:fill="E1E1E2"/>
          </w:tcPr>
          <w:p>
            <w:pPr>
              <w:jc w:val="right"/>
              <w:ind w:right="408"/>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shd w:val="clear" w:color="auto" w:fill="E1E1E2"/>
          </w:tcPr>
          <w:p>
            <w:pPr>
              <w:spacing w:after="0"/>
              <w:rPr>
                <w:sz w:val="12"/>
                <w:szCs w:val="12"/>
                <w:color w:val="auto"/>
              </w:rPr>
            </w:pPr>
          </w:p>
        </w:tc>
        <w:tc>
          <w:tcPr>
            <w:tcW w:w="480" w:type="dxa"/>
            <w:vAlign w:val="bottom"/>
            <w:vMerge w:val="restart"/>
            <w:shd w:val="clear" w:color="auto" w:fill="E1E1E2"/>
          </w:tcPr>
          <w:p>
            <w:pPr>
              <w:jc w:val="right"/>
              <w:ind w:right="308"/>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92</w:t>
            </w:r>
          </w:p>
        </w:tc>
        <w:tc>
          <w:tcPr>
            <w:tcW w:w="860" w:type="dxa"/>
            <w:vAlign w:val="bottom"/>
            <w:gridSpan w:val="2"/>
            <w:vMerge w:val="restart"/>
            <w:shd w:val="clear" w:color="auto" w:fill="E1E1E2"/>
          </w:tcPr>
          <w:p>
            <w:pPr>
              <w:jc w:val="right"/>
              <w:ind w:right="360"/>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(166)</w:t>
            </w:r>
          </w:p>
        </w:tc>
        <w:tc>
          <w:tcPr>
            <w:tcW w:w="760" w:type="dxa"/>
            <w:vAlign w:val="bottom"/>
            <w:gridSpan w:val="2"/>
            <w:vMerge w:val="restart"/>
            <w:shd w:val="clear" w:color="auto" w:fill="E1E1E2"/>
          </w:tcPr>
          <w:p>
            <w:pPr>
              <w:jc w:val="right"/>
              <w:ind w:right="280"/>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(146)</w:t>
            </w:r>
          </w:p>
        </w:tc>
        <w:tc>
          <w:tcPr>
            <w:tcW w:w="0" w:type="dxa"/>
            <w:vAlign w:val="bottom"/>
          </w:tcPr>
          <w:p>
            <w:pPr>
              <w:spacing w:after="0"/>
              <w:rPr>
                <w:sz w:val="1"/>
                <w:szCs w:val="1"/>
                <w:color w:val="auto"/>
              </w:rPr>
            </w:pPr>
          </w:p>
        </w:tc>
      </w:tr>
      <w:tr>
        <w:trPr>
          <w:trHeight w:val="120"/>
        </w:trPr>
        <w:tc>
          <w:tcPr>
            <w:tcW w:w="2780" w:type="dxa"/>
            <w:vAlign w:val="bottom"/>
            <w:gridSpan w:val="2"/>
            <w:vMerge w:val="restart"/>
            <w:shd w:val="clear" w:color="auto" w:fill="E1E1E2"/>
          </w:tcPr>
          <w:p>
            <w:pPr>
              <w:ind w:left="100"/>
              <w:spacing w:after="0"/>
              <w:rPr>
                <w:sz w:val="20"/>
                <w:szCs w:val="20"/>
                <w:color w:val="auto"/>
              </w:rPr>
            </w:pPr>
            <w:r>
              <w:rPr>
                <w:rFonts w:ascii="Arial" w:cs="Arial" w:eastAsia="Arial" w:hAnsi="Arial"/>
                <w:sz w:val="14"/>
                <w:szCs w:val="14"/>
                <w:b w:val="1"/>
                <w:bCs w:val="1"/>
                <w:color w:val="auto"/>
              </w:rPr>
              <w:t>Stockholders</w:t>
            </w:r>
          </w:p>
        </w:tc>
        <w:tc>
          <w:tcPr>
            <w:tcW w:w="380" w:type="dxa"/>
            <w:vAlign w:val="bottom"/>
            <w:vMerge w:val="continue"/>
            <w:shd w:val="clear" w:color="auto" w:fill="E1E1E2"/>
          </w:tcPr>
          <w:p>
            <w:pPr>
              <w:spacing w:after="0"/>
              <w:rPr>
                <w:sz w:val="10"/>
                <w:szCs w:val="10"/>
                <w:color w:val="auto"/>
              </w:rPr>
            </w:pPr>
          </w:p>
        </w:tc>
        <w:tc>
          <w:tcPr>
            <w:tcW w:w="780" w:type="dxa"/>
            <w:vAlign w:val="bottom"/>
            <w:vMerge w:val="continue"/>
            <w:shd w:val="clear" w:color="auto" w:fill="E1E1E2"/>
          </w:tcPr>
          <w:p>
            <w:pPr>
              <w:spacing w:after="0"/>
              <w:rPr>
                <w:sz w:val="10"/>
                <w:szCs w:val="10"/>
                <w:color w:val="auto"/>
              </w:rPr>
            </w:pPr>
          </w:p>
        </w:tc>
        <w:tc>
          <w:tcPr>
            <w:tcW w:w="100" w:type="dxa"/>
            <w:vAlign w:val="bottom"/>
            <w:shd w:val="clear" w:color="auto" w:fill="E1E1E2"/>
          </w:tcPr>
          <w:p>
            <w:pPr>
              <w:spacing w:after="0"/>
              <w:rPr>
                <w:sz w:val="10"/>
                <w:szCs w:val="10"/>
                <w:color w:val="auto"/>
              </w:rPr>
            </w:pPr>
          </w:p>
        </w:tc>
        <w:tc>
          <w:tcPr>
            <w:tcW w:w="620" w:type="dxa"/>
            <w:vAlign w:val="bottom"/>
            <w:vMerge w:val="continue"/>
            <w:shd w:val="clear" w:color="auto" w:fill="E1E1E2"/>
          </w:tcPr>
          <w:p>
            <w:pPr>
              <w:spacing w:after="0"/>
              <w:rPr>
                <w:sz w:val="10"/>
                <w:szCs w:val="10"/>
                <w:color w:val="auto"/>
              </w:rPr>
            </w:pPr>
          </w:p>
        </w:tc>
        <w:tc>
          <w:tcPr>
            <w:tcW w:w="820" w:type="dxa"/>
            <w:vAlign w:val="bottom"/>
            <w:vMerge w:val="continue"/>
            <w:shd w:val="clear" w:color="auto" w:fill="E1E1E2"/>
          </w:tcPr>
          <w:p>
            <w:pPr>
              <w:spacing w:after="0"/>
              <w:rPr>
                <w:sz w:val="10"/>
                <w:szCs w:val="10"/>
                <w:color w:val="auto"/>
              </w:rPr>
            </w:pPr>
          </w:p>
        </w:tc>
        <w:tc>
          <w:tcPr>
            <w:tcW w:w="80" w:type="dxa"/>
            <w:vAlign w:val="bottom"/>
            <w:shd w:val="clear" w:color="auto" w:fill="E1E1E2"/>
          </w:tcPr>
          <w:p>
            <w:pPr>
              <w:spacing w:after="0"/>
              <w:rPr>
                <w:sz w:val="10"/>
                <w:szCs w:val="10"/>
                <w:color w:val="auto"/>
              </w:rPr>
            </w:pPr>
          </w:p>
        </w:tc>
        <w:tc>
          <w:tcPr>
            <w:tcW w:w="580" w:type="dxa"/>
            <w:vAlign w:val="bottom"/>
            <w:vMerge w:val="continue"/>
            <w:shd w:val="clear" w:color="auto" w:fill="E1E1E2"/>
          </w:tcPr>
          <w:p>
            <w:pPr>
              <w:spacing w:after="0"/>
              <w:rPr>
                <w:sz w:val="10"/>
                <w:szCs w:val="10"/>
                <w:color w:val="auto"/>
              </w:rPr>
            </w:pPr>
          </w:p>
        </w:tc>
        <w:tc>
          <w:tcPr>
            <w:tcW w:w="700" w:type="dxa"/>
            <w:vAlign w:val="bottom"/>
            <w:vMerge w:val="continue"/>
            <w:shd w:val="clear" w:color="auto" w:fill="E1E1E2"/>
          </w:tcPr>
          <w:p>
            <w:pPr>
              <w:spacing w:after="0"/>
              <w:rPr>
                <w:sz w:val="10"/>
                <w:szCs w:val="10"/>
                <w:color w:val="auto"/>
              </w:rPr>
            </w:pPr>
          </w:p>
        </w:tc>
        <w:tc>
          <w:tcPr>
            <w:tcW w:w="100" w:type="dxa"/>
            <w:vAlign w:val="bottom"/>
            <w:shd w:val="clear" w:color="auto" w:fill="E1E1E2"/>
          </w:tcPr>
          <w:p>
            <w:pPr>
              <w:spacing w:after="0"/>
              <w:rPr>
                <w:sz w:val="10"/>
                <w:szCs w:val="10"/>
                <w:color w:val="auto"/>
              </w:rPr>
            </w:pPr>
          </w:p>
        </w:tc>
        <w:tc>
          <w:tcPr>
            <w:tcW w:w="480" w:type="dxa"/>
            <w:vAlign w:val="bottom"/>
            <w:vMerge w:val="continue"/>
            <w:shd w:val="clear" w:color="auto" w:fill="E1E1E2"/>
          </w:tcPr>
          <w:p>
            <w:pPr>
              <w:spacing w:after="0"/>
              <w:rPr>
                <w:sz w:val="10"/>
                <w:szCs w:val="10"/>
                <w:color w:val="auto"/>
              </w:rPr>
            </w:pPr>
          </w:p>
        </w:tc>
        <w:tc>
          <w:tcPr>
            <w:tcW w:w="680" w:type="dxa"/>
            <w:vAlign w:val="bottom"/>
            <w:vMerge w:val="continue"/>
            <w:shd w:val="clear" w:color="auto" w:fill="E1E1E2"/>
          </w:tcPr>
          <w:p>
            <w:pPr>
              <w:spacing w:after="0"/>
              <w:rPr>
                <w:sz w:val="10"/>
                <w:szCs w:val="10"/>
                <w:color w:val="auto"/>
              </w:rPr>
            </w:pPr>
          </w:p>
        </w:tc>
        <w:tc>
          <w:tcPr>
            <w:tcW w:w="860" w:type="dxa"/>
            <w:vAlign w:val="bottom"/>
            <w:gridSpan w:val="2"/>
            <w:vMerge w:val="continue"/>
            <w:shd w:val="clear" w:color="auto" w:fill="E1E1E2"/>
          </w:tcPr>
          <w:p>
            <w:pPr>
              <w:spacing w:after="0"/>
              <w:rPr>
                <w:sz w:val="10"/>
                <w:szCs w:val="10"/>
                <w:color w:val="auto"/>
              </w:rPr>
            </w:pPr>
          </w:p>
        </w:tc>
        <w:tc>
          <w:tcPr>
            <w:tcW w:w="720" w:type="dxa"/>
            <w:vAlign w:val="bottom"/>
            <w:vMerge w:val="continue"/>
            <w:shd w:val="clear" w:color="auto" w:fill="E1E1E2"/>
          </w:tcPr>
          <w:p>
            <w:pPr>
              <w:spacing w:after="0"/>
              <w:rPr>
                <w:sz w:val="10"/>
                <w:szCs w:val="10"/>
                <w:color w:val="auto"/>
              </w:rPr>
            </w:pPr>
          </w:p>
        </w:tc>
        <w:tc>
          <w:tcPr>
            <w:tcW w:w="760" w:type="dxa"/>
            <w:vAlign w:val="bottom"/>
            <w:gridSpan w:val="2"/>
            <w:vMerge w:val="continue"/>
            <w:shd w:val="clear" w:color="auto" w:fill="E1E1E2"/>
          </w:tcPr>
          <w:p>
            <w:pPr>
              <w:spacing w:after="0"/>
              <w:rPr>
                <w:sz w:val="10"/>
                <w:szCs w:val="10"/>
                <w:color w:val="auto"/>
              </w:rPr>
            </w:pPr>
          </w:p>
        </w:tc>
        <w:tc>
          <w:tcPr>
            <w:tcW w:w="780" w:type="dxa"/>
            <w:vAlign w:val="bottom"/>
            <w:vMerge w:val="continue"/>
            <w:shd w:val="clear" w:color="auto" w:fill="E1E1E2"/>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780" w:type="dxa"/>
            <w:vAlign w:val="bottom"/>
            <w:gridSpan w:val="2"/>
            <w:vMerge w:val="continue"/>
            <w:shd w:val="clear" w:color="auto" w:fill="E1E1E2"/>
          </w:tcPr>
          <w:p>
            <w:pPr>
              <w:spacing w:after="0"/>
              <w:rPr>
                <w:sz w:val="7"/>
                <w:szCs w:val="7"/>
                <w:color w:val="auto"/>
              </w:rPr>
            </w:pPr>
          </w:p>
        </w:tc>
        <w:tc>
          <w:tcPr>
            <w:tcW w:w="380" w:type="dxa"/>
            <w:vAlign w:val="bottom"/>
            <w:shd w:val="clear" w:color="auto" w:fill="E1E1E2"/>
          </w:tcPr>
          <w:p>
            <w:pPr>
              <w:spacing w:after="0"/>
              <w:rPr>
                <w:sz w:val="7"/>
                <w:szCs w:val="7"/>
                <w:color w:val="auto"/>
              </w:rPr>
            </w:pPr>
          </w:p>
        </w:tc>
        <w:tc>
          <w:tcPr>
            <w:tcW w:w="780" w:type="dxa"/>
            <w:vAlign w:val="bottom"/>
            <w:shd w:val="clear" w:color="auto" w:fill="E1E1E2"/>
          </w:tcPr>
          <w:p>
            <w:pPr>
              <w:spacing w:after="0"/>
              <w:rPr>
                <w:sz w:val="7"/>
                <w:szCs w:val="7"/>
                <w:color w:val="auto"/>
              </w:rPr>
            </w:pPr>
          </w:p>
        </w:tc>
        <w:tc>
          <w:tcPr>
            <w:tcW w:w="100" w:type="dxa"/>
            <w:vAlign w:val="bottom"/>
            <w:shd w:val="clear" w:color="auto" w:fill="E1E1E2"/>
          </w:tcPr>
          <w:p>
            <w:pPr>
              <w:spacing w:after="0"/>
              <w:rPr>
                <w:sz w:val="7"/>
                <w:szCs w:val="7"/>
                <w:color w:val="auto"/>
              </w:rPr>
            </w:pPr>
          </w:p>
        </w:tc>
        <w:tc>
          <w:tcPr>
            <w:tcW w:w="620" w:type="dxa"/>
            <w:vAlign w:val="bottom"/>
            <w:shd w:val="clear" w:color="auto" w:fill="E1E1E2"/>
          </w:tcPr>
          <w:p>
            <w:pPr>
              <w:spacing w:after="0"/>
              <w:rPr>
                <w:sz w:val="7"/>
                <w:szCs w:val="7"/>
                <w:color w:val="auto"/>
              </w:rPr>
            </w:pPr>
          </w:p>
        </w:tc>
        <w:tc>
          <w:tcPr>
            <w:tcW w:w="820" w:type="dxa"/>
            <w:vAlign w:val="bottom"/>
            <w:shd w:val="clear" w:color="auto" w:fill="E1E1E2"/>
          </w:tcPr>
          <w:p>
            <w:pPr>
              <w:spacing w:after="0"/>
              <w:rPr>
                <w:sz w:val="7"/>
                <w:szCs w:val="7"/>
                <w:color w:val="auto"/>
              </w:rPr>
            </w:pPr>
          </w:p>
        </w:tc>
        <w:tc>
          <w:tcPr>
            <w:tcW w:w="80" w:type="dxa"/>
            <w:vAlign w:val="bottom"/>
            <w:shd w:val="clear" w:color="auto" w:fill="E1E1E2"/>
          </w:tcPr>
          <w:p>
            <w:pPr>
              <w:spacing w:after="0"/>
              <w:rPr>
                <w:sz w:val="7"/>
                <w:szCs w:val="7"/>
                <w:color w:val="auto"/>
              </w:rPr>
            </w:pPr>
          </w:p>
        </w:tc>
        <w:tc>
          <w:tcPr>
            <w:tcW w:w="580" w:type="dxa"/>
            <w:vAlign w:val="bottom"/>
            <w:shd w:val="clear" w:color="auto" w:fill="E1E1E2"/>
          </w:tcPr>
          <w:p>
            <w:pPr>
              <w:spacing w:after="0"/>
              <w:rPr>
                <w:sz w:val="7"/>
                <w:szCs w:val="7"/>
                <w:color w:val="auto"/>
              </w:rPr>
            </w:pPr>
          </w:p>
        </w:tc>
        <w:tc>
          <w:tcPr>
            <w:tcW w:w="700" w:type="dxa"/>
            <w:vAlign w:val="bottom"/>
            <w:shd w:val="clear" w:color="auto" w:fill="E1E1E2"/>
          </w:tcPr>
          <w:p>
            <w:pPr>
              <w:spacing w:after="0"/>
              <w:rPr>
                <w:sz w:val="7"/>
                <w:szCs w:val="7"/>
                <w:color w:val="auto"/>
              </w:rPr>
            </w:pPr>
          </w:p>
        </w:tc>
        <w:tc>
          <w:tcPr>
            <w:tcW w:w="100" w:type="dxa"/>
            <w:vAlign w:val="bottom"/>
            <w:shd w:val="clear" w:color="auto" w:fill="E1E1E2"/>
          </w:tcPr>
          <w:p>
            <w:pPr>
              <w:spacing w:after="0"/>
              <w:rPr>
                <w:sz w:val="7"/>
                <w:szCs w:val="7"/>
                <w:color w:val="auto"/>
              </w:rPr>
            </w:pPr>
          </w:p>
        </w:tc>
        <w:tc>
          <w:tcPr>
            <w:tcW w:w="480" w:type="dxa"/>
            <w:vAlign w:val="bottom"/>
            <w:shd w:val="clear" w:color="auto" w:fill="E1E1E2"/>
          </w:tcPr>
          <w:p>
            <w:pPr>
              <w:spacing w:after="0"/>
              <w:rPr>
                <w:sz w:val="7"/>
                <w:szCs w:val="7"/>
                <w:color w:val="auto"/>
              </w:rPr>
            </w:pPr>
          </w:p>
        </w:tc>
        <w:tc>
          <w:tcPr>
            <w:tcW w:w="680" w:type="dxa"/>
            <w:vAlign w:val="bottom"/>
            <w:shd w:val="clear" w:color="auto" w:fill="E1E1E2"/>
          </w:tcPr>
          <w:p>
            <w:pPr>
              <w:spacing w:after="0"/>
              <w:rPr>
                <w:sz w:val="7"/>
                <w:szCs w:val="7"/>
                <w:color w:val="auto"/>
              </w:rPr>
            </w:pPr>
          </w:p>
        </w:tc>
        <w:tc>
          <w:tcPr>
            <w:tcW w:w="400" w:type="dxa"/>
            <w:vAlign w:val="bottom"/>
            <w:shd w:val="clear" w:color="auto" w:fill="E1E1E2"/>
          </w:tcPr>
          <w:p>
            <w:pPr>
              <w:spacing w:after="0"/>
              <w:rPr>
                <w:sz w:val="7"/>
                <w:szCs w:val="7"/>
                <w:color w:val="auto"/>
              </w:rPr>
            </w:pPr>
          </w:p>
        </w:tc>
        <w:tc>
          <w:tcPr>
            <w:tcW w:w="460" w:type="dxa"/>
            <w:vAlign w:val="bottom"/>
            <w:shd w:val="clear" w:color="auto" w:fill="E1E1E2"/>
          </w:tcPr>
          <w:p>
            <w:pPr>
              <w:spacing w:after="0"/>
              <w:rPr>
                <w:sz w:val="7"/>
                <w:szCs w:val="7"/>
                <w:color w:val="auto"/>
              </w:rPr>
            </w:pPr>
          </w:p>
        </w:tc>
        <w:tc>
          <w:tcPr>
            <w:tcW w:w="720" w:type="dxa"/>
            <w:vAlign w:val="bottom"/>
            <w:shd w:val="clear" w:color="auto" w:fill="E1E1E2"/>
          </w:tcPr>
          <w:p>
            <w:pPr>
              <w:spacing w:after="0"/>
              <w:rPr>
                <w:sz w:val="7"/>
                <w:szCs w:val="7"/>
                <w:color w:val="auto"/>
              </w:rPr>
            </w:pPr>
          </w:p>
        </w:tc>
        <w:tc>
          <w:tcPr>
            <w:tcW w:w="380" w:type="dxa"/>
            <w:vAlign w:val="bottom"/>
            <w:shd w:val="clear" w:color="auto" w:fill="E1E1E2"/>
          </w:tcPr>
          <w:p>
            <w:pPr>
              <w:spacing w:after="0"/>
              <w:rPr>
                <w:sz w:val="7"/>
                <w:szCs w:val="7"/>
                <w:color w:val="auto"/>
              </w:rPr>
            </w:pPr>
          </w:p>
        </w:tc>
        <w:tc>
          <w:tcPr>
            <w:tcW w:w="380" w:type="dxa"/>
            <w:vAlign w:val="bottom"/>
            <w:shd w:val="clear" w:color="auto" w:fill="E1E1E2"/>
          </w:tcPr>
          <w:p>
            <w:pPr>
              <w:spacing w:after="0"/>
              <w:rPr>
                <w:sz w:val="7"/>
                <w:szCs w:val="7"/>
                <w:color w:val="auto"/>
              </w:rPr>
            </w:pPr>
          </w:p>
        </w:tc>
        <w:tc>
          <w:tcPr>
            <w:tcW w:w="780" w:type="dxa"/>
            <w:vAlign w:val="bottom"/>
            <w:shd w:val="clear" w:color="auto" w:fill="E1E1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E1E1E2"/>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E1E1E2"/>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7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Common Share</w:t>
            </w: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3"/>
                <w:szCs w:val="13"/>
                <w:color w:val="auto"/>
              </w:rPr>
              <w:t>3(f)</w:t>
            </w: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780" w:type="dxa"/>
            <w:vAlign w:val="bottom"/>
            <w:gridSpan w:val="2"/>
            <w:shd w:val="clear" w:color="auto" w:fill="E1E1E2"/>
          </w:tcPr>
          <w:p>
            <w:pPr>
              <w:ind w:left="20"/>
              <w:spacing w:after="0" w:line="149" w:lineRule="exact"/>
              <w:rPr>
                <w:sz w:val="20"/>
                <w:szCs w:val="20"/>
                <w:color w:val="auto"/>
              </w:rPr>
            </w:pPr>
            <w:r>
              <w:rPr>
                <w:rFonts w:ascii="Arial" w:cs="Arial" w:eastAsia="Arial" w:hAnsi="Arial"/>
                <w:sz w:val="14"/>
                <w:szCs w:val="14"/>
                <w:color w:val="auto"/>
              </w:rPr>
              <w:t>Net Income (Loss) Attributable to</w:t>
            </w:r>
          </w:p>
        </w:tc>
        <w:tc>
          <w:tcPr>
            <w:tcW w:w="380" w:type="dxa"/>
            <w:vAlign w:val="bottom"/>
            <w:vMerge w:val="restart"/>
            <w:shd w:val="clear" w:color="auto" w:fill="E1E1E2"/>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(4.79)</w:t>
            </w:r>
          </w:p>
        </w:tc>
        <w:tc>
          <w:tcPr>
            <w:tcW w:w="100" w:type="dxa"/>
            <w:vAlign w:val="bottom"/>
            <w:shd w:val="clear" w:color="auto" w:fill="E1E1E2"/>
          </w:tcPr>
          <w:p>
            <w:pPr>
              <w:spacing w:after="0"/>
              <w:rPr>
                <w:sz w:val="13"/>
                <w:szCs w:val="13"/>
                <w:color w:val="auto"/>
              </w:rPr>
            </w:pPr>
          </w:p>
        </w:tc>
        <w:tc>
          <w:tcPr>
            <w:tcW w:w="620" w:type="dxa"/>
            <w:vAlign w:val="bottom"/>
            <w:shd w:val="clear" w:color="auto" w:fill="E1E1E2"/>
          </w:tcPr>
          <w:p>
            <w:pPr>
              <w:spacing w:after="0"/>
              <w:rPr>
                <w:sz w:val="13"/>
                <w:szCs w:val="13"/>
                <w:color w:val="auto"/>
              </w:rPr>
            </w:pPr>
          </w:p>
        </w:tc>
        <w:tc>
          <w:tcPr>
            <w:tcW w:w="820" w:type="dxa"/>
            <w:vAlign w:val="bottom"/>
            <w:shd w:val="clear" w:color="auto" w:fill="E1E1E2"/>
          </w:tcPr>
          <w:p>
            <w:pPr>
              <w:spacing w:after="0"/>
              <w:rPr>
                <w:sz w:val="13"/>
                <w:szCs w:val="13"/>
                <w:color w:val="auto"/>
              </w:rPr>
            </w:pPr>
          </w:p>
        </w:tc>
        <w:tc>
          <w:tcPr>
            <w:tcW w:w="80" w:type="dxa"/>
            <w:vAlign w:val="bottom"/>
            <w:shd w:val="clear" w:color="auto" w:fill="E1E1E2"/>
          </w:tcPr>
          <w:p>
            <w:pPr>
              <w:spacing w:after="0"/>
              <w:rPr>
                <w:sz w:val="13"/>
                <w:szCs w:val="13"/>
                <w:color w:val="auto"/>
              </w:rPr>
            </w:pPr>
          </w:p>
        </w:tc>
        <w:tc>
          <w:tcPr>
            <w:tcW w:w="580" w:type="dxa"/>
            <w:vAlign w:val="bottom"/>
            <w:shd w:val="clear" w:color="auto" w:fill="E1E1E2"/>
          </w:tcPr>
          <w:p>
            <w:pPr>
              <w:spacing w:after="0"/>
              <w:rPr>
                <w:sz w:val="13"/>
                <w:szCs w:val="13"/>
                <w:color w:val="auto"/>
              </w:rPr>
            </w:pPr>
          </w:p>
        </w:tc>
        <w:tc>
          <w:tcPr>
            <w:tcW w:w="700" w:type="dxa"/>
            <w:vAlign w:val="bottom"/>
            <w:shd w:val="clear" w:color="auto" w:fill="E1E1E2"/>
          </w:tcPr>
          <w:p>
            <w:pPr>
              <w:spacing w:after="0"/>
              <w:rPr>
                <w:sz w:val="13"/>
                <w:szCs w:val="13"/>
                <w:color w:val="auto"/>
              </w:rPr>
            </w:pPr>
          </w:p>
        </w:tc>
        <w:tc>
          <w:tcPr>
            <w:tcW w:w="100" w:type="dxa"/>
            <w:vAlign w:val="bottom"/>
            <w:shd w:val="clear" w:color="auto" w:fill="E1E1E2"/>
          </w:tcPr>
          <w:p>
            <w:pPr>
              <w:spacing w:after="0"/>
              <w:rPr>
                <w:sz w:val="13"/>
                <w:szCs w:val="13"/>
                <w:color w:val="auto"/>
              </w:rPr>
            </w:pPr>
          </w:p>
        </w:tc>
        <w:tc>
          <w:tcPr>
            <w:tcW w:w="480" w:type="dxa"/>
            <w:vAlign w:val="bottom"/>
            <w:shd w:val="clear" w:color="auto" w:fill="E1E1E2"/>
          </w:tcPr>
          <w:p>
            <w:pPr>
              <w:spacing w:after="0"/>
              <w:rPr>
                <w:sz w:val="13"/>
                <w:szCs w:val="13"/>
                <w:color w:val="auto"/>
              </w:rPr>
            </w:pPr>
          </w:p>
        </w:tc>
        <w:tc>
          <w:tcPr>
            <w:tcW w:w="680" w:type="dxa"/>
            <w:vAlign w:val="bottom"/>
            <w:shd w:val="clear" w:color="auto" w:fill="E1E1E2"/>
          </w:tcPr>
          <w:p>
            <w:pPr>
              <w:spacing w:after="0"/>
              <w:rPr>
                <w:sz w:val="13"/>
                <w:szCs w:val="13"/>
                <w:color w:val="auto"/>
              </w:rPr>
            </w:pPr>
          </w:p>
        </w:tc>
        <w:tc>
          <w:tcPr>
            <w:tcW w:w="400" w:type="dxa"/>
            <w:vAlign w:val="bottom"/>
            <w:shd w:val="clear" w:color="auto" w:fill="E1E1E2"/>
          </w:tcPr>
          <w:p>
            <w:pPr>
              <w:spacing w:after="0"/>
              <w:rPr>
                <w:sz w:val="13"/>
                <w:szCs w:val="13"/>
                <w:color w:val="auto"/>
              </w:rPr>
            </w:pPr>
          </w:p>
        </w:tc>
        <w:tc>
          <w:tcPr>
            <w:tcW w:w="460" w:type="dxa"/>
            <w:vAlign w:val="bottom"/>
            <w:shd w:val="clear" w:color="auto" w:fill="E1E1E2"/>
          </w:tcPr>
          <w:p>
            <w:pPr>
              <w:spacing w:after="0"/>
              <w:rPr>
                <w:sz w:val="13"/>
                <w:szCs w:val="13"/>
                <w:color w:val="auto"/>
              </w:rPr>
            </w:pPr>
          </w:p>
        </w:tc>
        <w:tc>
          <w:tcPr>
            <w:tcW w:w="720" w:type="dxa"/>
            <w:vAlign w:val="bottom"/>
            <w:shd w:val="clear" w:color="auto" w:fill="E1E1E2"/>
          </w:tcPr>
          <w:p>
            <w:pPr>
              <w:spacing w:after="0"/>
              <w:rPr>
                <w:sz w:val="13"/>
                <w:szCs w:val="13"/>
                <w:color w:val="auto"/>
              </w:rPr>
            </w:pPr>
          </w:p>
        </w:tc>
        <w:tc>
          <w:tcPr>
            <w:tcW w:w="760" w:type="dxa"/>
            <w:vAlign w:val="bottom"/>
            <w:gridSpan w:val="2"/>
            <w:vMerge w:val="restart"/>
            <w:shd w:val="clear" w:color="auto" w:fill="E1E1E2"/>
          </w:tcPr>
          <w:p>
            <w:pPr>
              <w:jc w:val="right"/>
              <w:ind w:right="28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13"/>
        </w:trPr>
        <w:tc>
          <w:tcPr>
            <w:tcW w:w="2780" w:type="dxa"/>
            <w:vAlign w:val="bottom"/>
            <w:gridSpan w:val="2"/>
            <w:vMerge w:val="restart"/>
            <w:shd w:val="clear" w:color="auto" w:fill="E1E1E2"/>
          </w:tcPr>
          <w:p>
            <w:pPr>
              <w:ind w:left="100"/>
              <w:spacing w:after="0"/>
              <w:rPr>
                <w:sz w:val="20"/>
                <w:szCs w:val="20"/>
                <w:color w:val="auto"/>
              </w:rPr>
            </w:pPr>
            <w:r>
              <w:rPr>
                <w:rFonts w:ascii="Arial" w:cs="Arial" w:eastAsia="Arial" w:hAnsi="Arial"/>
                <w:sz w:val="14"/>
                <w:szCs w:val="14"/>
                <w:color w:val="auto"/>
              </w:rPr>
              <w:t>Stockholders - Basic</w:t>
            </w:r>
          </w:p>
        </w:tc>
        <w:tc>
          <w:tcPr>
            <w:tcW w:w="380" w:type="dxa"/>
            <w:vAlign w:val="bottom"/>
            <w:vMerge w:val="continue"/>
            <w:shd w:val="clear" w:color="auto" w:fill="E1E1E2"/>
          </w:tcPr>
          <w:p>
            <w:pPr>
              <w:spacing w:after="0"/>
              <w:rPr>
                <w:sz w:val="9"/>
                <w:szCs w:val="9"/>
                <w:color w:val="auto"/>
              </w:rPr>
            </w:pPr>
          </w:p>
        </w:tc>
        <w:tc>
          <w:tcPr>
            <w:tcW w:w="780" w:type="dxa"/>
            <w:vAlign w:val="bottom"/>
            <w:vMerge w:val="continue"/>
            <w:shd w:val="clear" w:color="auto" w:fill="E1E1E2"/>
          </w:tcPr>
          <w:p>
            <w:pPr>
              <w:spacing w:after="0"/>
              <w:rPr>
                <w:sz w:val="9"/>
                <w:szCs w:val="9"/>
                <w:color w:val="auto"/>
              </w:rPr>
            </w:pPr>
          </w:p>
        </w:tc>
        <w:tc>
          <w:tcPr>
            <w:tcW w:w="100" w:type="dxa"/>
            <w:vAlign w:val="bottom"/>
            <w:shd w:val="clear" w:color="auto" w:fill="E1E1E2"/>
          </w:tcPr>
          <w:p>
            <w:pPr>
              <w:spacing w:after="0"/>
              <w:rPr>
                <w:sz w:val="9"/>
                <w:szCs w:val="9"/>
                <w:color w:val="auto"/>
              </w:rPr>
            </w:pPr>
          </w:p>
        </w:tc>
        <w:tc>
          <w:tcPr>
            <w:tcW w:w="620" w:type="dxa"/>
            <w:vAlign w:val="bottom"/>
            <w:shd w:val="clear" w:color="auto" w:fill="E1E1E2"/>
          </w:tcPr>
          <w:p>
            <w:pPr>
              <w:spacing w:after="0"/>
              <w:rPr>
                <w:sz w:val="9"/>
                <w:szCs w:val="9"/>
                <w:color w:val="auto"/>
              </w:rPr>
            </w:pPr>
          </w:p>
        </w:tc>
        <w:tc>
          <w:tcPr>
            <w:tcW w:w="820" w:type="dxa"/>
            <w:vAlign w:val="bottom"/>
            <w:shd w:val="clear" w:color="auto" w:fill="E1E1E2"/>
          </w:tcPr>
          <w:p>
            <w:pPr>
              <w:spacing w:after="0"/>
              <w:rPr>
                <w:sz w:val="9"/>
                <w:szCs w:val="9"/>
                <w:color w:val="auto"/>
              </w:rPr>
            </w:pPr>
          </w:p>
        </w:tc>
        <w:tc>
          <w:tcPr>
            <w:tcW w:w="80" w:type="dxa"/>
            <w:vAlign w:val="bottom"/>
            <w:shd w:val="clear" w:color="auto" w:fill="E1E1E2"/>
          </w:tcPr>
          <w:p>
            <w:pPr>
              <w:spacing w:after="0"/>
              <w:rPr>
                <w:sz w:val="9"/>
                <w:szCs w:val="9"/>
                <w:color w:val="auto"/>
              </w:rPr>
            </w:pPr>
          </w:p>
        </w:tc>
        <w:tc>
          <w:tcPr>
            <w:tcW w:w="580" w:type="dxa"/>
            <w:vAlign w:val="bottom"/>
            <w:shd w:val="clear" w:color="auto" w:fill="E1E1E2"/>
          </w:tcPr>
          <w:p>
            <w:pPr>
              <w:spacing w:after="0"/>
              <w:rPr>
                <w:sz w:val="9"/>
                <w:szCs w:val="9"/>
                <w:color w:val="auto"/>
              </w:rPr>
            </w:pPr>
          </w:p>
        </w:tc>
        <w:tc>
          <w:tcPr>
            <w:tcW w:w="700" w:type="dxa"/>
            <w:vAlign w:val="bottom"/>
            <w:shd w:val="clear" w:color="auto" w:fill="E1E1E2"/>
          </w:tcPr>
          <w:p>
            <w:pPr>
              <w:spacing w:after="0"/>
              <w:rPr>
                <w:sz w:val="9"/>
                <w:szCs w:val="9"/>
                <w:color w:val="auto"/>
              </w:rPr>
            </w:pPr>
          </w:p>
        </w:tc>
        <w:tc>
          <w:tcPr>
            <w:tcW w:w="100" w:type="dxa"/>
            <w:vAlign w:val="bottom"/>
            <w:shd w:val="clear" w:color="auto" w:fill="E1E1E2"/>
          </w:tcPr>
          <w:p>
            <w:pPr>
              <w:spacing w:after="0"/>
              <w:rPr>
                <w:sz w:val="9"/>
                <w:szCs w:val="9"/>
                <w:color w:val="auto"/>
              </w:rPr>
            </w:pPr>
          </w:p>
        </w:tc>
        <w:tc>
          <w:tcPr>
            <w:tcW w:w="480" w:type="dxa"/>
            <w:vAlign w:val="bottom"/>
            <w:shd w:val="clear" w:color="auto" w:fill="E1E1E2"/>
          </w:tcPr>
          <w:p>
            <w:pPr>
              <w:spacing w:after="0"/>
              <w:rPr>
                <w:sz w:val="9"/>
                <w:szCs w:val="9"/>
                <w:color w:val="auto"/>
              </w:rPr>
            </w:pPr>
          </w:p>
        </w:tc>
        <w:tc>
          <w:tcPr>
            <w:tcW w:w="680" w:type="dxa"/>
            <w:vAlign w:val="bottom"/>
            <w:shd w:val="clear" w:color="auto" w:fill="E1E1E2"/>
          </w:tcPr>
          <w:p>
            <w:pPr>
              <w:spacing w:after="0"/>
              <w:rPr>
                <w:sz w:val="9"/>
                <w:szCs w:val="9"/>
                <w:color w:val="auto"/>
              </w:rPr>
            </w:pPr>
          </w:p>
        </w:tc>
        <w:tc>
          <w:tcPr>
            <w:tcW w:w="400" w:type="dxa"/>
            <w:vAlign w:val="bottom"/>
            <w:shd w:val="clear" w:color="auto" w:fill="E1E1E2"/>
          </w:tcPr>
          <w:p>
            <w:pPr>
              <w:spacing w:after="0"/>
              <w:rPr>
                <w:sz w:val="9"/>
                <w:szCs w:val="9"/>
                <w:color w:val="auto"/>
              </w:rPr>
            </w:pPr>
          </w:p>
        </w:tc>
        <w:tc>
          <w:tcPr>
            <w:tcW w:w="460" w:type="dxa"/>
            <w:vAlign w:val="bottom"/>
            <w:shd w:val="clear" w:color="auto" w:fill="E1E1E2"/>
          </w:tcPr>
          <w:p>
            <w:pPr>
              <w:spacing w:after="0"/>
              <w:rPr>
                <w:sz w:val="9"/>
                <w:szCs w:val="9"/>
                <w:color w:val="auto"/>
              </w:rPr>
            </w:pPr>
          </w:p>
        </w:tc>
        <w:tc>
          <w:tcPr>
            <w:tcW w:w="720" w:type="dxa"/>
            <w:vAlign w:val="bottom"/>
            <w:shd w:val="clear" w:color="auto" w:fill="E1E1E2"/>
          </w:tcPr>
          <w:p>
            <w:pPr>
              <w:spacing w:after="0"/>
              <w:rPr>
                <w:sz w:val="9"/>
                <w:szCs w:val="9"/>
                <w:color w:val="auto"/>
              </w:rPr>
            </w:pPr>
          </w:p>
        </w:tc>
        <w:tc>
          <w:tcPr>
            <w:tcW w:w="760" w:type="dxa"/>
            <w:vAlign w:val="bottom"/>
            <w:gridSpan w:val="2"/>
            <w:vMerge w:val="continue"/>
            <w:shd w:val="clear" w:color="auto" w:fill="E1E1E2"/>
          </w:tcPr>
          <w:p>
            <w:pPr>
              <w:spacing w:after="0"/>
              <w:rPr>
                <w:sz w:val="9"/>
                <w:szCs w:val="9"/>
                <w:color w:val="auto"/>
              </w:rPr>
            </w:pPr>
          </w:p>
        </w:tc>
        <w:tc>
          <w:tcPr>
            <w:tcW w:w="780" w:type="dxa"/>
            <w:vAlign w:val="bottom"/>
            <w:vMerge w:val="continue"/>
            <w:shd w:val="clear" w:color="auto" w:fill="E1E1E2"/>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780" w:type="dxa"/>
            <w:vAlign w:val="bottom"/>
            <w:gridSpan w:val="2"/>
            <w:vMerge w:val="continue"/>
            <w:shd w:val="clear" w:color="auto" w:fill="E1E1E2"/>
          </w:tcPr>
          <w:p>
            <w:pPr>
              <w:spacing w:after="0"/>
              <w:rPr>
                <w:sz w:val="6"/>
                <w:szCs w:val="6"/>
                <w:color w:val="auto"/>
              </w:rPr>
            </w:pPr>
          </w:p>
        </w:tc>
        <w:tc>
          <w:tcPr>
            <w:tcW w:w="380" w:type="dxa"/>
            <w:vAlign w:val="bottom"/>
            <w:shd w:val="clear" w:color="auto" w:fill="E1E1E2"/>
          </w:tcPr>
          <w:p>
            <w:pPr>
              <w:spacing w:after="0"/>
              <w:rPr>
                <w:sz w:val="6"/>
                <w:szCs w:val="6"/>
                <w:color w:val="auto"/>
              </w:rPr>
            </w:pPr>
          </w:p>
        </w:tc>
        <w:tc>
          <w:tcPr>
            <w:tcW w:w="780" w:type="dxa"/>
            <w:vAlign w:val="bottom"/>
            <w:shd w:val="clear" w:color="auto" w:fill="E1E1E2"/>
          </w:tcPr>
          <w:p>
            <w:pPr>
              <w:spacing w:after="0"/>
              <w:rPr>
                <w:sz w:val="6"/>
                <w:szCs w:val="6"/>
                <w:color w:val="auto"/>
              </w:rPr>
            </w:pPr>
          </w:p>
        </w:tc>
        <w:tc>
          <w:tcPr>
            <w:tcW w:w="100" w:type="dxa"/>
            <w:vAlign w:val="bottom"/>
            <w:shd w:val="clear" w:color="auto" w:fill="E1E1E2"/>
          </w:tcPr>
          <w:p>
            <w:pPr>
              <w:spacing w:after="0"/>
              <w:rPr>
                <w:sz w:val="6"/>
                <w:szCs w:val="6"/>
                <w:color w:val="auto"/>
              </w:rPr>
            </w:pPr>
          </w:p>
        </w:tc>
        <w:tc>
          <w:tcPr>
            <w:tcW w:w="620" w:type="dxa"/>
            <w:vAlign w:val="bottom"/>
            <w:shd w:val="clear" w:color="auto" w:fill="E1E1E2"/>
          </w:tcPr>
          <w:p>
            <w:pPr>
              <w:spacing w:after="0"/>
              <w:rPr>
                <w:sz w:val="6"/>
                <w:szCs w:val="6"/>
                <w:color w:val="auto"/>
              </w:rPr>
            </w:pPr>
          </w:p>
        </w:tc>
        <w:tc>
          <w:tcPr>
            <w:tcW w:w="820" w:type="dxa"/>
            <w:vAlign w:val="bottom"/>
            <w:shd w:val="clear" w:color="auto" w:fill="E1E1E2"/>
          </w:tcPr>
          <w:p>
            <w:pPr>
              <w:spacing w:after="0"/>
              <w:rPr>
                <w:sz w:val="6"/>
                <w:szCs w:val="6"/>
                <w:color w:val="auto"/>
              </w:rPr>
            </w:pPr>
          </w:p>
        </w:tc>
        <w:tc>
          <w:tcPr>
            <w:tcW w:w="80" w:type="dxa"/>
            <w:vAlign w:val="bottom"/>
            <w:shd w:val="clear" w:color="auto" w:fill="E1E1E2"/>
          </w:tcPr>
          <w:p>
            <w:pPr>
              <w:spacing w:after="0"/>
              <w:rPr>
                <w:sz w:val="6"/>
                <w:szCs w:val="6"/>
                <w:color w:val="auto"/>
              </w:rPr>
            </w:pPr>
          </w:p>
        </w:tc>
        <w:tc>
          <w:tcPr>
            <w:tcW w:w="580" w:type="dxa"/>
            <w:vAlign w:val="bottom"/>
            <w:shd w:val="clear" w:color="auto" w:fill="E1E1E2"/>
          </w:tcPr>
          <w:p>
            <w:pPr>
              <w:spacing w:after="0"/>
              <w:rPr>
                <w:sz w:val="6"/>
                <w:szCs w:val="6"/>
                <w:color w:val="auto"/>
              </w:rPr>
            </w:pPr>
          </w:p>
        </w:tc>
        <w:tc>
          <w:tcPr>
            <w:tcW w:w="700" w:type="dxa"/>
            <w:vAlign w:val="bottom"/>
            <w:shd w:val="clear" w:color="auto" w:fill="E1E1E2"/>
          </w:tcPr>
          <w:p>
            <w:pPr>
              <w:spacing w:after="0"/>
              <w:rPr>
                <w:sz w:val="6"/>
                <w:szCs w:val="6"/>
                <w:color w:val="auto"/>
              </w:rPr>
            </w:pPr>
          </w:p>
        </w:tc>
        <w:tc>
          <w:tcPr>
            <w:tcW w:w="100" w:type="dxa"/>
            <w:vAlign w:val="bottom"/>
            <w:shd w:val="clear" w:color="auto" w:fill="E1E1E2"/>
          </w:tcPr>
          <w:p>
            <w:pPr>
              <w:spacing w:after="0"/>
              <w:rPr>
                <w:sz w:val="6"/>
                <w:szCs w:val="6"/>
                <w:color w:val="auto"/>
              </w:rPr>
            </w:pPr>
          </w:p>
        </w:tc>
        <w:tc>
          <w:tcPr>
            <w:tcW w:w="480" w:type="dxa"/>
            <w:vAlign w:val="bottom"/>
            <w:shd w:val="clear" w:color="auto" w:fill="E1E1E2"/>
          </w:tcPr>
          <w:p>
            <w:pPr>
              <w:spacing w:after="0"/>
              <w:rPr>
                <w:sz w:val="6"/>
                <w:szCs w:val="6"/>
                <w:color w:val="auto"/>
              </w:rPr>
            </w:pPr>
          </w:p>
        </w:tc>
        <w:tc>
          <w:tcPr>
            <w:tcW w:w="680" w:type="dxa"/>
            <w:vAlign w:val="bottom"/>
            <w:shd w:val="clear" w:color="auto" w:fill="E1E1E2"/>
          </w:tcPr>
          <w:p>
            <w:pPr>
              <w:spacing w:after="0"/>
              <w:rPr>
                <w:sz w:val="6"/>
                <w:szCs w:val="6"/>
                <w:color w:val="auto"/>
              </w:rPr>
            </w:pPr>
          </w:p>
        </w:tc>
        <w:tc>
          <w:tcPr>
            <w:tcW w:w="400" w:type="dxa"/>
            <w:vAlign w:val="bottom"/>
            <w:shd w:val="clear" w:color="auto" w:fill="E1E1E2"/>
          </w:tcPr>
          <w:p>
            <w:pPr>
              <w:spacing w:after="0"/>
              <w:rPr>
                <w:sz w:val="6"/>
                <w:szCs w:val="6"/>
                <w:color w:val="auto"/>
              </w:rPr>
            </w:pPr>
          </w:p>
        </w:tc>
        <w:tc>
          <w:tcPr>
            <w:tcW w:w="460" w:type="dxa"/>
            <w:vAlign w:val="bottom"/>
            <w:shd w:val="clear" w:color="auto" w:fill="E1E1E2"/>
          </w:tcPr>
          <w:p>
            <w:pPr>
              <w:spacing w:after="0"/>
              <w:rPr>
                <w:sz w:val="6"/>
                <w:szCs w:val="6"/>
                <w:color w:val="auto"/>
              </w:rPr>
            </w:pPr>
          </w:p>
        </w:tc>
        <w:tc>
          <w:tcPr>
            <w:tcW w:w="720" w:type="dxa"/>
            <w:vAlign w:val="bottom"/>
            <w:shd w:val="clear" w:color="auto" w:fill="E1E1E2"/>
          </w:tcPr>
          <w:p>
            <w:pPr>
              <w:spacing w:after="0"/>
              <w:rPr>
                <w:sz w:val="6"/>
                <w:szCs w:val="6"/>
                <w:color w:val="auto"/>
              </w:rPr>
            </w:pPr>
          </w:p>
        </w:tc>
        <w:tc>
          <w:tcPr>
            <w:tcW w:w="380" w:type="dxa"/>
            <w:vAlign w:val="bottom"/>
            <w:shd w:val="clear" w:color="auto" w:fill="E1E1E2"/>
          </w:tcPr>
          <w:p>
            <w:pPr>
              <w:spacing w:after="0"/>
              <w:rPr>
                <w:sz w:val="6"/>
                <w:szCs w:val="6"/>
                <w:color w:val="auto"/>
              </w:rPr>
            </w:pPr>
          </w:p>
        </w:tc>
        <w:tc>
          <w:tcPr>
            <w:tcW w:w="380" w:type="dxa"/>
            <w:vAlign w:val="bottom"/>
            <w:shd w:val="clear" w:color="auto" w:fill="E1E1E2"/>
          </w:tcPr>
          <w:p>
            <w:pPr>
              <w:spacing w:after="0"/>
              <w:rPr>
                <w:sz w:val="6"/>
                <w:szCs w:val="6"/>
                <w:color w:val="auto"/>
              </w:rPr>
            </w:pPr>
          </w:p>
        </w:tc>
        <w:tc>
          <w:tcPr>
            <w:tcW w:w="780" w:type="dxa"/>
            <w:vAlign w:val="bottom"/>
            <w:shd w:val="clear" w:color="auto" w:fill="E1E1E2"/>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7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Net Income (Loss) Attributable to</w:t>
            </w: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(4.79)</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13"/>
        </w:trPr>
        <w:tc>
          <w:tcPr>
            <w:tcW w:w="2780" w:type="dxa"/>
            <w:vAlign w:val="bottom"/>
            <w:gridSpan w:val="2"/>
            <w:vMerge w:val="restart"/>
          </w:tcPr>
          <w:p>
            <w:pPr>
              <w:ind w:left="100"/>
              <w:spacing w:after="0"/>
              <w:rPr>
                <w:sz w:val="20"/>
                <w:szCs w:val="20"/>
                <w:color w:val="auto"/>
              </w:rPr>
            </w:pPr>
            <w:r>
              <w:rPr>
                <w:rFonts w:ascii="Arial" w:cs="Arial" w:eastAsia="Arial" w:hAnsi="Arial"/>
                <w:sz w:val="14"/>
                <w:szCs w:val="14"/>
                <w:color w:val="auto"/>
              </w:rPr>
              <w:t>Stockholders - Diluted</w:t>
            </w:r>
          </w:p>
        </w:tc>
        <w:tc>
          <w:tcPr>
            <w:tcW w:w="3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78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780" w:type="dxa"/>
            <w:vAlign w:val="bottom"/>
            <w:gridSpan w:val="2"/>
            <w:shd w:val="clear" w:color="auto" w:fill="E1E1E2"/>
          </w:tcPr>
          <w:p>
            <w:pPr>
              <w:ind w:left="20"/>
              <w:spacing w:after="0" w:line="149" w:lineRule="exact"/>
              <w:rPr>
                <w:sz w:val="20"/>
                <w:szCs w:val="20"/>
                <w:color w:val="auto"/>
              </w:rPr>
            </w:pPr>
            <w:r>
              <w:rPr>
                <w:rFonts w:ascii="Arial" w:cs="Arial" w:eastAsia="Arial" w:hAnsi="Arial"/>
                <w:sz w:val="14"/>
                <w:szCs w:val="14"/>
                <w:color w:val="auto"/>
              </w:rPr>
              <w:t>Weighted-Average Number of Common</w:t>
            </w:r>
          </w:p>
        </w:tc>
        <w:tc>
          <w:tcPr>
            <w:tcW w:w="380" w:type="dxa"/>
            <w:vAlign w:val="bottom"/>
            <w:shd w:val="clear" w:color="auto" w:fill="E1E1E2"/>
          </w:tcPr>
          <w:p>
            <w:pPr>
              <w:spacing w:after="0"/>
              <w:rPr>
                <w:sz w:val="12"/>
                <w:szCs w:val="12"/>
                <w:color w:val="auto"/>
              </w:rPr>
            </w:pPr>
          </w:p>
        </w:tc>
        <w:tc>
          <w:tcPr>
            <w:tcW w:w="78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45,692</w:t>
            </w:r>
          </w:p>
        </w:tc>
        <w:tc>
          <w:tcPr>
            <w:tcW w:w="100" w:type="dxa"/>
            <w:vAlign w:val="bottom"/>
            <w:shd w:val="clear" w:color="auto" w:fill="E1E1E2"/>
          </w:tcPr>
          <w:p>
            <w:pPr>
              <w:spacing w:after="0"/>
              <w:rPr>
                <w:sz w:val="12"/>
                <w:szCs w:val="12"/>
                <w:color w:val="auto"/>
              </w:rPr>
            </w:pPr>
          </w:p>
        </w:tc>
        <w:tc>
          <w:tcPr>
            <w:tcW w:w="620" w:type="dxa"/>
            <w:vAlign w:val="bottom"/>
            <w:shd w:val="clear" w:color="auto" w:fill="E1E1E2"/>
          </w:tcPr>
          <w:p>
            <w:pPr>
              <w:spacing w:after="0"/>
              <w:rPr>
                <w:sz w:val="12"/>
                <w:szCs w:val="12"/>
                <w:color w:val="auto"/>
              </w:rPr>
            </w:pPr>
          </w:p>
        </w:tc>
        <w:tc>
          <w:tcPr>
            <w:tcW w:w="820" w:type="dxa"/>
            <w:vAlign w:val="bottom"/>
            <w:shd w:val="clear" w:color="auto" w:fill="E1E1E2"/>
          </w:tcPr>
          <w:p>
            <w:pPr>
              <w:spacing w:after="0"/>
              <w:rPr>
                <w:sz w:val="12"/>
                <w:szCs w:val="12"/>
                <w:color w:val="auto"/>
              </w:rPr>
            </w:pPr>
          </w:p>
        </w:tc>
        <w:tc>
          <w:tcPr>
            <w:tcW w:w="80" w:type="dxa"/>
            <w:vAlign w:val="bottom"/>
            <w:shd w:val="clear" w:color="auto" w:fill="E1E1E2"/>
          </w:tcPr>
          <w:p>
            <w:pPr>
              <w:spacing w:after="0"/>
              <w:rPr>
                <w:sz w:val="12"/>
                <w:szCs w:val="12"/>
                <w:color w:val="auto"/>
              </w:rPr>
            </w:pPr>
          </w:p>
        </w:tc>
        <w:tc>
          <w:tcPr>
            <w:tcW w:w="580" w:type="dxa"/>
            <w:vAlign w:val="bottom"/>
            <w:shd w:val="clear" w:color="auto" w:fill="E1E1E2"/>
          </w:tcPr>
          <w:p>
            <w:pPr>
              <w:spacing w:after="0"/>
              <w:rPr>
                <w:sz w:val="12"/>
                <w:szCs w:val="12"/>
                <w:color w:val="auto"/>
              </w:rPr>
            </w:pPr>
          </w:p>
        </w:tc>
        <w:tc>
          <w:tcPr>
            <w:tcW w:w="700" w:type="dxa"/>
            <w:vAlign w:val="bottom"/>
            <w:shd w:val="clear" w:color="auto" w:fill="E1E1E2"/>
          </w:tcPr>
          <w:p>
            <w:pPr>
              <w:spacing w:after="0"/>
              <w:rPr>
                <w:sz w:val="12"/>
                <w:szCs w:val="12"/>
                <w:color w:val="auto"/>
              </w:rPr>
            </w:pPr>
          </w:p>
        </w:tc>
        <w:tc>
          <w:tcPr>
            <w:tcW w:w="100" w:type="dxa"/>
            <w:vAlign w:val="bottom"/>
            <w:shd w:val="clear" w:color="auto" w:fill="E1E1E2"/>
          </w:tcPr>
          <w:p>
            <w:pPr>
              <w:spacing w:after="0"/>
              <w:rPr>
                <w:sz w:val="12"/>
                <w:szCs w:val="12"/>
                <w:color w:val="auto"/>
              </w:rPr>
            </w:pPr>
          </w:p>
        </w:tc>
        <w:tc>
          <w:tcPr>
            <w:tcW w:w="480" w:type="dxa"/>
            <w:vAlign w:val="bottom"/>
            <w:shd w:val="clear" w:color="auto" w:fill="E1E1E2"/>
          </w:tcPr>
          <w:p>
            <w:pPr>
              <w:spacing w:after="0"/>
              <w:rPr>
                <w:sz w:val="12"/>
                <w:szCs w:val="12"/>
                <w:color w:val="auto"/>
              </w:rPr>
            </w:pPr>
          </w:p>
        </w:tc>
        <w:tc>
          <w:tcPr>
            <w:tcW w:w="680" w:type="dxa"/>
            <w:vAlign w:val="bottom"/>
            <w:shd w:val="clear" w:color="auto" w:fill="E1E1E2"/>
          </w:tcPr>
          <w:p>
            <w:pPr>
              <w:spacing w:after="0"/>
              <w:rPr>
                <w:sz w:val="12"/>
                <w:szCs w:val="12"/>
                <w:color w:val="auto"/>
              </w:rPr>
            </w:pPr>
          </w:p>
        </w:tc>
        <w:tc>
          <w:tcPr>
            <w:tcW w:w="400" w:type="dxa"/>
            <w:vAlign w:val="bottom"/>
            <w:shd w:val="clear" w:color="auto" w:fill="E1E1E2"/>
          </w:tcPr>
          <w:p>
            <w:pPr>
              <w:spacing w:after="0"/>
              <w:rPr>
                <w:sz w:val="12"/>
                <w:szCs w:val="12"/>
                <w:color w:val="auto"/>
              </w:rPr>
            </w:pPr>
          </w:p>
        </w:tc>
        <w:tc>
          <w:tcPr>
            <w:tcW w:w="460" w:type="dxa"/>
            <w:vAlign w:val="bottom"/>
            <w:shd w:val="clear" w:color="auto" w:fill="E1E1E2"/>
          </w:tcPr>
          <w:p>
            <w:pPr>
              <w:spacing w:after="0"/>
              <w:rPr>
                <w:sz w:val="12"/>
                <w:szCs w:val="12"/>
                <w:color w:val="auto"/>
              </w:rPr>
            </w:pPr>
          </w:p>
        </w:tc>
        <w:tc>
          <w:tcPr>
            <w:tcW w:w="720" w:type="dxa"/>
            <w:vAlign w:val="bottom"/>
            <w:shd w:val="clear" w:color="auto" w:fill="E1E1E2"/>
          </w:tcPr>
          <w:p>
            <w:pPr>
              <w:spacing w:after="0"/>
              <w:rPr>
                <w:sz w:val="12"/>
                <w:szCs w:val="12"/>
                <w:color w:val="auto"/>
              </w:rPr>
            </w:pPr>
          </w:p>
        </w:tc>
        <w:tc>
          <w:tcPr>
            <w:tcW w:w="380" w:type="dxa"/>
            <w:vAlign w:val="bottom"/>
            <w:shd w:val="clear" w:color="auto" w:fill="E1E1E2"/>
          </w:tcPr>
          <w:p>
            <w:pPr>
              <w:spacing w:after="0"/>
              <w:rPr>
                <w:sz w:val="12"/>
                <w:szCs w:val="12"/>
                <w:color w:val="auto"/>
              </w:rPr>
            </w:pPr>
          </w:p>
        </w:tc>
        <w:tc>
          <w:tcPr>
            <w:tcW w:w="380" w:type="dxa"/>
            <w:vAlign w:val="bottom"/>
            <w:shd w:val="clear" w:color="auto" w:fill="E1E1E2"/>
          </w:tcPr>
          <w:p>
            <w:pPr>
              <w:spacing w:after="0"/>
              <w:rPr>
                <w:sz w:val="12"/>
                <w:szCs w:val="12"/>
                <w:color w:val="auto"/>
              </w:rPr>
            </w:pPr>
          </w:p>
        </w:tc>
        <w:tc>
          <w:tcPr>
            <w:tcW w:w="78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45,692</w:t>
            </w:r>
          </w:p>
        </w:tc>
        <w:tc>
          <w:tcPr>
            <w:tcW w:w="0" w:type="dxa"/>
            <w:vAlign w:val="bottom"/>
          </w:tcPr>
          <w:p>
            <w:pPr>
              <w:spacing w:after="0"/>
              <w:rPr>
                <w:sz w:val="1"/>
                <w:szCs w:val="1"/>
                <w:color w:val="auto"/>
              </w:rPr>
            </w:pPr>
          </w:p>
        </w:tc>
      </w:tr>
      <w:tr>
        <w:trPr>
          <w:trHeight w:val="139"/>
        </w:trPr>
        <w:tc>
          <w:tcPr>
            <w:tcW w:w="2780" w:type="dxa"/>
            <w:vAlign w:val="bottom"/>
            <w:gridSpan w:val="2"/>
            <w:shd w:val="clear" w:color="auto" w:fill="E1E1E2"/>
          </w:tcPr>
          <w:p>
            <w:pPr>
              <w:ind w:left="100"/>
              <w:spacing w:after="0" w:line="139" w:lineRule="exact"/>
              <w:rPr>
                <w:sz w:val="20"/>
                <w:szCs w:val="20"/>
                <w:color w:val="auto"/>
              </w:rPr>
            </w:pPr>
            <w:r>
              <w:rPr>
                <w:rFonts w:ascii="Arial" w:cs="Arial" w:eastAsia="Arial" w:hAnsi="Arial"/>
                <w:sz w:val="14"/>
                <w:szCs w:val="14"/>
                <w:color w:val="auto"/>
              </w:rPr>
              <w:t>Shares Outstanding - Basic (in</w:t>
            </w:r>
          </w:p>
        </w:tc>
        <w:tc>
          <w:tcPr>
            <w:tcW w:w="380" w:type="dxa"/>
            <w:vAlign w:val="bottom"/>
            <w:shd w:val="clear" w:color="auto" w:fill="E1E1E2"/>
          </w:tcPr>
          <w:p>
            <w:pPr>
              <w:spacing w:after="0"/>
              <w:rPr>
                <w:sz w:val="12"/>
                <w:szCs w:val="12"/>
                <w:color w:val="auto"/>
              </w:rPr>
            </w:pPr>
          </w:p>
        </w:tc>
        <w:tc>
          <w:tcPr>
            <w:tcW w:w="780" w:type="dxa"/>
            <w:vAlign w:val="bottom"/>
            <w:vMerge w:val="continue"/>
            <w:shd w:val="clear" w:color="auto" w:fill="E1E1E2"/>
          </w:tcPr>
          <w:p>
            <w:pPr>
              <w:spacing w:after="0"/>
              <w:rPr>
                <w:sz w:val="12"/>
                <w:szCs w:val="12"/>
                <w:color w:val="auto"/>
              </w:rPr>
            </w:pPr>
          </w:p>
        </w:tc>
        <w:tc>
          <w:tcPr>
            <w:tcW w:w="100" w:type="dxa"/>
            <w:vAlign w:val="bottom"/>
            <w:shd w:val="clear" w:color="auto" w:fill="E1E1E2"/>
          </w:tcPr>
          <w:p>
            <w:pPr>
              <w:spacing w:after="0"/>
              <w:rPr>
                <w:sz w:val="12"/>
                <w:szCs w:val="12"/>
                <w:color w:val="auto"/>
              </w:rPr>
            </w:pPr>
          </w:p>
        </w:tc>
        <w:tc>
          <w:tcPr>
            <w:tcW w:w="620" w:type="dxa"/>
            <w:vAlign w:val="bottom"/>
            <w:shd w:val="clear" w:color="auto" w:fill="E1E1E2"/>
          </w:tcPr>
          <w:p>
            <w:pPr>
              <w:spacing w:after="0"/>
              <w:rPr>
                <w:sz w:val="12"/>
                <w:szCs w:val="12"/>
                <w:color w:val="auto"/>
              </w:rPr>
            </w:pPr>
          </w:p>
        </w:tc>
        <w:tc>
          <w:tcPr>
            <w:tcW w:w="820" w:type="dxa"/>
            <w:vAlign w:val="bottom"/>
            <w:shd w:val="clear" w:color="auto" w:fill="E1E1E2"/>
          </w:tcPr>
          <w:p>
            <w:pPr>
              <w:spacing w:after="0"/>
              <w:rPr>
                <w:sz w:val="12"/>
                <w:szCs w:val="12"/>
                <w:color w:val="auto"/>
              </w:rPr>
            </w:pPr>
          </w:p>
        </w:tc>
        <w:tc>
          <w:tcPr>
            <w:tcW w:w="80" w:type="dxa"/>
            <w:vAlign w:val="bottom"/>
            <w:shd w:val="clear" w:color="auto" w:fill="E1E1E2"/>
          </w:tcPr>
          <w:p>
            <w:pPr>
              <w:spacing w:after="0"/>
              <w:rPr>
                <w:sz w:val="12"/>
                <w:szCs w:val="12"/>
                <w:color w:val="auto"/>
              </w:rPr>
            </w:pPr>
          </w:p>
        </w:tc>
        <w:tc>
          <w:tcPr>
            <w:tcW w:w="580" w:type="dxa"/>
            <w:vAlign w:val="bottom"/>
            <w:shd w:val="clear" w:color="auto" w:fill="E1E1E2"/>
          </w:tcPr>
          <w:p>
            <w:pPr>
              <w:spacing w:after="0"/>
              <w:rPr>
                <w:sz w:val="12"/>
                <w:szCs w:val="12"/>
                <w:color w:val="auto"/>
              </w:rPr>
            </w:pPr>
          </w:p>
        </w:tc>
        <w:tc>
          <w:tcPr>
            <w:tcW w:w="700" w:type="dxa"/>
            <w:vAlign w:val="bottom"/>
            <w:shd w:val="clear" w:color="auto" w:fill="E1E1E2"/>
          </w:tcPr>
          <w:p>
            <w:pPr>
              <w:spacing w:after="0"/>
              <w:rPr>
                <w:sz w:val="12"/>
                <w:szCs w:val="12"/>
                <w:color w:val="auto"/>
              </w:rPr>
            </w:pPr>
          </w:p>
        </w:tc>
        <w:tc>
          <w:tcPr>
            <w:tcW w:w="100" w:type="dxa"/>
            <w:vAlign w:val="bottom"/>
            <w:shd w:val="clear" w:color="auto" w:fill="E1E1E2"/>
          </w:tcPr>
          <w:p>
            <w:pPr>
              <w:spacing w:after="0"/>
              <w:rPr>
                <w:sz w:val="12"/>
                <w:szCs w:val="12"/>
                <w:color w:val="auto"/>
              </w:rPr>
            </w:pPr>
          </w:p>
        </w:tc>
        <w:tc>
          <w:tcPr>
            <w:tcW w:w="480" w:type="dxa"/>
            <w:vAlign w:val="bottom"/>
            <w:shd w:val="clear" w:color="auto" w:fill="E1E1E2"/>
          </w:tcPr>
          <w:p>
            <w:pPr>
              <w:spacing w:after="0"/>
              <w:rPr>
                <w:sz w:val="12"/>
                <w:szCs w:val="12"/>
                <w:color w:val="auto"/>
              </w:rPr>
            </w:pPr>
          </w:p>
        </w:tc>
        <w:tc>
          <w:tcPr>
            <w:tcW w:w="680" w:type="dxa"/>
            <w:vAlign w:val="bottom"/>
            <w:shd w:val="clear" w:color="auto" w:fill="E1E1E2"/>
          </w:tcPr>
          <w:p>
            <w:pPr>
              <w:spacing w:after="0"/>
              <w:rPr>
                <w:sz w:val="12"/>
                <w:szCs w:val="12"/>
                <w:color w:val="auto"/>
              </w:rPr>
            </w:pPr>
          </w:p>
        </w:tc>
        <w:tc>
          <w:tcPr>
            <w:tcW w:w="400" w:type="dxa"/>
            <w:vAlign w:val="bottom"/>
            <w:shd w:val="clear" w:color="auto" w:fill="E1E1E2"/>
          </w:tcPr>
          <w:p>
            <w:pPr>
              <w:spacing w:after="0"/>
              <w:rPr>
                <w:sz w:val="12"/>
                <w:szCs w:val="12"/>
                <w:color w:val="auto"/>
              </w:rPr>
            </w:pPr>
          </w:p>
        </w:tc>
        <w:tc>
          <w:tcPr>
            <w:tcW w:w="460" w:type="dxa"/>
            <w:vAlign w:val="bottom"/>
            <w:shd w:val="clear" w:color="auto" w:fill="E1E1E2"/>
          </w:tcPr>
          <w:p>
            <w:pPr>
              <w:spacing w:after="0"/>
              <w:rPr>
                <w:sz w:val="12"/>
                <w:szCs w:val="12"/>
                <w:color w:val="auto"/>
              </w:rPr>
            </w:pPr>
          </w:p>
        </w:tc>
        <w:tc>
          <w:tcPr>
            <w:tcW w:w="720" w:type="dxa"/>
            <w:vAlign w:val="bottom"/>
            <w:shd w:val="clear" w:color="auto" w:fill="E1E1E2"/>
          </w:tcPr>
          <w:p>
            <w:pPr>
              <w:spacing w:after="0"/>
              <w:rPr>
                <w:sz w:val="12"/>
                <w:szCs w:val="12"/>
                <w:color w:val="auto"/>
              </w:rPr>
            </w:pPr>
          </w:p>
        </w:tc>
        <w:tc>
          <w:tcPr>
            <w:tcW w:w="380" w:type="dxa"/>
            <w:vAlign w:val="bottom"/>
            <w:shd w:val="clear" w:color="auto" w:fill="E1E1E2"/>
          </w:tcPr>
          <w:p>
            <w:pPr>
              <w:spacing w:after="0"/>
              <w:rPr>
                <w:sz w:val="12"/>
                <w:szCs w:val="12"/>
                <w:color w:val="auto"/>
              </w:rPr>
            </w:pPr>
          </w:p>
        </w:tc>
        <w:tc>
          <w:tcPr>
            <w:tcW w:w="380" w:type="dxa"/>
            <w:vAlign w:val="bottom"/>
            <w:shd w:val="clear" w:color="auto" w:fill="E1E1E2"/>
          </w:tcPr>
          <w:p>
            <w:pPr>
              <w:spacing w:after="0"/>
              <w:rPr>
                <w:sz w:val="12"/>
                <w:szCs w:val="12"/>
                <w:color w:val="auto"/>
              </w:rPr>
            </w:pPr>
          </w:p>
        </w:tc>
        <w:tc>
          <w:tcPr>
            <w:tcW w:w="780" w:type="dxa"/>
            <w:vAlign w:val="bottom"/>
            <w:vMerge w:val="continue"/>
            <w:shd w:val="clear" w:color="auto" w:fill="E1E1E2"/>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780" w:type="dxa"/>
            <w:vAlign w:val="bottom"/>
            <w:gridSpan w:val="2"/>
            <w:shd w:val="clear" w:color="auto" w:fill="E1E1E2"/>
          </w:tcPr>
          <w:p>
            <w:pPr>
              <w:ind w:left="100"/>
              <w:spacing w:after="0"/>
              <w:rPr>
                <w:sz w:val="20"/>
                <w:szCs w:val="20"/>
                <w:color w:val="auto"/>
              </w:rPr>
            </w:pPr>
            <w:r>
              <w:rPr>
                <w:rFonts w:ascii="Arial" w:cs="Arial" w:eastAsia="Arial" w:hAnsi="Arial"/>
                <w:sz w:val="14"/>
                <w:szCs w:val="14"/>
                <w:color w:val="auto"/>
              </w:rPr>
              <w:t>thousands)</w:t>
            </w:r>
          </w:p>
        </w:tc>
        <w:tc>
          <w:tcPr>
            <w:tcW w:w="380" w:type="dxa"/>
            <w:vAlign w:val="bottom"/>
            <w:shd w:val="clear" w:color="auto" w:fill="E1E1E2"/>
          </w:tcPr>
          <w:p>
            <w:pPr>
              <w:spacing w:after="0"/>
              <w:rPr>
                <w:sz w:val="17"/>
                <w:szCs w:val="17"/>
                <w:color w:val="auto"/>
              </w:rPr>
            </w:pPr>
          </w:p>
        </w:tc>
        <w:tc>
          <w:tcPr>
            <w:tcW w:w="7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20" w:type="dxa"/>
            <w:vAlign w:val="bottom"/>
            <w:shd w:val="clear" w:color="auto" w:fill="E1E1E2"/>
          </w:tcPr>
          <w:p>
            <w:pPr>
              <w:spacing w:after="0"/>
              <w:rPr>
                <w:sz w:val="17"/>
                <w:szCs w:val="17"/>
                <w:color w:val="auto"/>
              </w:rPr>
            </w:pPr>
          </w:p>
        </w:tc>
        <w:tc>
          <w:tcPr>
            <w:tcW w:w="8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580" w:type="dxa"/>
            <w:vAlign w:val="bottom"/>
            <w:shd w:val="clear" w:color="auto" w:fill="E1E1E2"/>
          </w:tcPr>
          <w:p>
            <w:pPr>
              <w:spacing w:after="0"/>
              <w:rPr>
                <w:sz w:val="17"/>
                <w:szCs w:val="17"/>
                <w:color w:val="auto"/>
              </w:rPr>
            </w:pPr>
          </w:p>
        </w:tc>
        <w:tc>
          <w:tcPr>
            <w:tcW w:w="7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480" w:type="dxa"/>
            <w:vAlign w:val="bottom"/>
            <w:shd w:val="clear" w:color="auto" w:fill="E1E1E2"/>
          </w:tcPr>
          <w:p>
            <w:pPr>
              <w:spacing w:after="0"/>
              <w:rPr>
                <w:sz w:val="17"/>
                <w:szCs w:val="17"/>
                <w:color w:val="auto"/>
              </w:rPr>
            </w:pPr>
          </w:p>
        </w:tc>
        <w:tc>
          <w:tcPr>
            <w:tcW w:w="680" w:type="dxa"/>
            <w:vAlign w:val="bottom"/>
            <w:shd w:val="clear" w:color="auto" w:fill="E1E1E2"/>
          </w:tcPr>
          <w:p>
            <w:pPr>
              <w:spacing w:after="0"/>
              <w:rPr>
                <w:sz w:val="17"/>
                <w:szCs w:val="17"/>
                <w:color w:val="auto"/>
              </w:rPr>
            </w:pPr>
          </w:p>
        </w:tc>
        <w:tc>
          <w:tcPr>
            <w:tcW w:w="400" w:type="dxa"/>
            <w:vAlign w:val="bottom"/>
            <w:shd w:val="clear" w:color="auto" w:fill="E1E1E2"/>
          </w:tcPr>
          <w:p>
            <w:pPr>
              <w:spacing w:after="0"/>
              <w:rPr>
                <w:sz w:val="17"/>
                <w:szCs w:val="17"/>
                <w:color w:val="auto"/>
              </w:rPr>
            </w:pPr>
          </w:p>
        </w:tc>
        <w:tc>
          <w:tcPr>
            <w:tcW w:w="460" w:type="dxa"/>
            <w:vAlign w:val="bottom"/>
            <w:shd w:val="clear" w:color="auto" w:fill="E1E1E2"/>
          </w:tcPr>
          <w:p>
            <w:pPr>
              <w:spacing w:after="0"/>
              <w:rPr>
                <w:sz w:val="17"/>
                <w:szCs w:val="17"/>
                <w:color w:val="auto"/>
              </w:rPr>
            </w:pPr>
          </w:p>
        </w:tc>
        <w:tc>
          <w:tcPr>
            <w:tcW w:w="720" w:type="dxa"/>
            <w:vAlign w:val="bottom"/>
            <w:shd w:val="clear" w:color="auto" w:fill="E1E1E2"/>
          </w:tcPr>
          <w:p>
            <w:pPr>
              <w:spacing w:after="0"/>
              <w:rPr>
                <w:sz w:val="17"/>
                <w:szCs w:val="17"/>
                <w:color w:val="auto"/>
              </w:rPr>
            </w:pPr>
          </w:p>
        </w:tc>
        <w:tc>
          <w:tcPr>
            <w:tcW w:w="380" w:type="dxa"/>
            <w:vAlign w:val="bottom"/>
            <w:shd w:val="clear" w:color="auto" w:fill="E1E1E2"/>
          </w:tcPr>
          <w:p>
            <w:pPr>
              <w:spacing w:after="0"/>
              <w:rPr>
                <w:sz w:val="17"/>
                <w:szCs w:val="17"/>
                <w:color w:val="auto"/>
              </w:rPr>
            </w:pPr>
          </w:p>
        </w:tc>
        <w:tc>
          <w:tcPr>
            <w:tcW w:w="380" w:type="dxa"/>
            <w:vAlign w:val="bottom"/>
            <w:shd w:val="clear" w:color="auto" w:fill="E1E1E2"/>
          </w:tcPr>
          <w:p>
            <w:pPr>
              <w:spacing w:after="0"/>
              <w:rPr>
                <w:sz w:val="17"/>
                <w:szCs w:val="17"/>
                <w:color w:val="auto"/>
              </w:rPr>
            </w:pPr>
          </w:p>
        </w:tc>
        <w:tc>
          <w:tcPr>
            <w:tcW w:w="7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7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Weighted-Average Number of Common</w:t>
            </w:r>
          </w:p>
        </w:tc>
        <w:tc>
          <w:tcPr>
            <w:tcW w:w="3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45,692</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45,692</w:t>
            </w:r>
          </w:p>
        </w:tc>
        <w:tc>
          <w:tcPr>
            <w:tcW w:w="0" w:type="dxa"/>
            <w:vAlign w:val="bottom"/>
          </w:tcPr>
          <w:p>
            <w:pPr>
              <w:spacing w:after="0"/>
              <w:rPr>
                <w:sz w:val="1"/>
                <w:szCs w:val="1"/>
                <w:color w:val="auto"/>
              </w:rPr>
            </w:pPr>
          </w:p>
        </w:tc>
      </w:tr>
      <w:tr>
        <w:trPr>
          <w:trHeight w:val="153"/>
        </w:trPr>
        <w:tc>
          <w:tcPr>
            <w:tcW w:w="2780" w:type="dxa"/>
            <w:vAlign w:val="bottom"/>
            <w:gridSpan w:val="2"/>
          </w:tcPr>
          <w:p>
            <w:pPr>
              <w:ind w:left="100"/>
              <w:spacing w:after="0" w:line="153" w:lineRule="exact"/>
              <w:rPr>
                <w:sz w:val="20"/>
                <w:szCs w:val="20"/>
                <w:color w:val="auto"/>
              </w:rPr>
            </w:pPr>
            <w:r>
              <w:rPr>
                <w:rFonts w:ascii="Arial" w:cs="Arial" w:eastAsia="Arial" w:hAnsi="Arial"/>
                <w:sz w:val="14"/>
                <w:szCs w:val="14"/>
                <w:color w:val="auto"/>
              </w:rPr>
              <w:t>Shares Outstanding - Diluted (in</w:t>
            </w:r>
          </w:p>
        </w:tc>
        <w:tc>
          <w:tcPr>
            <w:tcW w:w="3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100"/>
        <w:spacing w:after="0"/>
        <w:rPr>
          <w:sz w:val="20"/>
          <w:szCs w:val="20"/>
          <w:color w:val="auto"/>
        </w:rPr>
      </w:pPr>
      <w:r>
        <w:rPr>
          <w:rFonts w:ascii="Arial" w:cs="Arial" w:eastAsia="Arial" w:hAnsi="Arial"/>
          <w:sz w:val="14"/>
          <w:szCs w:val="14"/>
          <w:color w:val="auto"/>
        </w:rPr>
        <w:t>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234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480" w:hanging="472"/>
        <w:spacing w:after="0"/>
        <w:tabs>
          <w:tab w:leader="none" w:pos="48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Includes the financial results of Freedom and Guernsey from November 25, 2025 to December 31, 2025.</w:t>
      </w:r>
    </w:p>
    <w:p>
      <w:pPr>
        <w:spacing w:after="0" w:line="7" w:lineRule="exact"/>
        <w:rPr>
          <w:rFonts w:ascii="Arial" w:cs="Arial" w:eastAsia="Arial" w:hAnsi="Arial"/>
          <w:sz w:val="13"/>
          <w:szCs w:val="13"/>
          <w:color w:val="auto"/>
        </w:rPr>
      </w:pPr>
    </w:p>
    <w:p>
      <w:pPr>
        <w:ind w:left="500" w:hanging="492"/>
        <w:spacing w:after="0" w:line="245" w:lineRule="auto"/>
        <w:tabs>
          <w:tab w:leader="none" w:pos="492" w:val="left"/>
        </w:tabs>
        <w:numPr>
          <w:ilvl w:val="0"/>
          <w:numId w:val="7"/>
        </w:numPr>
        <w:rPr>
          <w:rFonts w:ascii="Arial" w:cs="Arial" w:eastAsia="Arial" w:hAnsi="Arial"/>
          <w:sz w:val="13"/>
          <w:szCs w:val="13"/>
          <w:color w:val="auto"/>
        </w:rPr>
      </w:pPr>
      <w:r>
        <w:rPr>
          <w:rFonts w:ascii="Arial" w:cs="Arial" w:eastAsia="Arial" w:hAnsi="Arial"/>
          <w:sz w:val="13"/>
          <w:szCs w:val="13"/>
          <w:color w:val="auto"/>
        </w:rPr>
        <w:t>See the pro forma financial information attached as Exhibit 99.5 to the Form 8-K/A filed with the SEC on February 9, 2026 as an amendment to the Form 8-K originally filed and dated November 25, 2025.</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20"/>
          </w:cols>
          <w:pgMar w:left="320" w:top="1259" w:right="35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Notes to the Unaudited Pro Forma Financial Information</w:t>
      </w:r>
    </w:p>
    <w:p>
      <w:pPr>
        <w:spacing w:after="0" w:line="167"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Presentation</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pro forma financial information has been prepared in accordance with Article 11 of SEC Regulation S-X. The Acquisitions are being accounted for as a business combination using the acquisition method of accounting under U.S. GAAP, in accordance with the provisions of ASC 805, Business Combinations, which requires assets acquired and liabilities assumed to be recorded at their acquisition date fair value. ASC 820, Fair Value Measurements, defines the term “fair value” as “the price that would be received to sell an asset or paid to transfer a liability in an orderly transaction between market participants at the measurement date.” Fair value measurements can be highly subjective, and it is possible the application of reasonable judgment could develop different assumptions resulting in a range of alternative estimates based on the same facts and circumstances.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Talen has completed preliminary detailed valuation studies necessary to determine the fair value of the Freedom and Guernsey assets to be acquired and liabilities to be assumed and the related allocations of purchase price. Therefore, the allocation of the purchase price as reflected in the unaudited pro forma condensed combined financial information is based upon management's preliminary estimates of the fair value of the assets acquired and liabilities assumed. The final allocation of the purchase price will be completed following the Closing Date as information necessary to complete the analysis is obtained. Any adjustments to the preliminary estimated fair value amounts could have a significant impact on the pro forma financial information and Talen’s future results of operations and financial position. There can be no assurance that such final allocation of the purchase price will not result in material changes.</w:t>
      </w:r>
    </w:p>
    <w:p>
      <w:pPr>
        <w:spacing w:after="0" w:line="33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historical financial statements of Freedom and Guernsey (together, the “Acquired Entities”), and TEC were each prepared in accordance with U.S. GAAP. As discussed in Note 3, certain reclassifications have been made to align Talen and the Acquired Entities’ financial statement presentations for purposes of preparing the pro forma financial information. The Company believes it has identified all material adjustments necessary to conform the Acquired Entities’ accounting policies to those of Talen. Subsequent to the Closing Date, as more information to complete the analysis is obtained, Talen will perform additional assessments on accounting policies as required. As a result of such assessments, Talen may identify differences between the accounting policies of the companies, requiring conforming adjustments which could have a material impact on the pro forma financial information.</w:t>
      </w:r>
    </w:p>
    <w:p>
      <w:pPr>
        <w:spacing w:after="0" w:line="1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Transaction cost of $43 million are included in the historical TEC results and presented as “Other operating income (expenses), net” on the Unaudited Pro Forma Condensed Combined Statement of Operations.</w:t>
      </w:r>
    </w:p>
    <w:p>
      <w:pPr>
        <w:spacing w:after="0" w:line="1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were no material intercompany transactions or balances between Talen and the Acquired Entities or between each of the Acquired Entities for the year ended December 31, 2025. Dollars are in millions, unless otherwise noted.</w:t>
      </w:r>
    </w:p>
    <w:p>
      <w:pPr>
        <w:spacing w:after="0" w:line="115"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Preliminary Purchase Price Allocation</w:t>
      </w:r>
    </w:p>
    <w:p>
      <w:pPr>
        <w:spacing w:after="0" w:line="167"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See Talen’s annual report on Form 10-K for the year ended December 31, 2025, filed with the SEC on February 26, 2026 for information on the consideration and preliminary purchase price allocation related to the Acquisitions.</w:t>
      </w:r>
    </w:p>
    <w:p>
      <w:pPr>
        <w:spacing w:after="0" w:line="87"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 Pro Forma Adjustments and Assumptions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acquisition and pro forma adjustments reflect:</w:t>
      </w:r>
    </w:p>
    <w:p>
      <w:pPr>
        <w:spacing w:after="0" w:line="181" w:lineRule="exact"/>
        <w:rPr>
          <w:sz w:val="20"/>
          <w:szCs w:val="20"/>
          <w:color w:val="auto"/>
        </w:rPr>
      </w:pPr>
    </w:p>
    <w:p>
      <w:pPr>
        <w:ind w:left="500" w:right="20" w:hanging="492"/>
        <w:spacing w:after="0" w:line="286" w:lineRule="auto"/>
        <w:tabs>
          <w:tab w:leader="none" w:pos="49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recognition of the periodic amortization, which reduces the carrying value of liabilities associated with long-term natural gas purchase agreements, that is expected to occur in future periods through contract expiry.</w:t>
      </w:r>
    </w:p>
    <w:p>
      <w:pPr>
        <w:spacing w:after="0" w:line="115" w:lineRule="exact"/>
        <w:rPr>
          <w:rFonts w:ascii="Arial" w:cs="Arial" w:eastAsia="Arial" w:hAnsi="Arial"/>
          <w:sz w:val="16"/>
          <w:szCs w:val="16"/>
          <w:color w:val="auto"/>
        </w:rPr>
      </w:pPr>
    </w:p>
    <w:p>
      <w:pPr>
        <w:ind w:left="500" w:right="20"/>
        <w:spacing w:after="0" w:line="257" w:lineRule="auto"/>
        <w:rPr>
          <w:rFonts w:ascii="Arial" w:cs="Arial" w:eastAsia="Arial" w:hAnsi="Arial"/>
          <w:sz w:val="16"/>
          <w:szCs w:val="16"/>
          <w:color w:val="auto"/>
        </w:rPr>
      </w:pPr>
      <w:r>
        <w:rPr>
          <w:rFonts w:ascii="Arial" w:cs="Arial" w:eastAsia="Arial" w:hAnsi="Arial"/>
          <w:sz w:val="16"/>
          <w:szCs w:val="16"/>
          <w:color w:val="auto"/>
        </w:rPr>
        <w:t>Freedom and Guernsey are each party to a long-term natural gas purchase agreement with third parties. Under the terms of the arrangements, the suppliers each provide a significant amount of the natural gas required to generate power at the facilities and expire in July 2028 for Freedom and February 2033 for Guernsey. The price paid for natural gas under each contract is variable based on changes to their respective market prices earned for electric generation. Accordingly, as the wholesale price of power at each facility increases or decreases, the price paid for fuel under the long-term contracts result in corresponding changes. As the acquired fuel supply arrangements meet executory contract accounting requirements, their acquisition fair values were measured as of the Closing Date and presented as long-term liabilities. Such liabilities are amortized as reductions to fuel expense through expiry. As the fair value of each fuel supply contract resulted in a Closing Date liability, it reflects favorable long term wholesale market power prices for electric generation at each facility.</w:t>
      </w:r>
    </w:p>
    <w:p>
      <w:pPr>
        <w:spacing w:after="0" w:line="197" w:lineRule="exact"/>
        <w:rPr>
          <w:sz w:val="20"/>
          <w:szCs w:val="20"/>
          <w:color w:val="auto"/>
        </w:rPr>
      </w:pPr>
    </w:p>
    <w:tbl>
      <w:tblPr>
        <w:tblLayout w:type="fixed"/>
        <w:tblInd w:w="500" w:type="dxa"/>
        <w:tblCellMar>
          <w:top w:w="0" w:type="dxa"/>
          <w:left w:w="0" w:type="dxa"/>
          <w:bottom w:w="0" w:type="dxa"/>
          <w:right w:w="0" w:type="dxa"/>
        </w:tblCellMar>
      </w:tblPr>
      <w:tr>
        <w:trPr>
          <w:trHeight w:val="196"/>
        </w:trPr>
        <w:tc>
          <w:tcPr>
            <w:tcW w:w="4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Year Ended December 31, 2025</w:t>
            </w:r>
          </w:p>
        </w:tc>
        <w:tc>
          <w:tcPr>
            <w:tcW w:w="1280" w:type="dxa"/>
            <w:vAlign w:val="bottom"/>
            <w:tcBorders>
              <w:bottom w:val="single" w:sz="8" w:color="auto"/>
            </w:tcBorders>
          </w:tcPr>
          <w:p>
            <w:pPr>
              <w:spacing w:after="0"/>
              <w:rPr>
                <w:sz w:val="17"/>
                <w:szCs w:val="17"/>
                <w:color w:val="auto"/>
              </w:rPr>
            </w:pPr>
          </w:p>
        </w:tc>
      </w:tr>
      <w:tr>
        <w:trPr>
          <w:trHeight w:val="197"/>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Fuel supply contracts amortization</w:t>
            </w:r>
          </w:p>
        </w:tc>
        <w:tc>
          <w:tcPr>
            <w:tcW w:w="80" w:type="dxa"/>
            <w:vAlign w:val="bottom"/>
            <w:tcBorders>
              <w:bottom w:val="single" w:sz="8" w:color="E1E1E2"/>
            </w:tcBorders>
          </w:tcPr>
          <w:p>
            <w:pPr>
              <w:spacing w:after="0"/>
              <w:rPr>
                <w:sz w:val="17"/>
                <w:szCs w:val="17"/>
                <w:color w:val="auto"/>
              </w:rPr>
            </w:pP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Freedom</w:t>
            </w: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Guernsey</w:t>
            </w:r>
          </w:p>
        </w:tc>
        <w:tc>
          <w:tcPr>
            <w:tcW w:w="100" w:type="dxa"/>
            <w:vAlign w:val="bottom"/>
            <w:tcBorders>
              <w:bottom w:val="single" w:sz="8" w:color="E1E1E2"/>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Total</w:t>
            </w:r>
          </w:p>
        </w:tc>
      </w:tr>
      <w:tr>
        <w:trPr>
          <w:trHeight w:val="193"/>
        </w:trPr>
        <w:tc>
          <w:tcPr>
            <w:tcW w:w="48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Fuel and energy purchases</w:t>
            </w:r>
          </w:p>
        </w:tc>
        <w:tc>
          <w:tcPr>
            <w:tcW w:w="80" w:type="dxa"/>
            <w:vAlign w:val="bottom"/>
            <w:shd w:val="clear" w:color="auto" w:fill="E1E1E2"/>
          </w:tcPr>
          <w:p>
            <w:pPr>
              <w:spacing w:after="0"/>
              <w:rPr>
                <w:sz w:val="16"/>
                <w:szCs w:val="16"/>
                <w:color w:val="auto"/>
              </w:rPr>
            </w:pPr>
          </w:p>
        </w:tc>
        <w:tc>
          <w:tcPr>
            <w:tcW w:w="1320" w:type="dxa"/>
            <w:vAlign w:val="bottom"/>
            <w:tcBorders>
              <w:bottom w:val="single" w:sz="8" w:color="auto"/>
            </w:tcBorders>
            <w:shd w:val="clear" w:color="auto" w:fill="E1E1E2"/>
          </w:tcPr>
          <w:p>
            <w:pPr>
              <w:jc w:val="right"/>
              <w:ind w:right="114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16</w:t>
            </w:r>
          </w:p>
        </w:tc>
        <w:tc>
          <w:tcPr>
            <w:tcW w:w="80" w:type="dxa"/>
            <w:vAlign w:val="bottom"/>
            <w:shd w:val="clear" w:color="auto" w:fill="E1E1E2"/>
          </w:tcPr>
          <w:p>
            <w:pPr>
              <w:spacing w:after="0"/>
              <w:rPr>
                <w:sz w:val="16"/>
                <w:szCs w:val="16"/>
                <w:color w:val="auto"/>
              </w:rPr>
            </w:pPr>
          </w:p>
        </w:tc>
        <w:tc>
          <w:tcPr>
            <w:tcW w:w="320" w:type="dxa"/>
            <w:vAlign w:val="bottom"/>
            <w:tcBorders>
              <w:bottom w:val="single" w:sz="8" w:color="auto"/>
            </w:tcBorders>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E1E1E2"/>
          </w:tcPr>
          <w:p>
            <w:pPr>
              <w:spacing w:after="0"/>
              <w:rPr>
                <w:sz w:val="16"/>
                <w:szCs w:val="16"/>
                <w:color w:val="auto"/>
              </w:rPr>
            </w:pPr>
          </w:p>
        </w:tc>
        <w:tc>
          <w:tcPr>
            <w:tcW w:w="400" w:type="dxa"/>
            <w:vAlign w:val="bottom"/>
            <w:tcBorders>
              <w:bottom w:val="single" w:sz="8" w:color="auto"/>
            </w:tcBorders>
            <w:shd w:val="clear" w:color="auto" w:fill="E1E1E2"/>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259" w:right="339" w:bottom="1440" w:gutter="0" w:footer="0" w:header="0"/>
        </w:sectPr>
      </w:pPr>
    </w:p>
    <w:bookmarkStart w:id="7" w:name="page8"/>
    <w:bookmarkEnd w:id="7"/>
    <w:p>
      <w:pPr>
        <w:ind w:left="492" w:hanging="492"/>
        <w:spacing w:after="0" w:line="286" w:lineRule="auto"/>
        <w:tabs>
          <w:tab w:leader="none" w:pos="487"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elimination of costs associated with asset management service agreements between Freedom and Guernsey and their affiliate as such service agreements were not assumed under the Purchase Agreements.</w:t>
      </w:r>
    </w:p>
    <w:p>
      <w:pPr>
        <w:spacing w:after="0" w:line="174" w:lineRule="exact"/>
        <w:rPr>
          <w:sz w:val="20"/>
          <w:szCs w:val="20"/>
          <w:color w:val="auto"/>
        </w:rPr>
      </w:pPr>
    </w:p>
    <w:tbl>
      <w:tblPr>
        <w:tblLayout w:type="fixed"/>
        <w:tblInd w:w="492" w:type="dxa"/>
        <w:tblCellMar>
          <w:top w:w="0" w:type="dxa"/>
          <w:left w:w="0" w:type="dxa"/>
          <w:bottom w:w="0" w:type="dxa"/>
          <w:right w:w="0" w:type="dxa"/>
        </w:tblCellMar>
      </w:tblPr>
      <w:tr>
        <w:trPr>
          <w:trHeight w:val="197"/>
        </w:trPr>
        <w:tc>
          <w:tcPr>
            <w:tcW w:w="4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Year Ended December 31, 2025</w:t>
            </w:r>
          </w:p>
        </w:tc>
        <w:tc>
          <w:tcPr>
            <w:tcW w:w="1280" w:type="dxa"/>
            <w:vAlign w:val="bottom"/>
            <w:tcBorders>
              <w:bottom w:val="single" w:sz="8" w:color="auto"/>
            </w:tcBorders>
          </w:tcPr>
          <w:p>
            <w:pPr>
              <w:spacing w:after="0"/>
              <w:rPr>
                <w:sz w:val="17"/>
                <w:szCs w:val="17"/>
                <w:color w:val="auto"/>
              </w:rPr>
            </w:pPr>
          </w:p>
        </w:tc>
      </w:tr>
      <w:tr>
        <w:trPr>
          <w:trHeight w:val="196"/>
        </w:trPr>
        <w:tc>
          <w:tcPr>
            <w:tcW w:w="482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Freedom</w:t>
            </w: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Guernsey</w:t>
            </w:r>
          </w:p>
        </w:tc>
        <w:tc>
          <w:tcPr>
            <w:tcW w:w="100" w:type="dxa"/>
            <w:vAlign w:val="bottom"/>
            <w:tcBorders>
              <w:bottom w:val="single" w:sz="8" w:color="E1E1E2"/>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Total</w:t>
            </w:r>
          </w:p>
        </w:tc>
      </w:tr>
      <w:tr>
        <w:trPr>
          <w:trHeight w:val="193"/>
        </w:trPr>
        <w:tc>
          <w:tcPr>
            <w:tcW w:w="48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Asset management agreements</w:t>
            </w:r>
          </w:p>
        </w:tc>
        <w:tc>
          <w:tcPr>
            <w:tcW w:w="80" w:type="dxa"/>
            <w:vAlign w:val="bottom"/>
            <w:shd w:val="clear" w:color="auto" w:fill="E1E1E2"/>
          </w:tcPr>
          <w:p>
            <w:pPr>
              <w:spacing w:after="0"/>
              <w:rPr>
                <w:sz w:val="16"/>
                <w:szCs w:val="16"/>
                <w:color w:val="auto"/>
              </w:rPr>
            </w:pPr>
          </w:p>
        </w:tc>
        <w:tc>
          <w:tcPr>
            <w:tcW w:w="1360" w:type="dxa"/>
            <w:vAlign w:val="bottom"/>
            <w:tcBorders>
              <w:bottom w:val="single" w:sz="8" w:color="auto"/>
            </w:tcBorders>
            <w:shd w:val="clear" w:color="auto" w:fill="E1E1E2"/>
          </w:tcPr>
          <w:p>
            <w:pPr>
              <w:jc w:val="right"/>
              <w:ind w:right="11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shd w:val="clear" w:color="auto" w:fill="E1E1E2"/>
          </w:tcPr>
          <w:p>
            <w:pPr>
              <w:spacing w:after="0"/>
              <w:rPr>
                <w:sz w:val="16"/>
                <w:szCs w:val="16"/>
                <w:color w:val="auto"/>
              </w:rPr>
            </w:pPr>
          </w:p>
        </w:tc>
        <w:tc>
          <w:tcPr>
            <w:tcW w:w="320" w:type="dxa"/>
            <w:vAlign w:val="bottom"/>
            <w:tcBorders>
              <w:bottom w:val="single" w:sz="8" w:color="auto"/>
            </w:tcBorders>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E1E1E2"/>
          </w:tcPr>
          <w:p>
            <w:pPr>
              <w:spacing w:after="0"/>
              <w:rPr>
                <w:sz w:val="16"/>
                <w:szCs w:val="16"/>
                <w:color w:val="auto"/>
              </w:rPr>
            </w:pPr>
          </w:p>
        </w:tc>
        <w:tc>
          <w:tcPr>
            <w:tcW w:w="400" w:type="dxa"/>
            <w:vAlign w:val="bottom"/>
            <w:tcBorders>
              <w:bottom w:val="single" w:sz="8" w:color="auto"/>
            </w:tcBorders>
            <w:shd w:val="clear" w:color="auto" w:fill="E1E1E2"/>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w:t>
            </w:r>
          </w:p>
        </w:tc>
      </w:tr>
    </w:tbl>
    <w:p>
      <w:pPr>
        <w:spacing w:after="0" w:line="215" w:lineRule="exact"/>
        <w:rPr>
          <w:sz w:val="20"/>
          <w:szCs w:val="20"/>
          <w:color w:val="auto"/>
        </w:rPr>
      </w:pPr>
    </w:p>
    <w:p>
      <w:pPr>
        <w:ind w:left="492" w:hanging="492"/>
        <w:spacing w:after="0"/>
        <w:tabs>
          <w:tab w:leader="none" w:pos="49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elimination of the historical Freedom and Guernsey depreciation of property, plant and equipment.</w:t>
      </w:r>
    </w:p>
    <w:p>
      <w:pPr>
        <w:spacing w:after="0" w:line="131" w:lineRule="exact"/>
        <w:rPr>
          <w:sz w:val="20"/>
          <w:szCs w:val="20"/>
          <w:color w:val="auto"/>
        </w:rPr>
      </w:pPr>
    </w:p>
    <w:tbl>
      <w:tblPr>
        <w:tblLayout w:type="fixed"/>
        <w:tblInd w:w="492" w:type="dxa"/>
        <w:tblCellMar>
          <w:top w:w="0" w:type="dxa"/>
          <w:left w:w="0" w:type="dxa"/>
          <w:bottom w:w="0" w:type="dxa"/>
          <w:right w:w="0" w:type="dxa"/>
        </w:tblCellMar>
      </w:tblPr>
      <w:tr>
        <w:trPr>
          <w:trHeight w:val="197"/>
        </w:trPr>
        <w:tc>
          <w:tcPr>
            <w:tcW w:w="4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Year Ended December 31, 2025</w:t>
            </w:r>
          </w:p>
        </w:tc>
        <w:tc>
          <w:tcPr>
            <w:tcW w:w="1280" w:type="dxa"/>
            <w:vAlign w:val="bottom"/>
            <w:tcBorders>
              <w:bottom w:val="single" w:sz="8" w:color="auto"/>
            </w:tcBorders>
          </w:tcPr>
          <w:p>
            <w:pPr>
              <w:spacing w:after="0"/>
              <w:rPr>
                <w:sz w:val="17"/>
                <w:szCs w:val="17"/>
                <w:color w:val="auto"/>
              </w:rPr>
            </w:pPr>
          </w:p>
        </w:tc>
      </w:tr>
      <w:tr>
        <w:trPr>
          <w:trHeight w:val="196"/>
        </w:trPr>
        <w:tc>
          <w:tcPr>
            <w:tcW w:w="482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Freedom</w:t>
            </w: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Guernsey</w:t>
            </w:r>
          </w:p>
        </w:tc>
        <w:tc>
          <w:tcPr>
            <w:tcW w:w="100" w:type="dxa"/>
            <w:vAlign w:val="bottom"/>
            <w:tcBorders>
              <w:bottom w:val="single" w:sz="8" w:color="E1E1E2"/>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Total</w:t>
            </w:r>
          </w:p>
        </w:tc>
      </w:tr>
      <w:tr>
        <w:trPr>
          <w:trHeight w:val="193"/>
        </w:trPr>
        <w:tc>
          <w:tcPr>
            <w:tcW w:w="48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Depreciation, amortization and accretion</w:t>
            </w:r>
          </w:p>
        </w:tc>
        <w:tc>
          <w:tcPr>
            <w:tcW w:w="80" w:type="dxa"/>
            <w:vAlign w:val="bottom"/>
            <w:shd w:val="clear" w:color="auto" w:fill="E1E1E2"/>
          </w:tcPr>
          <w:p>
            <w:pPr>
              <w:spacing w:after="0"/>
              <w:rPr>
                <w:sz w:val="16"/>
                <w:szCs w:val="16"/>
                <w:color w:val="auto"/>
              </w:rPr>
            </w:pPr>
          </w:p>
        </w:tc>
        <w:tc>
          <w:tcPr>
            <w:tcW w:w="1320" w:type="dxa"/>
            <w:vAlign w:val="bottom"/>
            <w:tcBorders>
              <w:bottom w:val="single" w:sz="8" w:color="auto"/>
            </w:tcBorders>
            <w:shd w:val="clear" w:color="auto" w:fill="E1E1E2"/>
          </w:tcPr>
          <w:p>
            <w:pPr>
              <w:jc w:val="right"/>
              <w:ind w:right="114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24</w:t>
            </w:r>
          </w:p>
        </w:tc>
        <w:tc>
          <w:tcPr>
            <w:tcW w:w="80" w:type="dxa"/>
            <w:vAlign w:val="bottom"/>
            <w:shd w:val="clear" w:color="auto" w:fill="E1E1E2"/>
          </w:tcPr>
          <w:p>
            <w:pPr>
              <w:spacing w:after="0"/>
              <w:rPr>
                <w:sz w:val="16"/>
                <w:szCs w:val="16"/>
                <w:color w:val="auto"/>
              </w:rPr>
            </w:pPr>
          </w:p>
        </w:tc>
        <w:tc>
          <w:tcPr>
            <w:tcW w:w="320" w:type="dxa"/>
            <w:vAlign w:val="bottom"/>
            <w:tcBorders>
              <w:bottom w:val="single" w:sz="8" w:color="auto"/>
            </w:tcBorders>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E1E1E2"/>
          </w:tcPr>
          <w:p>
            <w:pPr>
              <w:spacing w:after="0"/>
              <w:rPr>
                <w:sz w:val="16"/>
                <w:szCs w:val="16"/>
                <w:color w:val="auto"/>
              </w:rPr>
            </w:pPr>
          </w:p>
        </w:tc>
        <w:tc>
          <w:tcPr>
            <w:tcW w:w="400" w:type="dxa"/>
            <w:vAlign w:val="bottom"/>
            <w:tcBorders>
              <w:bottom w:val="single" w:sz="8" w:color="auto"/>
            </w:tcBorders>
            <w:shd w:val="clear" w:color="auto" w:fill="E1E1E2"/>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67</w:t>
            </w:r>
          </w:p>
        </w:tc>
      </w:tr>
    </w:tbl>
    <w:p>
      <w:pPr>
        <w:spacing w:after="0" w:line="242" w:lineRule="exact"/>
        <w:rPr>
          <w:sz w:val="20"/>
          <w:szCs w:val="20"/>
          <w:color w:val="auto"/>
        </w:rPr>
      </w:pPr>
    </w:p>
    <w:p>
      <w:pPr>
        <w:ind w:left="492"/>
        <w:spacing w:after="0"/>
        <w:rPr>
          <w:sz w:val="20"/>
          <w:szCs w:val="20"/>
          <w:color w:val="auto"/>
        </w:rPr>
      </w:pPr>
      <w:r>
        <w:rPr>
          <w:rFonts w:ascii="Arial" w:cs="Arial" w:eastAsia="Arial" w:hAnsi="Arial"/>
          <w:sz w:val="16"/>
          <w:szCs w:val="16"/>
          <w:color w:val="auto"/>
        </w:rPr>
        <w:t>the estimated periodic depreciation measured at the estimated fair value allocated to such assets.</w:t>
      </w:r>
    </w:p>
    <w:p>
      <w:pPr>
        <w:spacing w:after="0" w:line="226" w:lineRule="exact"/>
        <w:rPr>
          <w:sz w:val="20"/>
          <w:szCs w:val="20"/>
          <w:color w:val="auto"/>
        </w:rPr>
      </w:pPr>
    </w:p>
    <w:tbl>
      <w:tblPr>
        <w:tblLayout w:type="fixed"/>
        <w:tblInd w:w="492" w:type="dxa"/>
        <w:tblCellMar>
          <w:top w:w="0" w:type="dxa"/>
          <w:left w:w="0" w:type="dxa"/>
          <w:bottom w:w="0" w:type="dxa"/>
          <w:right w:w="0" w:type="dxa"/>
        </w:tblCellMar>
      </w:tblPr>
      <w:tr>
        <w:trPr>
          <w:trHeight w:val="196"/>
        </w:trPr>
        <w:tc>
          <w:tcPr>
            <w:tcW w:w="4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Year Ended December 31, 2025</w:t>
            </w:r>
          </w:p>
        </w:tc>
        <w:tc>
          <w:tcPr>
            <w:tcW w:w="1280" w:type="dxa"/>
            <w:vAlign w:val="bottom"/>
            <w:tcBorders>
              <w:bottom w:val="single" w:sz="8" w:color="auto"/>
            </w:tcBorders>
          </w:tcPr>
          <w:p>
            <w:pPr>
              <w:spacing w:after="0"/>
              <w:rPr>
                <w:sz w:val="17"/>
                <w:szCs w:val="17"/>
                <w:color w:val="auto"/>
              </w:rPr>
            </w:pPr>
          </w:p>
        </w:tc>
      </w:tr>
      <w:tr>
        <w:trPr>
          <w:trHeight w:val="197"/>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Borders>
              <w:bottom w:val="single" w:sz="8" w:color="E1E1E2"/>
            </w:tcBorders>
          </w:tcPr>
          <w:p>
            <w:pPr>
              <w:spacing w:after="0"/>
              <w:rPr>
                <w:sz w:val="17"/>
                <w:szCs w:val="17"/>
                <w:color w:val="auto"/>
              </w:rPr>
            </w:pP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Freedom</w:t>
            </w: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Guernsey</w:t>
            </w:r>
          </w:p>
        </w:tc>
        <w:tc>
          <w:tcPr>
            <w:tcW w:w="100" w:type="dxa"/>
            <w:vAlign w:val="bottom"/>
            <w:tcBorders>
              <w:bottom w:val="single" w:sz="8" w:color="E1E1E2"/>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Total</w:t>
            </w:r>
          </w:p>
        </w:tc>
      </w:tr>
      <w:tr>
        <w:trPr>
          <w:trHeight w:val="193"/>
        </w:trPr>
        <w:tc>
          <w:tcPr>
            <w:tcW w:w="48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Electric generation</w:t>
            </w:r>
          </w:p>
        </w:tc>
        <w:tc>
          <w:tcPr>
            <w:tcW w:w="80" w:type="dxa"/>
            <w:vAlign w:val="bottom"/>
            <w:shd w:val="clear" w:color="auto" w:fill="E1E1E2"/>
          </w:tcPr>
          <w:p>
            <w:pPr>
              <w:spacing w:after="0"/>
              <w:rPr>
                <w:sz w:val="16"/>
                <w:szCs w:val="16"/>
                <w:color w:val="auto"/>
              </w:rPr>
            </w:pPr>
          </w:p>
        </w:tc>
        <w:tc>
          <w:tcPr>
            <w:tcW w:w="1320" w:type="dxa"/>
            <w:vAlign w:val="bottom"/>
            <w:tcBorders>
              <w:bottom w:val="single" w:sz="8" w:color="auto"/>
            </w:tcBorders>
            <w:shd w:val="clear" w:color="auto" w:fill="E1E1E2"/>
          </w:tcPr>
          <w:p>
            <w:pPr>
              <w:jc w:val="right"/>
              <w:ind w:right="114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40</w:t>
            </w:r>
          </w:p>
        </w:tc>
        <w:tc>
          <w:tcPr>
            <w:tcW w:w="80" w:type="dxa"/>
            <w:vAlign w:val="bottom"/>
            <w:shd w:val="clear" w:color="auto" w:fill="E1E1E2"/>
          </w:tcPr>
          <w:p>
            <w:pPr>
              <w:spacing w:after="0"/>
              <w:rPr>
                <w:sz w:val="16"/>
                <w:szCs w:val="16"/>
                <w:color w:val="auto"/>
              </w:rPr>
            </w:pPr>
          </w:p>
        </w:tc>
        <w:tc>
          <w:tcPr>
            <w:tcW w:w="320" w:type="dxa"/>
            <w:vAlign w:val="bottom"/>
            <w:tcBorders>
              <w:bottom w:val="single" w:sz="8" w:color="auto"/>
            </w:tcBorders>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E1E1E2"/>
          </w:tcPr>
          <w:p>
            <w:pPr>
              <w:spacing w:after="0"/>
              <w:rPr>
                <w:sz w:val="16"/>
                <w:szCs w:val="16"/>
                <w:color w:val="auto"/>
              </w:rPr>
            </w:pPr>
          </w:p>
        </w:tc>
        <w:tc>
          <w:tcPr>
            <w:tcW w:w="400" w:type="dxa"/>
            <w:vAlign w:val="bottom"/>
            <w:tcBorders>
              <w:bottom w:val="single" w:sz="8" w:color="auto"/>
            </w:tcBorders>
            <w:shd w:val="clear" w:color="auto" w:fill="E1E1E2"/>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109</w:t>
            </w:r>
          </w:p>
        </w:tc>
      </w:tr>
    </w:tbl>
    <w:p>
      <w:pPr>
        <w:spacing w:after="0" w:line="242" w:lineRule="exact"/>
        <w:rPr>
          <w:sz w:val="20"/>
          <w:szCs w:val="20"/>
          <w:color w:val="auto"/>
        </w:rPr>
      </w:pPr>
    </w:p>
    <w:p>
      <w:pPr>
        <w:ind w:left="492" w:right="20" w:hanging="492"/>
        <w:spacing w:after="0" w:line="286" w:lineRule="auto"/>
        <w:tabs>
          <w:tab w:leader="none" w:pos="487"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elimination of the historical Freedom and Guernsey interest expense and debt financing costs as the Acquired Entities’ debt agreements were not assumed under the Purchase Agreements.</w:t>
      </w:r>
    </w:p>
    <w:p>
      <w:pPr>
        <w:spacing w:after="0" w:line="79" w:lineRule="exact"/>
        <w:rPr>
          <w:sz w:val="20"/>
          <w:szCs w:val="20"/>
          <w:color w:val="auto"/>
        </w:rPr>
      </w:pPr>
    </w:p>
    <w:tbl>
      <w:tblPr>
        <w:tblLayout w:type="fixed"/>
        <w:tblInd w:w="492" w:type="dxa"/>
        <w:tblCellMar>
          <w:top w:w="0" w:type="dxa"/>
          <w:left w:w="0" w:type="dxa"/>
          <w:bottom w:w="0" w:type="dxa"/>
          <w:right w:w="0" w:type="dxa"/>
        </w:tblCellMar>
      </w:tblPr>
      <w:tr>
        <w:trPr>
          <w:trHeight w:val="196"/>
        </w:trPr>
        <w:tc>
          <w:tcPr>
            <w:tcW w:w="4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6"/>
          </w:tcPr>
          <w:p>
            <w:pPr>
              <w:jc w:val="right"/>
              <w:ind w:right="208"/>
              <w:spacing w:after="0"/>
              <w:rPr>
                <w:sz w:val="20"/>
                <w:szCs w:val="20"/>
                <w:color w:val="auto"/>
              </w:rPr>
            </w:pPr>
            <w:r>
              <w:rPr>
                <w:rFonts w:ascii="Arial" w:cs="Arial" w:eastAsia="Arial" w:hAnsi="Arial"/>
                <w:sz w:val="14"/>
                <w:szCs w:val="14"/>
                <w:b w:val="1"/>
                <w:bCs w:val="1"/>
                <w:color w:val="auto"/>
              </w:rPr>
              <w:t>Year Ended December 31, 2025</w:t>
            </w:r>
          </w:p>
        </w:tc>
        <w:tc>
          <w:tcPr>
            <w:tcW w:w="1280" w:type="dxa"/>
            <w:vAlign w:val="bottom"/>
            <w:tcBorders>
              <w:bottom w:val="single" w:sz="8" w:color="auto"/>
            </w:tcBorders>
          </w:tcPr>
          <w:p>
            <w:pPr>
              <w:spacing w:after="0"/>
              <w:rPr>
                <w:sz w:val="17"/>
                <w:szCs w:val="17"/>
                <w:color w:val="auto"/>
              </w:rPr>
            </w:pPr>
          </w:p>
        </w:tc>
      </w:tr>
      <w:tr>
        <w:trPr>
          <w:trHeight w:val="197"/>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Interest expense and other finance charges</w:t>
            </w: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Freedom</w:t>
            </w: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Guernsey</w:t>
            </w:r>
          </w:p>
        </w:tc>
        <w:tc>
          <w:tcPr>
            <w:tcW w:w="100" w:type="dxa"/>
            <w:vAlign w:val="bottom"/>
            <w:tcBorders>
              <w:bottom w:val="single" w:sz="8" w:color="E1E1E2"/>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Total</w:t>
            </w:r>
          </w:p>
        </w:tc>
      </w:tr>
      <w:tr>
        <w:trPr>
          <w:trHeight w:val="197"/>
        </w:trPr>
        <w:tc>
          <w:tcPr>
            <w:tcW w:w="49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29</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E1E1E2"/>
          </w:tcPr>
          <w:p>
            <w:pPr>
              <w:spacing w:after="0"/>
              <w:rPr>
                <w:sz w:val="17"/>
                <w:szCs w:val="17"/>
                <w:color w:val="auto"/>
              </w:rPr>
            </w:pPr>
          </w:p>
        </w:tc>
        <w:tc>
          <w:tcPr>
            <w:tcW w:w="400" w:type="dxa"/>
            <w:vAlign w:val="bottom"/>
            <w:shd w:val="clear" w:color="auto" w:fill="E1E1E2"/>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88</w:t>
            </w:r>
          </w:p>
        </w:tc>
      </w:tr>
      <w:tr>
        <w:trPr>
          <w:trHeight w:val="198"/>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Amortization of deferred financing costs</w:t>
            </w: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E1E1E2"/>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219"/>
        </w:trPr>
        <w:tc>
          <w:tcPr>
            <w:tcW w:w="49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w:t>
            </w:r>
          </w:p>
        </w:tc>
        <w:tc>
          <w:tcPr>
            <w:tcW w:w="320" w:type="dxa"/>
            <w:vAlign w:val="bottom"/>
            <w:shd w:val="clear" w:color="auto" w:fill="E1E1E2"/>
          </w:tcPr>
          <w:p>
            <w:pPr>
              <w:spacing w:after="0"/>
              <w:rPr>
                <w:sz w:val="19"/>
                <w:szCs w:val="19"/>
                <w:color w:val="auto"/>
              </w:rPr>
            </w:pPr>
          </w:p>
        </w:tc>
        <w:tc>
          <w:tcPr>
            <w:tcW w:w="1380" w:type="dxa"/>
            <w:vAlign w:val="bottom"/>
            <w:shd w:val="clear" w:color="auto" w:fill="E1E1E2"/>
          </w:tcPr>
          <w:p>
            <w:pPr>
              <w:spacing w:after="0"/>
              <w:rPr>
                <w:sz w:val="19"/>
                <w:szCs w:val="19"/>
                <w:color w:val="auto"/>
              </w:rPr>
            </w:pPr>
          </w:p>
        </w:tc>
        <w:tc>
          <w:tcPr>
            <w:tcW w:w="80" w:type="dxa"/>
            <w:vAlign w:val="bottom"/>
            <w:shd w:val="clear" w:color="auto" w:fill="E1E1E2"/>
          </w:tcPr>
          <w:p>
            <w:pPr>
              <w:spacing w:after="0"/>
              <w:rPr>
                <w:sz w:val="19"/>
                <w:szCs w:val="19"/>
                <w:color w:val="auto"/>
              </w:rPr>
            </w:pPr>
          </w:p>
        </w:tc>
        <w:tc>
          <w:tcPr>
            <w:tcW w:w="320" w:type="dxa"/>
            <w:vAlign w:val="bottom"/>
            <w:shd w:val="clear" w:color="auto" w:fill="E1E1E2"/>
          </w:tcPr>
          <w:p>
            <w:pPr>
              <w:spacing w:after="0"/>
              <w:rPr>
                <w:sz w:val="19"/>
                <w:szCs w:val="19"/>
                <w:color w:val="auto"/>
              </w:rPr>
            </w:pPr>
          </w:p>
        </w:tc>
        <w:tc>
          <w:tcPr>
            <w:tcW w:w="1380" w:type="dxa"/>
            <w:vAlign w:val="bottom"/>
            <w:shd w:val="clear" w:color="auto" w:fill="E1E1E2"/>
          </w:tcPr>
          <w:p>
            <w:pPr>
              <w:spacing w:after="0"/>
              <w:rPr>
                <w:sz w:val="19"/>
                <w:szCs w:val="19"/>
                <w:color w:val="auto"/>
              </w:rPr>
            </w:pPr>
          </w:p>
        </w:tc>
        <w:tc>
          <w:tcPr>
            <w:tcW w:w="100" w:type="dxa"/>
            <w:vAlign w:val="bottom"/>
            <w:shd w:val="clear" w:color="auto" w:fill="E1E1E2"/>
          </w:tcPr>
          <w:p>
            <w:pPr>
              <w:spacing w:after="0"/>
              <w:rPr>
                <w:sz w:val="19"/>
                <w:szCs w:val="19"/>
                <w:color w:val="auto"/>
              </w:rPr>
            </w:pPr>
          </w:p>
        </w:tc>
        <w:tc>
          <w:tcPr>
            <w:tcW w:w="400" w:type="dxa"/>
            <w:vAlign w:val="bottom"/>
            <w:shd w:val="clear" w:color="auto" w:fill="E1E1E2"/>
          </w:tcPr>
          <w:p>
            <w:pPr>
              <w:jc w:val="right"/>
              <w:ind w:right="22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95</w:t>
            </w:r>
          </w:p>
        </w:tc>
      </w:tr>
      <w:tr>
        <w:trPr>
          <w:trHeight w:val="20"/>
        </w:trPr>
        <w:tc>
          <w:tcPr>
            <w:tcW w:w="4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92"/>
        <w:spacing w:after="0" w:line="286" w:lineRule="auto"/>
        <w:rPr>
          <w:sz w:val="20"/>
          <w:szCs w:val="20"/>
          <w:color w:val="auto"/>
        </w:rPr>
      </w:pPr>
      <w:r>
        <w:rPr>
          <w:rFonts w:ascii="Arial" w:cs="Arial" w:eastAsia="Arial" w:hAnsi="Arial"/>
          <w:sz w:val="16"/>
          <w:szCs w:val="16"/>
          <w:color w:val="auto"/>
        </w:rPr>
        <w:t>adjustments to eliminate the net unrealized and realized gains and losses associated with interest rate swaps as such agreements were not assumed by Talen under the Purchase Agreements.</w:t>
      </w:r>
    </w:p>
    <w:p>
      <w:pPr>
        <w:spacing w:after="0" w:line="160" w:lineRule="exact"/>
        <w:rPr>
          <w:sz w:val="20"/>
          <w:szCs w:val="20"/>
          <w:color w:val="auto"/>
        </w:rPr>
      </w:pPr>
    </w:p>
    <w:tbl>
      <w:tblPr>
        <w:tblLayout w:type="fixed"/>
        <w:tblInd w:w="492" w:type="dxa"/>
        <w:tblCellMar>
          <w:top w:w="0" w:type="dxa"/>
          <w:left w:w="0" w:type="dxa"/>
          <w:bottom w:w="0" w:type="dxa"/>
          <w:right w:w="0" w:type="dxa"/>
        </w:tblCellMar>
      </w:tblPr>
      <w:tr>
        <w:trPr>
          <w:trHeight w:val="196"/>
        </w:trPr>
        <w:tc>
          <w:tcPr>
            <w:tcW w:w="4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6"/>
          </w:tcPr>
          <w:p>
            <w:pPr>
              <w:jc w:val="center"/>
              <w:ind w:left="908"/>
              <w:spacing w:after="0"/>
              <w:rPr>
                <w:sz w:val="20"/>
                <w:szCs w:val="20"/>
                <w:color w:val="auto"/>
              </w:rPr>
            </w:pPr>
            <w:r>
              <w:rPr>
                <w:rFonts w:ascii="Arial" w:cs="Arial" w:eastAsia="Arial" w:hAnsi="Arial"/>
                <w:sz w:val="14"/>
                <w:szCs w:val="14"/>
                <w:b w:val="1"/>
                <w:bCs w:val="1"/>
                <w:color w:val="auto"/>
              </w:rPr>
              <w:t>Year Ended December 31, 2025</w:t>
            </w:r>
          </w:p>
        </w:tc>
        <w:tc>
          <w:tcPr>
            <w:tcW w:w="1280" w:type="dxa"/>
            <w:vAlign w:val="bottom"/>
            <w:tcBorders>
              <w:bottom w:val="single" w:sz="8" w:color="auto"/>
            </w:tcBorders>
          </w:tcPr>
          <w:p>
            <w:pPr>
              <w:spacing w:after="0"/>
              <w:rPr>
                <w:sz w:val="17"/>
                <w:szCs w:val="17"/>
                <w:color w:val="auto"/>
              </w:rPr>
            </w:pPr>
          </w:p>
        </w:tc>
      </w:tr>
      <w:tr>
        <w:trPr>
          <w:trHeight w:val="197"/>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Interest rate swaps</w:t>
            </w: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Freedom</w:t>
            </w: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Guernsey</w:t>
            </w:r>
          </w:p>
        </w:tc>
        <w:tc>
          <w:tcPr>
            <w:tcW w:w="100" w:type="dxa"/>
            <w:vAlign w:val="bottom"/>
            <w:tcBorders>
              <w:bottom w:val="single" w:sz="8" w:color="E1E1E2"/>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Total</w:t>
            </w:r>
          </w:p>
        </w:tc>
      </w:tr>
      <w:tr>
        <w:trPr>
          <w:trHeight w:val="197"/>
        </w:trPr>
        <w:tc>
          <w:tcPr>
            <w:tcW w:w="49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w:t>
            </w: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E1E1E2"/>
          </w:tcPr>
          <w:p>
            <w:pPr>
              <w:spacing w:after="0"/>
              <w:rPr>
                <w:sz w:val="17"/>
                <w:szCs w:val="17"/>
                <w:color w:val="auto"/>
              </w:rPr>
            </w:pPr>
          </w:p>
        </w:tc>
        <w:tc>
          <w:tcPr>
            <w:tcW w:w="400" w:type="dxa"/>
            <w:vAlign w:val="bottom"/>
            <w:shd w:val="clear" w:color="auto" w:fill="E1E1E2"/>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(26)</w:t>
            </w:r>
          </w:p>
        </w:tc>
      </w:tr>
      <w:tr>
        <w:trPr>
          <w:trHeight w:val="198"/>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E1E1E2"/>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r>
      <w:tr>
        <w:trPr>
          <w:trHeight w:val="219"/>
        </w:trPr>
        <w:tc>
          <w:tcPr>
            <w:tcW w:w="49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w:t>
            </w:r>
          </w:p>
        </w:tc>
        <w:tc>
          <w:tcPr>
            <w:tcW w:w="320" w:type="dxa"/>
            <w:vAlign w:val="bottom"/>
            <w:shd w:val="clear" w:color="auto" w:fill="E1E1E2"/>
          </w:tcPr>
          <w:p>
            <w:pPr>
              <w:spacing w:after="0"/>
              <w:rPr>
                <w:sz w:val="19"/>
                <w:szCs w:val="19"/>
                <w:color w:val="auto"/>
              </w:rPr>
            </w:pPr>
          </w:p>
        </w:tc>
        <w:tc>
          <w:tcPr>
            <w:tcW w:w="1380" w:type="dxa"/>
            <w:vAlign w:val="bottom"/>
            <w:shd w:val="clear" w:color="auto" w:fill="E1E1E2"/>
          </w:tcPr>
          <w:p>
            <w:pPr>
              <w:spacing w:after="0"/>
              <w:rPr>
                <w:sz w:val="19"/>
                <w:szCs w:val="19"/>
                <w:color w:val="auto"/>
              </w:rPr>
            </w:pPr>
          </w:p>
        </w:tc>
        <w:tc>
          <w:tcPr>
            <w:tcW w:w="80" w:type="dxa"/>
            <w:vAlign w:val="bottom"/>
            <w:shd w:val="clear" w:color="auto" w:fill="E1E1E2"/>
          </w:tcPr>
          <w:p>
            <w:pPr>
              <w:spacing w:after="0"/>
              <w:rPr>
                <w:sz w:val="19"/>
                <w:szCs w:val="19"/>
                <w:color w:val="auto"/>
              </w:rPr>
            </w:pPr>
          </w:p>
        </w:tc>
        <w:tc>
          <w:tcPr>
            <w:tcW w:w="320" w:type="dxa"/>
            <w:vAlign w:val="bottom"/>
            <w:shd w:val="clear" w:color="auto" w:fill="E1E1E2"/>
          </w:tcPr>
          <w:p>
            <w:pPr>
              <w:spacing w:after="0"/>
              <w:rPr>
                <w:sz w:val="19"/>
                <w:szCs w:val="19"/>
                <w:color w:val="auto"/>
              </w:rPr>
            </w:pPr>
          </w:p>
        </w:tc>
        <w:tc>
          <w:tcPr>
            <w:tcW w:w="1380" w:type="dxa"/>
            <w:vAlign w:val="bottom"/>
            <w:shd w:val="clear" w:color="auto" w:fill="E1E1E2"/>
          </w:tcPr>
          <w:p>
            <w:pPr>
              <w:spacing w:after="0"/>
              <w:rPr>
                <w:sz w:val="19"/>
                <w:szCs w:val="19"/>
                <w:color w:val="auto"/>
              </w:rPr>
            </w:pPr>
          </w:p>
        </w:tc>
        <w:tc>
          <w:tcPr>
            <w:tcW w:w="100" w:type="dxa"/>
            <w:vAlign w:val="bottom"/>
            <w:shd w:val="clear" w:color="auto" w:fill="E1E1E2"/>
          </w:tcPr>
          <w:p>
            <w:pPr>
              <w:spacing w:after="0"/>
              <w:rPr>
                <w:sz w:val="19"/>
                <w:szCs w:val="19"/>
                <w:color w:val="auto"/>
              </w:rPr>
            </w:pPr>
          </w:p>
        </w:tc>
        <w:tc>
          <w:tcPr>
            <w:tcW w:w="400" w:type="dxa"/>
            <w:vAlign w:val="bottom"/>
            <w:shd w:val="clear" w:color="auto" w:fill="E1E1E2"/>
          </w:tcPr>
          <w:p>
            <w:pPr>
              <w:jc w:val="right"/>
              <w:ind w:right="22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w:t>
            </w:r>
          </w:p>
        </w:tc>
      </w:tr>
      <w:tr>
        <w:trPr>
          <w:trHeight w:val="20"/>
        </w:trPr>
        <w:tc>
          <w:tcPr>
            <w:tcW w:w="4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92" w:right="20" w:hanging="492"/>
        <w:spacing w:after="0" w:line="299" w:lineRule="auto"/>
        <w:tabs>
          <w:tab w:leader="none" w:pos="487"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adjustments to the income tax expense (benefit) related to the historical income (loss) before income taxes and the resulting pro forma acquisition adjustments, which were tax-effected using a statutory rate of 21%.</w:t>
      </w:r>
    </w:p>
    <w:p>
      <w:pPr>
        <w:ind w:left="472" w:hanging="472"/>
        <w:spacing w:after="0"/>
        <w:tabs>
          <w:tab w:leader="none" w:pos="47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effect of the cumulative pro forma acquisition adjustments on Talen’s ordinary shares and earnings per share:</w:t>
      </w:r>
    </w:p>
    <w:p>
      <w:pPr>
        <w:spacing w:after="0" w:line="209" w:lineRule="exact"/>
        <w:rPr>
          <w:sz w:val="20"/>
          <w:szCs w:val="20"/>
          <w:color w:val="auto"/>
        </w:rPr>
      </w:pPr>
    </w:p>
    <w:tbl>
      <w:tblPr>
        <w:tblLayout w:type="fixed"/>
        <w:tblInd w:w="492" w:type="dxa"/>
        <w:tblCellMar>
          <w:top w:w="0" w:type="dxa"/>
          <w:left w:w="0" w:type="dxa"/>
          <w:bottom w:w="0" w:type="dxa"/>
          <w:right w:w="0" w:type="dxa"/>
        </w:tblCellMar>
      </w:tblPr>
      <w:tr>
        <w:trPr>
          <w:trHeight w:val="161"/>
        </w:trPr>
        <w:tc>
          <w:tcPr>
            <w:tcW w:w="8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 forma earnings per share</w:t>
            </w:r>
          </w:p>
        </w:tc>
        <w:tc>
          <w:tcPr>
            <w:tcW w:w="120" w:type="dxa"/>
            <w:vAlign w:val="bottom"/>
          </w:tcPr>
          <w:p>
            <w:pPr>
              <w:spacing w:after="0"/>
              <w:rPr>
                <w:sz w:val="14"/>
                <w:szCs w:val="14"/>
                <w:color w:val="auto"/>
              </w:rPr>
            </w:pPr>
          </w:p>
        </w:tc>
        <w:tc>
          <w:tcPr>
            <w:tcW w:w="17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Year Ended December</w:t>
            </w:r>
          </w:p>
        </w:tc>
        <w:tc>
          <w:tcPr>
            <w:tcW w:w="0" w:type="dxa"/>
            <w:vAlign w:val="bottom"/>
          </w:tcPr>
          <w:p>
            <w:pPr>
              <w:spacing w:after="0"/>
              <w:rPr>
                <w:sz w:val="1"/>
                <w:szCs w:val="1"/>
                <w:color w:val="auto"/>
              </w:rPr>
            </w:pPr>
          </w:p>
        </w:tc>
      </w:tr>
      <w:tr>
        <w:trPr>
          <w:trHeight w:val="189"/>
        </w:trPr>
        <w:tc>
          <w:tcPr>
            <w:tcW w:w="8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31, 2025</w:t>
            </w:r>
          </w:p>
        </w:tc>
        <w:tc>
          <w:tcPr>
            <w:tcW w:w="0" w:type="dxa"/>
            <w:vAlign w:val="bottom"/>
          </w:tcPr>
          <w:p>
            <w:pPr>
              <w:spacing w:after="0"/>
              <w:rPr>
                <w:sz w:val="1"/>
                <w:szCs w:val="1"/>
                <w:color w:val="auto"/>
              </w:rPr>
            </w:pPr>
          </w:p>
        </w:tc>
      </w:tr>
      <w:tr>
        <w:trPr>
          <w:trHeight w:val="196"/>
        </w:trPr>
        <w:tc>
          <w:tcPr>
            <w:tcW w:w="83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Pro forma net income attributable to Talen</w:t>
            </w:r>
          </w:p>
        </w:tc>
        <w:tc>
          <w:tcPr>
            <w:tcW w:w="120" w:type="dxa"/>
            <w:vAlign w:val="bottom"/>
            <w:shd w:val="clear" w:color="auto" w:fill="E1E1E2"/>
          </w:tcPr>
          <w:p>
            <w:pPr>
              <w:ind w:left="20"/>
              <w:spacing w:after="0"/>
              <w:rPr>
                <w:sz w:val="20"/>
                <w:szCs w:val="20"/>
                <w:color w:val="auto"/>
              </w:rPr>
            </w:pPr>
            <w:r>
              <w:rPr>
                <w:rFonts w:ascii="Arial" w:cs="Arial" w:eastAsia="Arial" w:hAnsi="Arial"/>
                <w:sz w:val="14"/>
                <w:szCs w:val="14"/>
                <w:color w:val="auto"/>
              </w:rPr>
              <w:t> </w:t>
            </w: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(146)</w:t>
            </w:r>
          </w:p>
        </w:tc>
        <w:tc>
          <w:tcPr>
            <w:tcW w:w="0" w:type="dxa"/>
            <w:vAlign w:val="bottom"/>
          </w:tcPr>
          <w:p>
            <w:pPr>
              <w:spacing w:after="0"/>
              <w:rPr>
                <w:sz w:val="1"/>
                <w:szCs w:val="1"/>
                <w:color w:val="auto"/>
              </w:rPr>
            </w:pPr>
          </w:p>
        </w:tc>
      </w:tr>
      <w:tr>
        <w:trPr>
          <w:trHeight w:val="194"/>
        </w:trPr>
        <w:tc>
          <w:tcPr>
            <w:tcW w:w="834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 </w:t>
            </w: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340" w:type="dxa"/>
            <w:vAlign w:val="bottom"/>
          </w:tcPr>
          <w:p>
            <w:pPr>
              <w:ind w:left="20"/>
              <w:spacing w:after="0"/>
              <w:rPr>
                <w:sz w:val="20"/>
                <w:szCs w:val="20"/>
                <w:color w:val="auto"/>
              </w:rPr>
            </w:pPr>
            <w:r>
              <w:rPr>
                <w:rFonts w:ascii="Arial" w:cs="Arial" w:eastAsia="Arial" w:hAnsi="Arial"/>
                <w:sz w:val="14"/>
                <w:szCs w:val="14"/>
                <w:b w:val="1"/>
                <w:bCs w:val="1"/>
                <w:color w:val="auto"/>
              </w:rPr>
              <w:t>Basic:</w:t>
            </w:r>
          </w:p>
        </w:tc>
        <w:tc>
          <w:tcPr>
            <w:tcW w:w="120" w:type="dxa"/>
            <w:vAlign w:val="bottom"/>
          </w:tcPr>
          <w:p>
            <w:pPr>
              <w:ind w:left="20"/>
              <w:spacing w:after="0"/>
              <w:rPr>
                <w:sz w:val="20"/>
                <w:szCs w:val="20"/>
                <w:color w:val="auto"/>
              </w:rPr>
            </w:pPr>
            <w:r>
              <w:rPr>
                <w:rFonts w:ascii="Arial" w:cs="Arial" w:eastAsia="Arial" w:hAnsi="Arial"/>
                <w:sz w:val="14"/>
                <w:szCs w:val="14"/>
                <w:color w:val="auto"/>
              </w:rPr>
              <w:t> </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3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Historical weighted average of Talen common shares outstanding (in thousands)</w:t>
            </w:r>
          </w:p>
        </w:tc>
        <w:tc>
          <w:tcPr>
            <w:tcW w:w="120" w:type="dxa"/>
            <w:vAlign w:val="bottom"/>
            <w:shd w:val="clear" w:color="auto" w:fill="E1E1E2"/>
          </w:tcPr>
          <w:p>
            <w:pPr>
              <w:ind w:left="20"/>
              <w:spacing w:after="0"/>
              <w:rPr>
                <w:sz w:val="20"/>
                <w:szCs w:val="20"/>
                <w:color w:val="auto"/>
              </w:rPr>
            </w:pPr>
            <w:r>
              <w:rPr>
                <w:rFonts w:ascii="Arial" w:cs="Arial" w:eastAsia="Arial" w:hAnsi="Arial"/>
                <w:sz w:val="14"/>
                <w:szCs w:val="14"/>
                <w:color w:val="auto"/>
              </w:rPr>
              <w:t> </w:t>
            </w:r>
          </w:p>
        </w:tc>
        <w:tc>
          <w:tcPr>
            <w:tcW w:w="340" w:type="dxa"/>
            <w:vAlign w:val="bottom"/>
            <w:tcBorders>
              <w:bottom w:val="single" w:sz="8" w:color="auto"/>
            </w:tcBorders>
            <w:shd w:val="clear" w:color="auto" w:fill="E1E1E2"/>
          </w:tcPr>
          <w:p>
            <w:pPr>
              <w:spacing w:after="0"/>
              <w:rPr>
                <w:sz w:val="17"/>
                <w:szCs w:val="17"/>
                <w:color w:val="auto"/>
              </w:rPr>
            </w:pPr>
          </w:p>
        </w:tc>
        <w:tc>
          <w:tcPr>
            <w:tcW w:w="13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45,692</w:t>
            </w:r>
          </w:p>
        </w:tc>
        <w:tc>
          <w:tcPr>
            <w:tcW w:w="0" w:type="dxa"/>
            <w:vAlign w:val="bottom"/>
          </w:tcPr>
          <w:p>
            <w:pPr>
              <w:spacing w:after="0"/>
              <w:rPr>
                <w:sz w:val="1"/>
                <w:szCs w:val="1"/>
                <w:color w:val="auto"/>
              </w:rPr>
            </w:pPr>
          </w:p>
        </w:tc>
      </w:tr>
      <w:tr>
        <w:trPr>
          <w:trHeight w:val="200"/>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 forma earnings per share - basic</w:t>
            </w:r>
          </w:p>
        </w:tc>
        <w:tc>
          <w:tcPr>
            <w:tcW w:w="120" w:type="dxa"/>
            <w:vAlign w:val="bottom"/>
          </w:tcPr>
          <w:p>
            <w:pPr>
              <w:ind w:left="20"/>
              <w:spacing w:after="0"/>
              <w:rPr>
                <w:sz w:val="20"/>
                <w:szCs w:val="20"/>
                <w:color w:val="auto"/>
              </w:rPr>
            </w:pPr>
            <w:r>
              <w:rPr>
                <w:rFonts w:ascii="Arial" w:cs="Arial" w:eastAsia="Arial" w:hAnsi="Arial"/>
                <w:sz w:val="14"/>
                <w:szCs w:val="14"/>
                <w:color w:val="auto"/>
              </w:rPr>
              <w:t> </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(3.20)</w:t>
            </w:r>
          </w:p>
        </w:tc>
        <w:tc>
          <w:tcPr>
            <w:tcW w:w="0" w:type="dxa"/>
            <w:vAlign w:val="bottom"/>
          </w:tcPr>
          <w:p>
            <w:pPr>
              <w:spacing w:after="0"/>
              <w:rPr>
                <w:sz w:val="1"/>
                <w:szCs w:val="1"/>
                <w:color w:val="auto"/>
              </w:rPr>
            </w:pPr>
          </w:p>
        </w:tc>
      </w:tr>
      <w:tr>
        <w:trPr>
          <w:trHeight w:val="20"/>
        </w:trPr>
        <w:tc>
          <w:tcPr>
            <w:tcW w:w="83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3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Diluted:</w:t>
            </w:r>
          </w:p>
        </w:tc>
        <w:tc>
          <w:tcPr>
            <w:tcW w:w="120" w:type="dxa"/>
            <w:vAlign w:val="bottom"/>
            <w:shd w:val="clear" w:color="auto" w:fill="E1E1E2"/>
          </w:tcPr>
          <w:p>
            <w:pPr>
              <w:ind w:left="20"/>
              <w:spacing w:after="0"/>
              <w:rPr>
                <w:sz w:val="20"/>
                <w:szCs w:val="20"/>
                <w:color w:val="auto"/>
              </w:rPr>
            </w:pPr>
            <w:r>
              <w:rPr>
                <w:rFonts w:ascii="Arial" w:cs="Arial" w:eastAsia="Arial" w:hAnsi="Arial"/>
                <w:sz w:val="14"/>
                <w:szCs w:val="14"/>
                <w:color w:val="auto"/>
              </w:rPr>
              <w:t> </w:t>
            </w:r>
          </w:p>
        </w:tc>
        <w:tc>
          <w:tcPr>
            <w:tcW w:w="340" w:type="dxa"/>
            <w:vAlign w:val="bottom"/>
            <w:shd w:val="clear" w:color="auto" w:fill="E1E1E2"/>
          </w:tcPr>
          <w:p>
            <w:pPr>
              <w:spacing w:after="0"/>
              <w:rPr>
                <w:sz w:val="17"/>
                <w:szCs w:val="17"/>
                <w:color w:val="auto"/>
              </w:rPr>
            </w:pPr>
          </w:p>
        </w:tc>
        <w:tc>
          <w:tcPr>
            <w:tcW w:w="136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Historical weighted average of Talen common shares outstanding (in thousands)</w:t>
            </w:r>
          </w:p>
        </w:tc>
        <w:tc>
          <w:tcPr>
            <w:tcW w:w="120" w:type="dxa"/>
            <w:vAlign w:val="bottom"/>
            <w:tcBorders>
              <w:bottom w:val="single" w:sz="8" w:color="E1E1E2"/>
            </w:tcBorders>
          </w:tcPr>
          <w:p>
            <w:pPr>
              <w:ind w:left="20"/>
              <w:spacing w:after="0"/>
              <w:rPr>
                <w:sz w:val="20"/>
                <w:szCs w:val="20"/>
                <w:color w:val="auto"/>
              </w:rPr>
            </w:pPr>
            <w:r>
              <w:rPr>
                <w:rFonts w:ascii="Arial" w:cs="Arial" w:eastAsia="Arial" w:hAnsi="Arial"/>
                <w:sz w:val="14"/>
                <w:szCs w:val="14"/>
                <w:color w:val="auto"/>
              </w:rPr>
              <w:t> </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45,692</w:t>
            </w:r>
          </w:p>
        </w:tc>
        <w:tc>
          <w:tcPr>
            <w:tcW w:w="0" w:type="dxa"/>
            <w:vAlign w:val="bottom"/>
          </w:tcPr>
          <w:p>
            <w:pPr>
              <w:spacing w:after="0"/>
              <w:rPr>
                <w:sz w:val="1"/>
                <w:szCs w:val="1"/>
                <w:color w:val="auto"/>
              </w:rPr>
            </w:pPr>
          </w:p>
        </w:tc>
      </w:tr>
      <w:tr>
        <w:trPr>
          <w:trHeight w:val="225"/>
        </w:trPr>
        <w:tc>
          <w:tcPr>
            <w:tcW w:w="83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Pro forma earnings per share - diluted</w:t>
            </w:r>
          </w:p>
        </w:tc>
        <w:tc>
          <w:tcPr>
            <w:tcW w:w="120" w:type="dxa"/>
            <w:vAlign w:val="bottom"/>
            <w:tcBorders>
              <w:bottom w:val="single" w:sz="8" w:color="E1E1E2"/>
            </w:tcBorders>
            <w:shd w:val="clear" w:color="auto" w:fill="E1E1E2"/>
          </w:tcPr>
          <w:p>
            <w:pPr>
              <w:ind w:left="20"/>
              <w:spacing w:after="0"/>
              <w:rPr>
                <w:sz w:val="20"/>
                <w:szCs w:val="20"/>
                <w:color w:val="auto"/>
              </w:rPr>
            </w:pPr>
            <w:r>
              <w:rPr>
                <w:rFonts w:ascii="Arial" w:cs="Arial" w:eastAsia="Arial" w:hAnsi="Arial"/>
                <w:sz w:val="14"/>
                <w:szCs w:val="14"/>
                <w:color w:val="auto"/>
              </w:rPr>
              <w:t> </w:t>
            </w:r>
          </w:p>
        </w:tc>
        <w:tc>
          <w:tcPr>
            <w:tcW w:w="340" w:type="dxa"/>
            <w:vAlign w:val="bottom"/>
            <w:tcBorders>
              <w:bottom w:val="single" w:sz="8" w:color="auto"/>
            </w:tcBorders>
            <w:shd w:val="clear" w:color="auto" w:fill="E1E1E2"/>
          </w:tcPr>
          <w:p>
            <w:pPr>
              <w:jc w:val="right"/>
              <w:ind w:right="16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(3.20)</w:t>
            </w:r>
          </w:p>
        </w:tc>
        <w:tc>
          <w:tcPr>
            <w:tcW w:w="0" w:type="dxa"/>
            <w:vAlign w:val="bottom"/>
          </w:tcPr>
          <w:p>
            <w:pPr>
              <w:spacing w:after="0"/>
              <w:rPr>
                <w:sz w:val="1"/>
                <w:szCs w:val="1"/>
                <w:color w:val="auto"/>
              </w:rPr>
            </w:pPr>
          </w:p>
        </w:tc>
      </w:tr>
      <w:tr>
        <w:trPr>
          <w:trHeight w:val="20"/>
        </w:trPr>
        <w:tc>
          <w:tcPr>
            <w:tcW w:w="8340" w:type="dxa"/>
            <w:vAlign w:val="bottom"/>
            <w:tcBorders>
              <w:top w:val="single" w:sz="8" w:color="E1E1E2"/>
              <w:bottom w:val="single" w:sz="8" w:color="auto"/>
            </w:tcBorders>
          </w:tcPr>
          <w:p>
            <w:pPr>
              <w:spacing w:after="0" w:line="20" w:lineRule="exact"/>
              <w:rPr>
                <w:sz w:val="1"/>
                <w:szCs w:val="1"/>
                <w:color w:val="auto"/>
              </w:rPr>
            </w:pPr>
          </w:p>
        </w:tc>
        <w:tc>
          <w:tcPr>
            <w:tcW w:w="120" w:type="dxa"/>
            <w:vAlign w:val="bottom"/>
            <w:tcBorders>
              <w:top w:val="single" w:sz="8" w:color="E1E1E2"/>
            </w:tcBorders>
          </w:tcPr>
          <w:p>
            <w:pPr>
              <w:spacing w:after="0" w:line="20" w:lineRule="exact"/>
              <w:rPr>
                <w:sz w:val="1"/>
                <w:szCs w:val="1"/>
                <w:color w:val="auto"/>
              </w:rPr>
            </w:pPr>
          </w:p>
        </w:tc>
        <w:tc>
          <w:tcPr>
            <w:tcW w:w="340" w:type="dxa"/>
            <w:vAlign w:val="bottom"/>
            <w:tcBorders>
              <w:top w:val="single" w:sz="8" w:color="E1E1E2"/>
              <w:bottom w:val="single" w:sz="8" w:color="auto"/>
            </w:tcBorders>
          </w:tcPr>
          <w:p>
            <w:pPr>
              <w:spacing w:after="0" w:line="20" w:lineRule="exact"/>
              <w:rPr>
                <w:sz w:val="1"/>
                <w:szCs w:val="1"/>
                <w:color w:val="auto"/>
              </w:rPr>
            </w:pPr>
          </w:p>
        </w:tc>
        <w:tc>
          <w:tcPr>
            <w:tcW w:w="1360" w:type="dxa"/>
            <w:vAlign w:val="bottom"/>
            <w:tcBorders>
              <w:top w:val="single" w:sz="8" w:color="E1E1E2"/>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32"/>
          </w:cols>
          <w:pgMar w:left="328" w:top="1259" w:right="339" w:bottom="1440" w:gutter="0" w:footer="0" w:header="0"/>
        </w:sectPr>
      </w:pPr>
    </w:p>
    <w:bookmarkStart w:id="8" w:name="page9"/>
    <w:bookmarkEnd w:id="8"/>
    <w:p>
      <w:pPr>
        <w:ind w:left="500" w:hanging="492"/>
        <w:spacing w:after="0"/>
        <w:tabs>
          <w:tab w:leader="none" w:pos="50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Other Accounting Pro Forma Adjustments and Assumptions</w:t>
      </w:r>
    </w:p>
    <w:p>
      <w:pPr>
        <w:spacing w:after="0" w:line="167" w:lineRule="exact"/>
        <w:rPr>
          <w:sz w:val="20"/>
          <w:szCs w:val="20"/>
          <w:color w:val="auto"/>
        </w:rPr>
      </w:pPr>
    </w:p>
    <w:p>
      <w:pPr>
        <w:jc w:val="both"/>
        <w:ind w:left="500" w:hanging="492"/>
        <w:spacing w:after="0" w:line="275" w:lineRule="auto"/>
        <w:tabs>
          <w:tab w:leader="none" w:pos="4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Financing Transactions consummated by Talen to complete the Acquisitions reflect a pro forma adjustment to interest expense utilizing the interest rates at the time of the preparation of this pro forma information. Additionally, it is assumed that borrowings occur on January 1, 2025 and remain outstanding throughout the periods presented.</w:t>
      </w:r>
    </w:p>
    <w:p>
      <w:pPr>
        <w:spacing w:after="0" w:line="58"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8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Interest expense</w:t>
            </w:r>
          </w:p>
        </w:tc>
        <w:tc>
          <w:tcPr>
            <w:tcW w:w="120" w:type="dxa"/>
            <w:vAlign w:val="bottom"/>
          </w:tcPr>
          <w:p>
            <w:pPr>
              <w:spacing w:after="0"/>
              <w:rPr>
                <w:sz w:val="14"/>
                <w:szCs w:val="14"/>
                <w:color w:val="auto"/>
              </w:rPr>
            </w:pPr>
          </w:p>
        </w:tc>
        <w:tc>
          <w:tcPr>
            <w:tcW w:w="17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Year Ended December</w:t>
            </w:r>
          </w:p>
        </w:tc>
        <w:tc>
          <w:tcPr>
            <w:tcW w:w="0" w:type="dxa"/>
            <w:vAlign w:val="bottom"/>
          </w:tcPr>
          <w:p>
            <w:pPr>
              <w:spacing w:after="0"/>
              <w:rPr>
                <w:sz w:val="1"/>
                <w:szCs w:val="1"/>
                <w:color w:val="auto"/>
              </w:rPr>
            </w:pPr>
          </w:p>
        </w:tc>
      </w:tr>
      <w:tr>
        <w:trPr>
          <w:trHeight w:val="189"/>
        </w:trPr>
        <w:tc>
          <w:tcPr>
            <w:tcW w:w="8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E1E1E2"/>
            </w:tcBorders>
          </w:tcPr>
          <w:p>
            <w:pPr>
              <w:ind w:left="20"/>
              <w:spacing w:after="0"/>
              <w:rPr>
                <w:sz w:val="20"/>
                <w:szCs w:val="20"/>
                <w:color w:val="auto"/>
              </w:rPr>
            </w:pPr>
            <w:r>
              <w:rPr>
                <w:rFonts w:ascii="Arial" w:cs="Arial" w:eastAsia="Arial" w:hAnsi="Arial"/>
                <w:sz w:val="14"/>
                <w:szCs w:val="14"/>
                <w:color w:val="auto"/>
              </w:rPr>
              <w:t> </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31, 2025</w:t>
            </w:r>
          </w:p>
        </w:tc>
        <w:tc>
          <w:tcPr>
            <w:tcW w:w="0" w:type="dxa"/>
            <w:vAlign w:val="bottom"/>
          </w:tcPr>
          <w:p>
            <w:pPr>
              <w:spacing w:after="0"/>
              <w:rPr>
                <w:sz w:val="1"/>
                <w:szCs w:val="1"/>
                <w:color w:val="auto"/>
              </w:rPr>
            </w:pPr>
          </w:p>
        </w:tc>
      </w:tr>
      <w:tr>
        <w:trPr>
          <w:trHeight w:val="196"/>
        </w:trPr>
        <w:tc>
          <w:tcPr>
            <w:tcW w:w="8340" w:type="dxa"/>
            <w:vAlign w:val="bottom"/>
            <w:shd w:val="clear" w:color="auto" w:fill="E1E1E2"/>
          </w:tcPr>
          <w:p>
            <w:pPr>
              <w:ind w:left="20"/>
              <w:spacing w:after="0"/>
              <w:rPr>
                <w:sz w:val="20"/>
                <w:szCs w:val="20"/>
                <w:color w:val="auto"/>
              </w:rPr>
            </w:pPr>
            <w:r>
              <w:rPr>
                <w:rFonts w:ascii="Arial" w:cs="Arial" w:eastAsia="Arial" w:hAnsi="Arial"/>
                <w:sz w:val="14"/>
                <w:szCs w:val="14"/>
                <w:color w:val="auto"/>
              </w:rPr>
              <w:t>Interest expense associated with Financing Transactions</w:t>
            </w:r>
          </w:p>
        </w:tc>
        <w:tc>
          <w:tcPr>
            <w:tcW w:w="4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w:t>
            </w:r>
          </w:p>
        </w:tc>
        <w:tc>
          <w:tcPr>
            <w:tcW w:w="13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98"/>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Amortization of new deferred finance costs and original issue discounts</w:t>
            </w:r>
          </w:p>
        </w:tc>
        <w:tc>
          <w:tcPr>
            <w:tcW w:w="120" w:type="dxa"/>
            <w:vAlign w:val="bottom"/>
            <w:tcBorders>
              <w:bottom w:val="single" w:sz="8" w:color="E1E1E2"/>
            </w:tcBorders>
          </w:tcPr>
          <w:p>
            <w:pPr>
              <w:ind w:left="20"/>
              <w:spacing w:after="0"/>
              <w:rPr>
                <w:sz w:val="20"/>
                <w:szCs w:val="20"/>
                <w:color w:val="auto"/>
              </w:rPr>
            </w:pPr>
            <w:r>
              <w:rPr>
                <w:rFonts w:ascii="Arial" w:cs="Arial" w:eastAsia="Arial" w:hAnsi="Arial"/>
                <w:sz w:val="14"/>
                <w:szCs w:val="14"/>
                <w:color w:val="auto"/>
              </w:rPr>
              <w:t> </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19"/>
        </w:trPr>
        <w:tc>
          <w:tcPr>
            <w:tcW w:w="83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Pro forma adjustment to interest expense</w:t>
            </w:r>
          </w:p>
        </w:tc>
        <w:tc>
          <w:tcPr>
            <w:tcW w:w="460" w:type="dxa"/>
            <w:vAlign w:val="bottom"/>
            <w:gridSpan w:val="2"/>
            <w:shd w:val="clear" w:color="auto" w:fill="E1E1E2"/>
          </w:tcPr>
          <w:p>
            <w:pPr>
              <w:jc w:val="right"/>
              <w:ind w:right="168"/>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211</w:t>
            </w:r>
          </w:p>
        </w:tc>
        <w:tc>
          <w:tcPr>
            <w:tcW w:w="0" w:type="dxa"/>
            <w:vAlign w:val="bottom"/>
          </w:tcPr>
          <w:p>
            <w:pPr>
              <w:spacing w:after="0"/>
              <w:rPr>
                <w:sz w:val="1"/>
                <w:szCs w:val="1"/>
                <w:color w:val="auto"/>
              </w:rPr>
            </w:pPr>
          </w:p>
        </w:tc>
      </w:tr>
      <w:tr>
        <w:trPr>
          <w:trHeight w:val="20"/>
        </w:trPr>
        <w:tc>
          <w:tcPr>
            <w:tcW w:w="8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1E1E2"/>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00"/>
        <w:spacing w:after="0" w:line="286" w:lineRule="auto"/>
        <w:rPr>
          <w:sz w:val="20"/>
          <w:szCs w:val="20"/>
          <w:color w:val="auto"/>
        </w:rPr>
      </w:pPr>
      <w:r>
        <w:rPr>
          <w:rFonts w:ascii="Arial" w:cs="Arial" w:eastAsia="Arial" w:hAnsi="Arial"/>
          <w:sz w:val="16"/>
          <w:szCs w:val="16"/>
          <w:color w:val="auto"/>
        </w:rPr>
        <w:t>The following table represents the effect on pro forma interest expense from the results of a hypothetical change to assumed interest rates on variable interest debt (the new TLB-3).</w:t>
      </w:r>
    </w:p>
    <w:p>
      <w:pPr>
        <w:spacing w:after="0" w:line="134"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8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Increase (decrease) in interest expense</w:t>
            </w: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rPr>
              <w:t>Year Ended December</w:t>
            </w:r>
          </w:p>
        </w:tc>
        <w:tc>
          <w:tcPr>
            <w:tcW w:w="0" w:type="dxa"/>
            <w:vAlign w:val="bottom"/>
          </w:tcPr>
          <w:p>
            <w:pPr>
              <w:spacing w:after="0"/>
              <w:rPr>
                <w:sz w:val="1"/>
                <w:szCs w:val="1"/>
                <w:color w:val="auto"/>
              </w:rPr>
            </w:pPr>
          </w:p>
        </w:tc>
      </w:tr>
      <w:tr>
        <w:trPr>
          <w:trHeight w:val="185"/>
        </w:trPr>
        <w:tc>
          <w:tcPr>
            <w:tcW w:w="8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E1E1E2"/>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31, 2025</w:t>
            </w:r>
          </w:p>
        </w:tc>
        <w:tc>
          <w:tcPr>
            <w:tcW w:w="0" w:type="dxa"/>
            <w:vAlign w:val="bottom"/>
          </w:tcPr>
          <w:p>
            <w:pPr>
              <w:spacing w:after="0"/>
              <w:rPr>
                <w:sz w:val="1"/>
                <w:szCs w:val="1"/>
                <w:color w:val="auto"/>
              </w:rPr>
            </w:pPr>
          </w:p>
        </w:tc>
      </w:tr>
      <w:tr>
        <w:trPr>
          <w:trHeight w:val="196"/>
        </w:trPr>
        <w:tc>
          <w:tcPr>
            <w:tcW w:w="8340" w:type="dxa"/>
            <w:vAlign w:val="bottom"/>
            <w:shd w:val="clear" w:color="auto" w:fill="E1E1E2"/>
          </w:tcPr>
          <w:p>
            <w:pPr>
              <w:ind w:left="20"/>
              <w:spacing w:after="0"/>
              <w:rPr>
                <w:sz w:val="20"/>
                <w:szCs w:val="20"/>
                <w:color w:val="auto"/>
              </w:rPr>
            </w:pPr>
            <w:r>
              <w:rPr>
                <w:rFonts w:ascii="Arial" w:cs="Arial" w:eastAsia="Arial" w:hAnsi="Arial"/>
                <w:sz w:val="14"/>
                <w:szCs w:val="14"/>
                <w:color w:val="auto"/>
              </w:rPr>
              <w:t>0.125% increase in interest rate</w:t>
            </w:r>
          </w:p>
        </w:tc>
        <w:tc>
          <w:tcPr>
            <w:tcW w:w="120" w:type="dxa"/>
            <w:vAlign w:val="bottom"/>
            <w:shd w:val="clear" w:color="auto" w:fill="E1E1E2"/>
          </w:tcPr>
          <w:p>
            <w:pPr>
              <w:ind w:left="20"/>
              <w:spacing w:after="0"/>
              <w:rPr>
                <w:sz w:val="20"/>
                <w:szCs w:val="20"/>
                <w:color w:val="auto"/>
              </w:rPr>
            </w:pPr>
            <w:r>
              <w:rPr>
                <w:rFonts w:ascii="Arial" w:cs="Arial" w:eastAsia="Arial" w:hAnsi="Arial"/>
                <w:sz w:val="14"/>
                <w:szCs w:val="14"/>
                <w:color w:val="auto"/>
              </w:rPr>
              <w:t> </w:t>
            </w: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0.125% decrease in interest rate</w:t>
            </w:r>
          </w:p>
        </w:tc>
        <w:tc>
          <w:tcPr>
            <w:tcW w:w="120" w:type="dxa"/>
            <w:vAlign w:val="bottom"/>
          </w:tcPr>
          <w:p>
            <w:pPr>
              <w:ind w:left="20"/>
              <w:spacing w:after="0"/>
              <w:rPr>
                <w:sz w:val="20"/>
                <w:szCs w:val="20"/>
                <w:color w:val="auto"/>
              </w:rPr>
            </w:pPr>
            <w:r>
              <w:rPr>
                <w:rFonts w:ascii="Arial" w:cs="Arial" w:eastAsia="Arial" w:hAnsi="Arial"/>
                <w:sz w:val="14"/>
                <w:szCs w:val="14"/>
                <w:color w:val="auto"/>
              </w:rPr>
              <w:t> </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00" w:hanging="492"/>
        <w:spacing w:after="0" w:line="286" w:lineRule="auto"/>
        <w:tabs>
          <w:tab w:leader="none" w:pos="495"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the pro forma adjustments to income tax expense (benefit) related to the income (loss) before income taxes resulting from the other accounting pro forma adjustments at an estimated statutory rate of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sectPr>
      <w:pgSz w:w="11900" w:h="16838" w:orient="portrait"/>
      <w:cols w:equalWidth="0" w:num="1">
        <w:col w:w="11240"/>
      </w:cols>
      <w:pgMar w:left="320" w:top="12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lowerLetter"/>
      <w:start w:val="2"/>
    </w:lvl>
  </w:abstractNum>
  <w:abstractNum w:abstractNumId="2">
    <w:nsid w:val="216231B"/>
    <w:multiLevelType w:val="hybridMultilevel"/>
    <w:lvl w:ilvl="0">
      <w:lvlJc w:val="left"/>
      <w:lvlText w:val="(%1)"/>
      <w:numFmt w:val="lowerLetter"/>
      <w:start w:val="4"/>
    </w:lvl>
  </w:abstractNum>
  <w:abstractNum w:abstractNumId="3">
    <w:nsid w:val="1F16E9E8"/>
    <w:multiLevelType w:val="hybridMultilevel"/>
    <w:lvl w:ilvl="0">
      <w:lvlJc w:val="left"/>
      <w:lvlText w:val="%1"/>
      <w:numFmt w:val="decimal"/>
      <w:start w:val="104"/>
    </w:lvl>
  </w:abstractNum>
  <w:abstractNum w:abstractNumId="4">
    <w:nsid w:val="1190CDE7"/>
    <w:multiLevelType w:val="hybridMultilevel"/>
    <w:lvl w:ilvl="0">
      <w:lvlJc w:val="left"/>
      <w:lvlText w:val="▪"/>
      <w:numFmt w:val="bullet"/>
      <w:start w:val="1"/>
    </w:lvl>
    <w:lvl w:ilvl="1">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2"/>
    </w:lvl>
  </w:abstractNum>
  <w:abstractNum w:abstractNumId="9">
    <w:nsid w:val="DED7263"/>
    <w:multiLevelType w:val="hybridMultilevel"/>
    <w:lvl w:ilvl="0">
      <w:lvlJc w:val="left"/>
      <w:lvlText w:val="%1."/>
      <w:numFmt w:val="decimal"/>
      <w:start w:val="3"/>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lowerLetter"/>
      <w:start w:val="2"/>
    </w:lvl>
  </w:abstractNum>
  <w:abstractNum w:abstractNumId="12">
    <w:nsid w:val="41A7C4C9"/>
    <w:multiLevelType w:val="hybridMultilevel"/>
    <w:lvl w:ilvl="0">
      <w:lvlJc w:val="left"/>
      <w:lvlText w:val="(%1)"/>
      <w:numFmt w:val="lowerLetter"/>
      <w:start w:val="3"/>
    </w:lvl>
  </w:abstractNum>
  <w:abstractNum w:abstractNumId="13">
    <w:nsid w:val="6B68079A"/>
    <w:multiLevelType w:val="hybridMultilevel"/>
    <w:lvl w:ilvl="0">
      <w:lvlJc w:val="left"/>
      <w:lvlText w:val="(%1)"/>
      <w:numFmt w:val="lowerLetter"/>
      <w:start w:val="4"/>
    </w:lvl>
  </w:abstractNum>
  <w:abstractNum w:abstractNumId="14">
    <w:nsid w:val="4E6AFB66"/>
    <w:multiLevelType w:val="hybridMultilevel"/>
    <w:lvl w:ilvl="0">
      <w:lvlJc w:val="left"/>
      <w:lvlText w:val="(%1)"/>
      <w:numFmt w:val="lowerLetter"/>
      <w:start w:val="5"/>
    </w:lvl>
  </w:abstractNum>
  <w:abstractNum w:abstractNumId="15">
    <w:nsid w:val="25E45D32"/>
    <w:multiLevelType w:val="hybridMultilevel"/>
    <w:lvl w:ilvl="0">
      <w:lvlJc w:val="left"/>
      <w:lvlText w:val="%1."/>
      <w:numFmt w:val="decimal"/>
      <w:start w:val="4"/>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2026-06-18T15:17:34Z</dcterms:created>
  <dcterms:modified xsi:type="dcterms:W3CDTF">2026-06-18T15:17:34Z</dcterms:modified>
</cp:coreProperties>
</file>