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180"/>
        <w:jc w:val="left"/>
        <w:rPr/>
      </w:pPr>
      <w:r>
        <w:rPr/>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UNITED STATES </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SECURITIES AND EXCHANGE COMMISSION </w:t>
      </w:r>
    </w:p>
    <w:p>
      <w:pPr>
        <w:pStyle w:val="TextBody"/>
        <w:bidi w:val="0"/>
        <w:spacing w:lineRule="auto" w:line="240" w:before="0" w:after="0"/>
        <w:jc w:val="center"/>
        <w:rPr/>
      </w:pPr>
      <w:r>
        <w:rPr>
          <w:rFonts w:ascii="Arial;sans-serif" w:hAnsi="Arial;sans-serif"/>
          <w:b/>
          <w:color w:val="000000"/>
          <w:sz w:val="18"/>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0"/>
        <w:jc w:val="left"/>
        <w:rPr>
          <w:rFonts w:ascii="Arial;sans-serif" w:hAnsi="Arial;sans-serif"/>
          <w:b/>
          <w:color w:val="000000"/>
          <w:sz w:val="16"/>
        </w:rPr>
      </w:pPr>
      <w:r>
        <w:rPr>
          <w:rFonts w:ascii="Arial;sans-serif" w:hAnsi="Arial;sans-serif"/>
          <w:b/>
          <w:color w:val="000000"/>
          <w:sz w:val="16"/>
        </w:rPr>
        <w:t>(Mark One)</w:t>
      </w:r>
    </w:p>
    <w:tbl>
      <w:tblPr>
        <w:tblW w:w="8727" w:type="dxa"/>
        <w:jc w:val="left"/>
        <w:tblInd w:w="0" w:type="dxa"/>
        <w:tblLayout w:type="fixed"/>
        <w:tblCellMar>
          <w:top w:w="28" w:type="dxa"/>
          <w:left w:w="28" w:type="dxa"/>
          <w:bottom w:w="28" w:type="dxa"/>
          <w:right w:w="28" w:type="dxa"/>
        </w:tblCellMar>
      </w:tblPr>
      <w:tblGrid>
        <w:gridCol w:w="124"/>
        <w:gridCol w:w="109"/>
        <w:gridCol w:w="109"/>
        <w:gridCol w:w="2450"/>
        <w:gridCol w:w="2450"/>
        <w:gridCol w:w="3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385" w:type="dxa"/>
            <w:gridSpan w:val="3"/>
            <w:tcBorders/>
            <w:tcMar>
              <w:top w:w="0" w:type="dxa"/>
              <w:left w:w="0" w:type="dxa"/>
              <w:bottom w:w="0" w:type="dxa"/>
              <w:right w:w="0" w:type="dxa"/>
            </w:tcMar>
            <w:vAlign w:val="center"/>
          </w:tcPr>
          <w:p>
            <w:pPr>
              <w:pStyle w:val="TableContents"/>
              <w:bidi w:val="0"/>
              <w:spacing w:lineRule="auto" w:line="240" w:before="0" w:after="0"/>
              <w:ind w:left="0" w:right="0" w:hanging="0"/>
              <w:jc w:val="left"/>
              <w:rPr>
                <w:color w:val="000000"/>
              </w:rPr>
            </w:pPr>
            <w:r>
              <w:rPr>
                <w:color w:val="000000"/>
              </w:rPr>
              <w:t> </w:t>
            </w:r>
            <w:r>
              <w:rPr>
                <w:rFonts w:ascii="Arial;sans-serif" w:hAnsi="Arial;sans-serif"/>
                <w:b/>
                <w:color w:val="000000"/>
                <w:sz w:val="16"/>
              </w:rPr>
              <w:t>ANNUAL REPORT PURSUANT TO SECTION 13 OR 15(d) OF THE SECURITIES EXCHANGE ACT OF 1934</w:t>
            </w:r>
          </w:p>
        </w:tc>
      </w:tr>
    </w:tbl>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For the fiscal year ended December 31, 2024 </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4"/>
        <w:gridCol w:w="2544"/>
        <w:gridCol w:w="36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TRANSITION REPORT PURSUANT TO SECTION 13 OR 15(d) OF THE SECURITIES EXCHANGE ACT OF 1934</w:t>
            </w:r>
          </w:p>
        </w:tc>
      </w:tr>
    </w:tbl>
    <w:p>
      <w:pPr>
        <w:pStyle w:val="TextBody"/>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For the transition period from __________ to __________</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Commission File Number: 001-37388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120" w:after="283"/>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tbl>
      <w:tblPr>
        <w:tblW w:w="5909" w:type="dxa"/>
        <w:jc w:val="center"/>
        <w:tblInd w:w="0" w:type="dxa"/>
        <w:tblLayout w:type="fixed"/>
        <w:tblCellMar>
          <w:top w:w="28" w:type="dxa"/>
          <w:left w:w="28" w:type="dxa"/>
          <w:bottom w:w="28" w:type="dxa"/>
          <w:right w:w="28" w:type="dxa"/>
        </w:tblCellMar>
      </w:tblPr>
      <w:tblGrid>
        <w:gridCol w:w="1350"/>
        <w:gridCol w:w="1186"/>
        <w:gridCol w:w="1199"/>
        <w:gridCol w:w="635"/>
        <w:gridCol w:w="635"/>
        <w:gridCol w:w="904"/>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47-1197305</w:t>
            </w:r>
          </w:p>
        </w:tc>
      </w:tr>
      <w:tr>
        <w:trPr/>
        <w:tc>
          <w:tcPr>
            <w:tcW w:w="3735" w:type="dxa"/>
            <w:gridSpan w:val="3"/>
            <w:tcBorders/>
            <w:tcMar>
              <w:top w:w="0" w:type="dxa"/>
              <w:left w:w="0" w:type="dxa"/>
              <w:bottom w:w="0" w:type="dxa"/>
              <w:right w:w="0" w:type="dxa"/>
            </w:tcMar>
            <w:vAlign w:val="center"/>
          </w:tcPr>
          <w:p>
            <w:pPr>
              <w:pStyle w:val="TableContents"/>
              <w:bidi w:val="0"/>
              <w:spacing w:lineRule="auto" w:line="266" w:before="0" w:after="180"/>
              <w:jc w:val="center"/>
              <w:rPr>
                <w:rFonts w:ascii="Arial;sans-serif" w:hAnsi="Arial;sans-serif"/>
                <w:b w:val="false"/>
                <w:color w:val="000000"/>
                <w:sz w:val="14"/>
              </w:rPr>
            </w:pPr>
            <w:r>
              <w:rPr>
                <w:rFonts w:ascii="Arial;sans-serif" w:hAnsi="Arial;sans-serif"/>
                <w:b w:val="false"/>
                <w:color w:val="000000"/>
                <w:sz w:val="14"/>
              </w:rPr>
              <w:t>(State or other jurisdiction of incorporation or organization)</w:t>
            </w:r>
          </w:p>
        </w:tc>
        <w:tc>
          <w:tcPr>
            <w:tcW w:w="2174" w:type="dxa"/>
            <w:gridSpan w:val="3"/>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4"/>
              </w:rPr>
            </w:pPr>
            <w:r>
              <w:rPr>
                <w:rFonts w:ascii="Arial;sans-serif" w:hAnsi="Arial;sans-serif"/>
                <w:b w:val="false"/>
                <w:color w:val="000000"/>
                <w:sz w:val="14"/>
              </w:rPr>
              <w:t>(IRS Employer Identification No.)</w:t>
            </w:r>
          </w:p>
        </w:tc>
      </w:tr>
    </w:tbl>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2929 Allen Pkwy, Suite 2200, Houston, TX 77019</w:t>
      </w:r>
    </w:p>
    <w:p>
      <w:pPr>
        <w:pStyle w:val="TextBody"/>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 (Zip Code)</w:t>
      </w:r>
    </w:p>
    <w:p>
      <w:pPr>
        <w:pStyle w:val="TextBody"/>
        <w:bidi w:val="0"/>
        <w:spacing w:lineRule="auto" w:line="240" w:before="120" w:after="283"/>
        <w:jc w:val="center"/>
        <w:rPr>
          <w:rFonts w:ascii="Arial;sans-serif" w:hAnsi="Arial;sans-serif"/>
          <w:b/>
          <w:color w:val="000000"/>
          <w:sz w:val="16"/>
        </w:rPr>
      </w:pPr>
      <w:r>
        <w:rPr>
          <w:rFonts w:ascii="Arial;sans-serif" w:hAnsi="Arial;sans-serif"/>
          <w:b/>
          <w:color w:val="000000"/>
          <w:sz w:val="16"/>
        </w:rPr>
        <w:t xml:space="preserve">(888) 211-6011 </w:t>
      </w:r>
    </w:p>
    <w:p>
      <w:pPr>
        <w:pStyle w:val="TextBody"/>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 xml:space="preserve">(Registrant’s telephone number, including area code) </w:t>
      </w:r>
    </w:p>
    <w:p>
      <w:pPr>
        <w:pStyle w:val="TextBody"/>
        <w:bidi w:val="0"/>
        <w:spacing w:lineRule="auto" w:line="240" w:before="120" w:after="283"/>
        <w:jc w:val="center"/>
        <w:rPr>
          <w:rFonts w:ascii="Arial;sans-serif" w:hAnsi="Arial;sans-serif"/>
          <w:b/>
          <w:color w:val="000000"/>
          <w:sz w:val="16"/>
        </w:rPr>
      </w:pPr>
      <w:r>
        <w:rPr>
          <w:rFonts w:ascii="Arial;sans-serif" w:hAnsi="Arial;sans-serif"/>
          <w:b/>
          <w:color w:val="000000"/>
          <w:sz w:val="16"/>
        </w:rPr>
        <w:t xml:space="preserve">Not applicable </w:t>
      </w:r>
    </w:p>
    <w:p>
      <w:pPr>
        <w:pStyle w:val="TextBody"/>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120" w:after="283"/>
        <w:jc w:val="center"/>
        <w:rPr>
          <w:rFonts w:ascii="Arial;sans-serif" w:hAnsi="Arial;sans-serif"/>
          <w:b/>
          <w:color w:val="000000"/>
          <w:sz w:val="16"/>
        </w:rPr>
      </w:pPr>
      <w:r>
        <w:rPr>
          <w:rFonts w:ascii="Arial;sans-serif" w:hAnsi="Arial;sans-serif"/>
          <w:b/>
          <w:color w:val="000000"/>
          <w:sz w:val="16"/>
        </w:rPr>
        <w:t xml:space="preserve">Securities registered pursuant to Section 12(b) of the Act: </w:t>
      </w:r>
    </w:p>
    <w:p>
      <w:pPr>
        <w:pStyle w:val="TextBody"/>
        <w:bidi w:val="0"/>
        <w:spacing w:before="0" w:after="0"/>
        <w:jc w:val="left"/>
        <w:rPr/>
      </w:pPr>
      <w:r>
        <w:rPr/>
      </w:r>
    </w:p>
    <w:tbl>
      <w:tblPr>
        <w:tblW w:w="9171" w:type="dxa"/>
        <w:jc w:val="center"/>
        <w:tblInd w:w="0" w:type="dxa"/>
        <w:tblLayout w:type="fixed"/>
        <w:tblCellMar>
          <w:top w:w="28" w:type="dxa"/>
          <w:left w:w="28" w:type="dxa"/>
          <w:bottom w:w="28" w:type="dxa"/>
          <w:right w:w="28" w:type="dxa"/>
        </w:tblCellMar>
      </w:tblPr>
      <w:tblGrid>
        <w:gridCol w:w="1187"/>
        <w:gridCol w:w="1042"/>
        <w:gridCol w:w="1055"/>
        <w:gridCol w:w="109"/>
        <w:gridCol w:w="109"/>
        <w:gridCol w:w="109"/>
        <w:gridCol w:w="524"/>
        <w:gridCol w:w="524"/>
        <w:gridCol w:w="526"/>
        <w:gridCol w:w="109"/>
        <w:gridCol w:w="109"/>
        <w:gridCol w:w="109"/>
        <w:gridCol w:w="1071"/>
        <w:gridCol w:w="1071"/>
        <w:gridCol w:w="1517"/>
      </w:tblGrid>
      <w:tr>
        <w:trPr/>
        <w:tc>
          <w:tcPr>
            <w:tcW w:w="118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40" w:before="0" w:after="120"/>
        <w:jc w:val="center"/>
        <w:rPr/>
      </w:pPr>
      <w:r>
        <w:rPr>
          <w:rFonts w:ascii="Arial;sans-serif" w:hAnsi="Arial;sans-serif"/>
          <w:b/>
          <w:color w:val="000000"/>
          <w:sz w:val="16"/>
        </w:rPr>
        <w:t xml:space="preserve">Securities registered pursuant to Section 12(g) of the Act: </w:t>
      </w:r>
      <w:r>
        <w:rPr>
          <w:rFonts w:ascii="Arial;sans-serif" w:hAnsi="Arial;sans-serif"/>
          <w:b w:val="false"/>
          <w:color w:val="000000"/>
          <w:sz w:val="16"/>
        </w:rPr>
        <w:t>None</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if the registrant is a well-known seasoned issuer, as defined in Rule 405 of the Securities Act. Yes ☐ No ☒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if the registrant is not required to file reports pursuant to Section 13 or Section 15(d) of the Act. Yes ☐ No ☒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09"/>
        <w:gridCol w:w="418"/>
        <w:gridCol w:w="418"/>
        <w:gridCol w:w="420"/>
        <w:gridCol w:w="109"/>
        <w:gridCol w:w="109"/>
        <w:gridCol w:w="109"/>
        <w:gridCol w:w="533"/>
        <w:gridCol w:w="533"/>
        <w:gridCol w:w="535"/>
        <w:gridCol w:w="109"/>
        <w:gridCol w:w="109"/>
        <w:gridCol w:w="109"/>
        <w:gridCol w:w="660"/>
        <w:gridCol w:w="660"/>
        <w:gridCol w:w="663"/>
        <w:gridCol w:w="109"/>
        <w:gridCol w:w="109"/>
        <w:gridCol w:w="109"/>
        <w:gridCol w:w="593"/>
        <w:gridCol w:w="593"/>
        <w:gridCol w:w="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shell company (as defined in Rule 12b-2 of the Exchange Act). Yes ☐ No ☒ </w:t>
      </w:r>
    </w:p>
    <w:p>
      <w:pPr>
        <w:pStyle w:val="TextBody"/>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filed all documents and reports required to be filed by Sections 12, 13 or 15(d) of the Securities Exchange Act of 1934 subsequent to the distribution of securities under a plan confirmed by a court. Yes ☐ No ☒ </w:t>
      </w:r>
    </w:p>
    <w:p>
      <w:pPr>
        <w:pStyle w:val="TextBody"/>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The aggregate market value of the voting and non-voting common equity held by non-affiliates of the registrant was approximately $5.9 billion as of June 28, 2024, the last business day of the registrant’s most recently completed second fiscal quarter, based on 53,254,954 shares then outstanding at the OTCQX closing price of $111.02 per share.</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As of February 27, 2025, the registrant had 45,961,910 shares outstanding of common stock, par value $0.001 per share (“common stock”).</w:t>
      </w:r>
    </w:p>
    <w:p>
      <w:pPr>
        <w:pStyle w:val="TextBody"/>
        <w:bidi w:val="0"/>
        <w:spacing w:lineRule="auto" w:line="240" w:before="0" w:after="120"/>
        <w:jc w:val="center"/>
        <w:rPr>
          <w:rFonts w:ascii="Arial;sans-serif" w:hAnsi="Arial;sans-serif"/>
          <w:b/>
          <w:color w:val="000000"/>
          <w:sz w:val="16"/>
        </w:rPr>
      </w:pPr>
      <w:r>
        <w:rPr>
          <w:rFonts w:ascii="Arial;sans-serif" w:hAnsi="Arial;sans-serif"/>
          <w:b/>
          <w:color w:val="000000"/>
          <w:sz w:val="16"/>
        </w:rPr>
        <w:t>Documents Incorporated by Reference</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The information required pursuant to Part III of this Form 10-K will be set forth in, and incorporated by reference from, the registrant’s definitive proxy statement for the 2025 annual meeting of stockholders (the “2025 Proxy Statement”), which will be filed with the Securities and Exchange Commission not later than 120 days after the end of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ANNUAL REPORT ON FORM 10-K</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768"/>
        <w:gridCol w:w="675"/>
        <w:gridCol w:w="675"/>
        <w:gridCol w:w="2575"/>
        <w:gridCol w:w="2317"/>
        <w:gridCol w:w="2339"/>
        <w:gridCol w:w="109"/>
        <w:gridCol w:w="109"/>
        <w:gridCol w:w="109"/>
        <w:gridCol w:w="154"/>
        <w:gridCol w:w="154"/>
        <w:gridCol w:w="221"/>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3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f20e1f3d5a734e3eabbb6aa8f57c7562_3721">
              <w:r>
                <w:rPr>
                  <w:rStyle w:val="InternetLink"/>
                  <w:rFonts w:ascii="Arial;sans-serif" w:hAnsi="Arial;sans-serif"/>
                  <w:b w:val="false"/>
                  <w:color w:val="0000FF"/>
                  <w:sz w:val="16"/>
                  <w:u w:val="single"/>
                </w:rPr>
                <w:t>CAUTIONARY NOTE REGARDING FORWARD</w:t>
              </w:r>
            </w:hyperlink>
            <w:r>
              <w:rPr>
                <w:rFonts w:ascii="Arial;sans-serif" w:hAnsi="Arial;sans-serif"/>
                <w:b w:val="false"/>
                <w:color w:val="000000"/>
                <w:sz w:val="16"/>
                <w:u w:val="single"/>
              </w:rPr>
              <w:t>-</w:t>
            </w:r>
            <w:hyperlink w:anchor="if20e1f3d5a734e3eabbb6aa8f57c7562_3721">
              <w:r>
                <w:rPr>
                  <w:rStyle w:val="InternetLink"/>
                  <w:rFonts w:ascii="Arial;sans-serif" w:hAnsi="Arial;sans-serif"/>
                  <w:b w:val="false"/>
                  <w:color w:val="0000FF"/>
                  <w:sz w:val="16"/>
                  <w:u w:val="single"/>
                </w:rPr>
                <w:t>LOOKING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f20e1f3d5a734e3eabbb6aa8f57c7562_3721">
              <w:r>
                <w:rPr>
                  <w:rStyle w:val="InternetLink"/>
                  <w:rFonts w:ascii="Arial;sans-serif" w:hAnsi="Arial;sans-serif"/>
                  <w:b w:val="false"/>
                  <w:color w:val="0000FF"/>
                  <w:sz w:val="16"/>
                  <w:u w:val="single"/>
                </w:rPr>
                <w:t>1</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7696">
              <w:r>
                <w:rPr>
                  <w:rStyle w:val="InternetLink"/>
                  <w:rFonts w:ascii="Arial;sans-serif" w:hAnsi="Arial;sans-serif"/>
                  <w:b w:val="false"/>
                  <w:color w:val="0000FF"/>
                  <w:sz w:val="16"/>
                  <w:u w:val="single"/>
                </w:rPr>
                <w:t>MARKET AND INDUSTRY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7696">
              <w:r>
                <w:rPr>
                  <w:rStyle w:val="InternetLink"/>
                  <w:rFonts w:ascii="Arial;sans-serif" w:hAnsi="Arial;sans-serif"/>
                  <w:b w:val="false"/>
                  <w:color w:val="0000FF"/>
                  <w:sz w:val="16"/>
                  <w:u w:val="single"/>
                </w:rPr>
                <w:t>1</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63">
              <w:r>
                <w:rPr>
                  <w:rStyle w:val="InternetLink"/>
                  <w:rFonts w:ascii="Arial;sans-serif" w:hAnsi="Arial;sans-serif"/>
                  <w:b w:val="false"/>
                  <w:color w:val="0000FF"/>
                  <w:sz w:val="16"/>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63">
              <w:r>
                <w:rPr>
                  <w:rStyle w:val="InternetLink"/>
                  <w:rFonts w:ascii="Arial;sans-serif" w:hAnsi="Arial;sans-serif"/>
                  <w:b w:val="false"/>
                  <w:color w:val="0000FF"/>
                  <w:sz w:val="16"/>
                  <w:u w:val="single"/>
                </w:rPr>
                <w:t>2</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365">
              <w:r>
                <w:rPr>
                  <w:rStyle w:val="InternetLink"/>
                  <w:rFonts w:ascii="Arial;sans-serif" w:hAnsi="Arial;sans-serif"/>
                  <w:b w:val="false"/>
                  <w:color w:val="000080"/>
                  <w:sz w:val="16"/>
                  <w:u w:val="single"/>
                </w:rPr>
                <w:t>ITEM</w:t>
              </w:r>
            </w:hyperlink>
            <w:hyperlink w:anchor="if20e1f3d5a734e3eabbb6aa8f57c7562_5365">
              <w:r>
                <w:rPr>
                  <w:rStyle w:val="InternetLink"/>
                  <w:rFonts w:ascii="Arial;sans-serif" w:hAnsi="Arial;sans-serif"/>
                  <w:b w:val="false"/>
                  <w:color w:val="000080"/>
                  <w:sz w:val="16"/>
                  <w:u w:val="single"/>
                </w:rPr>
                <w:t xml:space="preserve"> 1.</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365">
              <w:r>
                <w:rPr>
                  <w:rStyle w:val="InternetLink"/>
                  <w:rFonts w:ascii="Arial;sans-serif" w:hAnsi="Arial;sans-serif"/>
                  <w:b w:val="false"/>
                  <w:color w:val="0000FF"/>
                  <w:sz w:val="16"/>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365">
              <w:r>
                <w:rPr>
                  <w:rStyle w:val="InternetLink"/>
                  <w:rFonts w:ascii="Arial;sans-serif" w:hAnsi="Arial;sans-serif"/>
                  <w:b w:val="false"/>
                  <w:color w:val="0000FF"/>
                  <w:sz w:val="16"/>
                  <w:u w:val="single"/>
                </w:rPr>
                <w:t>2</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65">
              <w:r>
                <w:rPr>
                  <w:rStyle w:val="InternetLink"/>
                  <w:rFonts w:ascii="Arial;sans-serif" w:hAnsi="Arial;sans-serif"/>
                  <w:b w:val="false"/>
                  <w:color w:val="000080"/>
                  <w:sz w:val="16"/>
                  <w:u w:val="single"/>
                </w:rPr>
                <w:t>I</w:t>
              </w:r>
            </w:hyperlink>
            <w:hyperlink w:anchor="if20e1f3d5a734e3eabbb6aa8f57c7562_3765">
              <w:r>
                <w:rPr>
                  <w:rStyle w:val="InternetLink"/>
                  <w:rFonts w:ascii="Arial;sans-serif" w:hAnsi="Arial;sans-serif"/>
                  <w:b w:val="false"/>
                  <w:color w:val="000080"/>
                  <w:sz w:val="16"/>
                  <w:u w:val="single"/>
                </w:rPr>
                <w:t>TEM 1A.</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65">
              <w:r>
                <w:rPr>
                  <w:rStyle w:val="InternetLink"/>
                  <w:rFonts w:ascii="Arial;sans-serif" w:hAnsi="Arial;sans-serif"/>
                  <w:b w:val="false"/>
                  <w:color w:val="0000FF"/>
                  <w:sz w:val="16"/>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765">
              <w:r>
                <w:rPr>
                  <w:rStyle w:val="InternetLink"/>
                  <w:rFonts w:ascii="Arial;sans-serif" w:hAnsi="Arial;sans-serif"/>
                  <w:b w:val="false"/>
                  <w:color w:val="0000FF"/>
                  <w:sz w:val="16"/>
                  <w:u w:val="single"/>
                </w:rPr>
                <w:t>12</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386">
              <w:r>
                <w:rPr>
                  <w:rStyle w:val="InternetLink"/>
                  <w:rFonts w:ascii="Arial;sans-serif" w:hAnsi="Arial;sans-serif"/>
                  <w:b w:val="false"/>
                  <w:color w:val="000080"/>
                  <w:sz w:val="16"/>
                  <w:u w:val="single"/>
                </w:rPr>
                <w:t>I</w:t>
              </w:r>
            </w:hyperlink>
            <w:hyperlink w:anchor="if20e1f3d5a734e3eabbb6aa8f57c7562_5386">
              <w:r>
                <w:rPr>
                  <w:rStyle w:val="InternetLink"/>
                  <w:rFonts w:ascii="Arial;sans-serif" w:hAnsi="Arial;sans-serif"/>
                  <w:b w:val="false"/>
                  <w:color w:val="000080"/>
                  <w:sz w:val="16"/>
                  <w:u w:val="single"/>
                </w:rPr>
                <w:t>TEM 1B.</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386">
              <w:r>
                <w:rPr>
                  <w:rStyle w:val="InternetLink"/>
                  <w:rFonts w:ascii="Arial;sans-serif" w:hAnsi="Arial;sans-serif"/>
                  <w:b w:val="false"/>
                  <w:color w:val="0000FF"/>
                  <w:sz w:val="16"/>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386">
              <w:r>
                <w:rPr>
                  <w:rStyle w:val="InternetLink"/>
                  <w:rFonts w:ascii="Arial;sans-serif" w:hAnsi="Arial;sans-serif"/>
                  <w:b w:val="false"/>
                  <w:color w:val="0000FF"/>
                  <w:sz w:val="16"/>
                  <w:u w:val="single"/>
                </w:rPr>
                <w:t>26</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797">
              <w:r>
                <w:rPr>
                  <w:rStyle w:val="InternetLink"/>
                  <w:rFonts w:ascii="Arial;sans-serif" w:hAnsi="Arial;sans-serif"/>
                  <w:b w:val="false"/>
                  <w:color w:val="000080"/>
                  <w:sz w:val="16"/>
                  <w:u w:val="single"/>
                </w:rPr>
                <w:t>I</w:t>
              </w:r>
            </w:hyperlink>
            <w:hyperlink w:anchor="if20e1f3d5a734e3eabbb6aa8f57c7562_2797">
              <w:r>
                <w:rPr>
                  <w:rStyle w:val="InternetLink"/>
                  <w:rFonts w:ascii="Arial;sans-serif" w:hAnsi="Arial;sans-serif"/>
                  <w:b w:val="false"/>
                  <w:color w:val="000080"/>
                  <w:sz w:val="16"/>
                  <w:u w:val="single"/>
                </w:rPr>
                <w:t>TEM 1C.</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797">
              <w:r>
                <w:rPr>
                  <w:rStyle w:val="InternetLink"/>
                  <w:rFonts w:ascii="Arial;sans-serif" w:hAnsi="Arial;sans-serif"/>
                  <w:b w:val="false"/>
                  <w:color w:val="0000FF"/>
                  <w:sz w:val="16"/>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797">
              <w:r>
                <w:rPr>
                  <w:rStyle w:val="InternetLink"/>
                  <w:rFonts w:ascii="Arial;sans-serif" w:hAnsi="Arial;sans-serif"/>
                  <w:b w:val="false"/>
                  <w:color w:val="0000FF"/>
                  <w:sz w:val="16"/>
                  <w:u w:val="single"/>
                </w:rPr>
                <w:t>26</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8">
              <w:r>
                <w:rPr>
                  <w:rStyle w:val="InternetLink"/>
                  <w:rFonts w:ascii="Arial;sans-serif" w:hAnsi="Arial;sans-serif"/>
                  <w:b w:val="false"/>
                  <w:color w:val="000080"/>
                  <w:sz w:val="16"/>
                  <w:u w:val="single"/>
                </w:rPr>
                <w:t>I</w:t>
              </w:r>
            </w:hyperlink>
            <w:hyperlink w:anchor="if20e1f3d5a734e3eabbb6aa8f57c7562_378">
              <w:r>
                <w:rPr>
                  <w:rStyle w:val="InternetLink"/>
                  <w:rFonts w:ascii="Arial;sans-serif" w:hAnsi="Arial;sans-serif"/>
                  <w:b w:val="false"/>
                  <w:color w:val="000080"/>
                  <w:sz w:val="16"/>
                  <w:u w:val="single"/>
                </w:rPr>
                <w:t>TEM 2</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8">
              <w:r>
                <w:rPr>
                  <w:rStyle w:val="InternetLink"/>
                  <w:rFonts w:ascii="Arial;sans-serif" w:hAnsi="Arial;sans-serif"/>
                  <w:b w:val="false"/>
                  <w:color w:val="0000FF"/>
                  <w:sz w:val="16"/>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78">
              <w:r>
                <w:rPr>
                  <w:rStyle w:val="InternetLink"/>
                  <w:rFonts w:ascii="Arial;sans-serif" w:hAnsi="Arial;sans-serif"/>
                  <w:b w:val="false"/>
                  <w:color w:val="0000FF"/>
                  <w:sz w:val="16"/>
                  <w:u w:val="single"/>
                </w:rPr>
                <w:t>28</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425">
              <w:r>
                <w:rPr>
                  <w:rStyle w:val="InternetLink"/>
                  <w:rFonts w:ascii="Arial;sans-serif" w:hAnsi="Arial;sans-serif"/>
                  <w:b w:val="false"/>
                  <w:color w:val="000080"/>
                  <w:sz w:val="16"/>
                  <w:u w:val="single"/>
                </w:rPr>
                <w:t>I</w:t>
              </w:r>
            </w:hyperlink>
            <w:hyperlink w:anchor="if20e1f3d5a734e3eabbb6aa8f57c7562_5425">
              <w:r>
                <w:rPr>
                  <w:rStyle w:val="InternetLink"/>
                  <w:rFonts w:ascii="Arial;sans-serif" w:hAnsi="Arial;sans-serif"/>
                  <w:b w:val="false"/>
                  <w:color w:val="000080"/>
                  <w:sz w:val="16"/>
                  <w:u w:val="single"/>
                </w:rPr>
                <w:t>TEM 3.</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425">
              <w:r>
                <w:rPr>
                  <w:rStyle w:val="InternetLink"/>
                  <w:rFonts w:ascii="Arial;sans-serif" w:hAnsi="Arial;sans-serif"/>
                  <w:b w:val="false"/>
                  <w:color w:val="0000FF"/>
                  <w:sz w:val="16"/>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425">
              <w:r>
                <w:rPr>
                  <w:rStyle w:val="InternetLink"/>
                  <w:rFonts w:ascii="Arial;sans-serif" w:hAnsi="Arial;sans-serif"/>
                  <w:b w:val="false"/>
                  <w:color w:val="0000FF"/>
                  <w:sz w:val="16"/>
                  <w:u w:val="single"/>
                </w:rPr>
                <w:t>28</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829">
              <w:r>
                <w:rPr>
                  <w:rStyle w:val="InternetLink"/>
                  <w:rFonts w:ascii="Arial;sans-serif" w:hAnsi="Arial;sans-serif"/>
                  <w:b w:val="false"/>
                  <w:color w:val="000080"/>
                  <w:sz w:val="16"/>
                  <w:u w:val="single"/>
                </w:rPr>
                <w:t>I</w:t>
              </w:r>
            </w:hyperlink>
            <w:hyperlink w:anchor="if20e1f3d5a734e3eabbb6aa8f57c7562_3829">
              <w:r>
                <w:rPr>
                  <w:rStyle w:val="InternetLink"/>
                  <w:rFonts w:ascii="Arial;sans-serif" w:hAnsi="Arial;sans-serif"/>
                  <w:b w:val="false"/>
                  <w:color w:val="000080"/>
                  <w:sz w:val="16"/>
                  <w:u w:val="single"/>
                </w:rPr>
                <w:t>TEM</w:t>
              </w:r>
            </w:hyperlink>
            <w:hyperlink w:anchor="if20e1f3d5a734e3eabbb6aa8f57c7562_3829">
              <w:r>
                <w:rPr>
                  <w:rStyle w:val="InternetLink"/>
                  <w:rFonts w:ascii="Arial;sans-serif" w:hAnsi="Arial;sans-serif"/>
                  <w:b w:val="false"/>
                  <w:color w:val="000080"/>
                  <w:sz w:val="16"/>
                  <w:u w:val="single"/>
                </w:rPr>
                <w:t xml:space="preserve"> 4.</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829">
              <w:r>
                <w:rPr>
                  <w:rStyle w:val="InternetLink"/>
                  <w:rFonts w:ascii="Arial;sans-serif" w:hAnsi="Arial;sans-serif"/>
                  <w:b w:val="false"/>
                  <w:color w:val="0000FF"/>
                  <w:sz w:val="16"/>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829">
              <w:r>
                <w:rPr>
                  <w:rStyle w:val="InternetLink"/>
                  <w:rFonts w:ascii="Arial;sans-serif" w:hAnsi="Arial;sans-serif"/>
                  <w:b w:val="false"/>
                  <w:color w:val="0000FF"/>
                  <w:sz w:val="16"/>
                  <w:u w:val="single"/>
                </w:rPr>
                <w:t>29</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02">
              <w:r>
                <w:rPr>
                  <w:rStyle w:val="InternetLink"/>
                  <w:rFonts w:ascii="Arial;sans-serif" w:hAnsi="Arial;sans-serif"/>
                  <w:b w:val="false"/>
                  <w:color w:val="0000FF"/>
                  <w:sz w:val="16"/>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02">
              <w:r>
                <w:rPr>
                  <w:rStyle w:val="InternetLink"/>
                  <w:rFonts w:ascii="Arial;sans-serif" w:hAnsi="Arial;sans-serif"/>
                  <w:b w:val="false"/>
                  <w:color w:val="0000FF"/>
                  <w:sz w:val="16"/>
                  <w:u w:val="single"/>
                </w:rPr>
                <w:t>30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f20e1f3d5a734e3eabbb6aa8f57c7562_5533">
              <w:r>
                <w:rPr>
                  <w:rStyle w:val="InternetLink"/>
                  <w:rFonts w:ascii="Arial;sans-serif" w:hAnsi="Arial;sans-serif"/>
                  <w:b w:val="false"/>
                  <w:color w:val="000080"/>
                  <w:sz w:val="16"/>
                  <w:u w:val="single"/>
                </w:rPr>
                <w:t>I</w:t>
              </w:r>
            </w:hyperlink>
            <w:hyperlink w:anchor="if20e1f3d5a734e3eabbb6aa8f57c7562_5533">
              <w:r>
                <w:rPr>
                  <w:rStyle w:val="InternetLink"/>
                  <w:rFonts w:ascii="Arial;sans-serif" w:hAnsi="Arial;sans-serif"/>
                  <w:b w:val="false"/>
                  <w:color w:val="000080"/>
                  <w:sz w:val="16"/>
                  <w:u w:val="single"/>
                </w:rPr>
                <w:t>TEM</w:t>
              </w:r>
            </w:hyperlink>
            <w:hyperlink w:anchor="if20e1f3d5a734e3eabbb6aa8f57c7562_5533">
              <w:r>
                <w:rPr>
                  <w:rStyle w:val="InternetLink"/>
                  <w:rFonts w:ascii="Arial;sans-serif" w:hAnsi="Arial;sans-serif"/>
                  <w:b w:val="false"/>
                  <w:color w:val="000080"/>
                  <w:sz w:val="16"/>
                  <w:u w:val="single"/>
                </w:rPr>
                <w:t xml:space="preserve"> 5.</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20e1f3d5a734e3eabbb6aa8f57c7562_5533">
              <w:r>
                <w:rPr>
                  <w:rStyle w:val="InternetLink"/>
                  <w:rFonts w:ascii="Arial;sans-serif" w:hAnsi="Arial;sans-serif"/>
                  <w:b w:val="false"/>
                  <w:color w:val="0000FF"/>
                  <w:sz w:val="16"/>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33">
              <w:r>
                <w:rPr>
                  <w:rStyle w:val="InternetLink"/>
                  <w:rFonts w:ascii="Arial;sans-serif" w:hAnsi="Arial;sans-serif"/>
                  <w:b w:val="false"/>
                  <w:color w:val="0000FF"/>
                  <w:sz w:val="16"/>
                  <w:u w:val="single"/>
                </w:rPr>
                <w:t>30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21">
              <w:r>
                <w:rPr>
                  <w:rStyle w:val="InternetLink"/>
                  <w:rFonts w:ascii="Arial;sans-serif" w:hAnsi="Arial;sans-serif"/>
                  <w:b w:val="false"/>
                  <w:color w:val="000080"/>
                  <w:sz w:val="16"/>
                  <w:u w:val="single"/>
                </w:rPr>
                <w:t>I</w:t>
              </w:r>
            </w:hyperlink>
            <w:hyperlink w:anchor="if20e1f3d5a734e3eabbb6aa8f57c7562_5521">
              <w:r>
                <w:rPr>
                  <w:rStyle w:val="InternetLink"/>
                  <w:rFonts w:ascii="Arial;sans-serif" w:hAnsi="Arial;sans-serif"/>
                  <w:b w:val="false"/>
                  <w:color w:val="000080"/>
                  <w:sz w:val="16"/>
                  <w:u w:val="single"/>
                </w:rPr>
                <w:t>TEM 6.</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21">
              <w:r>
                <w:rPr>
                  <w:rStyle w:val="InternetLink"/>
                  <w:rFonts w:ascii="Arial;sans-serif" w:hAnsi="Arial;sans-serif"/>
                  <w:b w:val="false"/>
                  <w:color w:val="0000FF"/>
                  <w:sz w:val="16"/>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21">
              <w:r>
                <w:rPr>
                  <w:rStyle w:val="InternetLink"/>
                  <w:rFonts w:ascii="Arial;sans-serif" w:hAnsi="Arial;sans-serif"/>
                  <w:b w:val="false"/>
                  <w:color w:val="0000FF"/>
                  <w:sz w:val="16"/>
                  <w:u w:val="single"/>
                </w:rPr>
                <w:t>31</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f20e1f3d5a734e3eabbb6aa8f57c7562_258">
              <w:r>
                <w:rPr>
                  <w:rStyle w:val="InternetLink"/>
                  <w:rFonts w:ascii="Arial;sans-serif" w:hAnsi="Arial;sans-serif"/>
                  <w:b w:val="false"/>
                  <w:color w:val="0000FF"/>
                  <w:sz w:val="16"/>
                  <w:u w:val="single"/>
                </w:rPr>
                <w:t>ITEM 7.</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20e1f3d5a734e3eabbb6aa8f57c7562_258">
              <w:r>
                <w:rPr>
                  <w:rStyle w:val="InternetLink"/>
                  <w:rFonts w:ascii="Arial;sans-serif" w:hAnsi="Arial;sans-serif"/>
                  <w:b w:val="false"/>
                  <w:color w:val="0000FF"/>
                  <w:sz w:val="16"/>
                  <w:u w:val="single"/>
                </w:rPr>
                <w:t xml:space="preserve">MANAGEMENT’S DISCUSSION AND ANALYSIS OF FINANCIAL CONDITION AND RESULTS OF OPERATIONS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58">
              <w:r>
                <w:rPr>
                  <w:rStyle w:val="InternetLink"/>
                  <w:rFonts w:ascii="Arial;sans-serif" w:hAnsi="Arial;sans-serif"/>
                  <w:b w:val="false"/>
                  <w:color w:val="0000FF"/>
                  <w:sz w:val="16"/>
                  <w:u w:val="single"/>
                </w:rPr>
                <w:t>32</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787">
              <w:r>
                <w:rPr>
                  <w:rStyle w:val="InternetLink"/>
                  <w:rFonts w:ascii="Arial;sans-serif" w:hAnsi="Arial;sans-serif"/>
                  <w:b w:val="false"/>
                  <w:color w:val="000080"/>
                  <w:sz w:val="16"/>
                  <w:u w:val="single"/>
                </w:rPr>
                <w:t>I</w:t>
              </w:r>
            </w:hyperlink>
            <w:hyperlink w:anchor="if20e1f3d5a734e3eabbb6aa8f57c7562_5787">
              <w:r>
                <w:rPr>
                  <w:rStyle w:val="InternetLink"/>
                  <w:rFonts w:ascii="Arial;sans-serif" w:hAnsi="Arial;sans-serif"/>
                  <w:b w:val="false"/>
                  <w:color w:val="000080"/>
                  <w:sz w:val="16"/>
                  <w:u w:val="single"/>
                </w:rPr>
                <w:t>TEM 7A</w:t>
              </w:r>
            </w:hyperlink>
            <w:r>
              <w:rPr>
                <w:rFonts w:ascii="Arial;sans-serif" w:hAnsi="Arial;sans-serif"/>
                <w:b w:val="false"/>
                <w:color w:val="000000"/>
                <w:sz w:val="16"/>
              </w:rPr>
              <w:t>.</w:t>
            </w:r>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787">
              <w:r>
                <w:rPr>
                  <w:rStyle w:val="InternetLink"/>
                  <w:rFonts w:ascii="Arial;sans-serif" w:hAnsi="Arial;sans-serif"/>
                  <w:b w:val="false"/>
                  <w:color w:val="0000FF"/>
                  <w:sz w:val="16"/>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787">
              <w:r>
                <w:rPr>
                  <w:rStyle w:val="InternetLink"/>
                  <w:rFonts w:ascii="Arial;sans-serif" w:hAnsi="Arial;sans-serif"/>
                  <w:b w:val="false"/>
                  <w:color w:val="0000FF"/>
                  <w:sz w:val="16"/>
                  <w:u w:val="single"/>
                </w:rPr>
                <w:t>46</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915">
              <w:r>
                <w:rPr>
                  <w:rStyle w:val="InternetLink"/>
                  <w:rFonts w:ascii="Arial;sans-serif" w:hAnsi="Arial;sans-serif"/>
                  <w:b w:val="false"/>
                  <w:color w:val="000080"/>
                  <w:sz w:val="16"/>
                  <w:u w:val="single"/>
                </w:rPr>
                <w:t>I</w:t>
              </w:r>
            </w:hyperlink>
            <w:hyperlink w:anchor="if20e1f3d5a734e3eabbb6aa8f57c7562_3915">
              <w:r>
                <w:rPr>
                  <w:rStyle w:val="InternetLink"/>
                  <w:rFonts w:ascii="Arial;sans-serif" w:hAnsi="Arial;sans-serif"/>
                  <w:b w:val="false"/>
                  <w:color w:val="000080"/>
                  <w:sz w:val="16"/>
                  <w:u w:val="single"/>
                </w:rPr>
                <w:t>TEM 8.</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915">
              <w:r>
                <w:rPr>
                  <w:rStyle w:val="InternetLink"/>
                  <w:rFonts w:ascii="Arial;sans-serif" w:hAnsi="Arial;sans-serif"/>
                  <w:b w:val="false"/>
                  <w:color w:val="0000FF"/>
                  <w:sz w:val="16"/>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915">
              <w:r>
                <w:rPr>
                  <w:rStyle w:val="InternetLink"/>
                  <w:rFonts w:ascii="Arial;sans-serif" w:hAnsi="Arial;sans-serif"/>
                  <w:b w:val="false"/>
                  <w:color w:val="0000FF"/>
                  <w:sz w:val="16"/>
                  <w:u w:val="single"/>
                </w:rPr>
                <w:t>48</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f20e1f3d5a734e3eabbb6aa8f57c7562_5540">
              <w:r>
                <w:rPr>
                  <w:rStyle w:val="InternetLink"/>
                  <w:rFonts w:ascii="Arial;sans-serif" w:hAnsi="Arial;sans-serif"/>
                  <w:b w:val="false"/>
                  <w:color w:val="000080"/>
                  <w:sz w:val="16"/>
                  <w:u w:val="single"/>
                </w:rPr>
                <w:t>I</w:t>
              </w:r>
            </w:hyperlink>
            <w:hyperlink w:anchor="if20e1f3d5a734e3eabbb6aa8f57c7562_5540">
              <w:r>
                <w:rPr>
                  <w:rStyle w:val="InternetLink"/>
                  <w:rFonts w:ascii="Arial;sans-serif" w:hAnsi="Arial;sans-serif"/>
                  <w:b w:val="false"/>
                  <w:color w:val="000080"/>
                  <w:sz w:val="16"/>
                  <w:u w:val="single"/>
                </w:rPr>
                <w:t>TEM 9.</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f20e1f3d5a734e3eabbb6aa8f57c7562_5540">
              <w:r>
                <w:rPr>
                  <w:rStyle w:val="InternetLink"/>
                  <w:rFonts w:ascii="Arial;sans-serif" w:hAnsi="Arial;sans-serif"/>
                  <w:b w:val="false"/>
                  <w:color w:val="0000FF"/>
                  <w:sz w:val="16"/>
                  <w:u w:val="single"/>
                </w:rPr>
                <w:t>CHANGES IN AND DISAGREEMENTS WITH ACCOUNTANTS ON ACCOUNTING AND FINANCIAL DISCLOSURE</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40">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45">
              <w:r>
                <w:rPr>
                  <w:rStyle w:val="InternetLink"/>
                  <w:rFonts w:ascii="Arial;sans-serif" w:hAnsi="Arial;sans-serif"/>
                  <w:b w:val="false"/>
                  <w:color w:val="000080"/>
                  <w:sz w:val="16"/>
                  <w:u w:val="single"/>
                </w:rPr>
                <w:t>I</w:t>
              </w:r>
            </w:hyperlink>
            <w:hyperlink w:anchor="if20e1f3d5a734e3eabbb6aa8f57c7562_3745">
              <w:r>
                <w:rPr>
                  <w:rStyle w:val="InternetLink"/>
                  <w:rFonts w:ascii="Arial;sans-serif" w:hAnsi="Arial;sans-serif"/>
                  <w:b w:val="false"/>
                  <w:color w:val="000080"/>
                  <w:sz w:val="16"/>
                  <w:u w:val="single"/>
                </w:rPr>
                <w:t xml:space="preserve">TEM </w:t>
              </w:r>
            </w:hyperlink>
            <w:hyperlink w:anchor="if20e1f3d5a734e3eabbb6aa8f57c7562_3745">
              <w:r>
                <w:rPr>
                  <w:rStyle w:val="InternetLink"/>
                  <w:rFonts w:ascii="Arial;sans-serif" w:hAnsi="Arial;sans-serif"/>
                  <w:b w:val="false"/>
                  <w:color w:val="000080"/>
                  <w:sz w:val="16"/>
                  <w:u w:val="single"/>
                </w:rPr>
                <w:t>9A.</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45">
              <w:r>
                <w:rPr>
                  <w:rStyle w:val="InternetLink"/>
                  <w:rFonts w:ascii="Arial;sans-serif" w:hAnsi="Arial;sans-serif"/>
                  <w:b w:val="false"/>
                  <w:color w:val="0000FF"/>
                  <w:sz w:val="16"/>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40">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46">
              <w:r>
                <w:rPr>
                  <w:rStyle w:val="InternetLink"/>
                  <w:rFonts w:ascii="Arial;sans-serif" w:hAnsi="Arial;sans-serif"/>
                  <w:b w:val="false"/>
                  <w:color w:val="000080"/>
                  <w:sz w:val="16"/>
                  <w:u w:val="single"/>
                </w:rPr>
                <w:t>I</w:t>
              </w:r>
            </w:hyperlink>
            <w:hyperlink w:anchor="if20e1f3d5a734e3eabbb6aa8f57c7562_5546">
              <w:r>
                <w:rPr>
                  <w:rStyle w:val="InternetLink"/>
                  <w:rFonts w:ascii="Arial;sans-serif" w:hAnsi="Arial;sans-serif"/>
                  <w:b w:val="false"/>
                  <w:color w:val="000080"/>
                  <w:sz w:val="16"/>
                  <w:u w:val="single"/>
                </w:rPr>
                <w:t>TEM</w:t>
              </w:r>
            </w:hyperlink>
            <w:hyperlink w:anchor="if20e1f3d5a734e3eabbb6aa8f57c7562_5546">
              <w:r>
                <w:rPr>
                  <w:rStyle w:val="InternetLink"/>
                  <w:rFonts w:ascii="Arial;sans-serif" w:hAnsi="Arial;sans-serif"/>
                  <w:b w:val="false"/>
                  <w:color w:val="000080"/>
                  <w:sz w:val="16"/>
                  <w:u w:val="single"/>
                </w:rPr>
                <w:t xml:space="preserve"> 9B.</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46">
              <w:r>
                <w:rPr>
                  <w:rStyle w:val="InternetLink"/>
                  <w:rFonts w:ascii="Arial;sans-serif" w:hAnsi="Arial;sans-serif"/>
                  <w:b w:val="false"/>
                  <w:color w:val="0000FF"/>
                  <w:sz w:val="16"/>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46">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52">
              <w:r>
                <w:rPr>
                  <w:rStyle w:val="InternetLink"/>
                  <w:rFonts w:ascii="Arial;sans-serif" w:hAnsi="Arial;sans-serif"/>
                  <w:b w:val="false"/>
                  <w:color w:val="000080"/>
                  <w:sz w:val="16"/>
                  <w:u w:val="single"/>
                </w:rPr>
                <w:t>I</w:t>
              </w:r>
            </w:hyperlink>
            <w:hyperlink w:anchor="if20e1f3d5a734e3eabbb6aa8f57c7562_5552">
              <w:r>
                <w:rPr>
                  <w:rStyle w:val="InternetLink"/>
                  <w:rFonts w:ascii="Arial;sans-serif" w:hAnsi="Arial;sans-serif"/>
                  <w:b w:val="false"/>
                  <w:color w:val="000080"/>
                  <w:sz w:val="16"/>
                  <w:u w:val="single"/>
                </w:rPr>
                <w:t>TEM 9C.</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52">
              <w:r>
                <w:rPr>
                  <w:rStyle w:val="InternetLink"/>
                  <w:rFonts w:ascii="Arial;sans-serif" w:hAnsi="Arial;sans-serif"/>
                  <w:b w:val="false"/>
                  <w:color w:val="0000FF"/>
                  <w:sz w:val="16"/>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52">
              <w:r>
                <w:rPr>
                  <w:rStyle w:val="InternetLink"/>
                  <w:rFonts w:ascii="Arial;sans-serif" w:hAnsi="Arial;sans-serif"/>
                  <w:b w:val="false"/>
                  <w:color w:val="0000FF"/>
                  <w:sz w:val="16"/>
                  <w:u w:val="single"/>
                </w:rPr>
                <w:t>110</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59">
              <w:r>
                <w:rPr>
                  <w:rStyle w:val="InternetLink"/>
                  <w:rFonts w:ascii="Arial;sans-serif" w:hAnsi="Arial;sans-serif"/>
                  <w:b w:val="false"/>
                  <w:color w:val="0000FF"/>
                  <w:sz w:val="16"/>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59">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65">
              <w:r>
                <w:rPr>
                  <w:rStyle w:val="InternetLink"/>
                  <w:rFonts w:ascii="Arial;sans-serif" w:hAnsi="Arial;sans-serif"/>
                  <w:b w:val="false"/>
                  <w:color w:val="000080"/>
                  <w:sz w:val="16"/>
                  <w:u w:val="single"/>
                </w:rPr>
                <w:t>I</w:t>
              </w:r>
            </w:hyperlink>
            <w:hyperlink w:anchor="if20e1f3d5a734e3eabbb6aa8f57c7562_5565">
              <w:r>
                <w:rPr>
                  <w:rStyle w:val="InternetLink"/>
                  <w:rFonts w:ascii="Arial;sans-serif" w:hAnsi="Arial;sans-serif"/>
                  <w:b w:val="false"/>
                  <w:color w:val="000080"/>
                  <w:sz w:val="16"/>
                  <w:u w:val="single"/>
                </w:rPr>
                <w:t>TEM 10.</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65">
              <w:r>
                <w:rPr>
                  <w:rStyle w:val="InternetLink"/>
                  <w:rFonts w:ascii="Arial;sans-serif" w:hAnsi="Arial;sans-serif"/>
                  <w:b w:val="false"/>
                  <w:color w:val="0000FF"/>
                  <w:sz w:val="16"/>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65">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72">
              <w:r>
                <w:rPr>
                  <w:rStyle w:val="InternetLink"/>
                  <w:rFonts w:ascii="Arial;sans-serif" w:hAnsi="Arial;sans-serif"/>
                  <w:b w:val="false"/>
                  <w:color w:val="000080"/>
                  <w:sz w:val="16"/>
                  <w:u w:val="single"/>
                </w:rPr>
                <w:t>I</w:t>
              </w:r>
            </w:hyperlink>
            <w:hyperlink w:anchor="if20e1f3d5a734e3eabbb6aa8f57c7562_5572">
              <w:r>
                <w:rPr>
                  <w:rStyle w:val="InternetLink"/>
                  <w:rFonts w:ascii="Arial;sans-serif" w:hAnsi="Arial;sans-serif"/>
                  <w:b w:val="false"/>
                  <w:color w:val="000080"/>
                  <w:sz w:val="16"/>
                  <w:u w:val="single"/>
                </w:rPr>
                <w:t>TEM 11.</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72">
              <w:r>
                <w:rPr>
                  <w:rStyle w:val="InternetLink"/>
                  <w:rFonts w:ascii="Arial;sans-serif" w:hAnsi="Arial;sans-serif"/>
                  <w:b w:val="false"/>
                  <w:color w:val="0000FF"/>
                  <w:sz w:val="16"/>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72">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f20e1f3d5a734e3eabbb6aa8f57c7562_5578">
              <w:r>
                <w:rPr>
                  <w:rStyle w:val="InternetLink"/>
                  <w:rFonts w:ascii="Arial;sans-serif" w:hAnsi="Arial;sans-serif"/>
                  <w:b w:val="false"/>
                  <w:color w:val="000080"/>
                  <w:sz w:val="16"/>
                  <w:u w:val="single"/>
                </w:rPr>
                <w:t>I</w:t>
              </w:r>
            </w:hyperlink>
            <w:hyperlink w:anchor="if20e1f3d5a734e3eabbb6aa8f57c7562_5578">
              <w:r>
                <w:rPr>
                  <w:rStyle w:val="InternetLink"/>
                  <w:rFonts w:ascii="Arial;sans-serif" w:hAnsi="Arial;sans-serif"/>
                  <w:b w:val="false"/>
                  <w:color w:val="000080"/>
                  <w:sz w:val="16"/>
                  <w:u w:val="single"/>
                </w:rPr>
                <w:t>TEM 12.</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20e1f3d5a734e3eabbb6aa8f57c7562_5578">
              <w:r>
                <w:rPr>
                  <w:rStyle w:val="InternetLink"/>
                  <w:rFonts w:ascii="Arial;sans-serif" w:hAnsi="Arial;sans-serif"/>
                  <w:b w:val="false"/>
                  <w:color w:val="0000FF"/>
                  <w:sz w:val="16"/>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78">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f20e1f3d5a734e3eabbb6aa8f57c7562_5584">
              <w:r>
                <w:rPr>
                  <w:rStyle w:val="InternetLink"/>
                  <w:rFonts w:ascii="Arial;sans-serif" w:hAnsi="Arial;sans-serif"/>
                  <w:b w:val="false"/>
                  <w:color w:val="000080"/>
                  <w:sz w:val="16"/>
                  <w:u w:val="single"/>
                </w:rPr>
                <w:t>I</w:t>
              </w:r>
            </w:hyperlink>
            <w:hyperlink w:anchor="if20e1f3d5a734e3eabbb6aa8f57c7562_5584">
              <w:r>
                <w:rPr>
                  <w:rStyle w:val="InternetLink"/>
                  <w:rFonts w:ascii="Arial;sans-serif" w:hAnsi="Arial;sans-serif"/>
                  <w:b w:val="false"/>
                  <w:color w:val="000080"/>
                  <w:sz w:val="16"/>
                  <w:u w:val="single"/>
                </w:rPr>
                <w:t>TEM 13.</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f20e1f3d5a734e3eabbb6aa8f57c7562_5584">
              <w:r>
                <w:rPr>
                  <w:rStyle w:val="InternetLink"/>
                  <w:rFonts w:ascii="Arial;sans-serif" w:hAnsi="Arial;sans-serif"/>
                  <w:b w:val="false"/>
                  <w:color w:val="0000FF"/>
                  <w:sz w:val="16"/>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84">
              <w:r>
                <w:rPr>
                  <w:rStyle w:val="InternetLink"/>
                  <w:rFonts w:ascii="Arial;sans-serif" w:hAnsi="Arial;sans-serif"/>
                  <w:b w:val="false"/>
                  <w:color w:val="0000FF"/>
                  <w:sz w:val="16"/>
                  <w:u w:val="single"/>
                </w:rPr>
                <w:t>111</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90">
              <w:r>
                <w:rPr>
                  <w:rStyle w:val="InternetLink"/>
                  <w:rFonts w:ascii="Arial;sans-serif" w:hAnsi="Arial;sans-serif"/>
                  <w:b w:val="false"/>
                  <w:color w:val="000080"/>
                  <w:sz w:val="16"/>
                  <w:u w:val="single"/>
                </w:rPr>
                <w:t>I</w:t>
              </w:r>
            </w:hyperlink>
            <w:hyperlink w:anchor="if20e1f3d5a734e3eabbb6aa8f57c7562_5590">
              <w:r>
                <w:rPr>
                  <w:rStyle w:val="InternetLink"/>
                  <w:rFonts w:ascii="Arial;sans-serif" w:hAnsi="Arial;sans-serif"/>
                  <w:b w:val="false"/>
                  <w:color w:val="000080"/>
                  <w:sz w:val="16"/>
                  <w:u w:val="single"/>
                </w:rPr>
                <w:t>TEM 14.</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90">
              <w:r>
                <w:rPr>
                  <w:rStyle w:val="InternetLink"/>
                  <w:rFonts w:ascii="Arial;sans-serif" w:hAnsi="Arial;sans-serif"/>
                  <w:b w:val="false"/>
                  <w:color w:val="0000FF"/>
                  <w:sz w:val="16"/>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90">
              <w:r>
                <w:rPr>
                  <w:rStyle w:val="InternetLink"/>
                  <w:rFonts w:ascii="Arial;sans-serif" w:hAnsi="Arial;sans-serif"/>
                  <w:b w:val="false"/>
                  <w:color w:val="0000FF"/>
                  <w:sz w:val="16"/>
                  <w:u w:val="single"/>
                </w:rPr>
                <w:t>111</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96">
              <w:r>
                <w:rPr>
                  <w:rStyle w:val="InternetLink"/>
                  <w:rFonts w:ascii="Arial;sans-serif" w:hAnsi="Arial;sans-serif"/>
                  <w:b w:val="false"/>
                  <w:color w:val="0000FF"/>
                  <w:sz w:val="16"/>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96">
              <w:r>
                <w:rPr>
                  <w:rStyle w:val="InternetLink"/>
                  <w:rFonts w:ascii="Arial;sans-serif" w:hAnsi="Arial;sans-serif"/>
                  <w:b w:val="false"/>
                  <w:color w:val="0000FF"/>
                  <w:sz w:val="16"/>
                  <w:u w:val="single"/>
                </w:rPr>
                <w:t>111</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604">
              <w:r>
                <w:rPr>
                  <w:rStyle w:val="InternetLink"/>
                  <w:rFonts w:ascii="Arial;sans-serif" w:hAnsi="Arial;sans-serif"/>
                  <w:b w:val="false"/>
                  <w:color w:val="000080"/>
                  <w:sz w:val="16"/>
                  <w:u w:val="single"/>
                </w:rPr>
                <w:t>I</w:t>
              </w:r>
            </w:hyperlink>
            <w:hyperlink w:anchor="if20e1f3d5a734e3eabbb6aa8f57c7562_5604">
              <w:r>
                <w:rPr>
                  <w:rStyle w:val="InternetLink"/>
                  <w:rFonts w:ascii="Arial;sans-serif" w:hAnsi="Arial;sans-serif"/>
                  <w:b w:val="false"/>
                  <w:color w:val="000080"/>
                  <w:sz w:val="16"/>
                  <w:u w:val="single"/>
                </w:rPr>
                <w:t>TEM 15.</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604">
              <w:r>
                <w:rPr>
                  <w:rStyle w:val="InternetLink"/>
                  <w:rFonts w:ascii="Arial;sans-serif" w:hAnsi="Arial;sans-serif"/>
                  <w:b w:val="false"/>
                  <w:color w:val="0000FF"/>
                  <w:sz w:val="16"/>
                  <w:u w:val="single"/>
                </w:rPr>
                <w:t>EXHIBITS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604">
              <w:r>
                <w:rPr>
                  <w:rStyle w:val="InternetLink"/>
                  <w:rFonts w:ascii="Arial;sans-serif" w:hAnsi="Arial;sans-serif"/>
                  <w:b w:val="false"/>
                  <w:color w:val="0000FF"/>
                  <w:sz w:val="16"/>
                  <w:u w:val="single"/>
                </w:rPr>
                <w:t>111</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617">
              <w:r>
                <w:rPr>
                  <w:rStyle w:val="InternetLink"/>
                  <w:rFonts w:ascii="Arial;sans-serif" w:hAnsi="Arial;sans-serif"/>
                  <w:b w:val="false"/>
                  <w:color w:val="000080"/>
                  <w:sz w:val="16"/>
                  <w:u w:val="single"/>
                </w:rPr>
                <w:t>I</w:t>
              </w:r>
            </w:hyperlink>
            <w:hyperlink w:anchor="if20e1f3d5a734e3eabbb6aa8f57c7562_5617">
              <w:r>
                <w:rPr>
                  <w:rStyle w:val="InternetLink"/>
                  <w:rFonts w:ascii="Arial;sans-serif" w:hAnsi="Arial;sans-serif"/>
                  <w:b w:val="false"/>
                  <w:color w:val="000080"/>
                  <w:sz w:val="16"/>
                  <w:u w:val="single"/>
                </w:rPr>
                <w:t>TEM 16.</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617">
              <w:r>
                <w:rPr>
                  <w:rStyle w:val="InternetLink"/>
                  <w:rFonts w:ascii="Arial;sans-serif" w:hAnsi="Arial;sans-serif"/>
                  <w:b w:val="false"/>
                  <w:color w:val="0000FF"/>
                  <w:sz w:val="16"/>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617">
              <w:r>
                <w:rPr>
                  <w:rStyle w:val="InternetLink"/>
                  <w:rFonts w:ascii="Arial;sans-serif" w:hAnsi="Arial;sans-serif"/>
                  <w:b w:val="false"/>
                  <w:color w:val="0000FF"/>
                  <w:sz w:val="16"/>
                  <w:u w:val="single"/>
                </w:rPr>
                <w:t>115</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81">
              <w:r>
                <w:rPr>
                  <w:rStyle w:val="InternetLink"/>
                  <w:rFonts w:ascii="Arial;sans-serif" w:hAnsi="Arial;sans-serif"/>
                  <w:b w:val="false"/>
                  <w:color w:val="000080"/>
                  <w:sz w:val="16"/>
                  <w:u w:val="single"/>
                </w:rPr>
                <w:t>GLOSSARY OF TER</w:t>
              </w:r>
            </w:hyperlink>
            <w:hyperlink w:anchor="if20e1f3d5a734e3eabbb6aa8f57c7562_381">
              <w:r>
                <w:rPr>
                  <w:rStyle w:val="InternetLink"/>
                  <w:rFonts w:ascii="Arial;sans-serif" w:hAnsi="Arial;sans-serif"/>
                  <w:b w:val="false"/>
                  <w:color w:val="000080"/>
                  <w:sz w:val="16"/>
                  <w:u w:val="single"/>
                </w:rPr>
                <w:t>MS AND ABB</w:t>
              </w:r>
            </w:hyperlink>
            <w:hyperlink w:anchor="if20e1f3d5a734e3eabbb6aa8f57c7562_381">
              <w:r>
                <w:rPr>
                  <w:rStyle w:val="InternetLink"/>
                  <w:rFonts w:ascii="Arial;sans-serif" w:hAnsi="Arial;sans-serif"/>
                  <w:b w:val="false"/>
                  <w:color w:val="000080"/>
                  <w:sz w:val="16"/>
                  <w:u w:val="single"/>
                </w:rPr>
                <w:t>R</w:t>
              </w:r>
            </w:hyperlink>
            <w:hyperlink w:anchor="if20e1f3d5a734e3eabbb6aa8f57c7562_381">
              <w:r>
                <w:rPr>
                  <w:rStyle w:val="InternetLink"/>
                  <w:rFonts w:ascii="Arial;sans-serif" w:hAnsi="Arial;sans-serif"/>
                  <w:b w:val="false"/>
                  <w:color w:val="000080"/>
                  <w:sz w:val="16"/>
                  <w:u w:val="single"/>
                </w:rPr>
                <w:t>EVIATIONS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81">
              <w:r>
                <w:rPr>
                  <w:rStyle w:val="InternetLink"/>
                  <w:rFonts w:ascii="Arial;sans-serif" w:hAnsi="Arial;sans-serif"/>
                  <w:b w:val="false"/>
                  <w:color w:val="0000FF"/>
                  <w:sz w:val="16"/>
                  <w:u w:val="single"/>
                </w:rPr>
                <w:t>116</w:t>
              </w:r>
            </w:hyperlink>
          </w:p>
        </w:tc>
      </w:tr>
      <w:tr>
        <w:trPr/>
        <w:tc>
          <w:tcPr>
            <w:tcW w:w="934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f20e1f3d5a734e3eabbb6aa8f57c7562_3866">
              <w:r>
                <w:rPr>
                  <w:rStyle w:val="InternetLink"/>
                  <w:rFonts w:ascii="Arial;sans-serif" w:hAnsi="Arial;sans-serif"/>
                  <w:b w:val="false"/>
                  <w:color w:val="000080"/>
                  <w:sz w:val="16"/>
                  <w:u w:val="single"/>
                </w:rPr>
                <w:t>SIGN</w:t>
              </w:r>
            </w:hyperlink>
            <w:hyperlink w:anchor="if20e1f3d5a734e3eabbb6aa8f57c7562_3866">
              <w:r>
                <w:rPr>
                  <w:rStyle w:val="InternetLink"/>
                  <w:rFonts w:ascii="Arial;sans-serif" w:hAnsi="Arial;sans-serif"/>
                  <w:b w:val="false"/>
                  <w:color w:val="000080"/>
                  <w:sz w:val="16"/>
                  <w:u w:val="single"/>
                </w:rPr>
                <w:t>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hyperlink w:anchor="if20e1f3d5a734e3eabbb6aa8f57c7562_3866">
              <w:r>
                <w:rPr>
                  <w:rStyle w:val="InternetLink"/>
                  <w:rFonts w:ascii="Arial;sans-serif" w:hAnsi="Arial;sans-serif"/>
                  <w:b w:val="false"/>
                  <w:color w:val="0000FF"/>
                  <w:sz w:val="16"/>
                  <w:u w:val="single"/>
                </w:rPr>
                <w:t>120</w:t>
              </w:r>
            </w:hyperlink>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Capitalized terms and abbreviations used but not defined in this Annual Report on Form 10-K are defined in the glossary.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color w:val="000000"/>
          <w:sz w:val="18"/>
        </w:rPr>
      </w:pPr>
      <w:bookmarkStart w:id="0" w:name="idf08d5c8772847918ea60a8749a96b52_73730"/>
      <w:bookmarkEnd w:id="0"/>
      <w:r>
        <w:rPr>
          <w:rFonts w:ascii="Arial;sans-serif" w:hAnsi="Arial;sans-serif"/>
          <w:b/>
          <w:color w:val="000000"/>
          <w:sz w:val="18"/>
        </w:rPr>
        <w:t>CAUTIONARY NOTE REGARDING FORWARD-LOOKING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This Annual Report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risks, uncertainties, and other factors that could cause actual results to differ materially from the forward-looking statements made by us include those discussed in this Report, including but not limited to “Item 1A.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MARKET AND INDUSTRY DATA</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and “Item 1A. Risk Factors.” These and other factors could cause results to differ materially from those expressed in the estimates made by third parties and by us. Accordingly, you are cautioned not to place undue reliance on such market and industry data or any other such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color w:val="000000"/>
          <w:sz w:val="18"/>
        </w:rPr>
      </w:pPr>
      <w:bookmarkStart w:id="1" w:name="idf698714458246d88f58db56dc294163_458"/>
      <w:bookmarkEnd w:id="1"/>
      <w:r>
        <w:rPr>
          <w:rFonts w:ascii="Arial;sans-serif" w:hAnsi="Arial;sans-serif"/>
          <w:b/>
          <w:color w:val="000000"/>
          <w:sz w:val="18"/>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is a leading independent power producer and energy infrastructure company dedicated to powering the future. We own and operate approximately 10.7 gigawatts of power infrastructure in the United States, including 2.2 gigawatts of nuclear power and a significant dispatchable generation fleet. We produce and sell electricity, capacity, and ancillary services into wholesale U.S. power markets, with our generation fleet principally located in the Mid-Atlantic and Montana. Our team is committed to generating power safely and reliably, delivering the most value per megawatt produced and driving the energy transition. Talen is also powering the digital infrastructure revolution. We are well-positioned to capture this significant growth opportunity, as data centers serving artificial intelligence increasingly demand more reliable, clean power.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Fleet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discussion provides a brief overview of our fleet. See “Item 2. Properties” for additional information on each of our facilities.</w:t>
      </w:r>
    </w:p>
    <w:p>
      <w:pPr>
        <w:pStyle w:val="TextBody"/>
        <w:bidi w:val="0"/>
        <w:spacing w:before="0" w:after="180"/>
        <w:jc w:val="center"/>
        <w:rPr/>
      </w:pPr>
      <w:r>
        <w:rPr/>
        <w:drawing>
          <wp:inline distT="0" distB="0" distL="0" distR="0">
            <wp:extent cx="6629400" cy="38100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629400" cy="3810000"/>
                    </a:xfrm>
                    <a:prstGeom prst="rect">
                      <a:avLst/>
                    </a:prstGeom>
                  </pic:spPr>
                </pic:pic>
              </a:graphicData>
            </a:graphic>
          </wp:inline>
        </w:drawing>
      </w:r>
    </w:p>
    <w:p>
      <w:pPr>
        <w:pStyle w:val="TextBody"/>
        <w:bidi w:val="0"/>
        <w:spacing w:lineRule="auto" w:line="288" w:before="0" w:after="180"/>
        <w:jc w:val="left"/>
        <w:rPr/>
      </w:pPr>
      <w:r>
        <w:rPr>
          <w:rFonts w:ascii="Arial;sans-serif" w:hAnsi="Arial;sans-serif"/>
          <w:b w:val="false"/>
          <w:i/>
          <w:color w:val="000000"/>
          <w:sz w:val="18"/>
        </w:rPr>
        <w:t xml:space="preserve">Baseload, carbon-free nuclear facility. </w:t>
      </w:r>
      <w:r>
        <w:rPr>
          <w:rFonts w:ascii="Arial;sans-serif" w:hAnsi="Arial;sans-serif"/>
          <w:b w:val="false"/>
          <w:color w:val="000000"/>
          <w:sz w:val="18"/>
        </w:rPr>
        <w:t>We operate, and own a 90% interest in, the 2.5</w:t>
      </w:r>
      <w:r>
        <w:rPr>
          <w:color w:val="000000"/>
          <w:shd w:fill="FFFFFF" w:val="clear"/>
        </w:rPr>
        <w:t xml:space="preserve"> </w:t>
      </w:r>
      <w:r>
        <w:rPr>
          <w:rFonts w:ascii="Arial;sans-serif" w:hAnsi="Arial;sans-serif"/>
          <w:b w:val="false"/>
          <w:color w:val="000000"/>
          <w:sz w:val="18"/>
          <w:shd w:fill="FFFFFF" w:val="clear"/>
        </w:rPr>
        <w:t xml:space="preserve">GW </w:t>
      </w:r>
      <w:r>
        <w:rPr>
          <w:rFonts w:ascii="Arial;sans-serif" w:hAnsi="Arial;sans-serif"/>
          <w:b w:val="false"/>
          <w:color w:val="000000"/>
          <w:sz w:val="18"/>
        </w:rPr>
        <w:t>Susquehanna facility, the sixth largest nuclear-powered generation facility in the U.S. Susquehanna typically comprises approximately half of our total annual generation.</w:t>
      </w:r>
      <w:r>
        <w:rPr>
          <w:color w:val="000000"/>
          <w:shd w:fill="FFFFFF" w:val="clear"/>
        </w:rPr>
        <w:t xml:space="preserve"> </w:t>
      </w:r>
      <w:r>
        <w:rPr>
          <w:rFonts w:ascii="Arial;sans-serif" w:hAnsi="Arial;sans-serif"/>
          <w:b w:val="false"/>
          <w:color w:val="000000"/>
          <w:sz w:val="18"/>
        </w:rPr>
        <w:t xml:space="preserve">In 2024, Talen produced over 18 GWh of reliable, zero-carbon power from Susquehanna at a low all-in cost of less than $24 per MWh, while also maintaining excellent safety and operational performance </w:t>
      </w:r>
      <w:r>
        <w:rPr>
          <w:rFonts w:ascii="Arial;sans-serif" w:hAnsi="Arial;sans-serif"/>
          <w:b w:val="false"/>
          <w:color w:val="000000"/>
          <w:sz w:val="18"/>
          <w:shd w:fill="FFFFFF" w:val="clear"/>
        </w:rPr>
        <w:t>(when measured by standards adopted by the nuclear industry)</w:t>
      </w:r>
      <w:r>
        <w:rPr>
          <w:rFonts w:ascii="Arial;sans-serif" w:hAnsi="Arial;sans-serif"/>
          <w:b w:val="false"/>
          <w:color w:val="000000"/>
          <w:sz w:val="18"/>
        </w:rPr>
        <w:t>. Susquehanna’s efficient cost structure is supported in part by a portfolio of supply contracts for all stages of the nuclear fuel cycle. See “—Fuel Supply—Nuclear” for additional information. Susquehanna’s two units are currently licensed through 2042 and 2044, respectively (with up to 20-year extensions possible with regulatory approval).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Susquehanna has historically generated revenues primarily from energy sales into the PJM wholesale market, PJM capacity sales, and strategic hedging. As part of the AWS Data Campus Sale in 2024, Susquehanna and AWS have contracted under the AWS PPA for the long-term, fixed-price supply of power directly from Susquehanna to the adjacent AWS Data Campus. See Note 20 to the Annual Financial Statements for additional information on the AWS Data Campus Sale and “—Our Key Markets and Revenue Streams—Contracted Revenues—AWS PPA” for additional information on the AWS PPA. Susquehanna also benefits from the Nuclear PTC included under the Inflation Reduction Act, which runs through 2032 and provides a tax credit of up to $43.75 per MW (indexed to inflation) for power produced from a nuclear generation source. See “—Our Key Markets and Revenue Streams—Nuclear PTC” for additional information on the Nuclear PTC.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pPr>
      <w:r>
        <w:rPr>
          <w:rFonts w:ascii="Arial;sans-serif" w:hAnsi="Arial;sans-serif"/>
          <w:b w:val="false"/>
          <w:i/>
          <w:color w:val="000000"/>
          <w:sz w:val="18"/>
        </w:rPr>
        <w:t xml:space="preserve">Dispatchable natural gas and oil intermediate and peaking units. </w:t>
      </w:r>
      <w:r>
        <w:rPr>
          <w:rFonts w:ascii="Arial;sans-serif" w:hAnsi="Arial;sans-serif"/>
          <w:b w:val="false"/>
          <w:color w:val="000000"/>
          <w:sz w:val="18"/>
        </w:rPr>
        <w:t>Our 6.3</w:t>
      </w:r>
      <w:r>
        <w:rPr>
          <w:color w:val="000000"/>
          <w:shd w:fill="FFFFFF" w:val="clear"/>
        </w:rPr>
        <w:t xml:space="preserve"> </w:t>
      </w:r>
      <w:r>
        <w:rPr>
          <w:rFonts w:ascii="Arial;sans-serif" w:hAnsi="Arial;sans-serif"/>
          <w:b w:val="false"/>
          <w:color w:val="000000"/>
          <w:sz w:val="18"/>
          <w:shd w:fill="FFFFFF" w:val="clear"/>
        </w:rPr>
        <w:t>GW</w:t>
      </w:r>
      <w:r>
        <w:rPr>
          <w:color w:val="000000"/>
        </w:rPr>
        <w:t xml:space="preserve"> </w:t>
      </w:r>
      <w:r>
        <w:rPr>
          <w:rFonts w:ascii="Arial;sans-serif" w:hAnsi="Arial;sans-serif"/>
          <w:b w:val="false"/>
          <w:color w:val="000000"/>
          <w:sz w:val="18"/>
        </w:rPr>
        <w:t>natural gas and oil fleet (of which 3.2</w:t>
      </w:r>
      <w:r>
        <w:rPr>
          <w:color w:val="000000"/>
          <w:shd w:fill="FFFFFF" w:val="clear"/>
        </w:rPr>
        <w:t xml:space="preserve"> </w:t>
      </w:r>
      <w:r>
        <w:rPr>
          <w:rFonts w:ascii="Arial;sans-serif" w:hAnsi="Arial;sans-serif"/>
          <w:b w:val="false"/>
          <w:color w:val="000000"/>
          <w:sz w:val="18"/>
          <w:shd w:fill="FFFFFF" w:val="clear"/>
        </w:rPr>
        <w:t>GW</w:t>
      </w:r>
      <w:r>
        <w:rPr>
          <w:color w:val="000000"/>
        </w:rPr>
        <w:t xml:space="preserve"> </w:t>
      </w:r>
      <w:r>
        <w:rPr>
          <w:rFonts w:ascii="Arial;sans-serif" w:hAnsi="Arial;sans-serif"/>
          <w:b w:val="false"/>
          <w:color w:val="000000"/>
          <w:sz w:val="18"/>
        </w:rPr>
        <w:t>is from Brunner Island, Montour, and H.A Wagner Unit 3 after conversion, as discussed below) includes seven technologically diverse natural gas and oil generation facilities across the generation stack (including intermediate and peaking dispatch). Certain units are capable of utilizing multiple fuel sources, providing meaningful operational flexibility. These strategically located assets include significant generation in attractive wholesale markets (primarily PJM), allowing them to generate predictable revenues on cleared capacity while also benefiting from varying market dynamics. See “Item 2. Properties” for additional information on each of these facilities.</w:t>
      </w:r>
    </w:p>
    <w:p>
      <w:pPr>
        <w:pStyle w:val="TextBody"/>
        <w:bidi w:val="0"/>
        <w:spacing w:lineRule="auto" w:line="288" w:before="0" w:after="180"/>
        <w:jc w:val="left"/>
        <w:rPr/>
      </w:pPr>
      <w:r>
        <w:rPr>
          <w:rFonts w:ascii="Arial;sans-serif" w:hAnsi="Arial;sans-serif"/>
          <w:b w:val="false"/>
          <w:i/>
          <w:color w:val="000000"/>
          <w:sz w:val="18"/>
        </w:rPr>
        <w:t xml:space="preserve">Reliability assets and carbon deleveraging. </w:t>
      </w:r>
      <w:r>
        <w:rPr>
          <w:rFonts w:ascii="Arial;sans-serif" w:hAnsi="Arial;sans-serif"/>
          <w:b w:val="false"/>
          <w:color w:val="000000"/>
          <w:sz w:val="18"/>
        </w:rPr>
        <w:t>Our coal-fired generation assets continue to be impacted by changing environmental regulations and power market economics. We have already completed the conversion of approximately 3.2 GW of our legacy coal fleet to lower-carbon fuels, including our Brunner Island and Montour facilities, which together represent over 25% of our total generation capacity, and Unit 3 of our H.A Wagner facility. We previously requested deactivation of both H.A Wagner and our wholly-owned 1.3 GW Brandon Shores facility in mid-2025. However, PJM subsequently notified us that both H.A Wagner and Brandon Shores are needed past their previously planned retirement dates to maintain reliability in PJM. In January 2025, we reached a settlement (which remains subject to FERC approval) with key stakeholders to continue running both facilities through May 2029 under an RMR arrangement. See “—Our Key Markets and Revenue Streams—Contracted Revenues—Brandon Shores and H.A Wagner RMR Arrangements” and Note 10 to the Annual Financial Statements for additional information on the RMR proceedings and settlement. We also own minority interests, totaling approximately 800 MW, in three coal-fired generation facilities in PJM and WECC, and we are exploring ways to maximize the value of these assets in the context of changing market conditions. See “Item 2. Properties” for additional information on each of these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Key Markets and Revenue Streams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operating revenues have historically consisted primarily of capacity revenues, energy/ancillary services revenues, and unrealized gain (loss) on hedging instruments. As further discussed below, we sell capacity and energy through a combination of forward auctions, bilateral contracts, and spot market sales (as applicable). See “—Our Strategies—Optimize risk management program and hedging” for a discussion of our commercial optimization strategy. Beginning in mid-2025, we expect our Brandon Shores and H.A. Wagner facilities to begin operating as reliability resources under an RMR agreement that will provide fixed payments to Talen in addition to reimbursement for certain costs and expenses. In addition, our Susquehanna facility is party to the AWS PPA for the supply of power from Susquehanna to AWS through long-term, fixed-price power commitments that increase over time. See “—Contracted Revenues” for additional information on both the RMR arrangements and the AWS PPA. We continue to evaluate business opportunities resulting from industrial load growth. See “—Demand Growth from Multiple Sources” for additional information. We also benefit from the Nuclear PTC under the Inflation Reduction Act. See “—Nuclear PTC”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Wholesale Markets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substantial majority of our generation capacity is located in, and accordingly the majority of our revenues are derived from, PJM. Specifically, a majority of our generation capacity (over 10 GW) is located in the MAAC (Mid-Atlantic Area Council) and BGE (Baltimore Gas and Electric) regions of PJM. The remainder of our generation capacity is in ISO-NE and WECC. See “Item 2. Properties” for additional information on the market location of each of our facilities.</w:t>
      </w:r>
    </w:p>
    <w:p>
      <w:pPr>
        <w:pStyle w:val="TextBody"/>
        <w:bidi w:val="0"/>
        <w:spacing w:lineRule="auto" w:line="288" w:before="0" w:after="180"/>
        <w:jc w:val="left"/>
        <w:rPr/>
      </w:pPr>
      <w:r>
        <w:rPr>
          <w:rFonts w:ascii="Arial;sans-serif" w:hAnsi="Arial;sans-serif"/>
          <w:b w:val="false"/>
          <w:i/>
          <w:color w:val="000000"/>
          <w:sz w:val="18"/>
        </w:rPr>
        <w:t xml:space="preserve">PJM. </w:t>
      </w:r>
      <w:r>
        <w:rPr>
          <w:rFonts w:ascii="Arial;sans-serif" w:hAnsi="Arial;sans-serif"/>
          <w:b w:val="false"/>
          <w:color w:val="000000"/>
          <w:sz w:val="18"/>
        </w:rPr>
        <w:t>PJM is an RTO responsible for the operation of wholesale electric markets and for centrally dispatching electric systems in all or parts of 13 states and the District of Columbia. It coordinates the dispatch of approximately 180,000</w:t>
      </w:r>
      <w:r>
        <w:rPr>
          <w:color w:val="000000"/>
          <w:shd w:fill="FFFFFF" w:val="clear"/>
        </w:rPr>
        <w:t xml:space="preserve"> </w:t>
      </w:r>
      <w:r>
        <w:rPr>
          <w:rFonts w:ascii="Arial;sans-serif" w:hAnsi="Arial;sans-serif"/>
          <w:b w:val="false"/>
          <w:color w:val="000000"/>
          <w:sz w:val="18"/>
          <w:shd w:fill="FFFFFF" w:val="clear"/>
        </w:rPr>
        <w:t>MW</w:t>
      </w:r>
      <w:r>
        <w:rPr>
          <w:color w:val="000000"/>
        </w:rPr>
        <w:t xml:space="preserve"> </w:t>
      </w:r>
      <w:r>
        <w:rPr>
          <w:rFonts w:ascii="Arial;sans-serif" w:hAnsi="Arial;sans-serif"/>
          <w:b w:val="false"/>
          <w:color w:val="000000"/>
          <w:sz w:val="18"/>
        </w:rPr>
        <w:t>of generating capacity to more than 65 million people and operates wholesale electricity markets with approximately 1,090 members. Generators in PJM may earn revenues from sales of capacity, energy, and (or) ancillary services.</w:t>
      </w:r>
    </w:p>
    <w:p>
      <w:pPr>
        <w:pStyle w:val="TextBody"/>
        <w:bidi w:val="0"/>
        <w:spacing w:lineRule="auto" w:line="288" w:before="0" w:after="180"/>
        <w:jc w:val="left"/>
        <w:rPr/>
      </w:pPr>
      <w:r>
        <w:rPr>
          <w:rFonts w:ascii="Arial;sans-serif" w:hAnsi="Arial;sans-serif"/>
          <w:b w:val="false"/>
          <w:color w:val="000000"/>
          <w:sz w:val="18"/>
        </w:rPr>
        <w:t>The PJM Reliability Pricing Model is intended to ensure that resources are available when needed for grid reliability. Under this model, PJM conducts a series of forward capacity auctions, which establish a long-term market for capacity. We sell capacity through PJM Base Residual Auctions and, to the extent we are unable to sell capacity through the PJM BRAs, we may sell uncleared capacity through PJM Incremental Auctions or bilateral capacity transactions. PJM BRAs are typically conducted three years prior to the start of the applicable capacity year (which runs from June 1–May 31), but FERC has recently accepted requests by PJM to delay certain PJM BRAs in order to propose additional changes to the PJM Reliability Pricing Model. See “Item 1A. Risk Factors—Regulatory, Environmental, and Legal Risks—We could be impacted by changes in, or state interference with, the structure or operation of the markets in which we operate, including ongoing market restructuring in PJM.” and Note 12 to the Annual Financial Statements for additional information on ongoing market reforms in PJM and related auction delays. PJM also operates day-ahead and real-time markets into which generators can bid to provide energy and ancillary services. We sell energy/ancillary services into these markets. We also enter into bilateral transactions for the sale of energy directly to power purchasers</w:t>
      </w:r>
      <w:r>
        <w:rPr>
          <w:rFonts w:ascii="Arial;sans-serif" w:hAnsi="Arial;sans-serif"/>
          <w:b w:val="false"/>
          <w:color w:val="000000"/>
          <w:sz w:val="18"/>
          <w:shd w:fill="FFFFFF" w:val="clear"/>
        </w:rPr>
        <w:t>.</w:t>
      </w:r>
    </w:p>
    <w:p>
      <w:pPr>
        <w:pStyle w:val="TextBody"/>
        <w:bidi w:val="0"/>
        <w:spacing w:lineRule="auto" w:line="288" w:before="0" w:after="180"/>
        <w:jc w:val="left"/>
        <w:rPr/>
      </w:pPr>
      <w:r>
        <w:rPr>
          <w:rFonts w:ascii="Arial;sans-serif" w:hAnsi="Arial;sans-serif"/>
          <w:b w:val="false"/>
          <w:i/>
          <w:color w:val="000000"/>
          <w:sz w:val="18"/>
          <w:shd w:fill="FFFFFF" w:val="clear"/>
        </w:rPr>
        <w:t xml:space="preserve">ISO-NE. </w:t>
      </w:r>
      <w:r>
        <w:rPr>
          <w:rFonts w:ascii="Arial;sans-serif" w:hAnsi="Arial;sans-serif"/>
          <w:b w:val="false"/>
          <w:color w:val="000000"/>
          <w:sz w:val="18"/>
          <w:shd w:fill="FFFFFF" w:val="clear"/>
        </w:rPr>
        <w:t xml:space="preserve">ISO-NE is an ISO that manages the flow of electricity from approximately </w:t>
      </w:r>
      <w:r>
        <w:rPr>
          <w:rFonts w:ascii="Arial;sans-serif" w:hAnsi="Arial;sans-serif"/>
          <w:b w:val="false"/>
          <w:color w:val="000000"/>
          <w:sz w:val="18"/>
        </w:rPr>
        <w:t>30,000</w:t>
      </w:r>
      <w:r>
        <w:rPr>
          <w:color w:val="000000"/>
          <w:shd w:fill="FFFFFF" w:val="clear"/>
        </w:rPr>
        <w:t xml:space="preserve"> </w:t>
      </w:r>
      <w:r>
        <w:rPr>
          <w:rFonts w:ascii="Arial;sans-serif" w:hAnsi="Arial;sans-serif"/>
          <w:b w:val="false"/>
          <w:color w:val="000000"/>
          <w:sz w:val="18"/>
          <w:shd w:fill="FFFFFF" w:val="clear"/>
        </w:rPr>
        <w:t xml:space="preserve">MW of generation capacity to approximately </w:t>
      </w:r>
      <w:r>
        <w:rPr>
          <w:rFonts w:ascii="Arial;sans-serif" w:hAnsi="Arial;sans-serif"/>
          <w:b w:val="false"/>
          <w:color w:val="000000"/>
          <w:sz w:val="18"/>
        </w:rPr>
        <w:t>15 million</w:t>
      </w:r>
      <w:r>
        <w:rPr>
          <w:color w:val="000000"/>
          <w:shd w:fill="FFFFFF" w:val="clear"/>
        </w:rPr>
        <w:t xml:space="preserve"> </w:t>
      </w:r>
      <w:r>
        <w:rPr>
          <w:rFonts w:ascii="Arial;sans-serif" w:hAnsi="Arial;sans-serif"/>
          <w:b w:val="false"/>
          <w:color w:val="000000"/>
          <w:sz w:val="18"/>
          <w:shd w:fill="FFFFFF" w:val="clear"/>
        </w:rPr>
        <w:t>people in all or part of six states in New England. ISO-NE conducts forward capacity auctions and operates day-ahead and real-time energy/ancillary services markets. In ISO-NE, we both earn capacity revenues and sell energy/ancillary services into the spot markets from our Dartmouth generating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pPr>
      <w:r>
        <w:rPr>
          <w:rFonts w:ascii="Arial;sans-serif" w:hAnsi="Arial;sans-serif"/>
          <w:b w:val="false"/>
          <w:i/>
          <w:color w:val="000000"/>
          <w:sz w:val="18"/>
        </w:rPr>
        <w:t xml:space="preserve">WECC. </w:t>
      </w:r>
      <w:r>
        <w:rPr>
          <w:rFonts w:ascii="Arial;sans-serif" w:hAnsi="Arial;sans-serif"/>
          <w:b w:val="false"/>
          <w:color w:val="000000"/>
          <w:sz w:val="18"/>
        </w:rPr>
        <w:t>WECC is a non-profit corporation that promotes a reliable and secure bulk electric system in the Western Interconnection, covering all or parts of Montana, 13 other U.S. States, Canada, and Mexico. WECC does not operate energy or capacity markets. The Colstrip facility in Montana operates within NorthWestern’s Balancing Authority within WECC. We enter into bilateral transactions for the direct sale of energy from our portion of the generation from Colstrip.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Contracted Revenues</w:t>
      </w:r>
    </w:p>
    <w:p>
      <w:pPr>
        <w:pStyle w:val="TextBody"/>
        <w:bidi w:val="0"/>
        <w:spacing w:lineRule="auto" w:line="288" w:before="0" w:after="180"/>
        <w:jc w:val="left"/>
        <w:rPr/>
      </w:pPr>
      <w:r>
        <w:rPr>
          <w:rFonts w:ascii="Arial;sans-serif" w:hAnsi="Arial;sans-serif"/>
          <w:b w:val="false"/>
          <w:i/>
          <w:color w:val="000000"/>
          <w:sz w:val="18"/>
        </w:rPr>
        <w:t>Brandon Shores and H.A Wagner RMR Arrangements.</w:t>
      </w:r>
      <w:r>
        <w:rPr>
          <w:color w:val="000000"/>
        </w:rPr>
        <w:t xml:space="preserve"> </w:t>
      </w:r>
      <w:r>
        <w:rPr>
          <w:rFonts w:ascii="Arial;sans-serif" w:hAnsi="Arial;sans-serif"/>
          <w:b w:val="false"/>
          <w:color w:val="000000"/>
          <w:sz w:val="18"/>
        </w:rPr>
        <w:t>In 2023, we notified PJM of our intent to deactivate electric generation at both our Brandon Shores and H.A. Wagner facilities on June 1, 2025. However, PJM subsequently notified us that both Brandon Shores and H.A Wagner are needed past their previously planned retirement dates to maintain reliability in PJM. In January 2025, we reached a settlement (which remains subject to FERC approval) with key stakeholders on the terms of an RMR arrangement and filed with FERC the resulting Joint Offers of Settlement regarding both facilities’ RMR Continuing Operations Rates Schedules (the “CORS”). If approved, the proposed RMR arrangements will extend the operating life of these plants through May 31, 2029, or until such time as the necessary transmission upgrades are placed into service. Beginning June 1, 2025, the CORS will provide a monthly fixed-cost payment of $12,083,333 ($312/MW-day) for Brandon Shores and $2,916,667 ($137/MW-day) for H.A Wagner, which includes a performance “hold back” of $416,667 per month for Brandon Shores and $208,333 per month for H.A Wagner, each to be paid out based on unit performance. We will also receive separate reimbursement for variable costs and approved project investments. See Note 10 to the Annual Financial Statements for additional information on the RMR proceedings and settlement.</w:t>
      </w:r>
    </w:p>
    <w:p>
      <w:pPr>
        <w:pStyle w:val="TextBody"/>
        <w:bidi w:val="0"/>
        <w:spacing w:lineRule="auto" w:line="288" w:before="0" w:after="180"/>
        <w:jc w:val="left"/>
        <w:rPr/>
      </w:pPr>
      <w:r>
        <w:rPr>
          <w:rFonts w:ascii="Arial;sans-serif" w:hAnsi="Arial;sans-serif"/>
          <w:b w:val="false"/>
          <w:i/>
          <w:color w:val="000000"/>
          <w:sz w:val="18"/>
        </w:rPr>
        <w:t>AWS PPA.</w:t>
      </w:r>
      <w:r>
        <w:rPr>
          <w:color w:val="000000"/>
        </w:rPr>
        <w:t xml:space="preserve"> </w:t>
      </w:r>
      <w:r>
        <w:rPr>
          <w:rFonts w:ascii="Arial;sans-serif" w:hAnsi="Arial;sans-serif"/>
          <w:b w:val="false"/>
          <w:color w:val="000000"/>
          <w:sz w:val="18"/>
        </w:rPr>
        <w:t>In connection with the AWS Data Campus Sale in 2024, we and AWS entered into the AWS PPA, pursuant to which we agreed to supply long-term, carbon-free power from Susquehanna to the AWS Data Campus through fixed-price power commitments. Under the AWS PPA, AWS has minimum contractual power commitments that increase in 120 MW increments annually (or earlier, at AWS’s option), with a one-time option to either cap commitments at 480 MW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AWS PPA is 18 years, with two 10-year extensions at AWS’s option. Under a separate agreement, we will receive additional revenue from AWS related to the sales of carbon-free energy to the grid. We expect to begin receiving initial revenues from power sales in 2025. See Note 20 to the Annual Financial Statements for additional information on the AWS Data Campus Sale.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November 2024, FERC issued an order denying the Susquehanna ISA Amendment between PJM, PPL Corporation, and Susquehanna that would permit Susquehanna to decrease the amount of power supply it would otherwise provide to the power grid. Such order does not have an impact on the existing ISA permitting 300 MW of co-located load at Susquehanna to supply power for the first phases of the AWS Data Campus. In December 2024, FERC issued an order stating that it would address our request for rehearing in a future order, which FERC has not yet issued. Due to FERC’s decision not to address the merits of our motion for rehearing, we have filed an appeal in the U.S. Court of Appeals for the Fifth Circuit.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 We are evaluating our commercial and legal options to provide the most efficient path to full development of the AWS Data Campus. Such options include, but are not limited to, potential submission of a revised form of Susquehanna ISA Amendment or alternative contract structures with AWS. See “Item 3. Legal Proceedings” and “Item 1A. Risk Factors—Regulatory, Environmental, and Legal Risks—Our business is subject to extensive energy-related regulation and oversight.” for additional information on the Susquehanna ISA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Demand Growth from Multiple Sources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Power demand forecasts continue to rise over time in PJM compared to previous expectations. In January 2025, PJM released updated long-term load forecasts which point to RTO-wide load in summer 2030 and 2035 that is approximately 10% and 17% higher, respectively, than 2024 expectations. Fundamental demand growth in PJM is expected to come from multiple sources, most notably high-performance computing and data center demand, continued re-shoring in the wake of the COVID-19 pandemic and associated supply chain disruptions, and continued electrification of the U.S. economy. This demand growth is not currently well matched with increases in supply, as the PJM queue for new-build generation is predominately intermittent rather than dispatchable in nature. In addition, continued PJM coal plant retirements are expected through the end of the decade. These drivers of demand have had, and could continue to have, direct impacts on the overall supply/demand balance and resulting energy and capacity prices in the markets in which we operate, the profitability, value, and growth prospects of our business, and the regulatory framework under which we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Nuclear PTC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Inflation Reduction Act was signed into law in August 2022. Among the Act’s provisions are amendments to the Internal Revenue Code to create a nuclear production tax credit program. The Nuclear PTC program provides qualified nuclear power generation facilities with a transferable tax credit for electricity produced and sold to an unrelated party during each tax year. The credit provides support beginning when annual gross receipts decline below an equivalent $43.75/MWh, increases ratably up to $3/MWh when annual gross receipts are equivalent to $25/MWh, and is subject to potential adjustments including inflation escalators and a five-times increase in value (up to $15/MWh) for meeting prevailing wage requirements (which we expect to meet). Electricity produced and sold by Susquehanna to third parties from December 31, 2023 through December 31, 2032 will be eligible for the credit. This program serves as an important tool for mitigating power price exposure, effectively creating a minimum price that Susquehanna is expected to receive for its generation. We can monetize the credit by reducing our income taxes payable or selling the credits to a third-party. See Notes 6 and 7 to the Annual Financial Statements for additional information on Nuclear PTC revenue recognized and the Inflation Reduction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Fuel Supply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power generation assets are advantaged by significant fuel diversity, including nuclear, natural gas, coal, oil, and various dual-fuel capabilities. Further, our natural gas generation assets are situated near the Marcellus shale region of Pennsylvania, which provides access to fuel from one of the largest producing natural gas regions in the U.S. See “Item 2. Properties” for additional information on the fuel capabilities of each of our facilities.</w:t>
      </w:r>
    </w:p>
    <w:p>
      <w:pPr>
        <w:pStyle w:val="TextBody"/>
        <w:bidi w:val="0"/>
        <w:spacing w:lineRule="auto" w:line="288" w:before="0" w:after="180"/>
        <w:jc w:val="left"/>
        <w:rPr/>
      </w:pPr>
      <w:r>
        <w:rPr>
          <w:rFonts w:ascii="Arial;sans-serif" w:hAnsi="Arial;sans-serif"/>
          <w:b w:val="false"/>
          <w:i/>
          <w:color w:val="000000"/>
          <w:sz w:val="18"/>
        </w:rPr>
        <w:t xml:space="preserve">Nuclear. </w:t>
      </w:r>
      <w:r>
        <w:rPr>
          <w:rFonts w:ascii="Arial;sans-serif" w:hAnsi="Arial;sans-serif"/>
          <w:b w:val="false"/>
          <w:color w:val="000000"/>
          <w:sz w:val="18"/>
        </w:rPr>
        <w:t>Susquehanna has a portfolio of supply contracts for raw uranium, conversion, enrichment, and fabrication. Our nuclear fuel cycle is fully contracted through the 2027 fuel load, almost entirely contracted through 2028, and over</w:t>
      </w:r>
      <w:r>
        <w:rPr>
          <w:color w:val="000000"/>
          <w:shd w:fill="FFFFFF" w:val="clear"/>
        </w:rPr>
        <w:t xml:space="preserve"> </w:t>
      </w:r>
      <w:r>
        <w:rPr>
          <w:rFonts w:ascii="Arial;sans-serif" w:hAnsi="Arial;sans-serif"/>
          <w:b w:val="false"/>
          <w:color w:val="000000"/>
          <w:sz w:val="18"/>
        </w:rPr>
        <w:t>70%</w:t>
      </w:r>
      <w:r>
        <w:rPr>
          <w:color w:val="000000"/>
          <w:shd w:fill="FFFFFF" w:val="clear"/>
        </w:rPr>
        <w:t xml:space="preserve"> </w:t>
      </w:r>
      <w:r>
        <w:rPr>
          <w:rFonts w:ascii="Arial;sans-serif" w:hAnsi="Arial;sans-serif"/>
          <w:b w:val="false"/>
          <w:color w:val="000000"/>
          <w:sz w:val="18"/>
          <w:shd w:fill="FFFFFF" w:val="clear"/>
        </w:rPr>
        <w:t xml:space="preserve">contracted through 2029. </w:t>
      </w:r>
      <w:r>
        <w:rPr>
          <w:rFonts w:ascii="Arial;sans-serif" w:hAnsi="Arial;sans-serif"/>
          <w:b w:val="false"/>
          <w:color w:val="000000"/>
          <w:sz w:val="18"/>
        </w:rPr>
        <w:t>We have no current fuel exposure to any Russian-affiliated counterparties. Susquehanna has an on-site dry-cask spent fuel storage facility that, together with its spent fuel pools, accommodates discharged SNF. We expect to continue expanding this storage facility in phases to accommodate additional SNF and, assuming receipt of appropriate approvals, we expect such expansion to accommodate all of the SNF discharged by Susquehanna through 2044, the current license life of unit 2. Federal law requires the U.S. government to provide for the permanent disposal of commercial SNF, but the government has not yet done so. Consequently, under a related settlement agreement, the government is required to reimburse Susquehanna for certain SNF storage costs through 2025. See Note 12 to the Annual Financial Statements for additional information on this arrangement.</w:t>
      </w:r>
    </w:p>
    <w:p>
      <w:pPr>
        <w:pStyle w:val="TextBody"/>
        <w:bidi w:val="0"/>
        <w:spacing w:lineRule="auto" w:line="288" w:before="0" w:after="180"/>
        <w:jc w:val="left"/>
        <w:rPr/>
      </w:pPr>
      <w:r>
        <w:rPr>
          <w:rFonts w:ascii="Arial;sans-serif" w:hAnsi="Arial;sans-serif"/>
          <w:b w:val="false"/>
          <w:i/>
          <w:color w:val="000000"/>
          <w:sz w:val="18"/>
        </w:rPr>
        <w:t xml:space="preserve">Natural Gas and Oil. </w:t>
      </w:r>
      <w:r>
        <w:rPr>
          <w:rFonts w:ascii="Arial;sans-serif" w:hAnsi="Arial;sans-serif"/>
          <w:b w:val="false"/>
          <w:color w:val="000000"/>
          <w:sz w:val="18"/>
        </w:rPr>
        <w:t>We manage our natural gas and oil supply utilizing a combination of contracted purchases, spot market purchases, and on-site storage for the commodities and pipeline capacity. The amount and duration of contracted purchases vary due to factors including fuel availability, economic considerations, and generation facility location on the pipeline grid. A significant portion of our natural gas need is satisfied through short-term transactions on a spot basis. Oil is generally supplied from on-site inventory and replenished through purchases on the spot market. The price risk associated with these transactions is managed via financial hedges.</w:t>
      </w:r>
    </w:p>
    <w:p>
      <w:pPr>
        <w:pStyle w:val="TextBody"/>
        <w:bidi w:val="0"/>
        <w:spacing w:lineRule="auto" w:line="288" w:before="0" w:after="180"/>
        <w:jc w:val="left"/>
        <w:rPr/>
      </w:pPr>
      <w:r>
        <w:rPr>
          <w:rFonts w:ascii="Arial;sans-serif" w:hAnsi="Arial;sans-serif"/>
          <w:b w:val="false"/>
          <w:i/>
          <w:color w:val="000000"/>
          <w:sz w:val="18"/>
        </w:rPr>
        <w:t xml:space="preserve">Coal. </w:t>
      </w:r>
      <w:r>
        <w:rPr>
          <w:rFonts w:ascii="Arial;sans-serif" w:hAnsi="Arial;sans-serif"/>
          <w:b w:val="false"/>
          <w:color w:val="000000"/>
          <w:sz w:val="18"/>
        </w:rPr>
        <w:t>We actively manage our coal requirements by purchasing coal from central and northern Appalachia for our PJM facilities and from a mine adjacent to Colstrip for that facility. Reliability of coal deliveries can be affected from time to time by a number of factors, including fluctuations in demand, coal mine production issues, and other supplier or transporter operating difficulties. We maintain coal inventory at levels estimated to be necessary to avoid operational disruptions at our coal-fired units. Short- and long-term supply contracts support adequate coal inventory levels and are augmented with spot market purchases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Seasonality/Scheduled Maintenance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Our largest recurring maintenance project is the annual spring refueling outage at Susquehanna. We serve our fossil generation fleet through a combination of self-service and contracted maintenance activity (including long-term service agreements at certain facilities). See also “Item 1A. Risk Factors—Industry and Market Risks—Our business is subject to physical, market, economic, and regulatory risks relating to weather conditions and extreme weather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Competition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Increased competition in U.S. energy markets exists in part due to federal and state competitive market initiatives. The power generation business is regionally varied in industry structure and fundamentals. PJM, the primary market in which we operate, is a competitive market and has from time-to-time considered new market rules, while some states have considered re-regulation measures that could result in more limited opportunities for competitive energy suppliers. See Note 12 to the Annual Financial Statements for additional information on ongoing market reforms in PJM. We face competition in wholesale markets from other suppliers of available energy, capacity, and ancillary services, which may include operators of various competing generation technologies, such as natural gas-fired, coal-fired, and nuclear generation, as well renewable and other alternative energy sources. Competition is affected by electricity and fuel prices, grid congestion, government subsidies for new and certain existing generation facilities (including some which might otherwise retire), new market entrants, construction of new generation assets, technological advances in power generation, environmental and regulatory matters, and various other factors. Competitors in wholesale power markets include other non-utility generators, regulated utilities and their competitive subsidiaries, industrial companies, financial institutions, and other energy marketers. See also “Item 1A. Risk Factors—Industry and Market Risks—We face intense competition in the competitive power generation market.” and “Item 1A. Risk Factors—Regulatory, Environmental, and Legal Risks—We could be impacted by changes in, or state interference with, the structure or operation of the markets in which we operate, including ongoing market restructuring in PJM.”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Insurance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Power generation involves hazardous activities, which could expose our assets, employees, contractors, customers, and the general public to various risks inherent in the nature of our operations. Various hazards, including but not limited to accidents or natural disasters, can cause damage or destruction of our assets or other property and equipment, personal injury or loss of life, pollution or environmental damage, and (or) suspension of operations. We maintain a portfolio of general liability, property, business interruption, pollution liability, workers’ compensation, nuclear, cybersecurity, financial lines, and other insurance policies (as applicable) with varying limits, deductibles, and self-insurance that we believe are reasonable and prudent under the circumstances to cover our operations and assets; however, we cannot provide any assurance that our insurance program will be sufficient or effective under all circumstances and against all hazards or liabilities to which we may be subject, or that insurance coverage will continue to be available at economic rates or at all. We will continue to periodically evaluate our policy limits and retentions as they relate to the overall cost and scope of our insurance program. See also “Item 1A. Risk Factors—Industry and Market Risks—Operation of power generation facilities involves significant risks and hazards customary to the power industry, which we cannot assure our insurance will be adequate to cover.,” “Item 1C. Cybersecurity,” and Note 12 to the Annual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Our Strategies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we are well-positioned to achieve our business objectives through the following strategies:</w:t>
      </w:r>
    </w:p>
    <w:p>
      <w:pPr>
        <w:pStyle w:val="TextBody"/>
        <w:bidi w:val="0"/>
        <w:spacing w:lineRule="auto" w:line="288" w:before="0" w:after="180"/>
        <w:jc w:val="left"/>
        <w:rPr/>
      </w:pPr>
      <w:r>
        <w:rPr>
          <w:rFonts w:ascii="Arial;sans-serif" w:hAnsi="Arial;sans-serif"/>
          <w:b/>
          <w:i/>
          <w:color w:val="000000"/>
          <w:sz w:val="18"/>
        </w:rPr>
        <w:t xml:space="preserve">Focus and maintain our core generation fleet that provides stable earnings and cash flows. </w:t>
      </w:r>
      <w:r>
        <w:rPr>
          <w:rFonts w:ascii="Arial;sans-serif" w:hAnsi="Arial;sans-serif"/>
          <w:b w:val="false"/>
          <w:color w:val="000000"/>
          <w:sz w:val="18"/>
        </w:rPr>
        <w:t>Our core fleet, anchored by our Susquehanna nuclear facility, generates stable earnings from cleared capacity and cash flows 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w:t>
      </w:r>
      <w:r>
        <w:rPr>
          <w:color w:val="000000"/>
          <w:shd w:fill="FFFFFF" w:val="clear"/>
        </w:rPr>
        <w:t xml:space="preserve"> </w:t>
      </w:r>
      <w:r>
        <w:rPr>
          <w:rFonts w:ascii="Arial;sans-serif" w:hAnsi="Arial;sans-serif"/>
          <w:b w:val="false"/>
          <w:color w:val="000000"/>
          <w:sz w:val="18"/>
        </w:rPr>
        <w:t>Capacity revenue is a key indicator of the important role that nuclear, natural gas, and peaking generation all play in PJM grid reliability. In 2024, our PJM fleet generated significant capacity revenues. See “Item 7. Management’s Discussion and Analysis of Financial Condition and Results of Operations—Results of Operations” for additional information on our energy and capacity revenues. We are now also poised to benefit from long-term, stable cash flows from both contractual revenues under the Brandon Shores and H.A. Wagner RMR arrangements and fixed-price power sales under the AWS PPA. See “—Our Key Markets and Revenue Streams—Contracted Revenues” for additional information on both the RMR arrangements and the AWS PPA. We now also have substantive federal support for nuclear generation, which is accretive to our portfolio, in the form of the Nuclear PTC. See “—Our Key Markets and Revenue Streams—Nuclear PTC” for additional information on the Nuclear PTC.</w:t>
      </w:r>
    </w:p>
    <w:p>
      <w:pPr>
        <w:pStyle w:val="TextBody"/>
        <w:bidi w:val="0"/>
        <w:spacing w:lineRule="auto" w:line="288" w:before="0" w:after="180"/>
        <w:jc w:val="left"/>
        <w:rPr/>
      </w:pPr>
      <w:r>
        <w:rPr>
          <w:rFonts w:ascii="Arial;sans-serif" w:hAnsi="Arial;sans-serif"/>
          <w:b/>
          <w:i/>
          <w:color w:val="000000"/>
          <w:sz w:val="18"/>
        </w:rPr>
        <w:t>Continue our operational excellence, with focus on continued efficiencies.</w:t>
      </w:r>
      <w:r>
        <w:rPr>
          <w:color w:val="000000"/>
        </w:rPr>
        <w:t xml:space="preserve"> </w:t>
      </w:r>
      <w:r>
        <w:rPr>
          <w:rFonts w:ascii="Arial;sans-serif" w:hAnsi="Arial;sans-serif"/>
          <w:b w:val="false"/>
          <w:color w:val="000000"/>
          <w:sz w:val="18"/>
        </w:rPr>
        <w:t>The foundation of our platform is safe, disciplined operational and commercial performance. We drive operational excellence by maximizing the safety, reliability, and efficiency of our core assets. While we will continue to evaluate ways to find the highest and best use of our assets and capital, we are committed to maintaining best-in-class operations at our core generation facilities, including a disciplined cost structure across all categories. 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While prioritizing operational safety and excellence, we intend to continue evaluating and executing on available opportunities for additional cost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pPr>
      <w:r>
        <w:rPr>
          <w:rFonts w:ascii="Arial;sans-serif" w:hAnsi="Arial;sans-serif"/>
          <w:b/>
          <w:i/>
          <w:color w:val="000000"/>
          <w:sz w:val="18"/>
        </w:rPr>
        <w:t xml:space="preserve">Optimize risk management program and hedging. </w:t>
      </w:r>
      <w:r>
        <w:rPr>
          <w:rFonts w:ascii="Arial;sans-serif" w:hAnsi="Arial;sans-serif"/>
          <w:b w:val="false"/>
          <w:color w:val="000000"/>
          <w:sz w:val="18"/>
        </w:rPr>
        <w:t>We are focused on maintaining appropriate risk management policies in the context of a 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Our commercial optimization strategy is focused on hedging commodity price volatility within appropriate risk tolerances while providing stable cash flow generation and preserving forward margin. We employ a variety of physical and financial instruments to manage risk and optimize the value of our assets. In some cases, we use a portfolio approach to manage risks, such as those associated with capacity and ancillary offerings.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limits the use of margin posting requirements. We intend to continue employing a disciplined strategy focused on first-lien hedging while minimizing exchange-based hedging and the associated margin requirements. Importantly, we now have lower overall hedging needs given the cash-flow stability afforded by the Nuclear PTC (which provides a built-in hedging apparatus through the tax credit) and significantly reduced debt service requirements following the Restructuring and subsequent refinancing transactions.</w:t>
      </w:r>
    </w:p>
    <w:p>
      <w:pPr>
        <w:pStyle w:val="TextBody"/>
        <w:bidi w:val="0"/>
        <w:spacing w:lineRule="auto" w:line="288" w:before="0" w:after="180"/>
        <w:jc w:val="left"/>
        <w:rPr/>
      </w:pPr>
      <w:r>
        <w:rPr>
          <w:rFonts w:ascii="Arial;sans-serif" w:hAnsi="Arial;sans-serif"/>
          <w:b/>
          <w:i/>
          <w:color w:val="000000"/>
          <w:sz w:val="18"/>
        </w:rPr>
        <w:t xml:space="preserve">Maintain disciplined financial policy and capital allocation. </w:t>
      </w:r>
      <w:r>
        <w:rPr>
          <w:rFonts w:ascii="Arial;sans-serif" w:hAnsi="Arial;sans-serif"/>
          <w:b w:val="false"/>
          <w:color w:val="000000"/>
          <w:sz w:val="18"/>
        </w:rPr>
        <w:t>We actively manage our capital structure, future capital commitments, and asset base by following disciplined capital allocation principles focused on generating cash flow, maintaining reasonable leverage, and reducing our cost of capital. We have a strong balance sheet underpinned by modest leverage, robust liquidity, and no significant debt maturities until 2030. Our strong balance sheet also provides ample capacity and counterparty appetite for lien-based hedging, which does not require cash collateral posting, and we intend to prioritize balance sheet efficiency through the active preservation of liquidity, targeting a modest leverage profile with a go-forward net leverage ratio of 3.5x or less, depending on seasonal dynamics. In furtherance of our disciplined capital allocation strategy, we are targeting the return of 70% of our adjusted free cash flow to shareholders through the share repurchase program authorized by our Board of Directors. See “Item 5. Market for Registrant’s Common Equity, Related Shareholder Matters and Issuer Purchases of Equity Securities—Issuer Purchases of Equity Securities” and Note 18 to the Annual Financial Statements for additional information on the SRP and other share repurchases.</w:t>
      </w:r>
    </w:p>
    <w:p>
      <w:pPr>
        <w:pStyle w:val="TextBody"/>
        <w:bidi w:val="0"/>
        <w:spacing w:lineRule="auto" w:line="288" w:before="0" w:after="180"/>
        <w:jc w:val="left"/>
        <w:rPr/>
      </w:pPr>
      <w:r>
        <w:rPr>
          <w:rFonts w:ascii="Arial;sans-serif" w:hAnsi="Arial;sans-serif"/>
          <w:b/>
          <w:i/>
          <w:color w:val="000000"/>
          <w:sz w:val="18"/>
        </w:rPr>
        <w:t>Maximize the value of our platform opportunities in a capital efficient manner.</w:t>
      </w:r>
      <w:r>
        <w:rPr>
          <w:color w:val="000000"/>
        </w:rPr>
        <w:t xml:space="preserve"> </w:t>
      </w:r>
      <w:r>
        <w:rPr>
          <w:rFonts w:ascii="Arial;sans-serif" w:hAnsi="Arial;sans-serif"/>
          <w:b w:val="false"/>
          <w:color w:val="000000"/>
          <w:sz w:val="18"/>
        </w:rPr>
        <w:t>We believe there is significant value embedded in our platform, and that we have the flexibility to explore both organic and inorganic growth options. In addition to optimizing our core operations, we have unlocked previously unrecognized value from our existing assets and believe we have more opportunities to do so. Within our generation portfolio, we remain focused on delivering the most value per megawatt produced, including through long-term power sales to computing, industrial, or other end users, whether from our reliable, zero-carbon nuclear facility - Susquehanna - or our dispatchable fossil fleet. We expect to evolve our asset base both by continuing to evaluate opportunities to drive value uplift for our existing assets and by pursuing opportunistic acquisitions and divestitures in order to drive cash flow generation and investor returns, all in keeping with our commitment to appropriate leverage levels and a thoughtful capital allocation framework. We will continue exploring strategic opportunities if economically favorable, but any strategic investment will require a sound basis and an attractive returns profile when compared to other uses of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Legal, Regulatory, and Environmental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Legal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 See “Item 1A. Risk Factors—Regulatory, Environmental, and Legal Risks” for additional information on legal risks related to our business. See “Item 3. Legal Proceedings” and Note 12 to the Annual Financial Statements for additional information on specific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Energy Regulation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subject to regulation by federal and state agencies and other bodies that exercise regulatory authority in the various regions where we conduct business, including but not limited to FERC; the Department of Energy; the NRC; NERC; the Federal Communications Commission; and state public utility commissions. In addition, the RTOs and ISOs in the regions in which we conduct business inherently have complex rules that are intended to balance the interests of market stakeholders. See “Item 1A. Risk Factors—Regulatory, Environmental, and Legal Risks” for additional information on regulatory risks related to our business. The following discussion provides an overview of certain key regulatory matters applicable to our business. See Note 12 to the Annual Financial Statements for additional information on these and other regulatory topics.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pPr>
      <w:r>
        <w:rPr>
          <w:rFonts w:ascii="Arial;sans-serif" w:hAnsi="Arial;sans-serif"/>
          <w:b w:val="false"/>
          <w:i/>
          <w:color w:val="000000"/>
          <w:sz w:val="18"/>
        </w:rPr>
        <w:t>FERC.</w:t>
      </w:r>
      <w:r>
        <w:rPr>
          <w:color w:val="000000"/>
        </w:rPr>
        <w:t xml:space="preserve"> </w:t>
      </w:r>
      <w:r>
        <w:rPr>
          <w:rFonts w:ascii="Arial;sans-serif" w:hAnsi="Arial;sans-serif"/>
          <w:b w:val="false"/>
          <w:color w:val="000000"/>
          <w:sz w:val="18"/>
        </w:rPr>
        <w:t xml:space="preserve">Our subsidiaries that own or control electric generation facilities are defined as public utilities under the Federal Power Act and are subject to FERC’s exclusive ratemaking jurisdiction over wholesale sales of electricity and the transmission of electricity in interstate commerce. FERC has the authority to grant or deny market-based rate authority for wholesale sales of energy, capacity, and ancillary services to ensure that such sales are just and reasonable and not unduly discriminatory, and to suspend market-based rate authority and set cost-based rates if it finds that its previous grant of market-based rate authority is no longer just and reasonable. Other matters subject to FERC’s jurisdiction include, but are not limited to: review of certain public utility dispositions of jurisdictional facilities, mergers, acquisitions of other public utility securities, or acquisitions of existing generation facilities; review of certain holding company acquisitions of securities of, or mergers with, a public utility or other holding company; third-party financings; affiliate transactions; intercompany financings and cash management arrangements; and certain internal corporate reorganizations. </w:t>
      </w:r>
    </w:p>
    <w:p>
      <w:pPr>
        <w:pStyle w:val="TextBody"/>
        <w:bidi w:val="0"/>
        <w:spacing w:lineRule="auto" w:line="288" w:before="0" w:after="180"/>
        <w:jc w:val="left"/>
        <w:rPr/>
      </w:pPr>
      <w:r>
        <w:rPr>
          <w:rFonts w:ascii="Arial;sans-serif" w:hAnsi="Arial;sans-serif"/>
          <w:b w:val="false"/>
          <w:i/>
          <w:color w:val="000000"/>
          <w:sz w:val="18"/>
        </w:rPr>
        <w:t>RTOs and ISOs.</w:t>
      </w:r>
      <w:r>
        <w:rPr>
          <w:color w:val="000000"/>
        </w:rPr>
        <w:t xml:space="preserve"> </w:t>
      </w:r>
      <w:r>
        <w:rPr>
          <w:rFonts w:ascii="Arial;sans-serif" w:hAnsi="Arial;sans-serif"/>
          <w:b w:val="false"/>
          <w:color w:val="000000"/>
          <w:sz w:val="18"/>
        </w:rPr>
        <w:t>RTOs and ISOs are FERC-regulated entities that exist in several regions to provide transmission service across multiple transmission systems. FERC has approved PJM, MISO, ISO-NE, and SPP as RTOs and CAISO and NYISO as ISOs. These entities are responsible for regional planning, managing transmission congestion, developing wholesale markets for energy and capacity, maintaining reliability, market monitoring, the scheduling of physical power sales brokered through ICE and NYMEX, and managing transmission charges across multiple systems. With the exception of Colstrip in Montana, all of our generation facilities currently participate in wholesale electricity markets administered by PJM and ISO-NE. See “—Our Operations—Our Key Markets and Revenue Streams—Wholesale Markets” for additional information on the RTOs and ISOs in which we operate.</w:t>
      </w:r>
    </w:p>
    <w:p>
      <w:pPr>
        <w:pStyle w:val="TextBody"/>
        <w:bidi w:val="0"/>
        <w:spacing w:lineRule="auto" w:line="288" w:before="0" w:after="180"/>
        <w:jc w:val="left"/>
        <w:rPr/>
      </w:pPr>
      <w:r>
        <w:rPr>
          <w:rFonts w:ascii="Arial;sans-serif" w:hAnsi="Arial;sans-serif"/>
          <w:b w:val="false"/>
          <w:i/>
          <w:color w:val="000000"/>
          <w:sz w:val="18"/>
        </w:rPr>
        <w:t xml:space="preserve">Nuclear. </w:t>
      </w:r>
      <w:r>
        <w:rPr>
          <w:rFonts w:ascii="Arial;sans-serif" w:hAnsi="Arial;sans-serif"/>
          <w:b w:val="false"/>
          <w:color w:val="000000"/>
          <w:sz w:val="18"/>
        </w:rPr>
        <w:t>Under the Atomic Energy Act of 1954, as amended (the “Atomic Energy Act”), our operation and 90% ownership of Susquehanna are subject to regulation by the NRC, including requirements pertaining to, among other matters: licensing, inspection, and enforcement; testing, evaluation, and modification of all aspects of nuclear reactor power generation facility design and operation; environmental and safety performance; handling and storage of SNF; technical and financial qualifications; decommissioning funding assurance; and transfer and foreign ownership restrictions. The NRC may modify, suspend, or revoke operating licenses and impose civil or criminal penalties for failure to comply with the Atomic Energy Act or the terms of nuclear operating licenses. In addition, new or amended NRC safety and regulatory requirements may give rise to additional operation and maintenance costs and capital expenditures. The current facility operating licenses for our two units at Susquehanna expire in 2042 and 2044. See Note 9 to the Annual Financial Statements for additional information on the NDT. See “—Our Operations—Fuel Supply—Nuclear” for additional information on SNF.</w:t>
      </w:r>
    </w:p>
    <w:p>
      <w:pPr>
        <w:pStyle w:val="TextBody"/>
        <w:bidi w:val="0"/>
        <w:spacing w:lineRule="auto" w:line="288" w:before="0" w:after="180"/>
        <w:jc w:val="left"/>
        <w:rPr/>
      </w:pPr>
      <w:r>
        <w:rPr>
          <w:rFonts w:ascii="Arial;sans-serif" w:hAnsi="Arial;sans-serif"/>
          <w:b w:val="false"/>
          <w:i/>
          <w:color w:val="000000"/>
          <w:sz w:val="18"/>
        </w:rPr>
        <w:t xml:space="preserve">Other Regulation. </w:t>
      </w:r>
      <w:r>
        <w:rPr>
          <w:rFonts w:ascii="Arial;sans-serif" w:hAnsi="Arial;sans-serif"/>
          <w:b w:val="false"/>
          <w:color w:val="000000"/>
          <w:sz w:val="18"/>
        </w:rPr>
        <w:t>In addition to federal regulation, our operations are subject to various state and local laws and regulations. These include oversight of siting, permitting, and environmental compliance for our facilities, as well as participation in state-specific energy markets and programs. Our operations are also subject to compliance with reliability standards developed and enforced by NERC and its regional entities. Compliance with these standards is critical to maintaining the reliability of the bulk electric system and avoiding penalties for violations. See “—Environmental Regulation” for additional information on environmental regulation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Environmental Regulation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business is subject to extensive federal, state, and local environmental laws, regulations, and requirements, including but not limited to those related to air emissions, water discharges, hazardous substances, and solid waste management. These requirements have become more stringent over time and impose, among other things: (i) permitting requirements for regulated activities; (ii) costs to limit or prevent pollution or other contamination; and (iii) substantial liabilities and remedial obligations for pollution or contamination. Accordingly, in the ordinary course of our business, we may: (i) incur significant costs to comply with environmental requirements; (ii) be required to modify, curtail, replace, or cease certain operations for environmental reasons; (iii) be required to perform environmental remediation work; or (iv) become involved in other environmental matters, including government enforcement actions and citizen’s suit litigation. In addition, environmental requirements are rapidly evolving, and we may become subject to new or revised environmental laws, regulations, or requirements. Legal challenges to environmental regulations, rules, and requirements add to the uncertainty of estimating future compliance and remedial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future implementation and enforcement of these rules remains uncertain at this time.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See “Item 1A. Risk Factors—Regulatory, Environmental, and Legal Risks” for additional information on environmental risks related to our business. The following discussion provides an overview of certain key environmental matters. See Note 12 to the Annual Financial Statements for additional information on these and other environmental topics.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pPr>
      <w:r>
        <w:rPr>
          <w:rFonts w:ascii="Arial;sans-serif" w:hAnsi="Arial;sans-serif"/>
          <w:b w:val="false"/>
          <w:i/>
          <w:color w:val="000000"/>
          <w:sz w:val="18"/>
        </w:rPr>
        <w:t>Air.</w:t>
      </w:r>
      <w:r>
        <w:rPr>
          <w:color w:val="000000"/>
        </w:rPr>
        <w:t xml:space="preserve"> </w:t>
      </w:r>
      <w:r>
        <w:rPr>
          <w:rFonts w:ascii="Arial;sans-serif" w:hAnsi="Arial;sans-serif"/>
          <w:b w:val="false"/>
          <w:color w:val="000000"/>
          <w:sz w:val="18"/>
        </w:rPr>
        <w:t>Under the Clean Air Act, as well as comparable state laws and local ordinances, our plants are subject to extensive emission control, emission allowance, emission monitoring, and air reporting obligations. Compliance with these requirements impacts the operation of our plants as well as their operating costs. In addition, new or modified obligations could significantly impact how we produce electricity and the life of certain plants (in some cases resulting in premature unit retirements) and could impede strategic planning. Key air matters currently affecting our business include, but are not limited to, nitrogen oxides requirements (including potential implementation of the EPA’s Good Neighbor Plan or similar requirements) as well as the revised EPA MATS and GHG Rules, both of which could significantly impact certain facilities, including our Colstrip facility, and are being legally challenged by us and others.</w:t>
      </w:r>
    </w:p>
    <w:p>
      <w:pPr>
        <w:pStyle w:val="TextBody"/>
        <w:bidi w:val="0"/>
        <w:spacing w:lineRule="auto" w:line="288" w:before="0" w:after="180"/>
        <w:jc w:val="left"/>
        <w:rPr/>
      </w:pPr>
      <w:r>
        <w:rPr>
          <w:rFonts w:ascii="Arial;sans-serif" w:hAnsi="Arial;sans-serif"/>
          <w:b w:val="false"/>
          <w:i/>
          <w:color w:val="000000"/>
          <w:sz w:val="18"/>
        </w:rPr>
        <w:t>Hazardous Substances and Waste Handling.</w:t>
      </w:r>
      <w:r>
        <w:rPr>
          <w:color w:val="000000"/>
        </w:rPr>
        <w:t xml:space="preserve"> </w:t>
      </w:r>
      <w:r>
        <w:rPr>
          <w:rFonts w:ascii="Arial;sans-serif" w:hAnsi="Arial;sans-serif"/>
          <w:b w:val="false"/>
          <w:color w:val="000000"/>
          <w:sz w:val="18"/>
        </w:rPr>
        <w:t>Our business is subject to a range of waste laws and regulations at the federal, state, and local levels. These rules are designed to manage and mitigate the potential environmental and health impacts of waste generated by power plants during the production of electricity, and they put controls in place on waste disposal, management, transportation, and storage. The Comprehensive Environmental Response, Compensation, and Liability Act (“CERCLA”), also known as the “Superfund” law, and comparable state laws impose liability, without regard to fault or the legality of the original conduct, on certain classes of persons that are considered to have contributed to the release of a “hazardous substance” into the environment. These persons include the current and past owners or operators of the site where the release occurred and companies that transported or disposed, or arranged for the transport or disposal, of the hazardous substances at the site where the release occurred. Most states have also enacted statutes that contain provisions substantially similar to CERCLA. We generate materials in the course of our operations that may be regulated as hazardous substances based on their characteristics under CERCLA and analogous state laws.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EPA’s regulation of CCRs under the Resource Conservation and Recovery Act is a currently evolving regulatory program under which we may incur significant costs impacting AROs. We have joined several parties to legally challenge the EPA’s new requirements for legacy CCR surface impoundments under the EPA CCR Rule, while also following the Rule’s timeline to assess applicability and define cost impacts to our business.</w:t>
      </w:r>
    </w:p>
    <w:p>
      <w:pPr>
        <w:pStyle w:val="TextBody"/>
        <w:bidi w:val="0"/>
        <w:spacing w:lineRule="auto" w:line="288" w:before="0" w:after="180"/>
        <w:jc w:val="left"/>
        <w:rPr/>
      </w:pPr>
      <w:r>
        <w:rPr>
          <w:rFonts w:ascii="Arial;sans-serif" w:hAnsi="Arial;sans-serif"/>
          <w:b w:val="false"/>
          <w:i/>
          <w:color w:val="000000"/>
          <w:sz w:val="18"/>
        </w:rPr>
        <w:t xml:space="preserve">Water. </w:t>
      </w:r>
      <w:r>
        <w:rPr>
          <w:rFonts w:ascii="Arial;sans-serif" w:hAnsi="Arial;sans-serif"/>
          <w:b w:val="false"/>
          <w:color w:val="000000"/>
          <w:sz w:val="18"/>
        </w:rPr>
        <w:t>Various statutes and regulations at the federal, state, regional, and local levels govern water use, discharge, protection, and influence and add challenge and uncertainty to our business. The Federal Water Pollution Control Act, known as the Clean Water Act (“CWA”), and comparable state laws impose restrictions and strict controls regarding the discharge of pollutants into federal and state waters. The discharge of pollutants into regulated waters is prohibited except in accordance with the terms of a permit issued by the EPA or a state equivalent agency. Compliance with existing and future requirements may increase costs, affect operations, and impede strategic planning. One of the most impactful CWA programs currently affecting our business is the EPA ELG Rule, under which certain of our generation facilities have incurred operating restrictions and committed to prematurely end the use of certain fuels. In the future, new permit conditions could be established to meet the EPA’s most recent revisions to the EPA ELG Rule, which will be defined following negotiations with state permitting authorities. We and other parties are legally challenging the EPA’s latest revisions to the EPA ELG Rule. Until litigation is complete and permit conditions are established, full cost impacts remain uncertain.</w:t>
      </w:r>
    </w:p>
    <w:p>
      <w:pPr>
        <w:pStyle w:val="TextBody"/>
        <w:bidi w:val="0"/>
        <w:spacing w:lineRule="auto" w:line="288" w:before="0" w:after="180"/>
        <w:jc w:val="left"/>
        <w:rPr/>
      </w:pPr>
      <w:r>
        <w:rPr>
          <w:rFonts w:ascii="Arial;sans-serif" w:hAnsi="Arial;sans-serif"/>
          <w:b w:val="false"/>
          <w:i/>
          <w:color w:val="000000"/>
          <w:sz w:val="18"/>
        </w:rPr>
        <w:t>Health and Safety.</w:t>
      </w:r>
      <w:r>
        <w:rPr>
          <w:color w:val="000000"/>
        </w:rPr>
        <w:t xml:space="preserve"> </w:t>
      </w:r>
      <w:r>
        <w:rPr>
          <w:rFonts w:ascii="Arial;sans-serif" w:hAnsi="Arial;sans-serif"/>
          <w:b w:val="false"/>
          <w:color w:val="000000"/>
          <w:sz w:val="18"/>
        </w:rPr>
        <w:t>We are also subject to the requirements of the federal Occupational Safety and Health Act and comparable state laws that regulate the protection of the health and safety of employees. In addition, the Occupational Health and Safety Administration's (“OSHA”) hazard communication standard, the Emergency Planning and Community Right to Know Act and implementing regulations and similar state statutes and regulations require us to maintain information about hazardous materials used or produced in our operations, and this information is required to be provided to employees, state and local government authorities, and citizens.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Corporate Responsibility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Through our core values of Excellence, No Harm, Integrity, and Continuous Improvement, we are committed to operating thoughtfully and ethically as we strive to consider impacts to our stakeholders, including communities, employees, customers, suppliers, investors, and the environment. Our approach to corporate responsibility, with oversight from our Board of Directors, is a key to the long-term success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Environmental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emission profile is firmly anchored by Susquehanna, which enabled us to generate over half of our electricity output carbon-free in 2024, and our natural gas portfolio also includes a number of energy-efficient assets with low heat rates, which provide a lower carbon intensity than traditional fossil fuel sources. We have reduced our environmental footprint over the past several years, investing heavily in environmental controls and switching to cleaner fuels in response to market and other conditions. We have already completed the conversion of our Brunner Island, Montour, and H.A. Wagner plants to lower-carbon fuels. See “—Our Fleet—Reliability assets and carbon deleveraging”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we have reduced our annual carbon dioxide emissions by approximately 65% when compared to 2010 levels. We expect to continue reducing our carbon footprint through the recently-completed conversions of our legacy coal fleet discussed above and the eventual retirement of certain other legacy coal assets. See Note 10 to the Annual Financial Statements for additional information on ongoing RMR proceedings and a pending settlement related to our Brandon Shores and H.A. Wagner facilities. As we retire older, economically nonviable conventional power generation assets, we are continuing to explore opportunities to repurpose these sites to advance our carbon deleveraging while also extending the life and increasing the value of our legacy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an innovator in the movement to power critical infrastructure and industry with carbon-free nuclear generation. Prior to its sale to AWS, we initially developed the data center campus adjacent to our Susquehanna facility, the world’s first 24x7 carbon-free, direct-connect data center campus, to provide digital infrastructure powered by generation from Susquehanna. We are well-positioned to continue leading the energy transition by responsibly providing zero- and low-carbon power to meet growing demand from energy consumers in a variety of sectors, many of whom have sustainability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Community Engagement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generally focus our community engagement and philanthropic efforts in the local communities we serve and where our employees live and work. We believe that a decentralized approach to engagement and giving allows us to more effectively identify areas of need and have a greater local impact. Across our fleet and our corporate offices, our facilities and their employees, often in conjunction with charitable organizations such as United Way, Salvation Army, and local food banks, we strive to participate regularly in events supplying holiday toys, school supplies, food, winter coats, volunteer work, and monetary donations. For instance, to date, events hosted by Susquehanna have raised over $1.1 million for the Berwick Area United Way. Our plants also provide community education through both on-site and off-site programs and events with first responders, professional organizations, students, interns, scouts, and other groups. The majority of our operating facilities also provide nature preserves or other recreational sites that allow for community activities such as golf, fishing and boating, walking and hiking, outdoor education, sports, and other events.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business also provides significant support to the communities in which we operate in the form of critical services, high-quality jobs, economic development, and tax dollars. We have adopted a Supplier Code of Conduct (available on our website) to promote safe, ethical, and socially-conscious behavior among our suppliers. Throughout 2024, we worked with all stakeholders to reach an arrangement for the continued operation of our Brandon Shores and H.A. Wagner facilities past their initially planned retirement dates to support grid reliability in the greater Baltimore area. In January 2025, we reached a settlement (which remains subject to FERC approval) with key stakeholders to continue running both facilities through May 2029 under an RMR arrangement. The continued operation of these facilities maintains critical infrastructure, facilitates reliable electricity in Baltimore, and protects Maryland consumer electricity rates. See “—Our Key Markets and Revenue Streams—Contracted Revenues—Brandon Shores and H.A Wagner RMR Arrangements” and Note 10 to the Annual Financial Statements for additional information on the RMR proceedings and settlement.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the emerging data economy and the growing importance of artificial intelligence and continued re-shoring will require an all-of-the-above approach to generating the electricity necessary to power load in a responsible and efficient manner. Our AWS PPA is an example of how we are powering the future in partnership with data center and artificial intelligence enterprises and, in the case of the AWS PPA, doing so with large volumes of clean, carbon-free energy. We are actively engaged in the policy discussions taking place between generators, PJM, political leaders, and consumer advocates to solve burgeoning resource adequacy issues and seek to ensure the availability of affordable and reliable power in the regions we 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Human Capital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strive to maintain a culture that empowers our employees to influence operational decisions and to trust and rely on each other, while driving safety, operational excellence, and strong financial performance. We believe our people are a valuable asset. As key stakeholders in our business, we invest in our employees by prioritizing their safety, presenting numerous training and development opportunities, carefully considering employee feedback, offering competitive compensation that includes our employees in the success of our business, providing comprehensive health and wellness benefits, and fostering an inclusive and respectful workplace.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Safety.</w:t>
      </w:r>
      <w:r>
        <w:rPr>
          <w:color w:val="000000"/>
        </w:rPr>
        <w:t xml:space="preserve"> </w:t>
      </w:r>
      <w:r>
        <w:rPr>
          <w:rFonts w:ascii="Arial;sans-serif" w:hAnsi="Arial;sans-serif"/>
          <w:b w:val="false"/>
          <w:color w:val="000000"/>
          <w:sz w:val="18"/>
        </w:rPr>
        <w:t>At Talen, safety is a core value. We strive for a “No Harm” culture for all our employees, suppliers, guests, and communities, and we strive to continuously improve our systems, processes, and communications to support the safe operation of our business. Our safety management system focuses on four key components: Safety Policy, Risk Management, Safety Assurance, and Promotion. Within our safety management framework, we take a decentralized approach to health and safety coupled with centralized reporting, information sharing, and oversight. This empowers our business units and operating plants to determine the most appropriate health and safety procedures, training, engagement, and incident resolution at their sites while facilitating knowledge sharing, enabling continuous improvement, and fostering a “No Harm” culture across our 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track and (or) externally report OSHA recordable incidents, lost time injuries, and near miss incidents to enhance knowledge sharing and organizational learning. In 2024, we had seven OSHA recordable incidents and an OSHA Total Recordable Incident Rate (“TRIR”) of 0.34. Our overall safety performance is a result of an enhanced health and safety framework and training, increased leadership visibility and accountability, and a greater focus on incident reporting, including near misses and good catches. Our safety team reviews several proactive metrics to mitigate risks before they become safety incidents. All employees and contractors are required to immediately report all safety-related incidents and have a responsibility to stop work when there is a safety concern. Once a “stop work” situation has been identified, a corrective plan must be developed and the safety team determines a path to continue work. Prior to resumption of work, a supervisor or manager that is “one step removed” must review and concur with the plan to continue work. Susquehanna has an additional corrective action Employee Concerns Program that establishes procedures for reporting and resolving nuclear safety and general work environment concerns.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continuously work to improve safety. In 2022, we implemented an annual Safety Assessment Program, under which safety professionals from across the organization inspect plants with a focus on workplace inspections, work observations, and regulatory compliance. Other recent safety enhancements have included improvements to our overall safety management system, as well as the addition of a company-wide safety summit, a strain/sprain program, a supervisor safety assessment program, and a human performance management program. We believe these initiatives will continue to support our strong safety culture. Our safety management system allows frequent analysis of all aspects of safety for continuous monitoring and improvement, and has been key to our safety performance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Training, Development, and Feedback.</w:t>
      </w:r>
      <w:r>
        <w:rPr>
          <w:color w:val="000000"/>
        </w:rPr>
        <w:t xml:space="preserve"> </w:t>
      </w:r>
      <w:r>
        <w:rPr>
          <w:rFonts w:ascii="Arial;sans-serif" w:hAnsi="Arial;sans-serif"/>
          <w:b w:val="false"/>
          <w:color w:val="000000"/>
          <w:sz w:val="18"/>
        </w:rPr>
        <w:t>We recognize that our success depends on our ability to attract, retain, motivate, and develop qualified personnel, and we strive to provide our employees with the tools they need to succeed personally and professionally. We provide training programs covering a wide range of relevant job- and Company-specific topics for employees in all positions, including continuing education resources for professional licenses, and we also regularly promote and train interested employees into new roles. To train the next generation of professionals, we offer apprenticeship programs, internships, and educational assistance. To further develop promising leadership across our organization, we offer programs such as the Talen Leadership Academy and the Union Leader Academy, which are seminars covering a variety of business, operational, leadership, and interpersonal skills.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Formal and informal feedback at Talen runs in all directions. In addition to this feedback, non-union employees annually receive a formal review to discuss their performance, development, and goals. Coaching and performance improvement plans are used when appropriate. We strive to thoughtfully consider and respond to ideas and feedback from all employees, including plant management teams, asset managers, and frontline workers, and we provide a variety of avenues for employee feedback, including through performance review dialogue, appropriate escalation of informal feedback, and various identifiable and anonymous formal reporting channels. In 2024, we conducted an anonymous employee engagement survey and, after reviewing the results, reported key themes and next steps to employees. We have already implemented a number of specific employee recommendations.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Compensation, Benefits, and Wellness.</w:t>
      </w:r>
      <w:r>
        <w:rPr>
          <w:color w:val="000000"/>
        </w:rPr>
        <w:t xml:space="preserve"> </w:t>
      </w:r>
      <w:r>
        <w:rPr>
          <w:rFonts w:ascii="Arial;sans-serif" w:hAnsi="Arial;sans-serif"/>
          <w:b w:val="false"/>
          <w:color w:val="000000"/>
          <w:sz w:val="18"/>
          <w:shd w:fill="FFFFFF" w:val="clear"/>
        </w:rPr>
        <w:t>We are committed to maintaining a highly competitive</w:t>
      </w:r>
      <w:r>
        <w:rPr>
          <w:color w:val="000000"/>
        </w:rPr>
        <w:t xml:space="preserve"> </w:t>
      </w:r>
      <w:r>
        <w:rPr>
          <w:rFonts w:ascii="Arial;sans-serif" w:hAnsi="Arial;sans-serif"/>
          <w:b w:val="false"/>
          <w:color w:val="000000"/>
          <w:sz w:val="18"/>
        </w:rPr>
        <w:t>compensation structure. We maintain short-term and long-term cash incentive programs for many employees, as well as a long-term equity compensation program that aligns the interests of key team members with our strategy and the interests of our stockholders. Starting in 2025, we also offer an employee stock purchase program, under which eligible employees can purchase our common stock at a discount through payroll deductions. Full- and part-time employees also qualify for our 401(k) plan, under which we make fixed, matching, and (or) additional discretionary contributions (depending on employment specifics).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maintain a comprehensive benefits program, under which eligible employees and their dependents are offered healthcare coverage, life and accident insurance, short- and long-term disability, maternity and parental leave, and (or) identity theft protection. To further support employee wellness, we also offer virtual health screenings, diabetes management programs, and reduced pricing on specialty medications. All employees are also eligible for our employee assistance program, which provides mental and physical health resources and discounts on essentials such as childcare, education, and insurance, among other things.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Collective Bargaining Agreements.</w:t>
      </w:r>
      <w:r>
        <w:rPr>
          <w:color w:val="000000"/>
        </w:rPr>
        <w:t xml:space="preserve"> </w:t>
      </w:r>
      <w:r>
        <w:rPr>
          <w:rFonts w:ascii="Arial;sans-serif" w:hAnsi="Arial;sans-serif"/>
          <w:b w:val="false"/>
          <w:color w:val="000000"/>
          <w:sz w:val="18"/>
        </w:rPr>
        <w:t>As of December 31, 2024, we had 1,894 full-time employees, approximately 43% of which were represented by labor unions. Our collective bargaining agreements (“CBAs”) include: (i) a CBA with IBEW Local 1638, covering 193 Talen Montana employees, which is in effect until April 2026; (ii) a CBA with Teamsters Local 190, covering six Talen Montana employees, which is in effect until August 2027; and (iii) a CBA with IBEW Local 1600, covering 626 Pennsylvania employees, which is in effect until August 2025. We maintain generally constructive relationships with our labor unions.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Governance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committed to maintaining corporate governance policies and practices that support the interests of all our stakeholders. Our values of Excellence, No Harm, Integrity, and Continuous Improvement help foster a culture of robust governance from the Board of Directors and officers to each employee. Additional information about our corporate governance will be set forth in the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Emergence from Restructuring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Increased collateral posting requirements caused by rapid and sustained increases to wholesale natural gas and power prices in mid-2021 resulted in lower available cash and liquidity to operate our business. As a result, TES and 71 of its subsidiaries commenced the Restructuring in May 2022 and TEC joined the Restructuring in December 2022. The Company emerged from the Restructuring in May 2023 with a significantly deleveraged balance sheet. See Notes 3 and 4 to the Annual Financial Statements for additional information on the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Corporate and Other Available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a Delaware corporation with our principal executive office located at 2929 Allen Parkway, Suite 2200, Houston, TX 77019. The telephone number for our principal executive office is (888) 211-6011. We maintain a website at www.talenenergy.com. Information contained on or accessible from our website is not, and shall not be deemed to be, incorporated by reference into this Report or any other filings with the Securities and Exchange Commission (the “SEC”).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file our Annual Reports on Form 10-K, Quarterly Reports on Form 10-Q, Current Reports on Form 8-K, and any amendments to those reports with the SEC. You may obtain copies of these documents, free of charge, on the SEC's website at www.sec.gov. In addition, as soon as reasonably practicable after such materials are filed or furnished with the SEC, we make copies available free of charge on the “Investor Relations” section of our website at https://ir.talenenergy.com. We also post important information, including press releases, investor presentations, and notices of upcoming events on our website, and utilize it as a channel for distributions to public investors and for disclosing material non-public information in compliance with Regulation FD. Investors may be notified of postings to our website by signing up for email alerts under the “Resources” tab on the “Investor Relations” section of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2" w:name="i616f6e04e5a1455d85eaf2a2a69c99d6_1046"/>
      <w:bookmarkEnd w:id="2"/>
      <w:r>
        <w:rPr>
          <w:rFonts w:ascii="Arial;sans-serif" w:hAnsi="Arial;sans-serif"/>
          <w:b/>
          <w:color w:val="000000"/>
          <w:sz w:val="18"/>
        </w:rPr>
        <w:t>ITEM 1A. RISK FACTORS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You should carefully read and consider all the risks and uncertainties described below, as well as the other information included in this Report, including the Annual Financial Statements. Although we believe the following discussion includes the key risks affecting our business, new risks and uncertainties emerge from time to time, and it is not possible for us to predict all risks and uncertainties that could have an impact on our business. The occurrence of any of the following risks, or additional risks and uncertainties not presently known to us or that we currently believe to be immaterial, could materially and adversely affect our business, financial condition, results of operations, cash flows, and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Industry and Market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be adversely impacted by changes in the market prices, availability, and transmission of electricity, fuel, and other commodities.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Market prices for electricity, capacity, ancillary services, natural gas, uranium, coal, and fuel oil are unpredictable and fluctuate substantially over relatively short periods. Market prices for electricity are particularly volatile due to the inability to store electricity in large quantities (requiring it to be used as it is produced), which can result in significant price fluctuations based on supply and demand imbalances in the day-ahead and real-time markets. Because natural gas facilities often serve as the marginal, price-setting generating units, there is a strong positive correlation between the price of natural gas and the wholesale market price of electricity in the competitive power markets in which we operate. In recent years, the market price of natural gas has experienced substantial volatility, while prices for other fuels have also varied. Our energy margin is influenced by the relationship between the prices of electricity and natural gas and, to a lesser extent, other fuels like coal and uranium. A decline, or significant volatility, in the price of natural gas or other fuels could negatively impact energy margin and energy revenues.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we purchase some of our fuel and other consumables such as water, lime, limestone, and other chemicals and sorbents on a short-term or spot market basis. Delivery of these products to our facilities depends on available transportation infrastructure and available shipping capacity. In certain market conditions, transportation costs to our facilities may be significant and fluctuate substantially. Accordingly, as the prices for our fuels, other consumables, and transportation fluctuate, the price we can obtain for the sale of electricity may not rise similarly or at all to match any increase in our costs. Any inability to obtain supply or delivery of necessary fuel or other products could impair our ability to operate our facilities profitably or at all.</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is subject to physical, market, economic, and regulatory risks relating to weather conditions and extreme weather events.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Because weather can influence actual and expected electricity demand, as well as current and future prices of electricity and fuel, mild or unexpected weather conditions could have an adverse effect on our business. Our operations are substantially concentrated in PJM, where sustained cold weather during the winter and sustained hot weather during the summer generally result in increased market demand and higher prices for electricity. Conversely, mild winter or summer temperatures in the Mid-Atlantic tend to suppress electric demand and may result in lower overall settled prices that reduce our energy margin. Additionally, extreme weather events or sustained mild weather could result in market conditions that generate substantial gains or losses. For example, certain market and operating conditions may require us to purchase electricity in the wholesale market during periods of unusually high prices to meet our supply obligations or to sell electricity in the wholesale market during periods of low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effects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Such climatic events could also affect the availability of a secure and economical water supply in some locations, which is essential for the continued operation of our generation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Furthermore, under PJM’s Capacity Performance model, we may be (and have in the past been) subject to substantial monetary penalties for failing to meet the Capacity Performance requirements set forth by PJM in certain emergency events, including extreme weather events. See also “—Commercial and Operational Risks—We may experience unplanned interruptions or periods of reduced output, which could result in lower energy margin, lost opportunities, monetary penalties, contractual damages, and (or) other losses.” Extreme weather events could also result (and in the past have resulted) in governmental investigations and changes in applicable laws and regulations, reliability requirements, and market rules, including efforts to reform PJM. See also “—Regulatory, Environmental, and Legal Risks—We could be impacted by changes in, or state interference with, the structure or operation of the markets in which we operate, including ongoing market restructuring in PJM.” and “—Regulatory, Environmental, and Legal Risks—We may be affected by changes in applicable laws and regulations.”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Expected demand growth from the technology sector, manufacturing, and other uses of electricity, which has driven recent improvements in the outlook for the competitive wholesale power generation market, may not actually occur or be sustained.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Recently, the market outlook for competitive wholesale power generation has improved largely based on expected future demand from several sources, including data centers and other technology sector requirements, re-shoring of manufacturing in the U.S., the electrification of industry, and other demand drivers. Various factors including but not limited to unfavorable macroeconomic conditions, increases in energy efficiency or supply, or advances in technology, could result in lower-than-expected electricity demand and unfavorable market conditions for our business. A general economic slowdown or recession, a downturn in technology, manufacturing, or other sectors, an oversupply of generation resources or natural gas, or various other economic conditions could reduce electricity demand and prices. Improvements in energy efficiency, conservation efforts, and demand-side power management technologies, as well as other shifts in energy consumption, may reduce demand or slow demand growth. Furthermore, the penetration of renewable generation resources has, and may continue to have, negative effects on wholesale power prices and the economics of dispatchable generation units. Advances in technology may also provide alternative methods to produce, dispatch, and store power, which could also lead to increased overall electricity supply. Any of these factors could impact the dispatch, capacity factors, and value of our generation facilities.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face intense competition in the competitive power generation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Market competition may adversely affect our ability to operate profitably and generate positive cash flow. We sell our capacity, electricity, and ancillary services into competitive wholesale markets through a combination of capacity auctions, day-ahead and real-time spot markets, and bilateral agreements. Our business model depends on us successfully operating in a competitive environment and, unlike regulated utilities, we are not assured of any rate of return on capital investments through a regulated rate structure. Competitors in wholesale power markets include other non-utility generators, regulated utilities and their competitive subsidiaries, industrial companies, financial institutions, and other energy marketers. See also “Item 1. Business—Our Operations—Competition.” Some of our competitors may have advantages over us through access to greater resources, newer generation facilities, lower costs, or more experience. Our ability to compete is affected primarily by electricity prices, fuel prices, the relative cost of electric generation, and the reliability and availability of generation assets. These factors can be impacted by generation additions or retirements from the market, changes in natural gas distribution networks that affect the price and availability of fuel utilized for electric generation, changes in storage assets and transmission capacity, and technological advances in power generation and efficiency. Competition may also be impacted by the actions of environmental and other governmental authorities, including but not limited to the establishment of legislation or subsidies favoring one form of generation over another (such as investment tax credits, production tax credits, and other factors); for example, the Inflation Reduction Act contains a number of tax credits and incentives relating to renewable energy projects and clean energy technologies. Any negative impact on our ability to compete could adversely impact our business. See also “—Regulatory, Environmental, and Legal Risks—We could be impacted by changes in, or state interference with, the structure or operation of the markets in which we operate, including ongoing market restructuring in PJM.”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is subject to extensive regulation, which may increase our costs, reduce our revenues, or limit operation of our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business is subject to extensive energy, reliability, market, nuclear, environmental, and safety laws, regulations, and requirements, among others. See also “Item 1. Business—Legal, Regulatory, and Environmental Matters.” Some of the key rules and regulations impacting our business include, among others, those set forth by: (i) FERC, relating to the generation, sale, and transmission of electricity, and its designated Electric Reliability Organization (currently NERC), relating to reliability standards for the bulk power system; (ii) PJM and ISO-NE, relating to the reliability and performance of generation facilities and operation of the energy and capacity markets; (iii) the NRC, relating to the licensing, operation, and ownership of nuclear facilities; (iv) the EPA, relating to environmental protection and permitting; and (v) various state and local jurisdictions, relating to similar and other matters. We may also from time-to-time become subject to new or revised laws, regulations, or requirements. The costs of compliance with these requirements may be substantial, and any non-compliance or inability to comply could result in the suspension or curtailment of our electricity sales and power delivery; the cessation, suspension, delay, or limitation of our operations; premature unit retirements; and (or) monetary penalties, increased compliance obligations, or other types of sanctions. See also “—Regulatory, Environmental, and Legal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could be adversely affected by events outside of our control, including armed conflicts, war, terrorist attacks or threats, pandemics, natural disasters, cyber-based attacks, or other significant events.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Instability and unrest, as well as war, other armed conflicts, economic sanctions, acts of terrorism, or threats thereof may lead to economic disruption that could adversely affect our business through high volatility in fuel and other commodity prices, difficulty obtaining products such as nuclear fuel, disruptions in supply chains, disruptions or volatility in financial markets, or other factors. In addition, we could be adversely affected by an epidemic, an infectious disease outbreak, or other public health events, which could impact our workforce and the availability of other resources, resulting in decreased service levels and increased costs. Furthermore, as a significant portion of our power generation facilities are geographically concentrated in the mid-Atlantic area of the United States, we face increased risk that a natural or man-made disaster in that area could adversely affect a large part of our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also subject to cyber-based security disruption and integrity risk, which could result in an adverse impact to our results of operations or business reputation. The operation of our business relies on cyber-based technologies and is, therefore, subject to the risk that such systems could be the target of disruptive actions, particularly through cyberattack or cyberintrusion by hackers, foreign governments, state-sponsored actors, or cyberterrorists. Our cyber-based systems and technologies may otherwise also be compromised by unintentional errors or other events, including by vendors or third-parties. As a result, operations could be interrupted or impacted, property or other assets damaged, funds misappropriated, security compromised, or employee or third-party information lost or stolen, causing us to incur significant revenue losses, costs to replace or repair equipment, and other liabilities and damages, including regulatory actions, litigation, or reputational harm. In addition, we may also incur increased capital and operating costs to implement increased cybersecurity systems and protections throughout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Commercial and Operational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Operation of power generation facilities involves significant risks and hazards customary to the power industry, which we cannot assure our insurance will be adequate to cover.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Power generation involves hazardous activities, including transporting, storing and handling fuel, operating industrial, electrical and other equipment, and connecting to high voltage transmission and distribution systems. As a result, our assets,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damage or destruction of our assets or other property and equipment, personal injury or loss of life, pollution or environmental damage, and (or) suspension of operations, and any such event may expose us to liability for substantial damages, fines, or penalties. Although we maintain insurance that we believe is reasonable and prudent under the circumstances to cover our operations and assets, we cannot provide any assurance that our insurance program will be sufficient or effective under all circumstances and against all hazards or liabilities to which we may be subject. See also “Item 1. Business—Our Operations—Insurance.” Even if we do have coverage for a particular incident, we may be subject to deductibles, caps, and (or) policy limits, and the amount recoverable under applicable insurance may not fully cover the impacts on our revenue or other potential consequences. Furthermore, due to rising insurance costs and changes in the insurance markets, we cannot provide any assurance that our insurance coverage will continue to be available at economic rates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activities related to hedging and asset management may result in economic losses and (or) volatility in our financial results.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exposed to price variability associated with future sales and (or) purchases of power products, fuel, environmental products, and other commodities in competitive wholesale markets, which contribute to uncertainty in the future performance and cash flows of our business. See also “—Industry and Market Risks—We may be adversely impacted by changes in the market prices, availability, and transmission of electricity, fuel, and other commodities.” We actively manage the market risk inherent in our business through our commercial risk management activities, which utilize a variety of physical and financial instruments to protect cash flow and preserve forward margin. See also “Item 1. Business—Our Strategies—Optimize risk management program and hedging.” Nonetheless, such activities may not effectively manage or fully eliminate risks as expected due to differing conditions than those assumed or forecasted, including those related to demand, pricing, volatility, market correlations, generation facility availability, unforeseen market disruptions, and weather events. Given the inherent uncertainty in developing future market expectations, actual market conditions could be materially different than our expectations. The financial markets in which we hedge may have insufficient liquidity or excessive counterparty risk, impairing our ability to enter into new transactions. Furthermore, when a commercial contract expires or is terminated, we may not secure replacement on acceptable terms or at all, and it is possible that subsequent commercial contracts may not be available at prices that permit the operation of our generation fleet on a profitable basis. If our commercial risk management activities are unable to predict or manage the market risk inherent in our operations, economic losses or other costs to our business could result.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our commercial risk management activities could contribute to significant volatility in our financial results. Commercial transactions with future delivery dates may meet certain accounting criteria requiring them to be carried on the balance sheet at fair value. The “mark-to-market” effect, or remeasurement of these transactions to fair value at current market prices, is generally recognized in earnings through contract delivery. However, many commercial transactions with future delivery dates do not meet the criteria for “mark-to-market” accounting, and the income effect of these transactions is generally recognized at contract delivery. Accordingly, we are exposed to timing differences in the earnings recognition for commercial contracts with the same delivery date. As a result, during periods of extreme price volatility or significant changes in market prices, our quarterly and annual results may be subject to fluctuations due to changes in fair values of commercial transactions caused by changes in market prices.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experience unplanned interruptions or periods of reduced output, which could result in lower energy margin, lost opportunities, monetary penalties, contractual damages, and (or) other losses.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facilities require periodic planned outages to perform maintenance and repair activities, which are typically scheduled during seasonal non-peak demand periods to minimize their financial impacts to our business. However, our facilities may also experience unplanned outages, periods of reduced output, or other interruptions due to a number of factors, including but not limited to equipment failures, accidents, electrical delivery or transportation problems, fuel supply disruptions, acts of nature, environmental incidents, security or information technology breaches, labor disputes, intentional attacks, obsolescence, or below-expected performance. Any unexpected failure, including those associated with breakdowns or forced outages, could result in reduced profitability, including from lost energy margin, costs to cover power at then-current market prices to satisfy our commitments, and additional repair and (or) ongoing maintenance costs. Although we maintain customary insurance coverage for certain of these risks, no assurance can be given that our insurance coverage will be sufficient to fully compensate us for any such losses.</w:t>
      </w:r>
    </w:p>
    <w:p>
      <w:pPr>
        <w:pStyle w:val="TextBody"/>
        <w:bidi w:val="0"/>
        <w:spacing w:lineRule="auto" w:line="288" w:before="0" w:after="180"/>
        <w:jc w:val="left"/>
        <w:rPr/>
      </w:pPr>
      <w:r>
        <w:rPr>
          <w:rFonts w:ascii="Arial;sans-serif" w:hAnsi="Arial;sans-serif"/>
          <w:b w:val="false"/>
          <w:color w:val="000000"/>
          <w:sz w:val="18"/>
        </w:rPr>
        <w:t>Facility outages could also subject us to market or contractual penalties. Under PJM’s Capacity Performance model, we may be (and have in the past been) subject to substantial monetary penalties for failing to meet the Capacity Performance requirements set forth by PJM in certain emergency events. For example, during Winter Storm Elliott in 2022, certain of our generation facilities failed to meet PJM’s Capacity Performance requirements and, as a result, we incurred final aggregate net Capacity Performance penalties of $29 million. See also “Item 7. Management’s Discussion and Analysis of Financial Condition and Results of Operations—Factors Affecting Our Financial Condition and Results of Operations—Capacity Markets—</w:t>
      </w:r>
      <w:r>
        <w:rPr>
          <w:rFonts w:ascii="Arial;sans-serif" w:hAnsi="Arial;sans-serif"/>
          <w:b w:val="false"/>
          <w:color w:val="000000"/>
          <w:sz w:val="18"/>
          <w:shd w:fill="FFFFFF" w:val="clear"/>
        </w:rPr>
        <w:t>Capacity Performance Event</w:t>
      </w:r>
      <w:r>
        <w:rPr>
          <w:color w:val="000000"/>
        </w:rPr>
        <w:t xml:space="preserve">” </w:t>
      </w:r>
      <w:r>
        <w:rPr>
          <w:rFonts w:ascii="Arial;sans-serif" w:hAnsi="Arial;sans-serif"/>
          <w:b w:val="false"/>
          <w:color w:val="000000"/>
          <w:sz w:val="18"/>
        </w:rPr>
        <w:t>and “—Regulatory, Environmental, and Legal Risks.” Additionally, under the AWS PPA, Susquehanna has committed to certain delivery quantities over time and reliability standards and AWS may be entitled to contractual or other remedies in the event of Susquehanna’s non-performance.</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Because our generation facilities are part of interconnected regional grids, we face the risk of congestion and other interruptions that could impact our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operations depend on transmission and distribution facilities owned and operated by RTOs, ISOs, and other unaffiliated parties to transmit and deliver the electricity that we produce. If the transmission service from these facilities is unavailable or disrupted, or if the transmission capacity infrastructure is inadequate, our ability to sell and deliver power may be materially affected. Electric power blackouts are possible, have occurred, and can disrupt electrical service for extended periods of time, which could result in interruptions to our operations, increased costs to replace existing contractual obligations, possible regulatory investigations, and potential operational risks to our facilities. Furthermore, transmission constraints and outages, including line maintenance outages, can cause transmission congestion that negatively impacts energy prices at our facilities, which could affect the realized margins of our generation fleet. The rates for transmission capacity from our facilities are set by others and thus are subject to changes outside of our control, some of which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ownership and operation of Susquehanna subjects us to substantial risks associated with nuclear generation.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Although the safety record of nuclear reactors generally has been very good, accidents and other unforeseen problems have occurred both in the United States and abroad. The consequences of a major incident could be significant, including loss of life, destruction of property, and environmental damage. Because Susquehanna accounts for a substantial amount of our generation and associated earnings, any adverse development in Susquehanna’s operations, such as an unplanned outage or catastrophic event, could have a significant impact on our business. The risks and uncertainties associated with our nuclear generation include, among other things: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impairment of reactor operation and safety systems, unscheduled outages or unexpected costs due to equipment, mechanical, structural, or other problems, inadequacy or lapses in maintenance protocols, human error, or force majeure;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costs and liabilities relating to the procurement, safeguarding, storage, handling, treatment, transport, release, use, and disposal of nuclear fuel and other radioactive materials, including the costs of storing and maintaining SNF at our on-site dry cask storage facility;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potential impacts of natural disasters, terrorist or other attacks, cybersecurity threats and (or) cyber-related attacks, or other unforeseen events, and the costs of preventing, preparing for, and responding to any such events;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 xml:space="preserve">limitations on the amounts and types of insurance coverage commercially available;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technological and financial aspects of modifying or decommissioning nuclear facilities at the end of their useful lives;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extensive regulation associated with ownership and operation of nuclear facilities (see also “—Regulatory, Environmental, and Legal Risks—Our ownership and operation of a nuclear power facility subjects us to regulations, costs, and liabilities uniquely associated with these types of facilities.”);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frequency and duration of outages affect Susquehanna’s availability. If future refueling outages last longer than anticipated or Susquehanna experiences unplanned outages, our business could be adversely affected. In addition, a significant operational disruption at Susquehanna could impair our ability to meet our PJM Capacity Performance requirements and our obligations under long-term power supply contracts, including under the AWS PPA. See also “—We may experience unplanned interruptions or periods of reduced output, which could result in lower energy margin, lost opportunities, monetary penalties, contractual damages, and (or) other losses.”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costs associated with the nuclear fuel cycle are substantial, and suppliers of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 Furthermore, there remains substantial uncertainty regarding the nuclear industry’s permanent disposal of SNF, which could result in substantial additional costs to us that cannot be predicted. See Note 12 to the Annual Financial Statements for additional information on SNF.</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commercial and operational activities may constrain our liquidity or require excessive levels of financial support.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Many of our commercial counterparties require us to provide credit support in the form of guarantees, LCs, security interests, netting arrangements, and (or) cash collateral. Because we are required to collateralize hedges that settle in future delivery periods, but do not receive settlements for electric generation until delivery, collateral requirements could result in periods of lower available liquidity. Furthermore, significant movements in market prices may require us to provide cash collateral or LCs in very large amounts (for instance, as happened prior to the Restructuring). The effectiveness of our commercial strategy may be dependent on the amount of collateral available to support our hedging arrangements, and these collateral requirements may be greater than we anticipate or are able to meet. Without sufficient working capital or borrowing capacity, we may not be successful in managing market and price risks. Our ability to increase liquidity could be limited by the terms of our debt or other agreements, unwillingness of financing sources to extend us credit or other capital, overall financial market conditions, or other factors. As a result, we could be required to liquidate commercial positions at significant losses to mitigate collateral requirements.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From time-to-time in the ordinary course of our business, we are also required to provide financial assurance to third parties for the performance of certain obligations. This may include guarantees, stand-by LCs issued by financial institutions, surety bonds issued by insurance or surety companies, and indemnifications. Some of these assurance products may limit our available liquidity by requiring collateralization, reducing available borrowings under our credit facilities, or utilizing available basket capacity under our debt agreements. In addition, surety bond providers generally are under no obligation to provide sureties on commercial terms or at all and, upon certain events, have the right to request additional collateral or require replacement of their bonds by alternate surety providers. Among others, we currently have surety bonds posted to the State of Montana on behalf of our proportional share of remediation and closure activities at Colstrip and LCs posted to AWS to support our obligations under the AWS PPA. Any draw down on these or other financial assurances in an event of default could adversely affect our financial position and liquidity, credit ratings, and compliance with our debt agreements and other contractual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are exposed to credit risk, concentrations of credit risk, and counterparty risk from RTOs and ISOs, other customers, commercial counterparties, financial institutions, suppliers, and other parties.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ordinary course of our business, we are subject to the risk of losses from nonpayment by our contractual counterparties, including RTOs/ISOs, PPA counterparties, other customers, commercial counterparties, and other parties to whom we supply certain products or services, as well as by other market participants whose defaults could indirectly impact our business. Although we have established policies and procedures to evaluate and manage counterparty credit risk, they may not be adequate to identify fully or manage these risks effectively. Furthermore, we cannot predict the impact to our business from any decline in economic conditions, including any deterioration in the creditworthiness of customers and hedging counterparties. Any increase in counterparty nonpayment or nonperformance could require us to reserve for or write-off uncollectible accounts. 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5 to the Annual Financial Statements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purchase fuel, other required consumables, equipment and parts, and other critical products from a number of suppliers. We also enter into service contracts relating to critical operational and maintenance activities. Continued delivery of vital supplies and equipment and performance of vital services is dependent upon the continuing viability of our contractual counterparties. If our suppliers, service providers, or other counterparties fail to perform their obligations to us, we may be forced to suspend or curtail operations, enter into alternative arrangements on less favorable terms, or incur coverage costs, penalties, or other losses. See also “—We may experience unplanned interruptions or periods of reduced output, which could result in lower energy margin, lost opportunities, monetary penalties, contractual damages, and (or) other losses.”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Completed, pending, and potential retirements of our coal assets could result in additional costs and adverse effects on our operating results.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Since 2016, we have retired three economically nonviable coal-fired units, while our remaining coal-fired generation assets continue to be impacted by changing environmental regulations and power market economics. Although we recently reached a settlement agreement for the continued RMR operation of our Brandon Shores (a coal asset) and H.A. Wagner (formerly a coal asset, now operating primarily on fuel oil) facilities through May 2029, we do not currently anticipate that those assets will run beyond that date unless PJM continues to require their operation to maintain grid reliability. In addition, although our Brunner Island facility has been converted and can now run on either coal or natural gas, it remains a legacy coal facility with associated remediation obligations. We likewise have remaining liabilities associated with historical coal-fired generation at other legacy sites. We also own minority interests in three additional coal-fired facilities, including the Colstrip facility in Montana, of which we are the operator. See “Item 7. Management’s Discussion and Analysis of Financial Condition and Results of Operations—Liquidity and Capital Resources—Forecasted Uses of Cash—Projected ARO and Accrued Environmental Liability Cash Flows” and Note 12 to the Annual Financial Statements for additional information on environmental remediation obligations. In connection with the closure and remediation of retired generation units, we have spent, and may in the future spend, a significant amount of capital, internal resources, and time to complete the required closure and reclamation.</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 carrying value of our property, plant and equipment is subject to impairment charges.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PP&amp;E used in operations is assessed for impairment whenever changes in facts and circumstances indicate that the carrying amount of a particular asset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market conditions or regulatory environment, we could experience future generation facility impairments.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Because we are minority owners in certain of our generation facilities, we cannot exercise complete control over their businesses or operations and are exposed to business, operational, and financial risks associated with co-owners.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limited control over the ownership and, in some cases, operation of our jointly-owned facilities. We own minority interests in the Conemaugh and Keystone generation facilities, which are operated by other co-owners, and in the Colstrip facility, which we operate. See Note 10 to the Annual Financial Statements for additional information on jointly owned facilities. While we seek to influence the business and affairs of these facilities, either by serving as operator (i.e., Colstrip) or negotiating certain management, information, or governance rights, we may not always succeed in doing so. We often depend on our co-owners to fulfill obligations important to the success of these joint operations, such as funding their share of capital and operating costs and, in the case of Conemaugh and Keystone, operating the facilities, and their ability to meet these obligations is outside our control. Our co-owners may not have the level of experience, technical expertise, human resources, and other attributes necessary to operate these projects optimally. Moreover, some of our co-owners, including rate-regulated utilities, may have economic incentives and obligations significantly different than ours. If our current or future co-owners are unwilling or unable to meet their obligations under our joint ownership arrangements, the performance, success, and value of these arrangements may be adversely affected. Furthermore, we (as a joint owner) may be forced to undertake the obligations ourselves or incur additional expenses as a result. In such cases, we may also be required to enforce our rights, which may cause disputes among us and our co-owners. Any of these events could adversely impact us, our joint operations, or our ability to enter into future joint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success depends on our ability to attract and retain an appropriately qualified workforce.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ability to attract and retain key employees is important to both our operational and financial performance. We cannot guarantee that any member of our leadership or workforce will continue to serve in any capacity for any particular period of time. We could have difficulty retaining certain key members of management beyond May 2026, when a significant portion of our outstanding long-term equity-based incentive compensation is scheduled to vest. Furthermore, an aging workforce with significant retirement eligibility, mismatch of skill set, expectation of future needs, uncertainty around the future of our aging assets, or unavailability of short-term contract employees or contractors may lead to difficulty retaining our workforce, operating challenges, and increased costs. Additional challenges we could face include a lack of human resources, losses to our operational knowledge base, and the required time and other resources needed to develop new workers’ skills. In particular, our operations at Susquehanna largely depend on highly specialized personnel whose absence may adversely impact our ability to operate. We are also subject to the risk of organized actions by unionized employees which, as of December 31, 2024, represented approximately 43% of our workforce. If we are unable to negotiate future collective bargaining agreements on favorable terms, or if our union employees were to engage in strikes, work stoppages, slowdowns, or other forms of labor disruption, we would be responsible for obtaining replacement labor and could experience increased costs, reduced power generation, outages, other operational disruptions, or reputational harm.</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could be affected by increases in our labor and benefit expenses, including healthcare and pension costs.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expect to continue facing increased cost pressures in our operations due to increased labor costs resulting from heightened inflation, the need for higher-cost expertise in the workforce, and other factors. In addition, we are required under collective bargaining agreements to provide specified levels of healthcare and pension benefits to certain current employees and retirees, and we provide similar benefits to our non-union employees. Due to general inflation in costs, the aging demographics of our workforce, healthcare cost trends, and other factors, we expect our healthcare costs, including prescription drug coverage, to continue increasing despite measures we have taken to reduce them.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As of December 31, 2024, our defined benefit pension plans, which cover certain of our retirees and employees, were underfunded by an estimated $291 million, with a total benefit liability of an estimated $1.2 billion, and we expect to continue incurring significant costs under these plans.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be significantly higher than anticipated. Further, without sustained growth in the pension investments over time, and depending upon the assumptions impacting costs listed above, we could be required to fund our plans with significant amounts of cash in advance of the time we would otherwise fund such payments. Under the Employee Retirement Income Security Act of 1974, as amended (“ERISA”), the Pension Benefit Guaranty Corporation (“PBGC”) can petition a court to terminate an underfunded defined benefit pension plan under limited circumstances. In the event our pension plans are terminated by the PBGC, we could be liable to the PBGC for the entire amount of the underfunding, as calculated by the PBGC based on its own assumptions (which may result in a significantly larger liability than the assumptions used for financial reporting purposes or in determining the annual funding requirements for the plans). </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Acquisitions, divestitures, mergers, or other corporate transactions may expose us to additional risks.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From time to time, we may seek to acquire additional assets or businesses, which is subject to risks including delay or the inability to achieve completion; the failure to identify material problems during due diligence accurately or at all; potential over-payment; the inability to retain acquired employees, customers, or suppliers; and the inability to obtain required or desired financing. We may also acquire assets or businesses beyond our current geographies, markets, or lines of business, which could expose us to increased market, operational, or regulatory risks. There can be no assurance that any acquired assets or businesses will be integrated or perform as expected, provide the anticipated returns, support any related financing obligations, or generate the cash flows needed to operate them profitably. In addition, we may from time to time choose to divest certain assets or businesses, which is subject to risks relating to employment matters; customers, suppliers, and other counterparties; other stakeholders in the disposed business; separation of the disposed assets from our remaining business; management of our ongoing business; failure to realize the anticipated benefits; other financial, legal, and operational risks; and other risks unknown to us at the time. In connection with dispositions, we may also indemnify or guarantee counterparties against certain conditions or liabilities, which could result in disputes, litigation, and (or) future costs or liabilities to us. In addition, any disposition would likely decrease our earnings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could also engage in mergers, business combinations, or similar corporate transactions. In addition to the types of risks discussed above, mergers and similar transactions may subject us to risks associated with: required stockholder approvals and other stockholder legal actions; changes or fluctuations in merger consideration that could affect the value our stockholders receive; changes in management or control of our business; challenges integrating or operating the combined company; or failure to realize the anticipated business opportunities, synergies, growth prospects, or other benefits. Any acquisition, divestiture, merger, or other corporate transaction could occupy a significant amount of our time and may strain our resources, increase our costs, and distract management. Furthermore, the extensive regulation of our business could delay, prevent, limit the scope of, or increase the costs associated with any such transaction. See also “Item 1. Business—Legal, Regulatory, and Environmental Matters” and “—Regulatory, Environmental, and Legal Risks.” Any failure to meet contractual terms, whether for regulatory or other reasons, could result in transaction cancellation, costly disputes or litigation, breakage or other fees, or other costs and liabilities. No assurance can be provided that any such transaction will result in the anticipated benefits to our business or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Regulatory, Environmental, and Legal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is subject to extensive energy-related regulation and oversight.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subject to regulation by federal and state agencies and other bodies that exercise regulatory authority in the various regions where we conduct business, including but not limited to FERC; the Department of Energy; the NRC; NERC; the Federal Communications Commission; and state public utility commissions. See also “Item 1. Business—Legal, Regulatory, and Environmental Matters—Energy Regulation” and “—Our ownership and operation of a nuclear power facility subjects us to regulations, costs, and liabilities uniquely associated with these types of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of our subsidiaries sell electricity into the wholesale markets and are subject to rate, financial, and organizational regulation by FERC. FERC has authorized us to sell energy, capacity, and ancillary services at wholesale at market-based rates and has granted us various related customary waivers and blanket approvals, including a blanket authorization to issue securities and to assume liabilities. FERC retains the authority to modify or withdraw our market-based rate authority and impose cost-based rates if it determines that the market is not competitive, we possess market power in one or more markets, we are not charging just and reasonable and not unduly discriminatory rates, or we have violated FERC’s market behavior rules or engaged in market manipulation. Any reduction by FERC in the rates that we may receive, revocation of FERC’s waivers and blanket authorizations, or unfavorable changes to the regulation of our business by federal or state regulators could materially adversely affect our business.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 See "Item 3. Legal Proceedings” for additional information on the Susquehanna ISA Amendment. In addition, if we were found to have violated FERC’s market behavior rules or other FERC requirements, FERC could impose civil penalties or order us to disgorge associated profits. Our generation assets are also subject to the reliability standards promulgated by the FERC-designated Electric Reliability Organization (currently NERC) and approved by FERC. If we fail to comply with the mandatory reliability standards, we could be subject to sanctions, including substantial monetary penalties and increased compliance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to federal regulation, our operations are subject to various state laws and regulations. These include oversight of siting, permitting, and environmental compliance for our facilities, as well as participation in state-specific energy markets and programs.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See also “—We could be impacted by changes in, or state interference with, the structure or operation of the markets in which we operate, including ongoing market restructuring in PJM.”</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is subject to extensive state, federal, and local statutes, rules, regulations, and permitting requirements relating to environmental protection and worker health and safety, which could limit our operations, increase our costs, result in other liabilities to us, or render continued operation of certain of our facilities uneconomic.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business is subject to extensive federal, state, and local laws, regulations, and requirements relating to environmental protection and human health and safety, which have become more stringent over time. These requirements impose, among other things, permitting requirements for regulated activities, costs to limit or prevent pollution or other contamination, substantial liabilities and remedial obligations for pollution or contamination, and specific standards addressing worker protection and process safety. See also “Item 1. Business—Legal, Regulatory, and Environmental Matters—Environmental Regulation.”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required to obtain and to comply with numerous permits, approvals, licenses, and certificates from various environmental agencies, which can be a lengthy and complex process that can sometimes result in permit conditions that make certain activities overly restrictive or uneconomic. Moreover, renewal of existing permits could be denied or jeopardized by various factors, including litigation, environmentalist or community opposition, and political pressures. Costs, conditions, denials or non-renewals, or non-compliance associated with any required permits or approvals could result in increased costs; the cessation, suspension, delay, or limitation of our operations; premature unit retirements; and monetary penalties, increased compliance obligations, or other types of sanctions.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Furthermore, certain of our operations pose risks of liability due to leakage, migration, emissions, releases, or spills of hazardous or otherwise regulated substances to the air, surface or subsurface soils, surface water, or groundwater. Certain environmental laws impose strict as well as joint and several liability for costs to remediate and restore sites. In addition, claims for personal or property damage may result from the environmental, health, and safety impacts of our operations. We could be held responsible for all liabilities associated with the environmental condition of our facilities, regardless of whether we were responsible for the creation of the environmental condition, it arose from the activities of predecessors or third parties, or our operations met previous industry standards at the time conducted.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New or more stringent enforcement of existing laws or regulations could also adversely affect our business. See also “—We may be affected by changes in applicable laws and regulations.” As a result of various factors, including existing and recently revised rules and regulations, such as those pertaining to air, waste, and water (including the EPA MATS, GHG, CCR, and ELG Rules) we have spent, and expect to continue to spend, substantial amounts on environmental compliance, controls, and remediation. See “Item 1. Business—Legal, Regulatory, and Environmental Matters—Environmental Regulation” and Note 12 to the Annual Financial Statements for additional information. Failure to comply with applicable environmental laws, regulations, and permits could result in liability for administrative, civil, or criminal fines or penalties or in other costs or obligations, including requirements to install additional equipment or make substantial changes to our operations. In addition, private parties may also have the right to pursue legal actions to enforce compliance and seek damages for non-compliance. These factors have also resulted in continuing uncertainty around the environmental costs, profitability, and continued operations of our fossil fuel-fired facilities, and coal-fired facilities in particular. See also “—There is uncertainty related to the future profitability of our fossil fuel-fired power generation business and the amount and timing of associated environmental costs.” and “—Existing and emerging legal and regulatory requirements related to coal-fired generation operations and CCR could adversely affect our business.”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could be impacted by changes in, or state interference with, the structure or operation of the markets in which we operate, including ongoing market restructuring in PJM.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do not own or control the transmission facilities required to deliver the wholesale power from our generation facilities to load. FERC has issued regulations that require wholesale electricity transmission services, even when offered by parties other than RTOs and ISOs, to be offered on an open-access, non-discriminatory basis. Although these regulations are designed to encourage competition in wholesale markets, there can be no assurance that transmission capacity will be available in the amounts we require. We cannot predict the timing of industry changes as a result of these initiatives, the adequacy of transmission facilities, or whether RTOs, ISOs, or other transmission providers will efficiently operate transmission networks and provide related services. Furthermore, regulatory approvals and orders that we have obtained may be subject to challenge and protest from time to time.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most cases, RTOs and ISOs operate transmission facilities and provide related services, administer organized power markets, and maintain system reliability. Many of these RTOs and ISOs operate the real-time and day-ahead markets in which we sell electricity, as well as the forward markets in which we sell capacity, and may impose offer caps, price limitations, and other mechanisms to guard against the potential exercise of market power. These and other regulatory mechanisms may adversely affect our profitability. Changes in the rules, market operations, or geographic scope of existing RTOs, ISOs, and various regional power markets, as well as any challenges in the formation and operation of similar emerging market structures, could also affect our ability to sell, the prices we receive, or the costs to transmit electricity and capacity from our generation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wholesale energy markets vary from region to region with distinct rules, practices, and procedures. Changes in these market rules, problems with rule implementation, and compliance or failure of any of these markets could adversely impact our business. The PJM market is undergoing significant restructuring due to projected increases in demand, projected retirements of supply, and recent weather events that have exposed systemic flaws. Ongoing market reforms have caused delays in the PJM Base Residual Auctions, which determine capacity prices in upcoming years, leading to unpredictability around capacity revenues due to lack of reliable pricing and on-schedule BRAs. While PJM has established dates for certain upcoming PJM BRAs based upon FERC orders establishing rules for such capacity markets, we cannot guarantee those auctions will take place on those dates or at all. In addition, under PJM’s Capacity Performance model, we may be (and have in the past been) subject to substantial monetary penalties for failing to meet the Capacity Performance requirements set forth by PJM in certain emergency events. Continued efforts to address perceived capacity market design issues are ongoing, and we cannot predict the outcome of these market reforms or their impact on future capacity revenues. See Note 12 to the Annual Financial Statements for additional information on the PJM capacity market, systemic risks, BRA delays, and related legal actions.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power generation business relies on a competitive marketplace. See also “—Industry and Market Risks—We face intense competition in the competitive power generation market.” The competitive wholesale marketplace may be undermined by changes in market structure as well as the actions of federal or state entities that interfere in the competitive marketplace, such as subsidies, out-of-market payments, incentives, or bailouts to new or uneconomic facilities; imports of power; permission for regulated utilities to build generation and add it to the rate base; renewable mandates or incentives; and mandates to sell power below cost. Actions that undermine the competitive marketplace could suppress capacity and energy prices or lead to premature retirement of existing facilities, among other things. See also “—We may be affected by changes in applicable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There is uncertainty related to the future profitability of our fossil fuel-fired power generation business and the amount and timing of associated environmental costs.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Many political and regulatory authorities, environmental groups, and investors are devoting substantial efforts to minimizing or eliminating fossil fuel-fired electricity generation, which could reduce demand and pricing for electricity generated at our fossil fuel-fired facilities and adversely impact our business, financial condition, growth prospects, and ability to raise capital. See also “—Financial and Equity Risks—We may not have sufficient access to financing for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efforts are resulting in increased regulation of fossil fuel combustion, GHG emissions, and other related activities. Any resulting changes to the legal and regulatory framework governing electric generation could materially impact our business. For example, new air, waste, and water rules finalized by the EPA in 2024 could require us to incur significant costs if they withstand legal challenges and potential rescission or revision by the Trump administration. These costs include ARO revisions, potential asset modifications, including investments in environmental control equipment, premature retirement or reduced operations, and increased public reporting requirements. See “Item 1. Business—Legal, Regulatory, and Environmental Matters—Environmental Regulation” and Note 12 to the Annual Financial Statements for additional information. Furthermore, any new legislation or regulatory programs could also increase the cost of electricity production or make certain units unavailable or restricted, overall reducing the amount of reliable and affordable power available to meet our nation’s growing electricity demand.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example, compliance with the recently revised EPA MATS Rule will require either investment in additional control equipment at Colstrip or retirement of the plant by 2027. We and the other Colstrip co-owners have not yet determined whether to install the equipment necessary to comply with the new EPA MATS Rule; meanwhile, we and others are actively challenging the EPA MATS Rule in ongoing litigation as well as advocating for changes administratively. Furthermore, if we and our co-owners elect to install additional control equipment at Colstrip, the recently revised EPA GHG Rule could still force the plant to retire by 2032, before the costs of installing the equipment can be recovered. We operate an aging fossil fuel fleet and many of our facilities require periodic maintenance and repair. If we significantly modify a unit such that regulated pollutants are increased beyond thresholds set by the EPA pursuant to New Source Review guidelines promulgated under the Clean Air Act, we may be required to install the best available control technology or to achieve the lowest achievable emission rates, which would likely result in substantial additional capital expenditures or premature retirement. However, the EPA MATS, GHG, CCR, and ELG Rules are currently subject to ongoing litigation. As a result, future implementation and enforcement of these rules remains uncertain. To the extent that new or amended laws or regulations further restrict emissions from the combustion of coal, natural gas, or oil, such requirements could result in further capital expenditures or premature retirements.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Existing and emerging legal and regulatory requirements related to coal-fired generation operations and CCR could adversely affect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accordance with the relevant legal and regulatory requirements, we perform certain activities to manage large quantities of CCR material resulting from decades of coal-fired electric generation. In particular, Talen Montana and Brunner Island have significant decommissioning and environmental remediation liabilities, primarily consisting of remediation, closure, and decommissioning costs for coal ash impoundments. Where applicable, across the fleet, we carry the expected cost of the known CCR and associated wastewater obligations within our ARO liabilities. Actual cash expenditures associated with these AROs are expected to materially increase over the next five years due to recent regulatory changes unless the rules do not withstand legal challenges or are rescinded by the Trump administration. These potential increases would be somewhat offset by ongoing remediation, closure, and decommissioning activities, which will reduce ARO liabilities as scopes are completed. See Note 12 to the Annual Financial Statements for additional information. Future adjustments to our coal ash ARO estimates may be required due to evolving regulatory programs and associated remediation requirements under federal rules and state obligations, which could have an adverse effect on our business. If the assumptions underlying these ARO estimates do not materialize as expected, actual cash expenditures and costs could be materially different. See Note 11 to the Annual Financial Statements for additional information on AROs.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EPA recently finalized standards under the EPA GHG Rule for new and certain existing power plants. These regulations primarily affect baseload units in the national power fleet, including our coal-fired generation facilities that have not set near-term retirement dates (e.g., Colstrip).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Furthermore, other recent EPA rules (e.g., the EPA MATS, CCR, and ELG Rules) could have a significant impact on our business as discussed herein. Each of these rules are currently subject to ongoing legal challenges. In addition, in January 2025, President Trump issued an executive order directing the heads of all federal agencies to identify and begin the processes to suspend, revise, or rescind all agency actions, including existing regulations, that are unduly burdensome on the identification, development, or use of domestic energy resources. Consequently, future implementation and enforcement of these rules remains uncertain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ownership and operation of a nuclear power facility subjects us to regulations, costs, and liabilities uniquely associated with these types of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Atomic Energy Act, our operation and 90% ownership of Susquehanna are subject to regulation by the NRC, including requirements pertaining to, among other matters: licensing, inspection, and enforcement; testing, evaluation, and modification of all aspects of nuclear reactor power generation facility design and operation; environmental and safety performance; handling and storage of SNF; technical and financial qualifications; decommissioning funding assurance; and transfer and foreign ownership restrictions. The NRC may modify, suspend, or revoke operating licenses and impose civil or criminal penalties for failure to comply with the Atomic Energy Act or the terms of nuclear operating licenses. The current facility operating licenses for our two units at Susquehanna expire in 2042 and 2044.</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NRC could temporarily or permanently shut down Susquehanna, require it to modify its operations, or refuse to permit a unit to restart after any planned or unplanned outage. See also “—Commercial and Operational Risks—We may experience unplanned interruptions or periods of reduced output, which could result in lower energy margin, lost opportunities, monetary penalties, contractual damages, and (or) other losses.” As a result of any shutdown or forced outage, we may also face substantial costs related to the storage and disposal of radioactive materials and SNF. In addition, Susquehanna will be obligated to continue storing SNF if the Department of Energy continues to fail to meet its contractual obligations under the Nuclear Waste Policy Act of 1982 to accept and dispose of Susquehanna’s SNF. See Note 12 to the Annual Financial Statements for additional information on this obligation.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NDT funds. See Note 9 to the Annual Financial Statements for additional information on the NDT.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addition, new or amended NRC safety and regulatory requirements may give rise to additional operation and maintenance costs and capital expenditures, and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See also “—Commercial and Operational Risks—Our ownership and operation of Susquehanna subjects us to substantial risks associated with nuclear generation.”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While Susquehanna maintains property and liability insurance and is subject to NRC insurance requirements and the Price-Anderson Act scheme, there may be limitations on the amounts and types of insurance commercially available to us or we may have insufficient coverage with respect to any losses. See Note 12 to the Annual Financial Statements for additional information on nuclear insurance. Uninsured losses and other liabilities and expenses resulting from an incident at Susquehanna, to the extent not recovered from insurers or the nuclear industry, could be borne by us. See also “—Industry and Market Risks—Operation of power generation facilities involves significant risks and hazards customary to the power industry, which we cannot assure our insurance will be adequate to cover.”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business.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be affected by changes in applicable laws and regulations.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business is subject to various laws and regulations administered by federal, state, and local governmental agencies. Changes in laws and regulations occur frequently, and sometimes dramatically, as a result of political, economic, or social events or in response to other significant events, and changes in state laws and regulations could be even less predictable, occur more rapidly, or have a more drastic effect than changes at the federal level. For example, economic downturns, periods of high energy supply costs, and other factors can lead to changes in, or the development of, legislative and regulatory policies designed to promote reductions in energy consumption, increased energy efficiency, renewable energy, and self-generation by customers. In addition, extreme weather events have resulted, and in the future may result, in governmental investigations and changes in applicable laws and regulations, reliability requirements, and market rules, including efforts to reform PJM. In the future, we are likely to face additional severe weather events, which are inherently unpredictable in nature, location, scope, and timing, and which may give rise to investigations or other efforts to determine the causes or consequences of such events. Any change in the legal and regulatory landscape for any reason (including but not limited to changes in administration or political climate, energy regulation and policy, environmental and permitting requirements and processes, employee healthcare and benefits obligations, health and safety standards, accounting standards, tax regulations and requirements, and competition laws) could impact our operations, competitive position, or outlook. See “Item 1. Business—Legal, Regulatory, and Environmental Matters—Environmental Regulation” and Note 12 to the Annual Financial Statements for additional information on new water, waste, air, and climate rules recently finalized by the EPA.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 availability and cost of emission allowances could negatively impact our operating costs.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required to maintain, through either allocations or purchases, sufficient emission allowances for sulfur dioxide, nitrogen oxide, and carbon dioxide to support the operation of our power generation facilities. These allowances are used to meet the obligations imposed on us by various applicable environmental laws and regulations. Given the historical correlation between rising natural gas prices and increasing prices for wholesale electricity, we may idle our units less as natural gas prices increase, resulting in increased emissions. If our operational needs require more than our allocated or otherwise acquired allowances, we may be forced to purchase additional allowances on the open market, which could be costly, if available at all. If we are unable to maintain sufficient emission allowances to match our operational needs, we may be required to curtail our operations or install costly new emission controls. In addition, laws and regulations governing emission allowance programs are changing and could continue to change in the future, which could have a negative impact on available allowances, our ability to purchase allowances, or the price of additional allowances. See Note 12 to the Annual Financial Statements for additional information on the EPA CSAPR and nitrogen oxides requirements.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Changes in tax law (including any elimination of the Nuclear PTC), the implementation regulations of certain tax provisions, adverse decisions by tax authorities, or the imposition of tariffs may adversely affect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laws and rules pertaining to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was signed into law in August 2022. Among the Inflation Reduction Act’s provisions are changes to the U.S. corporate income tax system, including a one percent excise tax on certain repurchases of stock (and economically similar transactions) after December 31, 2022. The Inflation Reduction Act also includes amendments to the Internal Revenue Code of 1986, as amended (the “Code”), to create a nuclear production tax credit program. While electricity produced and sold by Susquehanna through December 31, 2032 may qualify for the Nuclear PTC, which is subject to potential adjustments, these provisions are subject to implementation regulations, the terms of which are not yet fully known. Accordingly, we cannot fully predict the impacts that any such tax credits may have on our liquidity or results of operations. Additional guidance expected to be issued from the U.S. Treasury and IRS may impact the credit value recognized, and any elimination of the Nuclear PTC may adversely affect our business and financial condition. See Note 2 to the Annual Financial Statements for our accounting policy related to Nuclear PTC and Note 6 to the Annual Financial Statements for Nuclear PTC revenue recognized. Additionally, the imposition of new tariffs by government authorities or the increase of existing tariffs could materially increase the prices we pay for fuel, materials, supplies, equipment, parts, and (or) other critical products that are integral to our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our results of operations. This could result in a material and adverse effect on our consolidated income tax provision, financial position, and net income/loss for the period for which such determinations are made.</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ability to utilize our tax attributes, including net operating loss carryforwards, remaining following Emergence, if any, may be limited.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we had $0.8 billion of U.S. federal net operating loss carryforwards and $1.4 billion of disallowed business interest expense carryforwards under Section 163(j) of the Code and certain other tax attributes (including significant tax basis in assets). Because the consummation of the Plan of Reorganization resulted in an ownership change for purposes of Sections 382 and 383 of the Code, our ability to utilize any remaining tax attributes after reduction and disallowed business interest expense carryforwards is subject to limitation under Sections 382 and 383 of the Code. As a result, certain of our tax attributes have been substantially reduced, eliminated, or otherwise restricted.</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are subject to the risk of litigation and similar legal proceedings.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and in the future may be, subject to litigation or similar legal proceedings arising out of our business and operations. Damages or other remedies sought under such proceedings may be financially or operationally material, and a negative outcome could materially adversely impact our business, operations, and financial condition. While we will assess the merits of any legal proceedings and defend such matters accordingly, we may be required to incur significant expense and (or) devote significant management attention to such defenses. In addition, the adverse publicity surrounding such claims may negatively impact our business and reputation. Our insurance may not adequately cover losses for damages claimed against us, and we do not have insurance coverage for all litigation risks. See Note 12 to the Annual Financial Statements for additional information on our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Financial and Equity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not have sufficient access to financing for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primary liquidity requirements, in addition to our ordinary course operating expenses, are for debt service, capital expenditures, and collateral for our commercial program and AROs. If our liquidity sources are not sufficient to fund our current or future needs, we may be required to take other actions, including refinancing, restructuring, or reorganizing all or a portion of our debt or capital structure, reducing or delaying capital investments, or obtaining alternative financing, which could result in a higher cost of capital and (or) require additional security, collateral, or other conditions. Our ability to raise capital and access liquidity is subject to numerous factors, including conditions in the capital markets, our current operations, credit ratings, and other events which we may not be able to predict or control. Furthermore, our ability to raise financing may be affected by current geopolitical-social views and investor expectations regarding fossil fuels and environmental matters, which have prompted unfavorable lending policies toward fossil fuel-fired generation facilities, guidelines preventing investors from increasing or taking new stakes in companies with exposure to fossil fuels, and divestment efforts affecting the investment community, all of which could negatively impact the demand for investments in our business. Applicable regulations could also impose additional requirements that may increase the costs of conducting our business or accessing sources of capital and liquidity. There can be no assurance that we will be able to obtain financing on commercially reasonable terms or at all, in compliance with the terms of our existing indebtedness, and (or) in a manner that does not negatively impact our business or that such actions, even if achieved, would allow us to meet our financial obligations and operating requirements.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historical financial information may not be indicative of our future financial performance.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capital structure was significantly altered in the Restructuring. Upon Emergence, we adopted fresh start accounting, which required us to adjust our assets and liabilities to fair value and restate our accumulated deficit to zero. We also adopted accounting policy changes that could result in material changes to our financial reporting and results. Accordingly, our financial condition and results of operations in Successor periods following the Restructuring are not comparable to our financial condition and results of operations in Predecessor periods prior to the Restructuring. See Notes 2 and 4 to the Audited Financial Statements for additional information on accounting policies and fresh start accounting.</w:t>
      </w:r>
    </w:p>
    <w:p>
      <w:pPr>
        <w:pStyle w:val="TextBody"/>
        <w:bidi w:val="0"/>
        <w:spacing w:lineRule="auto" w:line="288" w:before="0" w:after="180"/>
        <w:jc w:val="left"/>
        <w:rPr/>
      </w:pPr>
      <w:r>
        <w:rPr>
          <w:rFonts w:ascii="Arial;sans-serif" w:hAnsi="Arial;sans-serif"/>
          <w:b/>
          <w:i/>
          <w:color w:val="000000"/>
          <w:sz w:val="18"/>
        </w:rPr>
        <w:t>The amount and terms of our indebtedness could adversely affect our financial condition and impair our ability to operate our business</w:t>
      </w:r>
      <w:r>
        <w:rPr>
          <w:rFonts w:ascii="Arial;sans-serif" w:hAnsi="Arial;sans-serif"/>
          <w:b w:val="false"/>
          <w:color w:val="000000"/>
          <w:sz w:val="18"/>
        </w:rPr>
        <w: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indebtedness could have important consequences to our future financial condition, operating results, and business, including: requiring that a substantial portion of our cash flows from operations be dedicated to payments on our indebtedness instead of operations, capital expenditures, future business opportunities, or other purposes; limiting our ability to obtain additional debt or equity financing for working capital, capital expenditures, debt service requirements, acquisitions, and general corporate or other purposes; increasing our cost of borrowing; and (or) limiting our ability to adjust to changing market and economic conditions and to carry out capital spending that is important to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borrowings under the Credit Facilities incur interest at variable interest rates that expose us to interest rate risk. If interest rates increase, our debt service requirements would increase even though the amount borrowed remains the same. Furthermore, although the agreements governing our current indebtedness contain restrictions on the incurrence of additional indebtedness, these restrictions are subject to a number of qualifications and exceptions, and any additional indebtedness incurred in compliance with these restrictions could be substantial. If the principal or interest of our indebtedness were to increase, our ability to meet our debt service, operational, and other financial requirements may be adversely impacted. See also “Item 7. Management’s Discussion and Analysis of Financial Condition and Results of Operations—Liquidity and Capital Resources.”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agreements governing our indebtedness contain covenants that limit our ability to, among other things: incur additional debt and liens; redeem and (or) prepay certain debt; pay dividends or repurchase stock; make certain investments; consolidate, merge, lease, or transfer all or substantially all of our assets; and enter into transactions with affiliates. These restrictions could harm our business by, among other things, limiting our ability to obtain other financing, to operate our business, and (or) to take advantage of mergers, acquisitions, or other corporate opportunities. Furthermore, various risks, uncertainties, and events beyond our control could affect our ability to comply with these covenants which could, among other things, result in events of default/cross-default under these agreements and permit lenders to accelerate amounts due and foreclose upon collateral. Any of these events could adversely affect our financial condition and results of operations and (or) cause us to become bankrupt or insolvent.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TEC is a holding company that does not (and does not intend to) conduct any business operations or incur material obligations of its own. While we do not expect TEC to incur obligations that it is unable to meet due to contractual restrictions on distributions from subsidiaries, certain subsidiaries are subject to such limitations. TEC’s cash flows are largely dependent 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will depend on, among other things, that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Furthermore, the agreements governing TES’s indebtedness restrict the ability of TES and the Subsidiary Guarantors to pay dividends or 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beginning June 1, 2023 (subject to compliance with either (x) a pro forma consolidated total net leverage ratio of less than or equal to 3.75 to 1.0 or (y) a fixed charge coverage ratio greater than or equal to 2.0 to 1.0), (c) equity contributions to TES, and (d) other customary “builder basket” components. See also “—The amount and terms of our indebtedness could adversely affect our financial condition and impair our ability to operate our business.”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not pay any dividends on our common stock in the future.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our capital requirements; market conditions; our growth strategy and the availability of growth opportunities; our level of indebtedness, contractual provisions, and other restrictions on our payment of dividends (including those imposed by the agreements governing our indebtedness); applicable law; and other factors that the Board of Directors deems relevant. See also “—TEC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 number of factors could adversely affect the market price or trading volume of our common stock, even if our business is doing well, including but not limited to substantial sales of our common stock by existing stockholders, future issuances of equity or debt securities by us, and (or) research or reports published by financial analysts.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Sales of a substantial number of shares of our common stock in the public market could occur at any time. If at any time there are more shares of our common stock offered for sale than buyers are willing to purchase, then the market price of our common stock may decline, which could both affect our stockholders and also impair our ability to obtain capital (especially equity capital). Substantial sales of our common stock in the public market, or merely the market perception that large stockholders intend to sell shares (particularly with respect to our affiliates, directors, executive officers, or other insiders), could depress the market price or trading volume of our common stock. We currently expect a significant number of shares of our common stock to be issued in May 2025 and May 2026 upon the vesting of certain existing awards under equity compensation plans, and those shares will become unrestricted in May 2026. We may also issue additional shares under future grants of equity compensation awards, to raise capital, or in connection with future potential corporate alliances or acquisitions.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future, we may attempt to obtain financing or increase capital by issuing additional shares of our common stock or by offering debt or other equity securities. The issuance of equity securities or securities convertible into equity may dilute the value of our existing stockholders’ equity. Convertible securities could also be subject to conversion ratio adjustments pursuant to which certain events may increase the ultimate number of issuable equity securities. Any debt financing could involve covenants limiting our financial, operational, and strategic flexibility, make it more difficult for us to obtain additional capital, and (or) result in additional financial obligations to which our stockholders are structurally subordinated.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trading market for our common stock is affected by information that industry and financial analysts publish about our business. If analysts cease coverage of us, or if they publish unfavorable or inaccurate information about us, the market price and trading volume of our common stock could be negatively impacted. There are many large, active companies established in our industry, and we could receive less favorable or widespread coverage than our competitors. If one or more analysts cease coverage of us, our common stock may lose visibility in the market. Furthermore, if one or more analysts downgrades their evaluations of our business, common stock, or indebtedness, the price of our common stock could decline. There can be no assurance that analysts will continue to cover our business or that any such coverage will be favorable or accurate.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Stockholders may have a limited ability to influence our business and affairs due to a number of factors.</w:t>
      </w:r>
    </w:p>
    <w:p>
      <w:pPr>
        <w:pStyle w:val="TextBody"/>
        <w:bidi w:val="0"/>
        <w:spacing w:lineRule="auto" w:line="288" w:before="0" w:after="180"/>
        <w:jc w:val="left"/>
        <w:rPr/>
      </w:pPr>
      <w:r>
        <w:rPr>
          <w:rFonts w:ascii="Arial;sans-serif" w:hAnsi="Arial;sans-serif"/>
          <w:b w:val="false"/>
          <w:color w:val="000000"/>
          <w:sz w:val="18"/>
          <w:shd w:fill="FFFFFF" w:val="clear"/>
        </w:rPr>
        <w:t>The three largest TE</w:t>
      </w:r>
      <w:r>
        <w:rPr>
          <w:rFonts w:ascii="Arial;sans-serif" w:hAnsi="Arial;sans-serif"/>
          <w:b w:val="false"/>
          <w:color w:val="000000"/>
          <w:sz w:val="18"/>
        </w:rPr>
        <w:t>C stockholders collectively own approximately 30% of our outstanding common stock. Large holders such as these may be able to significantly affect matters requiring approval by our stockholders, including but not limited to the election of directors and the approval of mergers or other business combination transactions. Furthermore, 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our organizational documents contain provisions that could act to discourage, delay, or prevent a change in control or change of management of TEC that stockholders may deem advantageous. These provisions, among other things: authorize the Board of Directors to issue “blank check” preferred stock; require prior written consent of the Board of Directors for certain transfers (except for secondary market purchases) that would result in 10% or greater ownership of our outstanding voting securities; prohibit stockholder action by written consent unless signed by holders having at least the minimum voting power of all outstanding shares entitled to vote thereon; permit the Board of Directors to establish its number of members; eliminate the ability of stockholders to fill vacancies on the Board of Directors; authorize the Board of Directors to make, amend, or repeal our Bylaws; require advance notice for director nominations and other stockholder annual meeting proposals; and designate the Delaware Court of Chancery as the exclusive forum for certain types of stockholder actions. See the Description of Capital Stock included as Exhibit 4.1 to this Report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All of these factors could significantly limit the ability of certain stockholders to influence our business and affairs and, in turn, depress the market price of our common stock, including through the influence of larger stockholders, discouraging proxy contests, and making it more difficult to elect directors or cause us to take other corporate actions. These factors could also make it more difficult for a third party to acquire us (even if considered beneficial by many of our stockholders) and, as a result, our stockholders may have a more limited ability to obtain a premium for their shares of common stock.</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 requirements of being a public company may require significant resources, and we may be unable to comply with these requirements in a timely or cost-effective manner.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newly public company, we are or will be required to comply with additional laws, regulations, and requirements, including but not limited to applicable SEC rules and regulations, certain provisions of the Sarbanes-Oxley Act of 2002 (the “Sarbanes-Oxley Act”), and Nasdaq rules and requirements. These requirements cover a wide variety of topics including many aspects of disclosure, financial reporting, internal controls, and corporate governance, among others. Complying with these laws, regulations, and requirements will occupy a significant amount of our time and may strain our resources, increase our costs, and distract management, all of which may inhibit our ability to comply with these requirements in a timely or cost-effective manner.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particular, the internal controls and procedures required for public company financial reporting under Section 404 of the Sarbanes-Oxley Act are significantly more stringent than those required for a private company. Fully implementing our internal control framework and testing will require significant resources, and management may not be able to timely and effectively implement the necessary controls and procedures. At any time, we may conclude that our internal controls, once tested, are not operating as designed or do not address all relevant financial reporting risks. In addition, once required to attest to control effectiveness, our independent registered public accounting firm may issue a report concluding that our internal controls over financial reporting are not effective. If we identify material weaknesses in the future or otherwise fail to implement or maintain effective internal controls over financial reporting, we may not be able to accurately or timely comply with our financial reporting obligations, which may subject us to adverse regulatory consequences, negatively affect our business, harm investor confidence, and (or) reduce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1B. UNRESOLVED STAFF COMMENTS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1C. CYBERSECURITY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maintain policies and controls designed to identify, assess, manage, mitigate, protect against, and respond to cybersecurity threats. Our cybersecurity risk management strategy is established by management and is implemented by our IT professionals and the business units in which potential threats may occur. The Audit Committee of our Board of Directors (the “Audit Committee”) has primary responsibility for overseeing management’s strategy related to mitigating risk associated with cybersecurity threats. We maintain: (i) business continuity and disaster recovery plans that are expected to be deployed in response to a significant cyberattack; (ii) cyber incident response plans; and (iii) cybersecurity insurance that, subject to policy coverage and limitations, protects against financial harm to the Company caused by material cybersecurity events. While we believe our cybersecurity risk management strategy is appropriate for our current business, no strategy can fully protect against all possible adverse events. See “Item 1A. Risk Factors—Industry and Market Risks—Our business could be adversely affected by events outside of our control, including armed conflicts, war, terrorist attacks or threats, pandemics, natural disasters, cyber-based attacks, or other significant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Cybersecurity and Risk Mitigation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Our cybersecurity policies are guided by standards or recommendations issued by, among others, the National Institute of Standards and Technology, the International Organization for Standardization, the NRC, and NERC. We deploy, configure, and maintain technologies and procedures designed to enforce security policies, detect and protect against cybersecurity threats, and help safeguard our material assets. </w:t>
      </w:r>
    </w:p>
    <w:p>
      <w:pPr>
        <w:pStyle w:val="TextBody"/>
        <w:bidi w:val="0"/>
        <w:spacing w:lineRule="auto" w:line="288" w:before="0" w:after="180"/>
        <w:jc w:val="left"/>
        <w:rPr/>
      </w:pPr>
      <w:r>
        <w:rPr>
          <w:rFonts w:ascii="Arial;sans-serif" w:hAnsi="Arial;sans-serif"/>
          <w:b w:val="false"/>
          <w:color w:val="000000"/>
          <w:sz w:val="18"/>
        </w:rPr>
        <w:t xml:space="preserve">Our digital and cybersecurity controls are augmented with physical controls such as security systems, security site plans, security systems monitoring, and access control to mitigate physical security risks at our facilities. Our </w:t>
      </w:r>
      <w:r>
        <w:rPr>
          <w:rFonts w:ascii="Arial;sans-serif" w:hAnsi="Arial;sans-serif"/>
          <w:b w:val="false"/>
          <w:color w:val="000000"/>
          <w:sz w:val="18"/>
          <w:shd w:fill="FFFFFF" w:val="clear"/>
        </w:rPr>
        <w:t>procurement policies and organizational controls require certain vendors to be assessed and vetted, with enhanced protocols on purchases and installations involving nuclear equipment.</w:t>
      </w:r>
      <w:r>
        <w:rPr>
          <w:color w:val="000000"/>
        </w:rPr>
        <w:t xml:space="preserve"> </w:t>
      </w:r>
      <w:r>
        <w:rPr>
          <w:rFonts w:ascii="Arial;sans-serif" w:hAnsi="Arial;sans-serif"/>
          <w:b w:val="false"/>
          <w:color w:val="000000"/>
          <w:sz w:val="18"/>
        </w:rPr>
        <w:t>Additionally, cybersecurity reviews are performed on critical intellectual property vendors. Additionally, where warranted, we request a detailed cybersecurity questionnaire from our vendors to assess the vendor's practices and preparedness in addressing cyber threats.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Through a multi-functional coordinated effort, we assess and mitigate cybersecurity risks across our business units based on likelihood of the risk and potential impact to the business unit, the Company, and our stakeholders. These risks are identified using tactical, operational, and compliance-based approaches. Risks and associated consequences, should they materialize, are evaluated using likelihood of occurrence considering existing controls and technologies.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employees, as well as certain contractors, are required to complete cybersecurity awareness and training programs. Mandatory technical training is provided to employees and vendors performing, verifying, or managing cybersecurity activities. Mitigation efforts also include annual cyber crisis response simulations and annual training.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Third parties conduct periodic assessments on our cyber-related systems. To measure our non-nuclear cybersecurity framework maturity, we utilize internal and external audits and assessments, vulnerability testing, and governance processes. Our nuclear cybersecurity program is inspected biennially by the NRC and assessed annually by a quality assurance audit. Nuclear vulnerability management is implemented in collaboration with Department of Homeland Security and the Cybersecurity and Infrastructure Security Agency.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have cyber incident response plans to manage significant cybersecurity incidents across different aspects of our operations. Cybersecurity incidents are escalated based on significance to our Chief Administrative Officer, Chief Nuclear Officer, Chief Fossil Officer, General Counsel, Chief Financial Officer, Chief Executive Officer, Audit Committee, and (or)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Cybersecurity Governance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Audit Committee oversees our cybersecurity risk exposures and the steps taken by management to monitor and mitigate cybersecurity risks. Periodic reports are given by senior management to the Audit Committee about material cyber events and our risk mitigation efforts.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senior executive team is responsible for the coordination of cybersecurity across the Company. Our cybersecurity teams, which include employees with appropriate professional certifications, are responsible for assessing and managing our cyber risk management protocols in their respective areas. These activities include the prevention, detection, mitigation, and remediation of material cybersecurity incidents as well as communicating risk management matters to key stakeholders. The cybersecurity teams have experience selecting, deploying, and operating cybersecurity technologies, initiatives, and processes, and rely on threat intelligence as well as other information obtained from governmental, public, or private sources. In coordination with our senior management, the relevant cybersecurity teams review risk management strategies to mitigate cybersecurity risks. Additionally, as needed, we engage specialists, consultants, auditors, and (or) other third parties to assist with assessing, identifying, and managing cybersecurity risks.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While cybersecurity incidents have not materially affected the Company or our business strategy, results of operations, or financial condition to date, no assurance can be provided that we will not be subject to a significant cybersecurity incident in the future. See “Item 1A. Risk Factors—Industry and Market Risks—Our business could be adversely affected by events outside of our control, including armed conflicts, war, terrorist attacks or threats, pandemics, natural disasters, cyber-based attacks, or other significant events.” for additional information on our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 PROPERTIES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GENERATION FLEET AS OF DECEMBER 31, 2024</w:t>
      </w:r>
    </w:p>
    <w:tbl>
      <w:tblPr>
        <w:tblW w:w="10205" w:type="dxa"/>
        <w:jc w:val="left"/>
        <w:tblInd w:w="0" w:type="dxa"/>
        <w:tblLayout w:type="fixed"/>
        <w:tblCellMar>
          <w:top w:w="28" w:type="dxa"/>
          <w:left w:w="28" w:type="dxa"/>
          <w:bottom w:w="28" w:type="dxa"/>
          <w:right w:w="28" w:type="dxa"/>
        </w:tblCellMar>
      </w:tblPr>
      <w:tblGrid>
        <w:gridCol w:w="584"/>
        <w:gridCol w:w="475"/>
        <w:gridCol w:w="478"/>
        <w:gridCol w:w="109"/>
        <w:gridCol w:w="109"/>
        <w:gridCol w:w="109"/>
        <w:gridCol w:w="417"/>
        <w:gridCol w:w="370"/>
        <w:gridCol w:w="371"/>
        <w:gridCol w:w="109"/>
        <w:gridCol w:w="109"/>
        <w:gridCol w:w="109"/>
        <w:gridCol w:w="397"/>
        <w:gridCol w:w="361"/>
        <w:gridCol w:w="854"/>
        <w:gridCol w:w="109"/>
        <w:gridCol w:w="109"/>
        <w:gridCol w:w="109"/>
        <w:gridCol w:w="398"/>
        <w:gridCol w:w="394"/>
        <w:gridCol w:w="396"/>
        <w:gridCol w:w="109"/>
        <w:gridCol w:w="109"/>
        <w:gridCol w:w="109"/>
        <w:gridCol w:w="396"/>
        <w:gridCol w:w="368"/>
        <w:gridCol w:w="352"/>
        <w:gridCol w:w="109"/>
        <w:gridCol w:w="109"/>
        <w:gridCol w:w="109"/>
        <w:gridCol w:w="404"/>
        <w:gridCol w:w="381"/>
        <w:gridCol w:w="281"/>
        <w:gridCol w:w="109"/>
        <w:gridCol w:w="109"/>
        <w:gridCol w:w="109"/>
        <w:gridCol w:w="162"/>
        <w:gridCol w:w="162"/>
        <w:gridCol w:w="242"/>
      </w:tblGrid>
      <w:tr>
        <w:trPr/>
        <w:tc>
          <w:tcPr>
            <w:tcW w:w="58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Generation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MW Capacity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MW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Fuel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Plant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w:t>
            </w:r>
          </w:p>
        </w:tc>
      </w:tr>
      <w:tr>
        <w:trPr/>
        <w:tc>
          <w:tcPr>
            <w:tcW w:w="15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PJM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Susquehanna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Baseload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Martins Creek</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Gas/Oil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Montour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Brunner Island </w:t>
            </w:r>
            <w:r>
              <w:rPr>
                <w:rFonts w:ascii="Arial;sans-serif" w:hAnsi="Arial;sans-serif"/>
                <w:b w:val="false"/>
                <w:color w:val="000000"/>
                <w:sz w:val="10"/>
              </w:rPr>
              <w:t>(c) (d)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Coal/Natural Gas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Intermediate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Brandon Shores </w:t>
            </w:r>
            <w:r>
              <w:rPr>
                <w:rFonts w:ascii="Arial;sans-serif" w:hAnsi="Arial;sans-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MD</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H.A. Wagner</w:t>
            </w:r>
            <w:r>
              <w:rPr>
                <w:color w:val="000000"/>
              </w:rPr>
              <w:t xml:space="preserve"> </w:t>
            </w:r>
            <w:r>
              <w:rPr>
                <w:rFonts w:ascii="Arial;sans-serif" w:hAnsi="Arial;sans-serif"/>
                <w:b w:val="false"/>
                <w:color w:val="000000"/>
                <w:sz w:val="10"/>
              </w:rPr>
              <w: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Gas/Oil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MD</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Lower Mt. Bethel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Baseload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Conemaugh </w:t>
            </w:r>
            <w:r>
              <w:rPr>
                <w:rFonts w:ascii="Arial;sans-serif" w:hAnsi="Arial;sans-serif"/>
                <w:b w:val="false"/>
                <w:color w:val="000000"/>
                <w:sz w:val="10"/>
              </w:rPr>
              <w:t>(b) (d)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Intermediate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Keystone </w:t>
            </w:r>
            <w:r>
              <w:rPr>
                <w:rFonts w:ascii="Arial;sans-serif" w:hAnsi="Arial;sans-serif"/>
                <w:b w:val="false"/>
                <w:color w:val="000000"/>
                <w:sz w:val="10"/>
              </w:rPr>
              <w:t>(b)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Intermediate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Camden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NJ</w:t>
            </w:r>
          </w:p>
        </w:tc>
      </w:tr>
      <w:tr>
        <w:trPr/>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13,483</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10,374</w:t>
            </w:r>
            <w:r>
              <w:rPr>
                <w:color w:val="000000"/>
              </w:rPr>
              <w:t>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Power Markets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Colstrip Unit 3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Baseload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Dartmouth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Gas/Oil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w:t>
            </w:r>
          </w:p>
        </w:tc>
      </w:tr>
      <w:tr>
        <w:trPr/>
        <w:tc>
          <w:tcPr>
            <w:tcW w:w="15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w:t>
            </w: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Generation Fleet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14,303</w:t>
            </w:r>
            <w:r>
              <w:rPr>
                <w:color w:val="000000"/>
              </w:rPr>
              <w:t> </w:t>
            </w:r>
          </w:p>
        </w:tc>
        <w:tc>
          <w:tcPr>
            <w:tcW w:w="3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10,676</w:t>
            </w:r>
            <w:r>
              <w:rPr>
                <w:color w:val="000000"/>
              </w:rPr>
              <w:t> </w:t>
            </w:r>
          </w:p>
        </w:tc>
        <w:tc>
          <w:tcPr>
            <w:tcW w:w="3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(a)Generation capacity (summer rating) is based on factors, among others, such as operating experience and physical conditions, which may be subject to revision.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(b)See Note 10 to the Annual Financial Statements for additional information on jointly owned facilities.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(c)Coal-fired electric generation is restricted during the EPA Ozone Season, which is May 1 to September 30 of each year. </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(d)Coal-fired electric generation is required to cease at Brunner Island, Keystone, and Conemaugh by December 2028.</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(e)See Note 10 to the Annual Financial Statements for additional information on the Brandon Shores and H.A. Wagner deactivations and RMR proceedings.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3. LEGAL PROCEEDINGS</w:t>
      </w:r>
    </w:p>
    <w:p>
      <w:pPr>
        <w:pStyle w:val="TextBody"/>
        <w:bidi w:val="0"/>
        <w:spacing w:lineRule="auto" w:line="288" w:before="0" w:after="180"/>
        <w:jc w:val="left"/>
        <w:rPr/>
      </w:pPr>
      <w:r>
        <w:rPr>
          <w:rFonts w:ascii="Arial;sans-serif" w:hAnsi="Arial;sans-serif"/>
          <w:b w:val="false"/>
          <w:i/>
          <w:color w:val="000000"/>
          <w:sz w:val="18"/>
        </w:rPr>
        <w:t xml:space="preserve">Susquehanna ISA Amendment. </w:t>
      </w:r>
      <w:r>
        <w:rPr>
          <w:rFonts w:ascii="Arial;sans-serif" w:hAnsi="Arial;sans-serif"/>
          <w:b w:val="false"/>
          <w:color w:val="000000"/>
          <w:sz w:val="18"/>
        </w:rPr>
        <w:t>Under a prior, FERC-accepted ISA between PJM, Susquehanna, and a subsidiary of PPL Corporation (“PPL”) (collectively, the “ISA Parties”), Susquehanna is permitted to decrease by up to 300 MW the amount of power supply that it would otherwise provide to the power grid within PPL’s service area. Susquehanna currently provides that power to load via load-owned transmission directly connected to Susquehanna rather than supplying load from the power grid. In June 2024, PJM filed at FERC an Amended Interconnection Service Agreement (the “Susquehanna ISA Amendment”) executed between the ISA Parties permitting Susquehanna to decrease by up to 480 MW the amount of power supply that it would otherwise provide to the power grid and now intends to sell to AWS instead. PJM previously concluded such increase in the amount of withheld power would have no reliability impacts on the grid. In June 2024, despite the Susquehanna ISA Amendment being applicable solely to the PPL service area, Exelon Corporation (“Exelon”) and AEP filed a protest to the Susquehanna ISA Amendment at FERC and raised generic issues involving the direct connection of load service to generators. FERC responded by issuing a deficiency letter in August 2024 seeking more information about the arrangement described in the Susquehanna ISA Amendment and separately setting a Technical Conference for November 2024 to discuss broader issues related to (i) co-located load connected directly to generation; and (ii) emerging reliability issues resulting from the dramatic rise in data center demand for power. In September 2024, PJM provided a response to FERC’s August 2024 deficiency letter on the Susquehanna ISA Amendment and filed a Construction Service Agreement between the ISA Parties and Mid-Atlantic Interstate Transmission, LLC to facilitate certain network upgrades to ultimately accommodate a 960 MW decrease of power supply to the grid. Talen filed its own comments in September 2024 and written testimony in the FERC Technical Conference proceeding in October 2024. Shortly after the conclusion of the FERC Technical Conference in November 2024, FERC issued a 2-1 decision rejecting the Susquehanna ISA Amendment and Talen filed a motion for a rehearing of the FERC order within the 30-day deadline for such motions. In December, FERC issued an order stating that it would address the request for rehearing in a future order, which FERC has not yet issued. Due to FERC’s decision not to address the merits of the motion for rehearing, Talen has filed an appeal in the U.S. Court of Appeals for the Fifth Circuit.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prior FERC-accepted ISA between the ISA Parties permitting Susquehanna to decrease 300 MW of its current power supply from the power grid remains in place and facilitates the initial sale of power to AWS under the AWS PPA.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evaluating our commercial and legal options to provide the most efficient path to full development of the AWS Data Campus. Such options include, but are not limited to, potential submission of a revised form of Susquehanna ISA Amendment or alternative contract structures with AWS. If the Company is unable commercially or legally to resolve the Susquehanna ISA Amendment approval impediments and realize the full development of the AWS Data Campus, there may be a material impact on our future results of operations, and (or) financial condition.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Separate and apart from the Susquehanna ISA proceeding, there are three other pending proceedings before FERC that could shape policy around co-located load, and thus impact the result of the Susquehanna ISA proceeding. First, in August 2024, Exelon made a series of filings on behalf of each of its electric utility subsidiaries to amend portions of the PJM tariff that would clarify that co-located load arrangements must be categorized as either network load or point-to-point service (the “Exelon 205 proceeding”). In effect, the proposed amendments intended to clarify that co-located load arrangements would be treated as either needing network or point-to-point service, making them subject to the same transmission charges and fees for transmission-related services that would be applicable if the same load had located at other points on the PJM grid. Exelon requested a December 2, 2024 effective date, but in November 2024, FERC issued a deficiency letter stating that FERC required more information to make a determination. Second, in November 2024, FERC held a technical conference on co-located load to discuss, among other things, the impacts of various co-location agreements, whether and how large co-located loads receive wholesale market services or benefits from the transmission system, the cost and impact of back-up services for large co-located load and state regulatory and policy issues (the “Co-Location Technical Conference proceeding”). Following the technical conference, FERC requested comments be filed by December 9, 2024. Talen both participated in the technical conference and filed comments. Third, in November 2024, Constellation filed a complaint at FERC alleging that PJM’s tariff is unjust and unreasonable because it is silent on how to treat fully isolated co-located load (the “Constellation 206 proceeding”). The complaint suggests that FERC import into the tariff certain terms and conditions from a non-binding guidance document PJM shared with stakeholders or set the proceeding for settlement discussions on an expedited basis with a mediator.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February 20, 2025, FERC denied relief in the Exelon 205 proceeding and initiated a new Section 206 proceeding directing PJM to show cause within 30 days why its tariff is just and reasonable in light of potential discrimination around the treatment of co-located load or, in the alternative, to propose changes to its tariff to address the treatment of co-located load (the “Co-Located Load PJM Tariff proceeding”). The order initiating the Co-Located Load PJM Tariff proceeding consolidated the records and proceedings from the Co-Location Technical Conference and Constellation 206 proceedings into the Co-Located Load PJM Tariff proceeding, which will all be considered together by FERC. The order also established a timeline for comments to PJM’s to-be filed showing or proposed tariff revisions (30 days after PJM’s filing) and a tentative timeline for FERC to rule on the matter in the second half of 2025. The Company intends to be an active participant in the PJM and FERC process to revise PJM’s tariff.</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12 to the Annual Financial Statements for information about other material legal proceedings to which we are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3" w:name="i029e02ee5b44422289f62612912cfb6f_304"/>
      <w:bookmarkEnd w:id="3"/>
      <w:r>
        <w:rPr>
          <w:rFonts w:ascii="Arial;sans-serif" w:hAnsi="Arial;sans-serif"/>
          <w:b/>
          <w:color w:val="000000"/>
          <w:sz w:val="18"/>
        </w:rPr>
        <w:t>ITEM 4. MINE SAFETY DISCLOSURES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5. MARKET FOR REGISTRANT’S COMMON EQUITY, RELATED STOCKHOLDER MATTERS AND ISSUER PURCHASES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Market Information and Holders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TEC’s common stock trades on the Nasdaq Global Select Market under the ticker symbol “TLN.” As of February 27, 2025, there was one shareholder of record of our common stock. The number of beneficial owners is substantially greater than the number of shareholders of record because all of our common stock is held in “street name” by brokers, banks, and other nominees on behalf of beneficial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Stock Performance Graph</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performance graph compares cumulative total stockholder return on TEC’s common stock from July 10, 2024, the first day TEC’s common stock began trading on Nasdaq, through December 31, 2024 with the cumulative returns of the S&amp;P 500 Stock Market Index and the S&amp;P 500 Utilities Index over the same period. The performance graph assumes an initial investment of $100 and reinvestment of all dividends in our common stock and in each of the indices. The performance graph and related text are based on historical data and are not necessarily indicative of future performance.</w:t>
      </w:r>
    </w:p>
    <w:p>
      <w:pPr>
        <w:pStyle w:val="TextBody"/>
        <w:bidi w:val="0"/>
        <w:spacing w:before="0" w:after="180"/>
        <w:jc w:val="center"/>
        <w:rPr/>
      </w:pPr>
      <w:r>
        <w:rPr/>
        <w:drawing>
          <wp:inline distT="0" distB="0" distL="0" distR="0">
            <wp:extent cx="6667500" cy="2466975"/>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6667500" cy="2466975"/>
                    </a:xfrm>
                    <a:prstGeom prst="rect">
                      <a:avLst/>
                    </a:prstGeom>
                  </pic:spPr>
                </pic:pic>
              </a:graphicData>
            </a:graphic>
          </wp:inline>
        </w:drawing>
      </w:r>
    </w:p>
    <w:tbl>
      <w:tblPr>
        <w:tblW w:w="3470" w:type="dxa"/>
        <w:jc w:val="left"/>
        <w:tblInd w:w="0" w:type="dxa"/>
        <w:tblLayout w:type="fixed"/>
        <w:tblCellMar>
          <w:top w:w="28" w:type="dxa"/>
          <w:left w:w="28" w:type="dxa"/>
          <w:bottom w:w="28" w:type="dxa"/>
          <w:right w:w="28" w:type="dxa"/>
        </w:tblCellMar>
      </w:tblPr>
      <w:tblGrid>
        <w:gridCol w:w="315"/>
        <w:gridCol w:w="275"/>
        <w:gridCol w:w="279"/>
        <w:gridCol w:w="109"/>
        <w:gridCol w:w="109"/>
        <w:gridCol w:w="109"/>
        <w:gridCol w:w="196"/>
        <w:gridCol w:w="646"/>
        <w:gridCol w:w="109"/>
        <w:gridCol w:w="109"/>
        <w:gridCol w:w="109"/>
        <w:gridCol w:w="109"/>
        <w:gridCol w:w="196"/>
        <w:gridCol w:w="646"/>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Value of Investment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7/10/2024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12/31/2024</w:t>
            </w:r>
          </w:p>
        </w:tc>
      </w:tr>
      <w:tr>
        <w:trPr/>
        <w:tc>
          <w:tcPr>
            <w:tcW w:w="8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TLN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S&amp;P Utility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109.11 </w:t>
            </w:r>
          </w:p>
        </w:tc>
        <w:tc>
          <w:tcPr>
            <w:tcW w:w="15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in this “Stock Performance Graph” section is being furnished solely pursuant to Item 201(e) of Regulation S-K and shall not be deemed “filed” for the purpose of Section 18 of the Exchange Act, or otherwise subject to the liabilities of that Section. Such information shall not be incorporated by reference into any registration statement or other filings with the SEC,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Dividends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holders of shares of common stock are entitled to receive dividends and other distributions (payable in cash, property, or capital stock of the Company) when, as, and if declared thereon by the Board of Directors from time-to-time out of any assets or funds of the Company legally available for the payment of dividends and shall share equally on a per share basis in such dividends and distributions. Any future determination regarding the declaration and payment of dividends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TES’s indebtedness, which place certain limitations on TES’s ability to pay dividends to TEC, and by other agreements we may enter into in the future. See “Item 1A. Risk Factors—Financial and Equity Risks—TEC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w:t>
        </w:r>
      </w:hyperlink>
      <w:hyperlink w:anchor="if20e1f3d5a734e3eabbb6aa8f57c7562_23089744189580">
        <w:r>
          <w:rPr>
            <w:rStyle w:val="InternetLink"/>
          </w:rPr>
          <w:t>o</w:t>
        </w:r>
      </w:hyperlink>
      <w:hyperlink w:anchor="if20e1f3d5a734e3eabbb6aa8f57c7562_23089744189580">
        <w:r>
          <w:rPr>
            <w:rStyle w:val="InternetLink"/>
          </w:rPr>
          <w:t>r</w:t>
        </w:r>
      </w:hyperlink>
      <w:hyperlink w:anchor="if20e1f3d5a734e3eabbb6aa8f57c7562_23089744189580">
        <w:r>
          <w:rPr>
            <w:rStyle w:val="InternetLink"/>
          </w:rPr>
          <w:t>m</w:t>
        </w:r>
      </w:hyperlink>
      <w:hyperlink w:anchor="if20e1f3d5a734e3eabbb6aa8f57c7562_23089744189580">
        <w:r>
          <w:rPr>
            <w:rStyle w:val="InternetLink"/>
          </w:rPr>
          <w:t xml:space="preserve"> 10-</w:t>
        </w:r>
      </w:hyperlink>
      <w:hyperlink w:anchor="if20e1f3d5a734e3eabbb6aa8f57c7562_23089744189580">
        <w:r>
          <w:rPr>
            <w:rStyle w:val="InternetLink"/>
          </w:rPr>
          <w:t xml:space="preserve">K </w:t>
        </w:r>
      </w:hyperlink>
      <w:hyperlink w:anchor="if20e1f3d5a734e3eabbb6aa8f57c7562_23089744189580">
        <w:r>
          <w:rPr>
            <w:rStyle w:val="InternetLink"/>
          </w:rPr>
          <w:t xml:space="preserve">Table of </w:t>
        </w:r>
      </w:hyperlink>
      <w:hyperlink w:anchor="if20e1f3d5a734e3eabbb6aa8f57c7562_23089744189580">
        <w:r>
          <w:rPr>
            <w:rStyle w:val="InternetLink"/>
          </w:rPr>
          <w:t>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Issuer Purchases of Equity Securities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October 2023, we announced that the Board of Directors approved the SRP, initially authorizing the Company to repurchase up to $300 million of TEC’s outstanding common stock through December 31, 2025. In May 2024, the Board of Directors approved an increase in the then-remaining SRP capacity to $1 billion through the end of 2025. In September 2024, the Board of Directors again approved an increase in the then-remaining SRP capacity to $1.25 billion through December 31, 2026. Repurchases under the SRP may be made from time-to-time, at the Company’s discretion, in open market transactions at prevailing market prices, in negotiated transactions, or by other means in accordance with federal securities laws, and may be repurchased pursuant to a Rule 10b5-1 trading plan. The Company intends to fund repurchases under the SRP from cash on hand. Repurchases will be subject to a number of factors, including the market price of TEC’s common stock, alternative uses of capital, general market and economic conditions, and applicable legal requirements, and the SRP may be suspended, modified, or discontinued by the Board of Directors at any time without prior notice. The Company has no obligation to repurchase any amount of its common stock under the SRP.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December 2024, the Board of Directors approved the repurchase of 4,893,507 shares of common stock from affiliates of Rubric Capital Management LP for an aggregate purchase price of $1 billion. $850 million of such shares were purchased outside the SRP with the proceeds of indebtedness and the remaining $150 million were purchased under the SRP. See Note 18 to the Annual Financial Statements for additional information on the SRP and other share repurchases.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contains information regarding our purchases of our common stock during each month of 2024:</w:t>
      </w:r>
    </w:p>
    <w:tbl>
      <w:tblPr>
        <w:tblW w:w="10205" w:type="dxa"/>
        <w:jc w:val="left"/>
        <w:tblInd w:w="0" w:type="dxa"/>
        <w:tblLayout w:type="fixed"/>
        <w:tblCellMar>
          <w:top w:w="28" w:type="dxa"/>
          <w:left w:w="28" w:type="dxa"/>
          <w:bottom w:w="28" w:type="dxa"/>
          <w:right w:w="28" w:type="dxa"/>
        </w:tblCellMar>
      </w:tblPr>
      <w:tblGrid>
        <w:gridCol w:w="440"/>
        <w:gridCol w:w="290"/>
        <w:gridCol w:w="291"/>
        <w:gridCol w:w="109"/>
        <w:gridCol w:w="109"/>
        <w:gridCol w:w="109"/>
        <w:gridCol w:w="749"/>
        <w:gridCol w:w="494"/>
        <w:gridCol w:w="495"/>
        <w:gridCol w:w="109"/>
        <w:gridCol w:w="109"/>
        <w:gridCol w:w="109"/>
        <w:gridCol w:w="278"/>
        <w:gridCol w:w="939"/>
        <w:gridCol w:w="154"/>
        <w:gridCol w:w="109"/>
        <w:gridCol w:w="109"/>
        <w:gridCol w:w="109"/>
        <w:gridCol w:w="912"/>
        <w:gridCol w:w="753"/>
        <w:gridCol w:w="755"/>
        <w:gridCol w:w="109"/>
        <w:gridCol w:w="109"/>
        <w:gridCol w:w="109"/>
        <w:gridCol w:w="497"/>
        <w:gridCol w:w="1449"/>
        <w:gridCol w:w="401"/>
      </w:tblGrid>
      <w:tr>
        <w:trPr/>
        <w:tc>
          <w:tcPr>
            <w:tcW w:w="4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Monthly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as part of publicly announced plan </w:t>
            </w:r>
            <w:r>
              <w:rPr>
                <w:rFonts w:ascii="Arial;sans-serif" w:hAnsi="Arial;sans-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that may yet be purchased under the plan </w:t>
            </w:r>
            <w:r>
              <w:rPr>
                <w:rFonts w:ascii="Arial;sans-serif" w:hAnsi="Arial;sans-serif"/>
                <w:b/>
                <w:color w:val="000000"/>
                <w:sz w:val="10"/>
              </w:rPr>
              <w:t>(d)</w:t>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225,000 </w:t>
            </w:r>
          </w:p>
        </w:tc>
        <w:tc>
          <w:tcPr>
            <w:tcW w:w="4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225,000 </w:t>
            </w:r>
          </w:p>
        </w:tc>
        <w:tc>
          <w:tcPr>
            <w:tcW w:w="75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4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268,000 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268,000 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5,280,889 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5,280,889 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2,413,793 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2,413,793 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146,033 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146,033 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October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4,893,507 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734,026 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13,227,222</w:t>
            </w:r>
            <w:r>
              <w:rPr>
                <w:color w:val="000000"/>
              </w:rPr>
              <w:t> </w:t>
            </w:r>
          </w:p>
        </w:tc>
        <w:tc>
          <w:tcPr>
            <w:tcW w:w="49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147.58</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9,067,741</w:t>
            </w:r>
            <w:r>
              <w:rPr>
                <w:color w:val="000000"/>
              </w:rPr>
              <w:t> </w:t>
            </w:r>
          </w:p>
        </w:tc>
        <w:tc>
          <w:tcPr>
            <w:tcW w:w="7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4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1,079</w:t>
            </w:r>
            <w:r>
              <w:rPr>
                <w:color w:val="000000"/>
              </w:rPr>
              <w:t> </w:t>
            </w:r>
          </w:p>
        </w:tc>
        <w:tc>
          <w:tcPr>
            <w:tcW w:w="40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pPr>
      <w:r>
        <w:rPr>
          <w:rFonts w:ascii="Arial;sans-serif" w:hAnsi="Arial;sans-serif"/>
          <w:b w:val="false"/>
          <w:color w:val="000000"/>
          <w:sz w:val="14"/>
          <w:shd w:fill="FFFFFF" w:val="clear"/>
        </w:rPr>
        <w:t xml:space="preserve">(a)Includes </w:t>
      </w:r>
      <w:r>
        <w:rPr>
          <w:rFonts w:ascii="Arial;sans-serif" w:hAnsi="Arial;sans-serif"/>
          <w:b w:val="false"/>
          <w:color w:val="000000"/>
          <w:sz w:val="14"/>
        </w:rPr>
        <w:t>9,067,741</w:t>
      </w:r>
      <w:r>
        <w:rPr>
          <w:color w:val="000000"/>
          <w:shd w:fill="FFFFFF" w:val="clear"/>
        </w:rPr>
        <w:t xml:space="preserve"> </w:t>
      </w:r>
      <w:r>
        <w:rPr>
          <w:rFonts w:ascii="Arial;sans-serif" w:hAnsi="Arial;sans-serif"/>
          <w:b w:val="false"/>
          <w:color w:val="000000"/>
          <w:sz w:val="14"/>
          <w:shd w:fill="FFFFFF" w:val="clear"/>
        </w:rPr>
        <w:t>shares repurchased through the SRP, which includes</w:t>
      </w:r>
      <w:r>
        <w:rPr>
          <w:color w:val="000000"/>
        </w:rPr>
        <w:t xml:space="preserve"> </w:t>
      </w:r>
      <w:r>
        <w:rPr>
          <w:rFonts w:ascii="Arial;sans-serif" w:hAnsi="Arial;sans-serif"/>
          <w:b w:val="false"/>
          <w:color w:val="000000"/>
          <w:sz w:val="14"/>
        </w:rPr>
        <w:t>5,275,862</w:t>
      </w:r>
      <w:r>
        <w:rPr>
          <w:color w:val="000000"/>
          <w:shd w:fill="FFFFFF" w:val="clear"/>
        </w:rPr>
        <w:t xml:space="preserve"> </w:t>
      </w:r>
      <w:r>
        <w:rPr>
          <w:rFonts w:ascii="Arial;sans-serif" w:hAnsi="Arial;sans-serif"/>
          <w:b w:val="false"/>
          <w:color w:val="000000"/>
          <w:sz w:val="14"/>
          <w:shd w:fill="FFFFFF" w:val="clear"/>
        </w:rPr>
        <w:t xml:space="preserve">shares repurchased in an equity tender offer and </w:t>
      </w:r>
      <w:r>
        <w:rPr>
          <w:rFonts w:ascii="Arial;sans-serif" w:hAnsi="Arial;sans-serif"/>
          <w:b w:val="false"/>
          <w:color w:val="000000"/>
          <w:sz w:val="14"/>
        </w:rPr>
        <w:t xml:space="preserve">3,791,879 </w:t>
      </w:r>
      <w:r>
        <w:rPr>
          <w:rFonts w:ascii="Arial;sans-serif" w:hAnsi="Arial;sans-serif"/>
          <w:b w:val="false"/>
          <w:color w:val="000000"/>
          <w:sz w:val="14"/>
          <w:shd w:fill="FFFFFF" w:val="clear"/>
        </w:rPr>
        <w:t xml:space="preserve">shares repurchased in bilateral transactions under the SRP. Also includes </w:t>
      </w:r>
      <w:r>
        <w:rPr>
          <w:rFonts w:ascii="Arial;sans-serif" w:hAnsi="Arial;sans-serif"/>
          <w:b w:val="false"/>
          <w:color w:val="000000"/>
          <w:sz w:val="14"/>
        </w:rPr>
        <w:t>4,159,481</w:t>
      </w:r>
      <w:r>
        <w:rPr>
          <w:color w:val="000000"/>
          <w:shd w:fill="FFFFFF" w:val="clear"/>
        </w:rPr>
        <w:t xml:space="preserve"> </w:t>
      </w:r>
      <w:r>
        <w:rPr>
          <w:rFonts w:ascii="Arial;sans-serif" w:hAnsi="Arial;sans-serif"/>
          <w:b w:val="false"/>
          <w:color w:val="000000"/>
          <w:sz w:val="14"/>
          <w:shd w:fill="FFFFFF" w:val="clear"/>
        </w:rPr>
        <w:t>shares repurchased in a bilateral transaction outside of the SRP. See Note 18 to the Annual Financial Statements for additional information on these transactions.</w:t>
      </w:r>
    </w:p>
    <w:p>
      <w:pPr>
        <w:pStyle w:val="TextBody"/>
        <w:bidi w:val="0"/>
        <w:spacing w:lineRule="auto" w:line="288" w:before="0" w:after="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(b)Excludes transaction costs and excise taxes.</w:t>
      </w:r>
    </w:p>
    <w:p>
      <w:pPr>
        <w:pStyle w:val="TextBody"/>
        <w:bidi w:val="0"/>
        <w:spacing w:lineRule="auto" w:line="288" w:before="0" w:after="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(c)Represents shares repurchased under the SRP. See above for a description of the SRP.</w:t>
      </w:r>
    </w:p>
    <w:p>
      <w:pPr>
        <w:pStyle w:val="TextBody"/>
        <w:bidi w:val="0"/>
        <w:spacing w:lineRule="auto" w:line="288" w:before="0" w:after="18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(d)Dollars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6. RESERVED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left"/>
        <w:rPr>
          <w:rFonts w:ascii="Arial;sans-serif" w:hAnsi="Arial;sans-serif"/>
          <w:b/>
          <w:color w:val="000000"/>
          <w:sz w:val="18"/>
        </w:rPr>
      </w:pPr>
      <w:bookmarkStart w:id="4" w:name="ie114f4b8bc1c4c389f6ef5596a2d5b6a_1428"/>
      <w:bookmarkEnd w:id="4"/>
      <w:r>
        <w:rPr>
          <w:rFonts w:ascii="Arial;sans-serif" w:hAnsi="Arial;sans-serif"/>
          <w:b/>
          <w:color w:val="000000"/>
          <w:sz w:val="18"/>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should be read in conjunction with the Annual Financial Statements and the accompanying notes. 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Common Stock Transactions</w:t>
      </w:r>
    </w:p>
    <w:p>
      <w:pPr>
        <w:pStyle w:val="TextBody"/>
        <w:bidi w:val="0"/>
        <w:spacing w:lineRule="auto" w:line="288" w:before="0" w:after="180"/>
        <w:jc w:val="left"/>
        <w:rPr/>
      </w:pPr>
      <w:r>
        <w:rPr>
          <w:rFonts w:ascii="Arial;sans-serif" w:hAnsi="Arial;sans-serif"/>
          <w:b w:val="false"/>
          <w:i/>
          <w:color w:val="000000"/>
          <w:sz w:val="18"/>
        </w:rPr>
        <w:t>Share Repurchases.</w:t>
      </w:r>
      <w:r>
        <w:rPr>
          <w:color w:val="000000"/>
        </w:rPr>
        <w:t xml:space="preserve"> </w:t>
      </w:r>
      <w:r>
        <w:rPr>
          <w:rFonts w:ascii="Arial;sans-serif" w:hAnsi="Arial;sans-serif"/>
          <w:b w:val="false"/>
          <w:color w:val="000000"/>
          <w:sz w:val="18"/>
        </w:rPr>
        <w:t xml:space="preserve">During the year ended December 31, 2024 (Successor), we repurchased and retired a total of 13,227,222 shares, or approximately 22%, of TEC’s outstanding common stock through a combination of the SRP and direct repurchases from </w:t>
      </w:r>
      <w:r>
        <w:rPr>
          <w:rFonts w:ascii="Arial;sans-serif" w:hAnsi="Arial;sans-serif"/>
          <w:b w:val="false"/>
          <w:color w:val="000000"/>
          <w:sz w:val="18"/>
          <w:shd w:fill="FFFFFF" w:val="clear"/>
        </w:rPr>
        <w:t>affiliates of Rubric Capital Management LP (collectively, “Rubric”)</w:t>
      </w:r>
      <w:r>
        <w:rPr>
          <w:rFonts w:ascii="Arial;sans-serif" w:hAnsi="Arial;sans-serif"/>
          <w:b w:val="false"/>
          <w:color w:val="000000"/>
          <w:sz w:val="18"/>
        </w:rPr>
        <w:t>. A total of: (i) 7,307,300 shares were purchased from Rubric; (ii) 5,275,862 shares through a tender offer; and (iii) 644,060 shares in the open market. The aggregate purchase price after transaction fees and excise tax was approximately $2.0 billion at a weighted average price of $149.50 per share. As of December 31, 2024 (Successor), the remaining capacity under the SRP is approximately $1.1 billion through 2026.</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18 to the Annual Financial Statements for additional information on the SRP, other share repurchases, and other common stock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Financing Transactions</w:t>
      </w:r>
    </w:p>
    <w:p>
      <w:pPr>
        <w:pStyle w:val="TextBody"/>
        <w:bidi w:val="0"/>
        <w:spacing w:lineRule="auto" w:line="288" w:before="0" w:after="180"/>
        <w:jc w:val="left"/>
        <w:rPr/>
      </w:pPr>
      <w:r>
        <w:rPr>
          <w:rFonts w:ascii="Arial;sans-serif" w:hAnsi="Arial;sans-serif"/>
          <w:b w:val="false"/>
          <w:color w:val="000000"/>
          <w:sz w:val="18"/>
        </w:rPr>
        <w:t>S</w:t>
      </w:r>
      <w:r>
        <w:rPr>
          <w:rFonts w:ascii="Arial;sans-serif" w:hAnsi="Arial;sans-serif"/>
          <w:b w:val="false"/>
          <w:i/>
          <w:color w:val="000000"/>
          <w:sz w:val="18"/>
        </w:rPr>
        <w:t>ecured Notes Consent.</w:t>
      </w:r>
      <w:r>
        <w:rPr>
          <w:color w:val="000000"/>
        </w:rPr>
        <w:t xml:space="preserve"> </w:t>
      </w:r>
      <w:r>
        <w:rPr>
          <w:rFonts w:ascii="Arial;sans-serif" w:hAnsi="Arial;sans-serif"/>
          <w:b w:val="false"/>
          <w:color w:val="000000"/>
          <w:sz w:val="18"/>
        </w:rPr>
        <w:t>In January 2025, we received consents from noteholders representing a majority in principal amount of the Secured Notes to adopt certain amendments to the Indenture to, among other things: (i) modify certain provisions, including certain covenants and related definitions, in order to substantially conform to the corresponding amendments to the Credit Agreement obtained in the December 2024 transactions discussed below; and (ii) waive TES’s right to optionally redeem up to 10% of the Secured Notes at a price of 103% of par prior to June 1, 2025.</w:t>
      </w:r>
    </w:p>
    <w:p>
      <w:pPr>
        <w:pStyle w:val="TextBody"/>
        <w:bidi w:val="0"/>
        <w:spacing w:lineRule="auto" w:line="288" w:before="0" w:after="180"/>
        <w:jc w:val="left"/>
        <w:rPr/>
      </w:pPr>
      <w:r>
        <w:rPr>
          <w:rFonts w:ascii="Arial;sans-serif" w:hAnsi="Arial;sans-serif"/>
          <w:b w:val="false"/>
          <w:i/>
          <w:color w:val="000000"/>
          <w:sz w:val="18"/>
        </w:rPr>
        <w:t>December 2024 Financing Activities.</w:t>
      </w:r>
      <w:r>
        <w:rPr>
          <w:color w:val="000000"/>
        </w:rPr>
        <w:t xml:space="preserve"> </w:t>
      </w:r>
      <w:r>
        <w:rPr>
          <w:rFonts w:ascii="Arial;sans-serif" w:hAnsi="Arial;sans-serif"/>
          <w:b w:val="false"/>
          <w:color w:val="000000"/>
          <w:sz w:val="18"/>
        </w:rPr>
        <w:t xml:space="preserve">In December 2024, we completed several financing transactions that resulted in the: (i) issuance of $380 million in net additional long-term indebtedness through full repayment of the TLC utilizing restricted cash collateralizing the TLC and issuance of the TLB-2 (at an initial rate of SOFR + 2.5%); (ii) issuance of the new $900 million LCF and termination of the TLC LCF and Bilateral LCF, which had the combined effect of increasing our LC capacity by $355 million; and (iii) favorable repricing and covenant improvements on the existing TLB-1 and RCF (repriced to initial rates of SOFR + 2.5% and SOFR + 2.0%, respectively) as well an extension of the RCF maturity. The proceeds of the TLB-2 issuance were used, together with cash on hand, to repurchase shares of our outstanding common stock held by Rubric.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13 to the Annual Financial Statements for additional information on long-term debt, other credit facilities, and recent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Power Transactions</w:t>
      </w:r>
    </w:p>
    <w:p>
      <w:pPr>
        <w:pStyle w:val="TextBody"/>
        <w:bidi w:val="0"/>
        <w:spacing w:lineRule="auto" w:line="288" w:before="0" w:after="180"/>
        <w:jc w:val="left"/>
        <w:rPr/>
      </w:pPr>
      <w:r>
        <w:rPr>
          <w:rFonts w:ascii="Arial;sans-serif" w:hAnsi="Arial;sans-serif"/>
          <w:b w:val="false"/>
          <w:i/>
          <w:color w:val="000000"/>
          <w:sz w:val="18"/>
        </w:rPr>
        <w:t>AWS PPA.</w:t>
      </w:r>
      <w:r>
        <w:rPr>
          <w:color w:val="000000"/>
        </w:rPr>
        <w:t xml:space="preserve"> </w:t>
      </w:r>
      <w:r>
        <w:rPr>
          <w:rFonts w:ascii="Arial;sans-serif" w:hAnsi="Arial;sans-serif"/>
          <w:b w:val="false"/>
          <w:color w:val="000000"/>
          <w:sz w:val="18"/>
        </w:rPr>
        <w:t>In connection with the AWS Data Campus Sale in 2024, we and AWS entered into the AWS PPA, pursuant to which we agreed to supply long-term, carbon-free power from Susquehanna to the AWS Data Campus through fixed-price power commitments. Under the AWS PPA, AWS has minimum contractual power commitments that increase in 120 MW increments annually (or earlier, at AWS’s option), with a one-time option to either cap commitments at 480 MW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AWS PPA is 18 years, with two 10-year extensions at AWS’s option. Under a separate agreement, we will receive additional revenue from AWS related to the sales of carbon-free energy to the grid. We expect to begin receiving initial revenues from power sales in 2025. See Note 20 to the Annual Financial Statements for additional information on the AWS Data Campus Sale.</w:t>
      </w:r>
    </w:p>
    <w:p>
      <w:pPr>
        <w:pStyle w:val="TextBody"/>
        <w:bidi w:val="0"/>
        <w:spacing w:lineRule="auto" w:line="288" w:before="0" w:after="180"/>
        <w:jc w:val="left"/>
        <w:rPr/>
      </w:pPr>
      <w:r>
        <w:rPr>
          <w:rFonts w:ascii="Arial;sans-serif" w:hAnsi="Arial;sans-serif"/>
          <w:b w:val="false"/>
          <w:i/>
          <w:color w:val="000000"/>
          <w:sz w:val="18"/>
        </w:rPr>
        <w:t>Susquehanna ISA Amendment.</w:t>
      </w:r>
      <w:r>
        <w:rPr>
          <w:color w:val="000000"/>
        </w:rPr>
        <w:t xml:space="preserve"> </w:t>
      </w:r>
      <w:r>
        <w:rPr>
          <w:rFonts w:ascii="Arial;sans-serif" w:hAnsi="Arial;sans-serif"/>
          <w:b w:val="false"/>
          <w:color w:val="000000"/>
          <w:sz w:val="18"/>
        </w:rPr>
        <w:t>In November 2024, FERC issued an order denying the Susquehanna ISA Amendment between PJM, PPL Corporation, and Susquehanna that would permit Susquehanna to decrease the amount of power supply it would otherwise provide to the power grid. Such order does not have an impact on the existing ISA permitting 300 MW of co-located load at Susquehanna to supply power for the first phases of the AWS Data Campus. In December 2024, FERC issued an order stating that it would address our request for rehearing in a future order, which FERC has not yet issued. Due to FERC’s decision not to address the merits of our motion for rehearing, we have filed an appeal in the U.S. Court of Appeals for the Fifth Circuit.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 See “Item 3. Legal Proceedings” and “Item 1A. Risk Factors—Regulatory, Environmental, and Legal Risks—Our business is subject to extensive energy-related regulation and oversight.” for additional information on the Susquehanna ISA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pPr>
      <w:r>
        <w:rPr>
          <w:rFonts w:ascii="Arial;sans-serif" w:hAnsi="Arial;sans-serif"/>
          <w:b w:val="false"/>
          <w:i/>
          <w:color w:val="000000"/>
          <w:sz w:val="18"/>
        </w:rPr>
        <w:t>Brandon Shores and H.A Wagner RMR Arrangements.</w:t>
      </w:r>
      <w:r>
        <w:rPr>
          <w:color w:val="000000"/>
        </w:rPr>
        <w:t xml:space="preserve"> </w:t>
      </w:r>
      <w:r>
        <w:rPr>
          <w:rFonts w:ascii="Arial;sans-serif" w:hAnsi="Arial;sans-serif"/>
          <w:b w:val="false"/>
          <w:color w:val="000000"/>
          <w:sz w:val="18"/>
        </w:rPr>
        <w:t>In 2023, we notified PJM of our intent to deactivate electric generation at both our Brandon Shores and H.A. Wagner facilities on June 1, 2025. However, PJM subsequently notified us that both Brandon Shores and H.A Wagner are needed past their previously planned retirement dates to maintain reliability in PJM. In January 2025, we reached a settlement (which remains subject to FERC approval) with key stakeholders on the terms of an RMR arrangement and filed with FERC the resulting Joint Offers of Settlement regarding both facilities’ RMR Continuing Operations Rates Schedules. If approved, the proposed RMR arrangements will extend the operating life of these plants through May 31, 2029, or until such time as the necessary transmission upgrades are placed into service. See Note 10 to the Annual Financial Statements for additional information on the RMR proceedings and settlement and the related impairment of the Brandon Shores asset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Factors Affecting Our Financial Condition and Results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Earnings in future periods are subject to various uncertainties and risks. See “Cautionary Note Regarding Forward-Looking Information,” “Item 1A. Risk Factors,” and Notes 5 and 12 to the Annual Financial Statements for additional information on our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Commodity Markets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During 2024, natural gas prices for Texas Eastern M-3 settled below their ten-year average as a result of natural gas storage levels above the five-year average and abundant natural gas supplies. In PJM, periodic below average temperatures during the winter and above average temperatures during the summer contributed to increased load demand that resulted in higher annual settled on-peak power prices compared with the prior year.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weighted average settled on-peak power prices and natural gas prices for the PJM market for the years ended December 31, 2024 (Successor), December 31, 2023 (Successor), and December 31, 2022 (Predecessor) were:</w:t>
      </w:r>
    </w:p>
    <w:tbl>
      <w:tblPr>
        <w:tblW w:w="8899" w:type="dxa"/>
        <w:jc w:val="left"/>
        <w:tblInd w:w="0" w:type="dxa"/>
        <w:tblLayout w:type="fixed"/>
        <w:tblCellMar>
          <w:top w:w="28" w:type="dxa"/>
          <w:left w:w="28" w:type="dxa"/>
          <w:bottom w:w="28" w:type="dxa"/>
          <w:right w:w="28" w:type="dxa"/>
        </w:tblCellMar>
      </w:tblPr>
      <w:tblGrid>
        <w:gridCol w:w="1138"/>
        <w:gridCol w:w="1001"/>
        <w:gridCol w:w="1010"/>
        <w:gridCol w:w="109"/>
        <w:gridCol w:w="109"/>
        <w:gridCol w:w="109"/>
        <w:gridCol w:w="358"/>
        <w:gridCol w:w="1016"/>
        <w:gridCol w:w="201"/>
        <w:gridCol w:w="109"/>
        <w:gridCol w:w="109"/>
        <w:gridCol w:w="109"/>
        <w:gridCol w:w="358"/>
        <w:gridCol w:w="1016"/>
        <w:gridCol w:w="201"/>
        <w:gridCol w:w="109"/>
        <w:gridCol w:w="109"/>
        <w:gridCol w:w="109"/>
        <w:gridCol w:w="349"/>
        <w:gridCol w:w="993"/>
        <w:gridCol w:w="277"/>
      </w:tblGrid>
      <w:tr>
        <w:trPr/>
        <w:tc>
          <w:tcPr>
            <w:tcW w:w="113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1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Day Ahead Peak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40.91 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39.22 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83.59 </w:t>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PPL Zone Day Ahead Peak -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 Eastern M-3 - $/MMBtu</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0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20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6.80 </w:t>
            </w:r>
          </w:p>
        </w:tc>
        <w:tc>
          <w:tcPr>
            <w:tcW w:w="27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 weighted average forward market prices for the following years were:</w:t>
      </w:r>
    </w:p>
    <w:tbl>
      <w:tblPr>
        <w:tblW w:w="5975" w:type="dxa"/>
        <w:jc w:val="left"/>
        <w:tblInd w:w="0" w:type="dxa"/>
        <w:tblLayout w:type="fixed"/>
        <w:tblCellMar>
          <w:top w:w="28" w:type="dxa"/>
          <w:left w:w="28" w:type="dxa"/>
          <w:bottom w:w="28" w:type="dxa"/>
          <w:right w:w="28" w:type="dxa"/>
        </w:tblCellMar>
      </w:tblPr>
      <w:tblGrid>
        <w:gridCol w:w="1285"/>
        <w:gridCol w:w="1130"/>
        <w:gridCol w:w="1139"/>
        <w:gridCol w:w="109"/>
        <w:gridCol w:w="109"/>
        <w:gridCol w:w="109"/>
        <w:gridCol w:w="196"/>
        <w:gridCol w:w="556"/>
        <w:gridCol w:w="109"/>
        <w:gridCol w:w="109"/>
        <w:gridCol w:w="109"/>
        <w:gridCol w:w="109"/>
        <w:gridCol w:w="196"/>
        <w:gridCol w:w="55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35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ATC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51.16 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 Eastern M-3 -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PJM West Hub ATC Spark Spreads - $/MWh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25.07 </w:t>
            </w:r>
          </w:p>
        </w:tc>
        <w:tc>
          <w:tcPr>
            <w:tcW w:w="15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(a)Spark spreads are computed based on day-ahead West Hub ATC prices, TETCO M-3 natural gas prices, and a heat rate of 7 MMBtu/MWh.</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2023 (Successor), the weighted average forward market prices for the following years were:</w:t>
      </w:r>
    </w:p>
    <w:tbl>
      <w:tblPr>
        <w:tblW w:w="7163" w:type="dxa"/>
        <w:jc w:val="left"/>
        <w:tblInd w:w="0" w:type="dxa"/>
        <w:tblLayout w:type="fixed"/>
        <w:tblCellMar>
          <w:top w:w="28" w:type="dxa"/>
          <w:left w:w="28" w:type="dxa"/>
          <w:bottom w:w="28" w:type="dxa"/>
          <w:right w:w="28" w:type="dxa"/>
        </w:tblCellMar>
      </w:tblPr>
      <w:tblGrid>
        <w:gridCol w:w="1285"/>
        <w:gridCol w:w="1130"/>
        <w:gridCol w:w="113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2024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35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ATC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41.51 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48.98 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 Eastern M-3 -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PJM West Hub ATC Spark Spreads - $/MWh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25.02 </w:t>
            </w:r>
          </w:p>
        </w:tc>
        <w:tc>
          <w:tcPr>
            <w:tcW w:w="15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(a)Spark spreads are computed based on day-ahead West Hub ATC prices, TETCO M-3 natural gas prices, and a heat rate of 7 MMBtu/MWh.</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 xml:space="preserve">(b)Represents forward prices for 2024 as of December 31, 2023 (Successor). See weighted average settled prices table above for 2024 realized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Capacity Markets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generation capacity is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RTO/ISO demand forecasts, reserve margin targets, and (in PJM) adjustments to the PJM Market Seller Offer Cap as determined by the PJM Independent Market Monitor.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pPr>
      <w:r>
        <w:rPr>
          <w:rFonts w:ascii="Arial;sans-serif" w:hAnsi="Arial;sans-serif"/>
          <w:b w:val="false"/>
          <w:i/>
          <w:color w:val="000000"/>
          <w:sz w:val="18"/>
        </w:rPr>
        <w:t xml:space="preserve">PJM Capacity Auctions. </w:t>
      </w:r>
      <w:r>
        <w:rPr>
          <w:rFonts w:ascii="Arial;sans-serif" w:hAnsi="Arial;sans-serif"/>
          <w:b w:val="false"/>
          <w:color w:val="000000"/>
          <w:sz w:val="18"/>
        </w:rPr>
        <w:t>Under the PJM Reliability Pricing Model, when held on schedule, the PJM Base Residual Auction is required to be conducted in the month of May three years prior to the start of the applicable PJM Capacity Year in order for PJM to secure commitments from capacity resources. The results of each PJM BRA impact our capacity revenues for the specific PJM Capacity Year. However, PJM has delayed its recent BRAs, which has resulted in less than 3 years between each auction and the start of the relevant PJM Capacity Year. The BRA for the 2025/2026 Capacity Year, which was the most recent auction, was held in July 2024. The BRA for the 2026/2027 Capacity Year is currently delayed until July 2025. The capacity market construct provides generation owners some opportunity for revenue visibility on a multiyear basis and is intended to provide a price signal for new generation to be built in the future. See Note 12 to the Annual Financial Statements for additional information on the PJM capacity market, systemic risks, BRA delays, and related legal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Capacity Prices.</w:t>
      </w:r>
      <w:r>
        <w:rPr>
          <w:color w:val="000000"/>
        </w:rPr>
        <w:t xml:space="preserve"> </w:t>
      </w:r>
      <w:r>
        <w:rPr>
          <w:rFonts w:ascii="Arial;sans-serif" w:hAnsi="Arial;sans-serif"/>
          <w:b w:val="false"/>
          <w:color w:val="000000"/>
          <w:sz w:val="18"/>
        </w:rPr>
        <w:t>The following table displays the cleared capacity prices for completed PJM BRAs for the markets and zones in which we primarily operate:</w:t>
      </w:r>
    </w:p>
    <w:tbl>
      <w:tblPr>
        <w:tblW w:w="8461" w:type="dxa"/>
        <w:jc w:val="left"/>
        <w:tblInd w:w="0" w:type="dxa"/>
        <w:tblLayout w:type="fixed"/>
        <w:tblCellMar>
          <w:top w:w="28" w:type="dxa"/>
          <w:left w:w="28" w:type="dxa"/>
          <w:bottom w:w="28" w:type="dxa"/>
          <w:right w:w="28" w:type="dxa"/>
        </w:tblCellMar>
      </w:tblPr>
      <w:tblGrid>
        <w:gridCol w:w="1206"/>
        <w:gridCol w:w="1059"/>
        <w:gridCol w:w="1064"/>
        <w:gridCol w:w="109"/>
        <w:gridCol w:w="109"/>
        <w:gridCol w:w="109"/>
        <w:gridCol w:w="196"/>
        <w:gridCol w:w="646"/>
        <w:gridCol w:w="109"/>
        <w:gridCol w:w="109"/>
        <w:gridCol w:w="109"/>
        <w:gridCol w:w="109"/>
        <w:gridCol w:w="198"/>
        <w:gridCol w:w="562"/>
        <w:gridCol w:w="110"/>
        <w:gridCol w:w="109"/>
        <w:gridCol w:w="109"/>
        <w:gridCol w:w="109"/>
        <w:gridCol w:w="198"/>
        <w:gridCol w:w="562"/>
        <w:gridCol w:w="110"/>
        <w:gridCol w:w="109"/>
        <w:gridCol w:w="109"/>
        <w:gridCol w:w="109"/>
        <w:gridCol w:w="198"/>
        <w:gridCol w:w="562"/>
        <w:gridCol w:w="110"/>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PJM Capacity Performance ($/MW-day)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PPL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269.92 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95.79 </w:t>
            </w:r>
          </w:p>
        </w:tc>
        <w:tc>
          <w:tcPr>
            <w:tcW w:w="1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(a)Displayed prices are from the applicable market publications.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2025/2026 Capacity Year, we cleared a total of 6,820 MW at a clearing price of $269.92 per MW-day for the MAAC, PPL, and PSEG locational deliverability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shd w:fill="FFFFFF" w:val="clear"/>
        </w:rPr>
        <w:t>Capacity Performance Event.</w:t>
      </w:r>
      <w:r>
        <w:rPr>
          <w:color w:val="000000"/>
          <w:shd w:fill="FFFFFF" w:val="clear"/>
        </w:rPr>
        <w:t xml:space="preserve"> </w:t>
      </w:r>
      <w:r>
        <w:rPr>
          <w:rFonts w:ascii="Arial;sans-serif" w:hAnsi="Arial;sans-serif"/>
          <w:b w:val="false"/>
          <w:color w:val="000000"/>
          <w:sz w:val="18"/>
          <w:shd w:fill="FFFFFF" w:val="clear"/>
        </w:rPr>
        <w:t xml:space="preserve">As a result of Winter Storm Elliott in December 2022, PJM experienced extreme cold weather conditions that resulted in PJM’s declaration of a Capacity Performance event requiring generators to operate at their maximum output capacity. Certain of our generation facilities failed to meet PJM’s Capacity Performance requirements while others met or exceeded their obligations. As </w:t>
      </w:r>
      <w:r>
        <w:rPr>
          <w:rFonts w:ascii="Arial;sans-serif" w:hAnsi="Arial;sans-serif"/>
          <w:b w:val="false"/>
          <w:color w:val="000000"/>
          <w:sz w:val="18"/>
        </w:rPr>
        <w:t xml:space="preserve">a result, we incurred final aggregate net Capacity Performance penalties of $29 million, which were </w:t>
      </w:r>
      <w:r>
        <w:rPr>
          <w:rFonts w:ascii="Arial;sans-serif" w:hAnsi="Arial;sans-serif"/>
          <w:b w:val="false"/>
          <w:color w:val="000000"/>
          <w:sz w:val="18"/>
          <w:shd w:fill="FFFFFF" w:val="clear"/>
        </w:rPr>
        <w:t>remitted during the period from May 18 through December 31, 2023 (Successor) and the period from January 1 through May 17, 2023 (Predecessor). See Note 12 to the Annual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Nuclear Production Tax Credit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Inflation Reduction Act was signed into law in August 2022. Among the Act’s provisions are amendments to the Internal Revenue Code to create a nuclear production tax credit program. The Nuclear PTC program provides qualified nuclear power generation facilities with a transferable tax credit for electricity produced and sold to an unrelated party during each tax year. The credit provides support beginning when annual gross receipts decline below an equivalent $43.75/MWh, increases ratably up to $3/MWh when annual gross receipts are equivalent to $25/MWh, and is subject to potential adjustments including inflation escalators and a five-times increase in value (up to $15/MWh) for meeting prevailing wage requirements (which we expect to meet). Electricity produced and sold by Susquehanna to third parties from December 31, 2023 through December 31, 2032 will be eligible for the credit. See Notes 6 and 7 to the Annual Financial Statements for additional information on Nuclear PTC revenue recognized and the Inflation Reduction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Seasonality/Scheduled Maintenance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Our largest recurring maintenance project is the annual spring refueling outage at Susquehanna. We serve our fossil generation fleet through a combination of self-service and contracted maintenance activity (including long-term service agreements at certain facilities). See also “Item 1A. Risk Factors—Industry and Market Risks—Our business is subject to physical, market, economic, and regulatory risks relating to weather conditions and extreme weather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Results of Operations</w:t>
      </w:r>
    </w:p>
    <w:p>
      <w:pPr>
        <w:pStyle w:val="TextBody"/>
        <w:bidi w:val="0"/>
        <w:spacing w:lineRule="auto" w:line="288" w:before="0" w:after="180"/>
        <w:jc w:val="left"/>
        <w:rPr/>
      </w:pPr>
      <w:r>
        <w:rPr>
          <w:rFonts w:ascii="Arial;sans-serif" w:hAnsi="Arial;sans-serif"/>
          <w:b w:val="false"/>
          <w:color w:val="000000"/>
          <w:sz w:val="18"/>
        </w:rPr>
        <w:t>The results of operations presented below should be reviewed in conjunction with the Annual Financial Statements and the related notes. Our financial results for the year ended December 31, 2024 (Successor) and for the period from May 18 through December 31, 2023 (Successor) are referred to as the “Successor” periods. Our financial results for the period from January 1 through May 17, 2023 (Predecessor) and the year ended December 31, 2022 (Predecessor) are referred to as the “Predecesso</w:t>
      </w:r>
      <w:r>
        <w:rPr>
          <w:rFonts w:ascii="Arial;sans-serif" w:hAnsi="Arial;sans-serif"/>
          <w:b w:val="false"/>
          <w:color w:val="000000"/>
          <w:sz w:val="18"/>
          <w:shd w:fill="FFFFFF" w:val="clear"/>
        </w:rPr>
        <w:t xml:space="preserve">r” periods. The operating results for the Successor Periods are not comparable with the operating results for the Predecessor Periods due to the application of fresh start accounting after Emergence in May 2023. </w:t>
      </w:r>
      <w:r>
        <w:rPr>
          <w:rFonts w:ascii="Arial;sans-serif" w:hAnsi="Arial;sans-serif"/>
          <w:b w:val="false"/>
          <w:color w:val="000000"/>
          <w:sz w:val="18"/>
        </w:rPr>
        <w:t>See Notes 2, 3, and 4 to the Annual Financial Statements for additional information regarding the Restructuring and related accounting.</w:t>
      </w:r>
      <w:r>
        <w:rPr>
          <w:color w:val="000000"/>
          <w:shd w:fill="FFFFFF" w:val="clear"/>
        </w:rPr>
        <w:t xml:space="preserve"> </w:t>
      </w:r>
      <w:r>
        <w:rPr>
          <w:rFonts w:ascii="Arial;sans-serif" w:hAnsi="Arial;sans-serif"/>
          <w:b w:val="false"/>
          <w:color w:val="000000"/>
          <w:sz w:val="18"/>
          <w:shd w:fill="FFFFFF" w:val="clear"/>
        </w:rPr>
        <w:t>Our results of operations as reported in the Annual Financial Statements are prepared in accordance with GAAP.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sales under wholesale bilateral contracts, realized hedging activity, Bitcoin revenue, and Nuclear PTC revenue. “Fuel and energy purchases” includes costs for fuel to generate electricity and settlements of financial and physical transactions related to fuel and energy purchases.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unrealized gains (losses) on derivative instruments resulting from changes in fair value during the periods are presented separately as revenues within “Operating Revenues” and expenses within “Energy Expenses” in the Annual Financial Statements. We evaluate them collectively because they represent the changes in fair value of our economic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i/>
          <w:color w:val="000000"/>
          <w:sz w:val="18"/>
        </w:rPr>
        <w:t>Results for the Year Ended December 31, 2024 (Successor), the Period from May 18 through December 31, 2023 (Successor), the Period from January 1 through May 17, 2023 (Predecessor),</w:t>
      </w:r>
      <w:r>
        <w:rPr>
          <w:color w:val="000000"/>
        </w:rPr>
        <w:t xml:space="preserve"> </w:t>
      </w:r>
      <w:r>
        <w:rPr>
          <w:rFonts w:ascii="Arial;sans-serif" w:hAnsi="Arial;sans-serif"/>
          <w:b/>
          <w:i/>
          <w:color w:val="000000"/>
          <w:sz w:val="18"/>
        </w:rPr>
        <w:t>and the Year Ended December 31, 2022 (Predecessor)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and subsequent sections display the results of operations for the Successor and Predecessor periods:</w:t>
      </w:r>
    </w:p>
    <w:tbl>
      <w:tblPr>
        <w:tblW w:w="10205" w:type="dxa"/>
        <w:jc w:val="left"/>
        <w:tblInd w:w="0" w:type="dxa"/>
        <w:tblLayout w:type="fixed"/>
        <w:tblCellMar>
          <w:top w:w="28" w:type="dxa"/>
          <w:left w:w="28" w:type="dxa"/>
          <w:bottom w:w="28" w:type="dxa"/>
          <w:right w:w="28" w:type="dxa"/>
        </w:tblCellMar>
      </w:tblPr>
      <w:tblGrid>
        <w:gridCol w:w="1281"/>
        <w:gridCol w:w="754"/>
        <w:gridCol w:w="757"/>
        <w:gridCol w:w="109"/>
        <w:gridCol w:w="109"/>
        <w:gridCol w:w="109"/>
        <w:gridCol w:w="109"/>
        <w:gridCol w:w="109"/>
        <w:gridCol w:w="109"/>
        <w:gridCol w:w="109"/>
        <w:gridCol w:w="349"/>
        <w:gridCol w:w="779"/>
        <w:gridCol w:w="195"/>
        <w:gridCol w:w="109"/>
        <w:gridCol w:w="109"/>
        <w:gridCol w:w="109"/>
        <w:gridCol w:w="373"/>
        <w:gridCol w:w="830"/>
        <w:gridCol w:w="208"/>
        <w:gridCol w:w="109"/>
        <w:gridCol w:w="109"/>
        <w:gridCol w:w="109"/>
        <w:gridCol w:w="109"/>
        <w:gridCol w:w="109"/>
        <w:gridCol w:w="109"/>
        <w:gridCol w:w="325"/>
        <w:gridCol w:w="724"/>
        <w:gridCol w:w="184"/>
        <w:gridCol w:w="109"/>
        <w:gridCol w:w="109"/>
        <w:gridCol w:w="109"/>
        <w:gridCol w:w="278"/>
        <w:gridCol w:w="872"/>
        <w:gridCol w:w="225"/>
      </w:tblGrid>
      <w:tr>
        <w:trPr/>
        <w:tc>
          <w:tcPr>
            <w:tcW w:w="128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7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2,115</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(797)</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(535)</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(332)</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(1,084)</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income (expense), net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w:t>
            </w:r>
            <w:r>
              <w:rPr>
                <w:color w:val="000000"/>
              </w:rPr>
              <w:t>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w:t>
            </w:r>
            <w:r>
              <w:rPr>
                <w:color w:val="000000"/>
              </w:rPr>
              <w:t> </w:t>
            </w:r>
          </w:p>
        </w:tc>
        <w:tc>
          <w:tcPr>
            <w:tcW w:w="1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(1,328)</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w:t>
            </w:r>
            <w:r>
              <w:rPr>
                <w:color w:val="000000"/>
              </w:rPr>
              <w:t> </w:t>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1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(1,293)</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92"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9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20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8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(1,289)</w:t>
            </w:r>
          </w:p>
        </w:tc>
        <w:tc>
          <w:tcPr>
            <w:tcW w:w="2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Successor Period — Year Ended December 31, 2024</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Net Income (Loss) Attributable to Stockholders totaled $998 million for the year ended December 31, 2024 (Successor). Results were driven by: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Capacity Revenues</w:t>
      </w:r>
      <w:r>
        <w:rPr>
          <w:color w:val="000000"/>
        </w:rPr>
        <w:t xml:space="preserve"> </w:t>
      </w:r>
      <w:r>
        <w:rPr>
          <w:rFonts w:ascii="Arial;sans-serif" w:hAnsi="Arial;sans-serif"/>
          <w:b w:val="false"/>
          <w:color w:val="000000"/>
          <w:sz w:val="18"/>
        </w:rPr>
        <w:t>totaled $192 million. This primarily included earned capacity awards based on resource clearing prices received from the PJM BRAs for the 2023/2024 and 2024/2025 PJM Capacity Years.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Energy and Other Revenues, net of Fuel and Energy Purchases </w:t>
      </w:r>
      <w:r>
        <w:rPr>
          <w:rFonts w:ascii="Arial;sans-serif" w:hAnsi="Arial;sans-serif"/>
          <w:b w:val="false"/>
          <w:color w:val="000000"/>
          <w:sz w:val="18"/>
        </w:rPr>
        <w:t>totaled $1.2 billion. This consisted of: (i) $1.3 billion in third-party wholesale electricity sales and ancillary revenues; (ii) $325 million in other revenue primarily related to Nuclear PTC and Bitcoin revenue; and (iii) $230 million in net realized gains from hedging activities. Such amounts were partially offset by $(659) million in fuel and purchased power costs.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Unrealized Gain (Loss) on Derivative Instruments</w:t>
      </w:r>
      <w:r>
        <w:rPr>
          <w:color w:val="000000"/>
        </w:rPr>
        <w:t xml:space="preserve"> </w:t>
      </w:r>
      <w:r>
        <w:rPr>
          <w:rFonts w:ascii="Arial;sans-serif" w:hAnsi="Arial;sans-serif"/>
          <w:b w:val="false"/>
          <w:color w:val="000000"/>
          <w:sz w:val="18"/>
        </w:rPr>
        <w:t>totaled $62 million gain, net. This consisted of: (i) unrealized gains from the reversal of positions previously recognized as mark-to-market liabilities which settled during the period; and (ii)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Fuel Amortization</w:t>
      </w:r>
      <w:r>
        <w:rPr>
          <w:color w:val="000000"/>
        </w:rPr>
        <w:t xml:space="preserve"> </w:t>
      </w:r>
      <w:r>
        <w:rPr>
          <w:rFonts w:ascii="Arial;sans-serif" w:hAnsi="Arial;sans-serif"/>
          <w:b w:val="false"/>
          <w:color w:val="000000"/>
          <w:sz w:val="18"/>
        </w:rPr>
        <w:t>totaled $(123) million. This consisted of the periodic expense of nuclear fuel costs capitalized as PP&amp;E and $33 million of amortization on certain nuclear fuel contracts that were recognized at fair value at Emergence. See Note 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Operation, Maintenance and Development </w:t>
      </w:r>
      <w:r>
        <w:rPr>
          <w:rFonts w:ascii="Arial;sans-serif" w:hAnsi="Arial;sans-serif"/>
          <w:b w:val="false"/>
          <w:color w:val="000000"/>
          <w:sz w:val="18"/>
        </w:rPr>
        <w:t>totaled $(592) million. This consisted of generation facility operating costs, including employee wages and benefits,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totaled $(298) million. This consisted of depreciation of long-lived PP&amp;E, intangibles, and ARO accretion.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totaled $178 million. This consisted of realized and unrealized gains and losses on debt and equity securities, dividends, and interest income associated with NDT investments. See Notes 9 and 14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totaled $(238) million. This primarily consisted of interest expense incurred on the Secured Notes, TLB-1, and TLB-2.</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Gain (Loss) on Sale of Assets, net</w:t>
      </w:r>
      <w:r>
        <w:rPr>
          <w:color w:val="000000"/>
        </w:rPr>
        <w:t xml:space="preserve"> </w:t>
      </w:r>
      <w:r>
        <w:rPr>
          <w:rFonts w:ascii="Arial;sans-serif" w:hAnsi="Arial;sans-serif"/>
          <w:b w:val="false"/>
          <w:color w:val="000000"/>
          <w:sz w:val="18"/>
        </w:rPr>
        <w:t>totaled $884 million. This primarily consisted of the $564 million gain from the ERCOT Sale that closed in May 2024 and the $324 million gain from the AWS Data Campus Sale that closed in March 2024. See Note 20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Non-Operating Income (Expense), net</w:t>
      </w:r>
      <w:r>
        <w:rPr>
          <w:color w:val="000000"/>
        </w:rPr>
        <w:t xml:space="preserve"> </w:t>
      </w:r>
      <w:r>
        <w:rPr>
          <w:rFonts w:ascii="Arial;sans-serif" w:hAnsi="Arial;sans-serif"/>
          <w:b w:val="false"/>
          <w:color w:val="000000"/>
          <w:sz w:val="18"/>
        </w:rPr>
        <w:t>totaled $61 million. This primarily consisted of interest income on cash deposits.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Income Tax Benefit (Expense)</w:t>
      </w:r>
      <w:r>
        <w:rPr>
          <w:color w:val="000000"/>
        </w:rPr>
        <w:t xml:space="preserve"> </w:t>
      </w:r>
      <w:r>
        <w:rPr>
          <w:rFonts w:ascii="Arial;sans-serif" w:hAnsi="Arial;sans-serif"/>
          <w:b w:val="false"/>
          <w:color w:val="000000"/>
          <w:sz w:val="18"/>
        </w:rPr>
        <w:t xml:space="preserve">totaled $(98) million. This primarily related to federal and state tax expense on pre-tax income, the release of the federal and state valuation allowance, and the exclusion of Nuclear PTC income as a permanent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Successor Period — May 18 through December 31, 2023</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Net Income (Loss) Attributable to Stockholders totaled $134 million for the period from May 18 through December 31, 2023 (Successor). Results were driven by: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Capacity Revenues</w:t>
      </w:r>
      <w:r>
        <w:rPr>
          <w:color w:val="000000"/>
        </w:rPr>
        <w:t xml:space="preserve"> </w:t>
      </w:r>
      <w:r>
        <w:rPr>
          <w:rFonts w:ascii="Arial;sans-serif" w:hAnsi="Arial;sans-serif"/>
          <w:b w:val="false"/>
          <w:color w:val="000000"/>
          <w:sz w:val="18"/>
        </w:rPr>
        <w:t>totaled $133 million. This primarily consisted of earned capacity awards based on resource clearing prices received from the PJM BRA for the 2023/2024 PJM Capacity Year. Capacity revenues were positively impacted by $19 million as a result of the FERC-approved settlement agreement for net PJM Capacity Performance penalties assessed related to Winter Storm Elliot. See Note 12 to the Annual Financial Statements for additional information on PJM Capacity Performance penalties.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Energy and Other Revenues, net of Fuel and Energy Purchases</w:t>
      </w:r>
      <w:r>
        <w:rPr>
          <w:color w:val="000000"/>
        </w:rPr>
        <w:t xml:space="preserve"> </w:t>
      </w:r>
      <w:r>
        <w:rPr>
          <w:rFonts w:ascii="Arial;sans-serif" w:hAnsi="Arial;sans-serif"/>
          <w:b w:val="false"/>
          <w:color w:val="000000"/>
          <w:sz w:val="18"/>
        </w:rPr>
        <w:t>totaled $732 million. This consisted of: (i) $950 million in third-party wholesale electricity sales and ancillary revenues; (ii) $81 million in Bitcoin revenue; and (iii) $33 million in net realized gains from hedging activities. Such amounts were partially offset by $(332) million in fuel and purchased power costs.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Unrealized Gain (Loss) on Derivative Instruments</w:t>
      </w:r>
      <w:r>
        <w:rPr>
          <w:color w:val="000000"/>
        </w:rPr>
        <w:t xml:space="preserve"> </w:t>
      </w:r>
      <w:r>
        <w:rPr>
          <w:rFonts w:ascii="Arial;sans-serif" w:hAnsi="Arial;sans-serif"/>
          <w:b w:val="false"/>
          <w:color w:val="000000"/>
          <w:sz w:val="18"/>
        </w:rPr>
        <w:t>totaled $52 million gain, net. This consisted of unrealized gains incurred as a result of decreases in forward power prices; and (ii) unrealized gains from the reversal of positions previously recognized as mark-to-market liabilities which settled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Nuclear Fuel Amortization </w:t>
      </w:r>
      <w:r>
        <w:rPr>
          <w:rFonts w:ascii="Arial;sans-serif" w:hAnsi="Arial;sans-serif"/>
          <w:b w:val="false"/>
          <w:color w:val="000000"/>
          <w:sz w:val="18"/>
        </w:rPr>
        <w:t>totaled $(108) million. This consisted of the periodic expense of nuclear fuel costs capitalized as PP&amp;E and $53 million of amortization on certain nuclear fuel contracts that were recognized at fair value at Emergence. See Note 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Operation, Maintenance and Development </w:t>
      </w:r>
      <w:r>
        <w:rPr>
          <w:rFonts w:ascii="Arial;sans-serif" w:hAnsi="Arial;sans-serif"/>
          <w:b w:val="false"/>
          <w:color w:val="000000"/>
          <w:sz w:val="18"/>
        </w:rPr>
        <w:t>totaled $(358) million. This consisted of generation facility operating costs, including employee wages and benefits,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totaled $(165) million. This consisted of depreciation of long-lived PP&amp;E, intangibles, and ARO accretion.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totaled $108 million. This consisted of realized and unrealized gains and losses on debt and equity securities, dividends, and interest income associated with NDT investments. See Notes 9 and 14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totaled $(176) million. This primarily consisted of interest expense incurred on the Secured Notes and TLB-1.</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Non-Operating Income (Expense), net</w:t>
      </w:r>
      <w:r>
        <w:rPr>
          <w:color w:val="000000"/>
        </w:rPr>
        <w:t xml:space="preserve"> </w:t>
      </w:r>
      <w:r>
        <w:rPr>
          <w:rFonts w:ascii="Arial;sans-serif" w:hAnsi="Arial;sans-serif"/>
          <w:b w:val="false"/>
          <w:color w:val="000000"/>
          <w:sz w:val="18"/>
        </w:rPr>
        <w:t>totaled $95 million. This primarily consisted of the gain on the PPL/Talen Montana litigation settlement. See Note 12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Income Tax Benefit (Expense) </w:t>
      </w:r>
      <w:r>
        <w:rPr>
          <w:rFonts w:ascii="Arial;sans-serif" w:hAnsi="Arial;sans-serif"/>
          <w:b w:val="false"/>
          <w:color w:val="000000"/>
          <w:sz w:val="18"/>
        </w:rPr>
        <w:t>totaled $(51) million. This primarily related to federal and state tax expense on pre-tax income and changes in the valuation allowance. See Note 7 to the Annual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Predecessor Period — January 1 through May 17, 2023</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Net Income (Loss) Attributable to Member totaled $479 million for the period from January 1 through May 17, 2023 (Predecessor). Results were driven by:</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Capacity Revenues</w:t>
      </w:r>
      <w:r>
        <w:rPr>
          <w:color w:val="000000"/>
        </w:rPr>
        <w:t xml:space="preserve"> </w:t>
      </w:r>
      <w:r>
        <w:rPr>
          <w:rFonts w:ascii="Arial;sans-serif" w:hAnsi="Arial;sans-serif"/>
          <w:b w:val="false"/>
          <w:color w:val="000000"/>
          <w:sz w:val="18"/>
        </w:rPr>
        <w:t>totaled $108 million. This primarily consisted of earned capacity awards based on resource clearing prices received from the PJM BRA for the 2022/2023 PJM Capacity Year. Capacity revenues were negatively impacted by $(13) million of net PJM Capacity Performance penalties related to Winter Storm Elliott. See Note 12 to the Annual Financial Statements for additional information on PJM Capacity Performance penalties.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Energy and Other Revenues, net of Fuel and Energy Purchases</w:t>
      </w:r>
      <w:r>
        <w:rPr>
          <w:color w:val="000000"/>
        </w:rPr>
        <w:t xml:space="preserve"> </w:t>
      </w:r>
      <w:r>
        <w:rPr>
          <w:rFonts w:ascii="Arial;sans-serif" w:hAnsi="Arial;sans-serif"/>
          <w:b w:val="false"/>
          <w:color w:val="000000"/>
          <w:sz w:val="18"/>
        </w:rPr>
        <w:t xml:space="preserve">totaled $866 million. This consisted of: (i) $637 million in net realized gains from hedging activities; (ii) $343 million in third-party wholesale electricity sales and ancillary revenues; and (iii) $27 million in Bitcoin revenue. Such amounts were partially offset by $(141) million in fuel and purchased power costs.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Unrealized Gain (Loss) on Derivative Instruments</w:t>
      </w:r>
      <w:r>
        <w:rPr>
          <w:color w:val="000000"/>
        </w:rPr>
        <w:t xml:space="preserve"> </w:t>
      </w:r>
      <w:r>
        <w:rPr>
          <w:rFonts w:ascii="Arial;sans-serif" w:hAnsi="Arial;sans-serif"/>
          <w:b w:val="false"/>
          <w:color w:val="000000"/>
          <w:sz w:val="18"/>
        </w:rPr>
        <w:t>totaled $(63) million loss, net. This consisted of unrealized losses from the reversal of positions previously recognized as mark-to-market assets which settled during the period, partially offset by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Fuel Amortization</w:t>
      </w:r>
      <w:r>
        <w:rPr>
          <w:color w:val="000000"/>
        </w:rPr>
        <w:t xml:space="preserve"> </w:t>
      </w:r>
      <w:r>
        <w:rPr>
          <w:rFonts w:ascii="Arial;sans-serif" w:hAnsi="Arial;sans-serif"/>
          <w:b w:val="false"/>
          <w:color w:val="000000"/>
          <w:sz w:val="18"/>
        </w:rPr>
        <w:t>totaled $(33) million. This consisted of the periodic expense of nuclear fuel costs capitalized as PP&amp;E.</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Operation, Maintenance and Development</w:t>
      </w:r>
      <w:r>
        <w:rPr>
          <w:color w:val="000000"/>
        </w:rPr>
        <w:t xml:space="preserve"> </w:t>
      </w:r>
      <w:r>
        <w:rPr>
          <w:rFonts w:ascii="Arial;sans-serif" w:hAnsi="Arial;sans-serif"/>
          <w:b w:val="false"/>
          <w:color w:val="000000"/>
          <w:sz w:val="18"/>
        </w:rPr>
        <w:t>totaled $(285) million. This consisted of generation facility operating costs, including employee wages and benefits,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totaled $(200) million. This consisted of depreciation of long-lived PP&amp;E, intangibles, and ARO accretion.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Impairments</w:t>
      </w:r>
      <w:r>
        <w:rPr>
          <w:color w:val="000000"/>
        </w:rPr>
        <w:t xml:space="preserve"> </w:t>
      </w:r>
      <w:r>
        <w:rPr>
          <w:rFonts w:ascii="Arial;sans-serif" w:hAnsi="Arial;sans-serif"/>
          <w:b w:val="false"/>
          <w:color w:val="000000"/>
          <w:sz w:val="18"/>
        </w:rPr>
        <w:t xml:space="preserve">totaled $(381) million. This consisted of the assessment of Brandon Shores asset group recoverability associated with a decision to deactivate Brandon Shores on June 1, 2025. See Note 10 to the Annual Financial Statements for additional information.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Operating Income (Expense), net</w:t>
      </w:r>
      <w:r>
        <w:rPr>
          <w:color w:val="000000"/>
        </w:rPr>
        <w:t xml:space="preserve"> </w:t>
      </w:r>
      <w:r>
        <w:rPr>
          <w:rFonts w:ascii="Arial;sans-serif" w:hAnsi="Arial;sans-serif"/>
          <w:b w:val="false"/>
          <w:color w:val="000000"/>
          <w:sz w:val="18"/>
        </w:rPr>
        <w:t>totaled $(37) million. This primarily consisted of non-cash charges for fuel inventory net realizable value adjustments. See Note 8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totaled $57 million. This consisted of realized and unrealized gains and losses on debt and equity securities, dividends, and interest income associated with NDT investments. See Notes 9 and 14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totaled $(163) million. This primarily consisted of interest expense incurred on prepetition indebtedness of TES and the LMBE-MC TLB and certain LC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Reorganization Income (Expense), net</w:t>
      </w:r>
      <w:r>
        <w:rPr>
          <w:color w:val="000000"/>
        </w:rPr>
        <w:t xml:space="preserve"> </w:t>
      </w:r>
      <w:r>
        <w:rPr>
          <w:rFonts w:ascii="Arial;sans-serif" w:hAnsi="Arial;sans-serif"/>
          <w:b w:val="false"/>
          <w:color w:val="000000"/>
          <w:sz w:val="18"/>
        </w:rPr>
        <w:t>totaled $799 million. This primarily consisted of: (i) a $1.5 billion gain on debt discharge recognized upon Emergence, partially offset by a $(460) million loss on revaluation adjustments; (ii) $(70) million in backstop commitment letters; (iii) $(84) million in professional fees; (iv) and $(46) million for the write-off of the carrying value of prepetition debt issuance costs. See Note 2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Gain (loss) on Sale of Assets, net</w:t>
      </w:r>
      <w:r>
        <w:rPr>
          <w:color w:val="000000"/>
        </w:rPr>
        <w:t xml:space="preserve"> </w:t>
      </w:r>
      <w:r>
        <w:rPr>
          <w:rFonts w:ascii="Arial;sans-serif" w:hAnsi="Arial;sans-serif"/>
          <w:b w:val="false"/>
          <w:color w:val="000000"/>
          <w:sz w:val="18"/>
        </w:rPr>
        <w:t>totaled $50 million. This primarily consisted of gains due to non-recurring sales during the period. See Note 20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Income Tax Benefit (Expense)</w:t>
      </w:r>
      <w:r>
        <w:rPr>
          <w:color w:val="000000"/>
        </w:rPr>
        <w:t xml:space="preserve"> </w:t>
      </w:r>
      <w:r>
        <w:rPr>
          <w:rFonts w:ascii="Arial;sans-serif" w:hAnsi="Arial;sans-serif"/>
          <w:b w:val="false"/>
          <w:color w:val="000000"/>
          <w:sz w:val="18"/>
        </w:rPr>
        <w:t>totaled $(212) million. This primarily related to federal and state tax expense on pre-tax income, reorganization adjustments, and changes in the valuation allowance. See Note 7 to the Annual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Predecessor Period — Year Ended December 31, 2022</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Net Income (Loss) Attributable to Member totaled $(1.3) billion for the year ended December 31, 2022 (Predecessor). Results were driven by: </w:t>
      </w:r>
    </w:p>
    <w:p>
      <w:pPr>
        <w:pStyle w:val="TextBody"/>
        <w:bidi w:val="0"/>
        <w:spacing w:lineRule="auto" w:line="288" w:before="0" w:after="180"/>
        <w:ind w:left="0" w:right="0" w:hanging="360"/>
        <w:jc w:val="left"/>
        <w:rPr/>
      </w:pPr>
      <w:r>
        <w:rPr>
          <w:color w:val="000000"/>
          <w:shd w:fill="FFFFFF" w:val="clear"/>
        </w:rPr>
        <w:t>•</w:t>
      </w:r>
      <w:r>
        <w:rPr>
          <w:rFonts w:ascii="Arial;sans-serif" w:hAnsi="Arial;sans-serif"/>
          <w:b w:val="false"/>
          <w:i/>
          <w:color w:val="000000"/>
          <w:sz w:val="18"/>
          <w:shd w:fill="FFFFFF" w:val="clear"/>
        </w:rPr>
        <w:t>Capacity Revenues</w:t>
      </w:r>
      <w:r>
        <w:rPr>
          <w:color w:val="000000"/>
          <w:shd w:fill="FFFFFF" w:val="clear"/>
        </w:rPr>
        <w:t xml:space="preserve"> </w:t>
      </w:r>
      <w:r>
        <w:rPr>
          <w:rFonts w:ascii="Arial;sans-serif" w:hAnsi="Arial;sans-serif"/>
          <w:b w:val="false"/>
          <w:color w:val="000000"/>
          <w:sz w:val="18"/>
          <w:shd w:fill="FFFFFF" w:val="clear"/>
        </w:rPr>
        <w:t>totaled $377 million. T</w:t>
      </w:r>
      <w:r>
        <w:rPr>
          <w:rFonts w:ascii="Arial;sans-serif" w:hAnsi="Arial;sans-serif"/>
          <w:b w:val="false"/>
          <w:color w:val="000000"/>
          <w:sz w:val="18"/>
        </w:rPr>
        <w:t>his primarily consisted of earned capacity awards based on resource clearing prices received from the PJM BRAs</w:t>
      </w:r>
      <w:r>
        <w:rPr>
          <w:color w:val="000000"/>
          <w:shd w:fill="FFFFFF" w:val="clear"/>
        </w:rPr>
        <w:t xml:space="preserve"> </w:t>
      </w:r>
      <w:r>
        <w:rPr>
          <w:rFonts w:ascii="Arial;sans-serif" w:hAnsi="Arial;sans-serif"/>
          <w:b w:val="false"/>
          <w:color w:val="000000"/>
          <w:sz w:val="18"/>
          <w:shd w:fill="FFFFFF" w:val="clear"/>
        </w:rPr>
        <w:t xml:space="preserve">for the 2021/2022 and 2022/2023 PJM Capacity Years. </w:t>
      </w:r>
      <w:r>
        <w:rPr>
          <w:rFonts w:ascii="Arial;sans-serif" w:hAnsi="Arial;sans-serif"/>
          <w:b w:val="false"/>
          <w:color w:val="000000"/>
          <w:sz w:val="18"/>
        </w:rPr>
        <w:t>Capacity revenues were negatively impacted by $33 million of net PJM Capacity Performance penalties related to Winter Storm Elliott. See Note 12 to the Annual Financial Statements for additional information on PJM Capacity Performance penalties.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Energy and Other Revenues, net of Fuel and Energy Purchases</w:t>
      </w:r>
      <w:r>
        <w:rPr>
          <w:color w:val="000000"/>
        </w:rPr>
        <w:t xml:space="preserve"> </w:t>
      </w:r>
      <w:r>
        <w:rPr>
          <w:rFonts w:ascii="Arial;sans-serif" w:hAnsi="Arial;sans-serif"/>
          <w:b w:val="false"/>
          <w:color w:val="000000"/>
          <w:sz w:val="18"/>
        </w:rPr>
        <w:t>totaled $1.1 billion. This consisted of: (i) $2.8 billion in third-party wholesale electricity sales and ancillary revenues; (ii) $(513) million in net realized losses from hedging activities; and (iii) $(157) million in losses incurred on early terminated commodity contracts. Such amounts were partially offset by $(1.1) billion in fuel and purchased power costs.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Unrealized Gain (Loss) on Derivative Instruments</w:t>
      </w:r>
      <w:r>
        <w:rPr>
          <w:color w:val="000000"/>
        </w:rPr>
        <w:t xml:space="preserve"> </w:t>
      </w:r>
      <w:r>
        <w:rPr>
          <w:rFonts w:ascii="Arial;sans-serif" w:hAnsi="Arial;sans-serif"/>
          <w:b w:val="false"/>
          <w:color w:val="000000"/>
          <w:sz w:val="18"/>
        </w:rPr>
        <w:t>totaled $625 million gain, net. This consisted of unrealized gains from the reversal of positions previously recognized as mark-to-market liabilities which settled during the period, coupled with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Fuel Amortization</w:t>
      </w:r>
      <w:r>
        <w:rPr>
          <w:color w:val="000000"/>
        </w:rPr>
        <w:t xml:space="preserve"> </w:t>
      </w:r>
      <w:r>
        <w:rPr>
          <w:rFonts w:ascii="Arial;sans-serif" w:hAnsi="Arial;sans-serif"/>
          <w:b w:val="false"/>
          <w:color w:val="000000"/>
          <w:sz w:val="18"/>
        </w:rPr>
        <w:t>totaled $(94) million. This consisted of the periodic expense of nuclear fuel costs capitalized as PP&amp;E.</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Operation, Maintenance and Development</w:t>
      </w:r>
      <w:r>
        <w:rPr>
          <w:color w:val="000000"/>
        </w:rPr>
        <w:t xml:space="preserve"> </w:t>
      </w:r>
      <w:r>
        <w:rPr>
          <w:rFonts w:ascii="Arial;sans-serif" w:hAnsi="Arial;sans-serif"/>
          <w:b w:val="false"/>
          <w:color w:val="000000"/>
          <w:sz w:val="18"/>
        </w:rPr>
        <w:t>totaled $(610) million. This consisted of generation facility operating costs, including employee wages and benefits,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totaled $(520) million. This consisted of depreciation of long-lived PP&amp;E, intangibles, and ARO accretion.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Operational Restructuring</w:t>
      </w:r>
      <w:r>
        <w:rPr>
          <w:color w:val="000000"/>
        </w:rPr>
        <w:t xml:space="preserve"> </w:t>
      </w:r>
      <w:r>
        <w:rPr>
          <w:rFonts w:ascii="Arial;sans-serif" w:hAnsi="Arial;sans-serif"/>
          <w:b w:val="false"/>
          <w:color w:val="000000"/>
          <w:sz w:val="18"/>
        </w:rPr>
        <w:t>totaled $(488) million. This consisted of: (i) a $(453) million loss resulting from charges related to retail power contracts in the PJM market that were rejected in connection with the Reorganization; and (ii) a $(35) million loss primarily due to charges related to long-term service agreements in the ERCOT market that were rejected in connection with the Reorganization.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Operating Income (Expense), net</w:t>
      </w:r>
      <w:r>
        <w:rPr>
          <w:color w:val="000000"/>
        </w:rPr>
        <w:t xml:space="preserve"> </w:t>
      </w:r>
      <w:r>
        <w:rPr>
          <w:rFonts w:ascii="Arial;sans-serif" w:hAnsi="Arial;sans-serif"/>
          <w:b w:val="false"/>
          <w:color w:val="000000"/>
          <w:sz w:val="18"/>
        </w:rPr>
        <w:t>totaled $(40) million. This primarily consisted of: (i) $(17) million of expenses related to environmental liability revisions in the PJM market; and (ii) $(18) million for the estimated costs of a legal settlement.</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totaled $(184) million. This consisted of realized and unrealized gains and losses on debt and equity securities, dividends, and interest income associated with NDT investments. See Notes 9 and 14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totaled $(359) million. This primarily consisted of interest expense incurred on prepetition indebtedness of TES and the LMBE-MC TLB and certain LC fees.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Reorganization Income (Expense), net</w:t>
      </w:r>
      <w:r>
        <w:rPr>
          <w:color w:val="000000"/>
        </w:rPr>
        <w:t xml:space="preserve"> </w:t>
      </w:r>
      <w:r>
        <w:rPr>
          <w:rFonts w:ascii="Arial;sans-serif" w:hAnsi="Arial;sans-serif"/>
          <w:b w:val="false"/>
          <w:color w:val="000000"/>
          <w:sz w:val="18"/>
        </w:rPr>
        <w:t>totaled $(812) million. This consisted of (i) $(310) million in backstop commitment letter premium; (ii) $(210) million for professional fees related to the Restructuring; (iii) $(183) million for make-whole premiums and accrued interest on certain indebtedness; (iv) $(70) million for professional fees incurred to obtain the debtor-in-possession credit agreements; and (v) $(30) million for the write-off of the carrying value of prepetition debt issuance costs.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Consolidation of Subsidiary Gain (Loss)</w:t>
      </w:r>
      <w:r>
        <w:rPr>
          <w:color w:val="000000"/>
        </w:rPr>
        <w:t xml:space="preserve"> </w:t>
      </w:r>
      <w:r>
        <w:rPr>
          <w:rFonts w:ascii="Arial;sans-serif" w:hAnsi="Arial;sans-serif"/>
          <w:b w:val="false"/>
          <w:color w:val="000000"/>
          <w:sz w:val="18"/>
        </w:rPr>
        <w:t>totaled $(170) million. This consisted of losses recognized from the consolidation of Cumulus Digital due to a change of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Non-Operating Income (Expense), net</w:t>
      </w:r>
      <w:r>
        <w:rPr>
          <w:color w:val="000000"/>
        </w:rPr>
        <w:t xml:space="preserve"> </w:t>
      </w:r>
      <w:r>
        <w:rPr>
          <w:rFonts w:ascii="Arial;sans-serif" w:hAnsi="Arial;sans-serif"/>
          <w:b w:val="false"/>
          <w:color w:val="000000"/>
          <w:sz w:val="18"/>
        </w:rPr>
        <w:t>totaled $(44) million. This primarily consisted of non-recurring corporate professional fees associated with liability and other management initiatives.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Income Tax Benefit (Expense)</w:t>
      </w:r>
      <w:r>
        <w:rPr>
          <w:color w:val="000000"/>
        </w:rPr>
        <w:t xml:space="preserve"> </w:t>
      </w:r>
      <w:r>
        <w:rPr>
          <w:rFonts w:ascii="Arial;sans-serif" w:hAnsi="Arial;sans-serif"/>
          <w:b w:val="false"/>
          <w:color w:val="000000"/>
          <w:sz w:val="18"/>
        </w:rPr>
        <w:t>totaled $35 million. This primarily related to federal and state tax benefit on pre-tax loss, changes in the valuation allowance, and non-deductible transaction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liquidity and capital requirements are generally a function of: (i) debt service requirements; (ii) capital expenditures; (iii) maintenance activities; (iv) liquidity requirements for our hedging activities including cash collateral and other forms of credit support; (v) legacy environmental obligations; (vi) other working capital requirements; and (or) (vii) discretionary expenditures, including share repurchase activities.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we now have lower overall hedging needs given the cash-flow stability afforded by the Nuclear PTC (which provides a built-in hedging apparatus through the tax credit) and significantly reduced debt service requirements following the Restructuring and subsequent refinancing transactions.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the following Notes to the Annual Financial Statements for additional information on liquidity topics discussed below: Note 5 for derivatives and hedging, Note 11 for AROs and environmental obligations, Note 13 for long-term debt and credit facilities, and Note 19 for supplemental cash flow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Liquidity and Letter of Credit Capacity</w:t>
      </w:r>
    </w:p>
    <w:tbl>
      <w:tblPr>
        <w:tblW w:w="6907" w:type="dxa"/>
        <w:jc w:val="left"/>
        <w:tblInd w:w="0" w:type="dxa"/>
        <w:tblLayout w:type="fixed"/>
        <w:tblCellMar>
          <w:top w:w="28" w:type="dxa"/>
          <w:left w:w="28" w:type="dxa"/>
          <w:bottom w:w="28" w:type="dxa"/>
          <w:right w:w="28" w:type="dxa"/>
        </w:tblCellMar>
      </w:tblPr>
      <w:tblGrid>
        <w:gridCol w:w="1108"/>
        <w:gridCol w:w="972"/>
        <w:gridCol w:w="979"/>
        <w:gridCol w:w="109"/>
        <w:gridCol w:w="109"/>
        <w:gridCol w:w="109"/>
        <w:gridCol w:w="351"/>
        <w:gridCol w:w="1026"/>
        <w:gridCol w:w="197"/>
        <w:gridCol w:w="109"/>
        <w:gridCol w:w="109"/>
        <w:gridCol w:w="109"/>
        <w:gridCol w:w="344"/>
        <w:gridCol w:w="1004"/>
        <w:gridCol w:w="272"/>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unrestricted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Unutilized RCF capacity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300" w:after="283"/>
              <w:jc w:val="left"/>
              <w:rPr>
                <w:rFonts w:ascii="Arial;sans-serif" w:hAnsi="Arial;sans-serif"/>
                <w:b/>
                <w:color w:val="000000"/>
                <w:sz w:val="16"/>
              </w:rPr>
            </w:pPr>
            <w:r>
              <w:rPr>
                <w:rFonts w:ascii="Arial;sans-serif" w:hAnsi="Arial;sans-serif"/>
                <w:b/>
                <w:color w:val="000000"/>
                <w:sz w:val="16"/>
              </w:rPr>
              <w:t xml:space="preserve">Total available liquidity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1,028</w:t>
            </w:r>
            <w:r>
              <w:rPr>
                <w:color w:val="000000"/>
              </w:rPr>
              <w:t>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300" w:after="283"/>
              <w:jc w:val="left"/>
              <w:rPr/>
            </w:pPr>
            <w:r>
              <w:rPr>
                <w:rFonts w:ascii="Arial;sans-serif" w:hAnsi="Arial;sans-serif"/>
                <w:b/>
                <w:color w:val="000000"/>
                <w:sz w:val="16"/>
              </w:rPr>
              <w:t xml:space="preserve">Additional unutilized LC capacity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526</w:t>
            </w:r>
            <w:r>
              <w:rPr>
                <w:color w:val="000000"/>
              </w:rPr>
              <w:t> </w:t>
            </w:r>
          </w:p>
        </w:tc>
        <w:tc>
          <w:tcPr>
            <w:tcW w:w="197"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72"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(a)As of December 31, 2024 (Successor), all RCF committed capacity can be used for direct cash borrowings and (or) LCs. As of December 31, 2023 (Successor). All RCF committed capacity could be used for direct cash borrowings and up to $475 million of such capacity could be used for LCs.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(b)Excludes LC capacity available under the RCF. Includes (i) LC capacity under the LCF as of December 31, 2024 (Successor); and (ii) aggregate LC capacity under the TLC LCF and Bilateral LCF as of December 31, 2023 (Successor).</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13 to the Annual Financial Statements for additional information on the RCF and the issuance of the LCF and termination of the TLC LCF and Bilateral LCF in December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Guarantees and Other Assurances</w:t>
      </w:r>
    </w:p>
    <w:p>
      <w:pPr>
        <w:pStyle w:val="TextBody"/>
        <w:bidi w:val="0"/>
        <w:spacing w:lineRule="auto" w:line="288" w:before="0" w:after="180"/>
        <w:jc w:val="left"/>
        <w:rPr/>
      </w:pPr>
      <w:r>
        <w:rPr>
          <w:rFonts w:ascii="Arial;sans-serif" w:hAnsi="Arial;sans-serif"/>
          <w:b w:val="false"/>
          <w:i/>
          <w:color w:val="000000"/>
          <w:sz w:val="18"/>
        </w:rPr>
        <w:t>Guarantees of Subsidiary Obligations.</w:t>
      </w:r>
      <w:r>
        <w:rPr>
          <w:color w:val="000000"/>
        </w:rPr>
        <w:t xml:space="preserve"> </w:t>
      </w:r>
      <w:r>
        <w:rPr>
          <w:rFonts w:ascii="Arial;sans-serif" w:hAnsi="Arial;sans-serif"/>
          <w:b w:val="false"/>
          <w:color w:val="000000"/>
          <w:sz w:val="18"/>
        </w:rPr>
        <w:t>TES guarantees certain agreements and obligations for its subsidiaries. Certain agreements may contingently require payments to a guaranteed or indemnified party. See Note 12 to the Annual Financial Statements for additional information on guarantees.</w:t>
      </w:r>
    </w:p>
    <w:p>
      <w:pPr>
        <w:pStyle w:val="TextBody"/>
        <w:bidi w:val="0"/>
        <w:spacing w:lineRule="auto" w:line="288" w:before="0" w:after="180"/>
        <w:jc w:val="left"/>
        <w:rPr/>
      </w:pPr>
      <w:r>
        <w:rPr>
          <w:rFonts w:ascii="Arial;sans-serif" w:hAnsi="Arial;sans-serif"/>
          <w:b w:val="false"/>
          <w:i/>
          <w:color w:val="000000"/>
          <w:sz w:val="18"/>
        </w:rPr>
        <w:t>Financial Performance Assurances.</w:t>
      </w:r>
      <w:r>
        <w:rPr>
          <w:color w:val="000000"/>
        </w:rPr>
        <w:t xml:space="preserve"> </w:t>
      </w:r>
      <w:r>
        <w:rPr>
          <w:rFonts w:ascii="Arial;sans-serif" w:hAnsi="Arial;sans-serif"/>
          <w:b w:val="false"/>
          <w:color w:val="000000"/>
          <w:sz w:val="18"/>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tbl>
      <w:tblPr>
        <w:tblW w:w="5858"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425"/>
        <w:gridCol w:w="913"/>
        <w:gridCol w:w="237"/>
        <w:gridCol w:w="109"/>
        <w:gridCol w:w="109"/>
        <w:gridCol w:w="109"/>
        <w:gridCol w:w="411"/>
        <w:gridCol w:w="884"/>
        <w:gridCol w:w="325"/>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00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surety bonds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23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3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Forecasted Uses of Cash</w:t>
      </w:r>
    </w:p>
    <w:p>
      <w:pPr>
        <w:pStyle w:val="TextBody"/>
        <w:bidi w:val="0"/>
        <w:spacing w:lineRule="auto" w:line="288" w:before="0" w:after="180"/>
        <w:jc w:val="left"/>
        <w:rPr/>
      </w:pPr>
      <w:r>
        <w:rPr>
          <w:rFonts w:ascii="Arial;sans-serif" w:hAnsi="Arial;sans-serif"/>
          <w:b w:val="false"/>
          <w:i/>
          <w:color w:val="000000"/>
          <w:sz w:val="18"/>
        </w:rPr>
        <w:t>Capital Expenditures.</w:t>
      </w:r>
      <w:r>
        <w:rPr>
          <w:color w:val="000000"/>
        </w:rPr>
        <w:t xml:space="preserve"> </w:t>
      </w:r>
      <w:r>
        <w:rPr>
          <w:rFonts w:ascii="Arial;sans-serif" w:hAnsi="Arial;sans-serif"/>
          <w:b w:val="false"/>
          <w:color w:val="000000"/>
          <w:sz w:val="18"/>
        </w:rPr>
        <w:t>Capital expenditure plans are revised periodically for changes in operational needs, market conditions, regulatory requirements, and cost projections. Accordingly, the expected cash requirements for capital expenditures are subject to revision.</w:t>
      </w:r>
    </w:p>
    <w:tbl>
      <w:tblPr>
        <w:tblW w:w="4520" w:type="dxa"/>
        <w:jc w:val="left"/>
        <w:tblInd w:w="0" w:type="dxa"/>
        <w:tblLayout w:type="fixed"/>
        <w:tblCellMar>
          <w:top w:w="28" w:type="dxa"/>
          <w:left w:w="28" w:type="dxa"/>
          <w:bottom w:w="28" w:type="dxa"/>
          <w:right w:w="28" w:type="dxa"/>
        </w:tblCellMar>
      </w:tblPr>
      <w:tblGrid>
        <w:gridCol w:w="847"/>
        <w:gridCol w:w="745"/>
        <w:gridCol w:w="747"/>
        <w:gridCol w:w="109"/>
        <w:gridCol w:w="109"/>
        <w:gridCol w:w="109"/>
        <w:gridCol w:w="196"/>
        <w:gridCol w:w="436"/>
        <w:gridCol w:w="109"/>
        <w:gridCol w:w="109"/>
        <w:gridCol w:w="109"/>
        <w:gridCol w:w="109"/>
        <w:gridCol w:w="196"/>
        <w:gridCol w:w="43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2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nuclear generation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fossil generation facilities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(a)Expected capitalized interest on capital expenditures is a non-material amount in 2025 and 2026.</w:t>
      </w:r>
    </w:p>
    <w:p>
      <w:pPr>
        <w:pStyle w:val="TextBody"/>
        <w:bidi w:val="0"/>
        <w:spacing w:lineRule="auto" w:line="288" w:before="0" w:after="180"/>
        <w:jc w:val="left"/>
        <w:rPr/>
      </w:pPr>
      <w:r>
        <w:rPr>
          <w:rFonts w:ascii="Arial;sans-serif" w:hAnsi="Arial;sans-serif"/>
          <w:b w:val="false"/>
          <w:i/>
          <w:color w:val="000000"/>
          <w:sz w:val="18"/>
        </w:rPr>
        <w:t>Projected ARO and Accrued Environmental Liability Cash Flows.</w:t>
      </w:r>
      <w:r>
        <w:rPr>
          <w:color w:val="000000"/>
        </w:rPr>
        <w:t xml:space="preserve"> </w:t>
      </w:r>
      <w:r>
        <w:rPr>
          <w:rFonts w:ascii="Arial;sans-serif" w:hAnsi="Arial;sans-serif"/>
          <w:b w:val="false"/>
          <w:color w:val="000000"/>
          <w:sz w:val="18"/>
        </w:rPr>
        <w:t>Certain of our subsidiaries have legal obligations to perform significant decommissioning and remediation activities associated with current operations and (or) at former generation facility sites. Our projected undiscounted spending on AROs and environmental liabilities is presented in the table below. The majority of the estimated non-nuclear spend is related to ash impoundments at Colstrip and Brunner Island. Beginning in 2025, we expect to increase our remediation spend associated with our obligations at Colstrip. The carrying value of these obligations includes certain assumptions, including a rate of inflation of 2.50%. Projections are subject to revision based on changes in estimated inflation rates, changes in the estimated timing of settling AROs, and escalating retirement costs. Susquehanna’s AROs are expected to be settled with funds available from the NDT at the time of decommissioning. See Note 11 to the Annual Financial Statements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 expected undiscounted payments are estimated to be:</w:t>
      </w:r>
    </w:p>
    <w:tbl>
      <w:tblPr>
        <w:tblW w:w="9045" w:type="dxa"/>
        <w:jc w:val="left"/>
        <w:tblInd w:w="0" w:type="dxa"/>
        <w:tblLayout w:type="fixed"/>
        <w:tblCellMar>
          <w:top w:w="28" w:type="dxa"/>
          <w:left w:w="28" w:type="dxa"/>
          <w:bottom w:w="28" w:type="dxa"/>
          <w:right w:w="28" w:type="dxa"/>
        </w:tblCellMar>
      </w:tblPr>
      <w:tblGrid>
        <w:gridCol w:w="879"/>
        <w:gridCol w:w="773"/>
        <w:gridCol w:w="777"/>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09"/>
        <w:gridCol w:w="109"/>
        <w:gridCol w:w="282"/>
        <w:gridCol w:w="476"/>
        <w:gridCol w:w="158"/>
        <w:gridCol w:w="109"/>
        <w:gridCol w:w="109"/>
        <w:gridCol w:w="109"/>
        <w:gridCol w:w="196"/>
        <w:gridCol w:w="331"/>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Total</w:t>
            </w:r>
          </w:p>
        </w:tc>
      </w:tr>
      <w:tr>
        <w:trPr/>
        <w:tc>
          <w:tcPr>
            <w:tcW w:w="24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environmental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Non-nuclear AROs </w:t>
            </w:r>
            <w:r>
              <w:rPr>
                <w:rFonts w:ascii="Arial;sans-serif" w:hAnsi="Arial;sans-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5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(a)Certain obligations are: (i) partially supported by surety bonds, some of which have been collateralized with cash and (or) LCs; or (ii) partially prefunded under phased installment agreements.</w:t>
      </w:r>
    </w:p>
    <w:p>
      <w:pPr>
        <w:pStyle w:val="TextBody"/>
        <w:bidi w:val="0"/>
        <w:spacing w:lineRule="auto" w:line="288" w:before="0" w:after="180"/>
        <w:jc w:val="left"/>
        <w:rPr/>
      </w:pPr>
      <w:r>
        <w:rPr>
          <w:rFonts w:ascii="Arial;sans-serif" w:hAnsi="Arial;sans-serif"/>
          <w:b w:val="false"/>
          <w:i/>
          <w:color w:val="000000"/>
          <w:sz w:val="18"/>
        </w:rPr>
        <w:t xml:space="preserve">Indebtedness. </w:t>
      </w:r>
      <w:r>
        <w:rPr>
          <w:rFonts w:ascii="Arial;sans-serif" w:hAnsi="Arial;sans-serif"/>
          <w:b w:val="false"/>
          <w:color w:val="000000"/>
          <w:sz w:val="18"/>
        </w:rPr>
        <w:t>See Note 13 to the Annual Financial Statements and “—Recent Developments—Financing Transactions” above for additional information on our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Cash Flow Activities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net cash provided by (used in) operating, investing, and financing activities for the periods were:</w:t>
      </w:r>
    </w:p>
    <w:tbl>
      <w:tblPr>
        <w:tblW w:w="10205" w:type="dxa"/>
        <w:jc w:val="left"/>
        <w:tblInd w:w="0" w:type="dxa"/>
        <w:tblLayout w:type="fixed"/>
        <w:tblCellMar>
          <w:top w:w="28" w:type="dxa"/>
          <w:left w:w="28" w:type="dxa"/>
          <w:bottom w:w="28" w:type="dxa"/>
          <w:right w:w="28" w:type="dxa"/>
        </w:tblCellMar>
      </w:tblPr>
      <w:tblGrid>
        <w:gridCol w:w="437"/>
        <w:gridCol w:w="386"/>
        <w:gridCol w:w="387"/>
        <w:gridCol w:w="109"/>
        <w:gridCol w:w="109"/>
        <w:gridCol w:w="109"/>
        <w:gridCol w:w="482"/>
        <w:gridCol w:w="1037"/>
        <w:gridCol w:w="270"/>
        <w:gridCol w:w="109"/>
        <w:gridCol w:w="109"/>
        <w:gridCol w:w="109"/>
        <w:gridCol w:w="531"/>
        <w:gridCol w:w="1142"/>
        <w:gridCol w:w="297"/>
        <w:gridCol w:w="109"/>
        <w:gridCol w:w="109"/>
        <w:gridCol w:w="109"/>
        <w:gridCol w:w="109"/>
        <w:gridCol w:w="109"/>
        <w:gridCol w:w="109"/>
        <w:gridCol w:w="474"/>
        <w:gridCol w:w="1021"/>
        <w:gridCol w:w="267"/>
        <w:gridCol w:w="109"/>
        <w:gridCol w:w="109"/>
        <w:gridCol w:w="109"/>
        <w:gridCol w:w="465"/>
        <w:gridCol w:w="1001"/>
        <w:gridCol w:w="373"/>
      </w:tblGrid>
      <w:tr>
        <w:trPr/>
        <w:tc>
          <w:tcPr>
            <w:tcW w:w="4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121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2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2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3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(1,963)</w:t>
            </w:r>
          </w:p>
        </w:tc>
        <w:tc>
          <w:tcPr>
            <w:tcW w:w="27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9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26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37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Successor Period — Year Ended December 31, 2024</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Cash Flows</w:t>
      </w:r>
      <w:r>
        <w:rPr>
          <w:rFonts w:ascii="Arial;sans-serif" w:hAnsi="Arial;sans-serif"/>
          <w:b w:val="false"/>
          <w:i/>
          <w:color w:val="000000"/>
          <w:sz w:val="20"/>
        </w:rPr>
        <w:t>.</w:t>
      </w:r>
      <w:r>
        <w:rPr>
          <w:color w:val="000000"/>
        </w:rPr>
        <w:t xml:space="preserve"> </w:t>
      </w:r>
      <w:r>
        <w:rPr>
          <w:rFonts w:ascii="Arial;sans-serif" w:hAnsi="Arial;sans-serif"/>
          <w:b w:val="false"/>
          <w:color w:val="000000"/>
          <w:sz w:val="18"/>
        </w:rPr>
        <w:t>Cash provided by operating activities totaled $256 million.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Investing Cash Flows.</w:t>
      </w:r>
      <w:r>
        <w:rPr>
          <w:color w:val="000000"/>
        </w:rPr>
        <w:t xml:space="preserve"> </w:t>
      </w:r>
      <w:r>
        <w:rPr>
          <w:rFonts w:ascii="Arial;sans-serif" w:hAnsi="Arial;sans-serif"/>
          <w:b w:val="false"/>
          <w:color w:val="000000"/>
          <w:sz w:val="18"/>
        </w:rPr>
        <w:t>Cash provided by investing activities totaled $1.2 billion. This primarily consisted of $635 million of proceeds from the AWS Data Campus Sale and $763 million of proceeds from the ERCOT Sale. Such amounts were partially offset by: (i) net NDT fund investments of $(32) million; and (ii) capital expenditures of $(189) million, which primarily consisted of $(104) million for nuclear fuel and $(85) million for PP&amp;E. See Note 20 to the Annual Financial Statements for additional information on the AWS Data Campus Sale and the ERCOT Sale.</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Financing Cash Flows.</w:t>
      </w:r>
      <w:r>
        <w:rPr>
          <w:color w:val="000000"/>
        </w:rPr>
        <w:t xml:space="preserve"> </w:t>
      </w:r>
      <w:r>
        <w:rPr>
          <w:rFonts w:ascii="Arial;sans-serif" w:hAnsi="Arial;sans-serif"/>
          <w:b w:val="false"/>
          <w:color w:val="000000"/>
          <w:sz w:val="18"/>
        </w:rPr>
        <w:t>Cash used in financing activities totaled $(2.0) billion. This primarily consisted of: (i) $(2.0) billion for share repurchases; (ii) $(479) million to repay the TLC; (iii) $(182) million for the repayment of the Cumulus Digital TLF; (iv) $(125) million for the repurchases of noncontrolling interests (a) in Cumulus Digital from affiliates of Orion Energy Partners and two former members of Talen senior management, and (b) in Nautilus from TeraWulf; and (v) $(32) million to settle vested restricted stock units in cash. Such amounts were partially offset by $849 million in proceeds from the issuance of new debt. See Notes 13 and 18 to the Annual Financial Statements and “—Recent Developments” above for additional information on debt transactions and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Successor Period — May 18 through December 31, 2023</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Cash Flows.</w:t>
      </w:r>
      <w:r>
        <w:rPr>
          <w:color w:val="000000"/>
        </w:rPr>
        <w:t xml:space="preserve"> </w:t>
      </w:r>
      <w:r>
        <w:rPr>
          <w:rFonts w:ascii="Arial;sans-serif" w:hAnsi="Arial;sans-serif"/>
          <w:b w:val="false"/>
          <w:color w:val="000000"/>
          <w:sz w:val="18"/>
        </w:rPr>
        <w:t>Cash provided by operating activities totaled $402 million. This primarily consisted of: (i) cash provided from operations; and (ii) the net receipt of $104 million related to the settlement of the PPL/Talen Montana litigation. See Note 12 to the Annual Financial Statements for additional information on the PPL/Talen Montana settlement.</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Investing Cash Flows</w:t>
      </w:r>
      <w:r>
        <w:rPr>
          <w:rFonts w:ascii="Arial;sans-serif" w:hAnsi="Arial;sans-serif"/>
          <w:b w:val="false"/>
          <w:color w:val="000000"/>
          <w:sz w:val="18"/>
        </w:rPr>
        <w:t>. Cash used in investing activities totaled $(171) million. This primarily consisted of capital expenditures totaling $(161) million, which consisted of: (i) $(116) million for then-current projects, including the Montour gas conversion project and the AWS Data Campus; and (ii) $(45) million related to nuclear fuel expenditures, as we purchased uranium for needs in future periods.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Financing Cash Flows.</w:t>
      </w:r>
      <w:r>
        <w:rPr>
          <w:color w:val="000000"/>
        </w:rPr>
        <w:t xml:space="preserve"> </w:t>
      </w:r>
      <w:r>
        <w:rPr>
          <w:rFonts w:ascii="Arial;sans-serif" w:hAnsi="Arial;sans-serif"/>
          <w:b w:val="false"/>
          <w:color w:val="000000"/>
          <w:sz w:val="18"/>
        </w:rPr>
        <w:t>Cash used by financing activities totaled $(84) million. This primarily consisted of $(59) million for payments to former affiliates to settle warrants and to repurchase affiliates’ noncontrolling interests in Cumulus Digital.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Predecessor Period — January 1 through May 17, 2023</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Cash Flows.</w:t>
      </w:r>
      <w:r>
        <w:rPr>
          <w:color w:val="000000"/>
        </w:rPr>
        <w:t xml:space="preserve"> </w:t>
      </w:r>
      <w:r>
        <w:rPr>
          <w:rFonts w:ascii="Arial;sans-serif" w:hAnsi="Arial;sans-serif"/>
          <w:b w:val="false"/>
          <w:color w:val="000000"/>
          <w:sz w:val="18"/>
        </w:rPr>
        <w:t>Cash provided by operating activities totaled $462 million.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Investing Cash Flows.</w:t>
      </w:r>
      <w:r>
        <w:rPr>
          <w:color w:val="000000"/>
        </w:rPr>
        <w:t xml:space="preserve"> </w:t>
      </w:r>
      <w:r>
        <w:rPr>
          <w:rFonts w:ascii="Arial;sans-serif" w:hAnsi="Arial;sans-serif"/>
          <w:b w:val="false"/>
          <w:color w:val="000000"/>
          <w:sz w:val="18"/>
        </w:rPr>
        <w:t>Cash used in investing activities totaled $(157) million. This primarily consisted of capital expenditures totaling $(187) million, which consisted of: (i) $(138) million for then-current projects, including the Montour gas conversion project, the AWS Data Campus, the Nautilus cryptocurrency project, and projects at Susquehanna; and (ii) $(49) million related to nuclear fuel expenditures. Such amounts were offset by $46 million in proceeds from the sale of assets.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Financing Cash Flows.</w:t>
      </w:r>
      <w:r>
        <w:rPr>
          <w:color w:val="000000"/>
        </w:rPr>
        <w:t xml:space="preserve"> </w:t>
      </w:r>
      <w:r>
        <w:rPr>
          <w:rFonts w:ascii="Arial;sans-serif" w:hAnsi="Arial;sans-serif"/>
          <w:b w:val="false"/>
          <w:color w:val="000000"/>
          <w:sz w:val="18"/>
        </w:rPr>
        <w:t>Cash used in financing activities totaled $(539) million. This primarily consisted of the net effect of issuances and repayments of prepetition debt and make-whole premiums of about $(1.9) billion net cash outflow, partially offset by $1.4 billion cash inflow for a contribution from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Predecessor Period — Year Ended December 31, 2022</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Cash Flows.</w:t>
      </w:r>
      <w:r>
        <w:rPr>
          <w:color w:val="000000"/>
        </w:rPr>
        <w:t xml:space="preserve"> </w:t>
      </w:r>
      <w:r>
        <w:rPr>
          <w:rFonts w:ascii="Arial;sans-serif" w:hAnsi="Arial;sans-serif"/>
          <w:b w:val="false"/>
          <w:color w:val="000000"/>
          <w:sz w:val="18"/>
        </w:rPr>
        <w:t>Cash provided by operating activities totaled $187 million.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Investing Cash Flows.</w:t>
      </w:r>
      <w:r>
        <w:rPr>
          <w:color w:val="000000"/>
        </w:rPr>
        <w:t xml:space="preserve"> </w:t>
      </w:r>
      <w:r>
        <w:rPr>
          <w:rFonts w:ascii="Arial;sans-serif" w:hAnsi="Arial;sans-serif"/>
          <w:b w:val="false"/>
          <w:color w:val="000000"/>
          <w:sz w:val="18"/>
        </w:rPr>
        <w:t>Cash used in investing activities totaled $(368) million. This primarily consisted of: (i) capital expenditures totaling</w:t>
      </w:r>
      <w:r>
        <w:rPr>
          <w:color w:val="000000"/>
          <w:shd w:fill="FFFFFF" w:val="clear"/>
        </w:rPr>
        <w:t xml:space="preserve"> </w:t>
      </w:r>
      <w:r>
        <w:rPr>
          <w:rFonts w:ascii="Arial;sans-serif" w:hAnsi="Arial;sans-serif"/>
          <w:b w:val="false"/>
          <w:color w:val="000000"/>
          <w:sz w:val="18"/>
        </w:rPr>
        <w:t>$(312) million, which consisted of: (a) $(232) million for then-current projects, including the Montour gas conversion project and projects at Susquehanna, and (b) $(80) million related to nuclear fuel expenditures; and (ii) $(162) million in equity investments in affiliates. Such amounts were offset by a $123 million increase to cash due to the consolidation of Cumulus Digital.</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Financing Cash Flows.</w:t>
      </w:r>
      <w:r>
        <w:rPr>
          <w:color w:val="000000"/>
        </w:rPr>
        <w:t xml:space="preserve"> </w:t>
      </w:r>
      <w:r>
        <w:rPr>
          <w:rFonts w:ascii="Arial;sans-serif" w:hAnsi="Arial;sans-serif"/>
          <w:b w:val="false"/>
          <w:color w:val="000000"/>
          <w:sz w:val="18"/>
        </w:rPr>
        <w:t>Cash used in financing activities totaled $426 million. This primarily consisted of net proceeds from debtor-in-possession credit facilities of $987 million, after discount and debt issuance costs, partially offset by: (i) repayments on prepetition deferred capacity obligations and inventory repurchase obligations of $(341) million; (ii) $(104) million related to terminations of certain derivative contracts; (iii) $(59) million of deferred financing costs; and (iv) $(52) million related payments of the LMBE-MC TLB.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 of “Net Income (Loss)” presented on the Consolidated Statements of Operations to the non-GAAP financial measure of Adjusted EBITDA:</w:t>
      </w:r>
    </w:p>
    <w:tbl>
      <w:tblPr>
        <w:tblW w:w="10205" w:type="dxa"/>
        <w:jc w:val="left"/>
        <w:tblInd w:w="0" w:type="dxa"/>
        <w:tblLayout w:type="fixed"/>
        <w:tblCellMar>
          <w:top w:w="28" w:type="dxa"/>
          <w:left w:w="28" w:type="dxa"/>
          <w:bottom w:w="28" w:type="dxa"/>
          <w:right w:w="28" w:type="dxa"/>
        </w:tblCellMar>
      </w:tblPr>
      <w:tblGrid>
        <w:gridCol w:w="1144"/>
        <w:gridCol w:w="813"/>
        <w:gridCol w:w="661"/>
        <w:gridCol w:w="109"/>
        <w:gridCol w:w="109"/>
        <w:gridCol w:w="109"/>
        <w:gridCol w:w="109"/>
        <w:gridCol w:w="109"/>
        <w:gridCol w:w="109"/>
        <w:gridCol w:w="109"/>
        <w:gridCol w:w="310"/>
        <w:gridCol w:w="880"/>
        <w:gridCol w:w="174"/>
        <w:gridCol w:w="109"/>
        <w:gridCol w:w="109"/>
        <w:gridCol w:w="109"/>
        <w:gridCol w:w="385"/>
        <w:gridCol w:w="858"/>
        <w:gridCol w:w="215"/>
        <w:gridCol w:w="109"/>
        <w:gridCol w:w="109"/>
        <w:gridCol w:w="109"/>
        <w:gridCol w:w="109"/>
        <w:gridCol w:w="109"/>
        <w:gridCol w:w="109"/>
        <w:gridCol w:w="337"/>
        <w:gridCol w:w="751"/>
        <w:gridCol w:w="190"/>
        <w:gridCol w:w="109"/>
        <w:gridCol w:w="109"/>
        <w:gridCol w:w="109"/>
        <w:gridCol w:w="286"/>
        <w:gridCol w:w="898"/>
        <w:gridCol w:w="232"/>
      </w:tblGrid>
      <w:tr>
        <w:trPr/>
        <w:tc>
          <w:tcPr>
            <w:tcW w:w="114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61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7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9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Reorganization (gain) loss, net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loss on asset sales, net</w:t>
            </w:r>
            <w:r>
              <w:rPr>
                <w:color w:val="000000"/>
              </w:rPr>
              <w:t xml:space="preserve">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impairments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Legal settlements and litigation costs</w:t>
            </w:r>
            <w:r>
              <w:rPr>
                <w:color w:val="000000"/>
              </w:rPr>
              <w:t xml:space="preserve"> </w:t>
            </w:r>
            <w:r>
              <w:rPr>
                <w:rFonts w:ascii="Arial;sans-serif" w:hAnsi="Arial;sans-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Unusual market events </w:t>
            </w:r>
            <w:r>
              <w:rPr>
                <w:rFonts w:ascii="Arial;sans-serif" w:hAnsi="Arial;sans-serif"/>
                <w:b w:val="false"/>
                <w:color w:val="000000"/>
                <w:sz w:val="10"/>
              </w:rPr>
              <w:t>(d)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periodic defined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88" w:before="43" w:after="20"/>
              <w:jc w:val="left"/>
              <w:rPr/>
            </w:pPr>
            <w:r>
              <w:rPr>
                <w:rFonts w:ascii="Arial;sans-serif" w:hAnsi="Arial;sans-serif"/>
                <w:b w:val="false"/>
                <w:color w:val="000000"/>
                <w:sz w:val="16"/>
              </w:rPr>
              <w:t xml:space="preserve">Operational and other restructuring activities </w:t>
            </w:r>
            <w:r>
              <w:rPr>
                <w:rFonts w:ascii="Arial;sans-serif" w:hAnsi="Arial;sans-serif"/>
                <w:b w:val="false"/>
                <w:color w:val="000000"/>
                <w:sz w:val="10"/>
              </w:rPr>
              <w:t>(e) (f) (g)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88" w:before="43" w:after="20"/>
              <w:ind w:left="0" w:right="0" w:hanging="90"/>
              <w:jc w:val="left"/>
              <w:rPr/>
            </w:pPr>
            <w:r>
              <w:rPr>
                <w:rFonts w:ascii="Arial;sans-serif" w:hAnsi="Arial;sans-serif"/>
                <w:b w:val="false"/>
                <w:color w:val="000000"/>
                <w:sz w:val="16"/>
              </w:rPr>
              <w:t xml:space="preserve">Non-cash inventory net realizable value, obsolescence, and other charges </w:t>
            </w:r>
            <w:r>
              <w:rPr>
                <w:rFonts w:ascii="Arial;sans-serif" w:hAnsi="Arial;sans-serif"/>
                <w:b w:val="false"/>
                <w:color w:val="000000"/>
                <w:sz w:val="10"/>
              </w:rPr>
              <w:t>(h)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Consolidation of subsidiary (gain) loss,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770</w:t>
            </w:r>
            <w:r>
              <w:rPr>
                <w:color w:val="000000"/>
              </w:rPr>
              <w:t> </w:t>
            </w:r>
          </w:p>
        </w:tc>
        <w:tc>
          <w:tcPr>
            <w:tcW w:w="17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2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695</w:t>
            </w:r>
            <w:r>
              <w:rPr>
                <w:color w:val="000000"/>
              </w:rPr>
              <w:t> </w:t>
            </w:r>
          </w:p>
        </w:tc>
        <w:tc>
          <w:tcPr>
            <w:tcW w:w="19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1,015</w:t>
            </w:r>
            <w:r>
              <w:rPr>
                <w:color w:val="000000"/>
              </w:rPr>
              <w:t> </w:t>
            </w:r>
          </w:p>
        </w:tc>
        <w:tc>
          <w:tcPr>
            <w:tcW w:w="23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(a)See Note 4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(b)See Note 20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(c)See Note 10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(d)See Note 12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(e)The year ended December 31, 2024 (Successor) primarily includes the effects of nonrecurring ERCOT hedge settlements that occurred after the ERCOT Sale and severance payments associated with cost reduction initiatives.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(f)The periods from May 18 through December 31, 2023 (Successor) and from January 1 through May 17, 2023 (Predecessor) include the effects of nonrecurring costs associated with exit from the Restructuring, severance costs associated with cost reduction initiatives, and nonrecurring post-Restructuring strategic initiative costs.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(g)The year ended December 31, 2022 (Predecessor) includes non-cash charges for retail contracts terminated in connection with the Restructuring. See Note 4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(h)See Note 8 to the Annual Financial Statements for additional information.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Financial statements prepared in conformity with GAAP require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the inherent uncertainties of future events which exist to such an extent that there is a reasonable likelihood that materially different amounts would have been reported under different conditions or if different assumptions had been used. We believe the following areas contain the most significant accounting judgments, the highest levels of subjectivity, or relate to uncertain matters that are susceptible to material changes in estimates that are critical to understanding the Company’s financial results. Due to such inherent uncertainties, actual results may differ substantially from estimates and (or) estimates may change materially in periods where new information becomes known. Management develops these estimates based on best available information, historical experience, and subject matter experts. See Note 2 to the Annual Financial Statements for additional information on accounting policies for each of the following topics.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Derivative Instruments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Derivative instruments, which are deployed by our commercial organization to manage and (or) mitigate market and commodity price risk, are presented on the Consolidated Balance Sheets at fair value and are comprised primarily of power and natural gas commodity contracts. Derivative identification is challenging. While a conventional financially settled contract, such as a swap or option, generally contains standard terms that facilitate its identification as a derivative instrument, judgment is required to determine whether contracts to buy or sell commodities with physical delivery requirements or contracts that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prior to accounting for its income effects under the accrual accounting method rather than at fair value. This typically includes assumptions regarding the probability of physical delivery and the quantities used in normal business activities.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our derivative contracts generally settle within future time periods supportable by commodity exchange markets and the frequent occurrence of commercial transactions, the majority of our derivative contracts utilize quoted prices in active markets or other observable market inputs to determine fair value. However, such prices are subject to volatility between periods based on weather, local market events, macroeconomic trends, and (or) other events and factors. Accordingly, changes in fair value for contracts identified as derivatives may result in material changes to unrealized gains or losses presented on the Consolidated Statements of Operations between periods. Changes in fair value of commodity derivatives are presented as “Unrealized gain (loss) on derivative instruments” as a component of either “Operating Revenues” or “Fuel and energy purchases” on the Consolidated Statements of Operations, in a consistent manner with the presentation of its realized net gains or losses.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5 to the Annual Financial Statements for additional information on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Nuclear Decommissioning Asset Retirement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have significant legal obligations associated with Susquehanna’s decommissioning. Susquehanna’s Unit 1 and Unit 2 licenses, if not renewed, will expire in 2042 and 2044, respectively, at or before which time the units will shut down.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Judgment is required to make reasonable ARO assumptions regarding the range of likely outcomes for cost estimates, as these obligations are not expected to be paid until years or decades in the future, and potentially many years after shutdown. Inflation rates and discount rates may be subject to revision until the ARO settlement date. As such, changes in assumptions to the range of likely outcomes could result in different cash outlay for AROs at the settlement date than the current carrying value of the ARO presented on the Consolidated Balance Sheets. Susquehanna periodically assesses its ARO through third-party engineering studies in order to determine expected scope, costs, and timing of decommissioning activities. Generally, its decommissioning cost study is updated approximately every seven years. As part of the cost study update process, we and the third-party engineering firm evaluate cost projections based on the latest engineering techniques and the latest information which incorporates nuclear plant retirements in the industry. We incorporate the results of the study as well as our experience, knowledge, and professional judgment to the specific characteristics of Susquehanna’s decommissioning plan to update the carrying value of the ARO.</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AROs are recognized at fair value at the time of installation and as an increase to PP&amp;E. The income effect of AROs is generally presented as “Depreciation, amortization and accretion” on the Consolidated Statements of Operations through the expected ARO settlement date. However, for an asset that has a fully depreciated PP&amp;E carrying value, revisions in ARO estimates have an immediate effect in earnings. Revisions to the estimated ARO are presented as “Other operating income (expense), net” on the Consolidated Statements of Operations.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11 to the Annual Financial Statements for additional information on AROs.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Recoverability of Long-Lived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PP&amp;E used in operations are assessed for impairment whenever changes in facts and circumstances indicate the carrying amount of the asset group may not be recoverable. Judgment is required to identify these events. In certain instances, the events could be external to us and may include, among other events, changes in the economic environment, such as a decrease in the market price of an asset, significant changes to market rules and regulations in the power markets in which we operate, and changes in federal or state environmental regulations that would materially affect the cash flows of our generation fleet. In other instances, the events result from negative financial trends, physical damage to assets, or decisions of management regarding strategic initiatives, such as sales of assets, generation facility retirements, or significant changes in planned capital expenditures or operating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Individual assets are grouped for impairment purposes at the lowest level for which there are identifiable cash flows that are largely independent of the cash flows of other assets and liabilities. There is significant judgment in identifying the lowest level of independent cash flows in the merchant power market, given that certain groups of our generation facilities participate in the same market. In determining the appropriate level of aggregation, we consider the manner in which we make economic decisions regarding the revenue and commercial activities of the generation facilities and the manner in which we make operational and maintenance decisions. Accordingly, we generally aggregate assets for impairment at the reporting unit level, unless there are additional facts and circumstances present which indicate that an asset should be tested for recoverability on a standalone basis. Periodically, we evaluate whether events such as changes in market conditions, regulatory changes, or other events require a change in aggregation.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If there is an indication that the carrying value of an asset group may not be recovered, we review the expected future cash flows of the asset group. If the sum of the undiscounted pre-tax cash flows is less than the carrying value of the asset group, the asset group is written down to its estimated fair value. Fair value for PP&amp;E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as of the date of the review, such as estimated future generation volumes, capacity prices, energy prices, operating costs, and capital expenditures.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Impairment charges are presented on the Consolidated Statements of Operations in the period in which the impairment determination is made.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10 to the Annual Financial Statements for additional information on recognized impairments.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Postretirement Benefit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Certain of our subsidiaries sponsor postemployment benefits that include defined benefit pension plans. Accounting for defined benefit pensions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and mortality rates. Over a period of time, we are required to fund all vested benefits for postretirement defined benefit pension plans through plan assets, investment returns, or contributions to the plans.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Actuarial assumptions required under GAAP to determine the projected benefit obligations and actuarial assumptions required under ERISA to determine contribution assumptions differ in their objectives. Actuarial assumptions regarding projected benefit obligations under GAAP affect the net periodic defined benefit cost presented within our Consolidated Statements of Operations. Actuarial assumptions used in the computation to estimate required contributions to the defined benefit plans affect funding requirements over a period of time.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Please see Note 15 to the Annual Financial Statements for the weighted-average assumptions used for the discount rate and expected return on plan assets for all plans.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variance in the discount rate or expected return on plan assets could have a significant impact on postretirement benefit obligations and annual net periodic pension costs. The following table displays the estimated increase (decrease) for defined benefit pension plans of a 1% increase and a 1% decrease in the discount rate and expected return on plan assets on the postretirement benefit obligation and net periodic pension cost as of December 31, 2024 (Successor).</w:t>
      </w:r>
    </w:p>
    <w:tbl>
      <w:tblPr>
        <w:tblW w:w="5438" w:type="dxa"/>
        <w:jc w:val="left"/>
        <w:tblInd w:w="0" w:type="dxa"/>
        <w:tblLayout w:type="fixed"/>
        <w:tblCellMar>
          <w:top w:w="28" w:type="dxa"/>
          <w:left w:w="28" w:type="dxa"/>
          <w:bottom w:w="28" w:type="dxa"/>
          <w:right w:w="28" w:type="dxa"/>
        </w:tblCellMar>
      </w:tblPr>
      <w:tblGrid>
        <w:gridCol w:w="935"/>
        <w:gridCol w:w="821"/>
        <w:gridCol w:w="824"/>
        <w:gridCol w:w="109"/>
        <w:gridCol w:w="109"/>
        <w:gridCol w:w="109"/>
        <w:gridCol w:w="257"/>
        <w:gridCol w:w="650"/>
        <w:gridCol w:w="143"/>
        <w:gridCol w:w="109"/>
        <w:gridCol w:w="109"/>
        <w:gridCol w:w="109"/>
        <w:gridCol w:w="293"/>
        <w:gridCol w:w="631"/>
        <w:gridCol w:w="230"/>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Sensitivity</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Actuarial 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 Increase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1% Decrease</w:t>
            </w:r>
          </w:p>
        </w:tc>
      </w:tr>
      <w:tr>
        <w:trPr/>
        <w:tc>
          <w:tcPr>
            <w:tcW w:w="258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Discount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pension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30" w:type="dxa"/>
            <w:tcBorders/>
            <w:shd w:fill="E1E1E2"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pension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4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3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Income Taxes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Significant management estimates and judgments are involved to determine the provision for income taxes, deferred tax assets and liabilities, and valuation allowances.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An assessment is performed on a quarterly basis to determine the likelihood of realizing deferred tax assets. We assess the probability of realizing deferred tax assets by evaluating historical income after adjusting for certain nonrecurring items for purposes of projecting future income, our intent and ability to implement tax planning strategies, and performing scheduling of the reversal of temporary differences. We also evaluate negative evidence, such as the expiration of historical operating loss or tax credit carryforwards, that could indicate an inability to realize deferred tax assets. Based on the combined assessment, we recognize valuation allowances for deferred tax assets when it is more likely than not such benefit will not be realized in future periods.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See Note 7 to the Annual Financial Statements for additional information on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2 to the Annual Financial Statements for a description of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7A. QUANTITATIVE AND QUALITATIVE DISCLOSURES ABOUT MARKET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forward-looking information presented below provides estimates of what may occur in the future, assuming certain adverse market conditions and model assumptions. Actual future results may differ materially from those presented. These disclosures are not precise indicators of expected future losses, but only indicators of possible losses under normal market conditions at a given confidence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Commodity Price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Volatility in the wholesale power generation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Margin Sensitivities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table below displays sensitivities for changes in projected margins based upon consistent changes in power prices across our entire portfolio. Actual price changes may differ by market and commodity, which could result in different results than displayed.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base case for these sensitivities incorporates market prices, our economic hedge position, expected Nuclear PTC, and expected generation (including cost inputs and planned outages) as of December 31, 2024 (Successor):</w:t>
      </w:r>
    </w:p>
    <w:tbl>
      <w:tblPr>
        <w:tblW w:w="8729" w:type="dxa"/>
        <w:jc w:val="left"/>
        <w:tblInd w:w="0" w:type="dxa"/>
        <w:tblLayout w:type="fixed"/>
        <w:tblCellMar>
          <w:top w:w="28" w:type="dxa"/>
          <w:left w:w="28" w:type="dxa"/>
          <w:bottom w:w="28" w:type="dxa"/>
          <w:right w:w="28" w:type="dxa"/>
        </w:tblCellMar>
      </w:tblPr>
      <w:tblGrid>
        <w:gridCol w:w="998"/>
        <w:gridCol w:w="879"/>
        <w:gridCol w:w="883"/>
        <w:gridCol w:w="109"/>
        <w:gridCol w:w="109"/>
        <w:gridCol w:w="109"/>
        <w:gridCol w:w="249"/>
        <w:gridCol w:w="402"/>
        <w:gridCol w:w="138"/>
        <w:gridCol w:w="249"/>
        <w:gridCol w:w="306"/>
        <w:gridCol w:w="138"/>
        <w:gridCol w:w="109"/>
        <w:gridCol w:w="109"/>
        <w:gridCol w:w="109"/>
        <w:gridCol w:w="286"/>
        <w:gridCol w:w="351"/>
        <w:gridCol w:w="159"/>
        <w:gridCol w:w="286"/>
        <w:gridCol w:w="483"/>
        <w:gridCol w:w="159"/>
        <w:gridCol w:w="109"/>
        <w:gridCol w:w="109"/>
        <w:gridCol w:w="109"/>
        <w:gridCol w:w="222"/>
        <w:gridCol w:w="563"/>
        <w:gridCol w:w="123"/>
        <w:gridCol w:w="222"/>
        <w:gridCol w:w="478"/>
        <w:gridCol w:w="17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Sensitivity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2025 Margin Effect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2026 Margin Effect</w:t>
            </w:r>
            <w:r>
              <w:rPr>
                <w:color w:val="000000"/>
              </w:rPr>
              <w:t xml:space="preserve"> </w:t>
            </w:r>
            <w:r>
              <w:rPr>
                <w:rFonts w:ascii="Arial;sans-serif" w:hAnsi="Arial;sans-serif"/>
                <w:b/>
                <w:color w:val="000000"/>
                <w:sz w:val="10"/>
              </w:rPr>
              <w:t>(a)</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w:t>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 $</w:t>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 $</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 $</w:t>
            </w:r>
          </w:p>
        </w:tc>
      </w:tr>
      <w:tr>
        <w:trPr/>
        <w:tc>
          <w:tcPr>
            <w:tcW w:w="276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Change in power price per $/MWh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5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2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7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(a)Margin price sensitivities hold constant certain microeconomic and macroeconomic factors that may impact our margin and the impact of changes in prices; value in millions and includes expected value of Nuclear PTC.</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(b)Power price sensitivities hold market heat rate constant for each month; therefore, natural gas prices are adjusted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Interest Rate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are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displays the net fair value of interest rate swaps (including accrued interest, if applicable) outstanding at December 31, 2024 (Successor):</w:t>
      </w:r>
    </w:p>
    <w:tbl>
      <w:tblPr>
        <w:tblW w:w="9586" w:type="dxa"/>
        <w:jc w:val="left"/>
        <w:tblInd w:w="0" w:type="dxa"/>
        <w:tblLayout w:type="fixed"/>
        <w:tblCellMar>
          <w:top w:w="28" w:type="dxa"/>
          <w:left w:w="28" w:type="dxa"/>
          <w:bottom w:w="28" w:type="dxa"/>
          <w:right w:w="28" w:type="dxa"/>
        </w:tblCellMar>
      </w:tblPr>
      <w:tblGrid>
        <w:gridCol w:w="554"/>
        <w:gridCol w:w="486"/>
        <w:gridCol w:w="489"/>
        <w:gridCol w:w="109"/>
        <w:gridCol w:w="109"/>
        <w:gridCol w:w="109"/>
        <w:gridCol w:w="425"/>
        <w:gridCol w:w="913"/>
        <w:gridCol w:w="237"/>
        <w:gridCol w:w="109"/>
        <w:gridCol w:w="109"/>
        <w:gridCol w:w="109"/>
        <w:gridCol w:w="471"/>
        <w:gridCol w:w="616"/>
        <w:gridCol w:w="263"/>
        <w:gridCol w:w="109"/>
        <w:gridCol w:w="109"/>
        <w:gridCol w:w="109"/>
        <w:gridCol w:w="775"/>
        <w:gridCol w:w="951"/>
        <w:gridCol w:w="434"/>
        <w:gridCol w:w="109"/>
        <w:gridCol w:w="109"/>
        <w:gridCol w:w="109"/>
        <w:gridCol w:w="486"/>
        <w:gridCol w:w="486"/>
        <w:gridCol w:w="692"/>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10% Adverse Movement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Maturities Through</w:t>
            </w:r>
          </w:p>
        </w:tc>
      </w:tr>
      <w:tr>
        <w:trPr/>
        <w:tc>
          <w:tcPr>
            <w:tcW w:w="152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3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6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3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(a)Effect of a 10% adverse interest rate movement decreases assets or increases liabilities, as applicable, which could result in an asset becoming a liability.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we are exposed to a potential increase in interest expense and to changes in the fair value of debt. The estimated impact of a 10% adverse movement in interest rates were:</w:t>
      </w:r>
    </w:p>
    <w:tbl>
      <w:tblPr>
        <w:tblW w:w="6036" w:type="dxa"/>
        <w:jc w:val="left"/>
        <w:tblInd w:w="0" w:type="dxa"/>
        <w:tblLayout w:type="fixed"/>
        <w:tblCellMar>
          <w:top w:w="28" w:type="dxa"/>
          <w:left w:w="28" w:type="dxa"/>
          <w:bottom w:w="28" w:type="dxa"/>
          <w:right w:w="28" w:type="dxa"/>
        </w:tblCellMar>
      </w:tblPr>
      <w:tblGrid>
        <w:gridCol w:w="792"/>
        <w:gridCol w:w="697"/>
        <w:gridCol w:w="700"/>
        <w:gridCol w:w="109"/>
        <w:gridCol w:w="109"/>
        <w:gridCol w:w="109"/>
        <w:gridCol w:w="564"/>
        <w:gridCol w:w="694"/>
        <w:gridCol w:w="316"/>
        <w:gridCol w:w="109"/>
        <w:gridCol w:w="109"/>
        <w:gridCol w:w="109"/>
        <w:gridCol w:w="536"/>
        <w:gridCol w:w="659"/>
        <w:gridCol w:w="42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1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interest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2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Credit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Credit risk is the risk of financial loss if a customer, counterparty, or financial institution is unable to perform or pay amounts due, causing a financial loss to us. Financial assets are considered credit-impaired when facts and circumstances reasonably indicate an event has occurred where the carrying value of the asset will not be recovered through cash settlement. Such events may include deterioration of a customer’s or counterparty’s financial health leading to a probable bankruptcy or reorganization, a breach of contract, or other economic reasons. Credit risk may impact accounts receivable, derivative instruments, cash and cash equivalents, and restricted cash and cash equivalents. The maximum amount of credit exposure associated with financial assets is equal to the carrying value. The carrying values of derivative instruments consider the probability that a counterparty will default when contracts are out of the money (from the counterparty’s standpoint). Additionally, a credit impairment is recognized on receivables when facts indicate a high probability that amounts owed to us will not be paid. Such allowances are presented as part of “Accounts receivable” on the Consolidated Balance Sheets. As of December 31, 2024 (Successor) and December 31, 2023 (Successor), there were no material credit impairments.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maintain credit procedures with respect to counterparty credit (including requirements that counterparties maintain specified credit standards) and require other assurances in the form of credit support or collateral in certain circumstances in order to limit counterparty credit risk. However, we have concentrations of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5 in the Annual Financial Statements for additional information on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Investment Price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accordance with certain NRC requirements, we maintain trust funds comprised of restricted assets that were established in order to fund our proportional share of Susquehanna's future decommissioning obligations. As of December 31, 2024 (Successor), the NDT was invested primarily in domestic equity securities, fixed-rate, fixed-income securities, and short-term cash-equivalent securities and is presented as fair value on the Consolidated Balance Sheets. The mix of securities is intended to provide returns sufficient to fund our proportional share of Susquehanna's decommissioning and to compensate for inflationary increases in decommissioning costs. However, the equity securities included in the NDT are exposed to price fluctuation in equity markets, and the values of fixed-rate, fixed-income securities are primarily exposed to changes in interest rates. We actively monitor the investment performance and periodically review the asset allocation in accordance with our nuclear decommissioning trust investment policy statement.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shows the impact of a hypothetical 10% increase in interest rates and a 10% decrease in equity values:</w:t>
      </w:r>
    </w:p>
    <w:tbl>
      <w:tblPr>
        <w:tblW w:w="8468" w:type="dxa"/>
        <w:jc w:val="left"/>
        <w:tblInd w:w="0" w:type="dxa"/>
        <w:tblLayout w:type="fixed"/>
        <w:tblCellMar>
          <w:top w:w="28" w:type="dxa"/>
          <w:left w:w="28" w:type="dxa"/>
          <w:bottom w:w="28" w:type="dxa"/>
          <w:right w:w="28" w:type="dxa"/>
        </w:tblCellMar>
      </w:tblPr>
      <w:tblGrid>
        <w:gridCol w:w="1672"/>
        <w:gridCol w:w="1469"/>
        <w:gridCol w:w="1479"/>
        <w:gridCol w:w="109"/>
        <w:gridCol w:w="109"/>
        <w:gridCol w:w="109"/>
        <w:gridCol w:w="416"/>
        <w:gridCol w:w="927"/>
        <w:gridCol w:w="232"/>
        <w:gridCol w:w="109"/>
        <w:gridCol w:w="109"/>
        <w:gridCol w:w="109"/>
        <w:gridCol w:w="455"/>
        <w:gridCol w:w="805"/>
        <w:gridCol w:w="359"/>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62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Estimated increase (decrease) in the fair value of NDT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23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35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9 and 14 to the Annual Financial Statements for additional information regarding the NDT.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Fonts w:ascii="Arial;sans-serif" w:hAnsi="Arial;sans-serif"/>
            <w:b w:val="false"/>
            <w:color w:val="0000FF"/>
            <w:sz w:val="18"/>
            <w:u w:val="single"/>
          </w:rPr>
          <w:t>Form 10-K Table of Contents</w:t>
        </w:r>
      </w:hyperlink>
    </w:p>
    <w:p>
      <w:pPr>
        <w:pStyle w:val="TextBody"/>
        <w:bidi w:val="0"/>
        <w:spacing w:lineRule="auto" w:line="288" w:before="0" w:after="180"/>
        <w:jc w:val="left"/>
        <w:rPr>
          <w:rFonts w:ascii="Arial;sans-serif" w:hAnsi="Arial;sans-serif"/>
          <w:b/>
          <w:color w:val="000000"/>
          <w:sz w:val="18"/>
        </w:rPr>
      </w:pPr>
      <w:bookmarkStart w:id="5" w:name="ib79423336b454da184714a9aed1bb7d2_92"/>
      <w:bookmarkEnd w:id="5"/>
      <w:r>
        <w:rPr>
          <w:rFonts w:ascii="Arial;sans-serif" w:hAnsi="Arial;sans-serif"/>
          <w:b/>
          <w:color w:val="000000"/>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ITEM 8. TABLE OF CONTENTS</w:t>
      </w:r>
    </w:p>
    <w:tbl>
      <w:tblPr>
        <w:tblW w:w="6178" w:type="dxa"/>
        <w:jc w:val="center"/>
        <w:tblInd w:w="0" w:type="dxa"/>
        <w:tblLayout w:type="fixed"/>
        <w:tblCellMar>
          <w:top w:w="28" w:type="dxa"/>
          <w:left w:w="28" w:type="dxa"/>
          <w:bottom w:w="28" w:type="dxa"/>
          <w:right w:w="28" w:type="dxa"/>
        </w:tblCellMar>
      </w:tblPr>
      <w:tblGrid>
        <w:gridCol w:w="1930"/>
        <w:gridCol w:w="1695"/>
        <w:gridCol w:w="1700"/>
        <w:gridCol w:w="109"/>
        <w:gridCol w:w="109"/>
        <w:gridCol w:w="109"/>
        <w:gridCol w:w="154"/>
        <w:gridCol w:w="154"/>
        <w:gridCol w:w="218"/>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f20e1f3d5a734e3eabbb6aa8f57c7562_7388">
              <w:r>
                <w:rPr>
                  <w:rStyle w:val="InternetLink"/>
                  <w:rFonts w:ascii="Arial;sans-serif" w:hAnsi="Arial;sans-serif"/>
                  <w:b w:val="false"/>
                  <w:color w:val="000080"/>
                  <w:sz w:val="16"/>
                  <w:u w:val="single"/>
                </w:rPr>
                <w:t>Report of Independent Registered Public Audit Firm</w:t>
              </w:r>
            </w:hyperlink>
            <w:hyperlink w:anchor="if20e1f3d5a734e3eabbb6aa8f57c7562_7388">
              <w:r>
                <w:rPr>
                  <w:rStyle w:val="InternetLink"/>
                  <w:rFonts w:ascii="Arial;sans-serif" w:hAnsi="Arial;sans-serif"/>
                  <w:b w:val="false"/>
                  <w:color w:val="000080"/>
                  <w:sz w:val="16"/>
                  <w:u w:val="single"/>
                </w:rPr>
                <w:t xml:space="preserve"> </w:t>
              </w:r>
            </w:hyperlink>
            <w:hyperlink w:anchor="if20e1f3d5a734e3eabbb6aa8f57c7562_7388">
              <w:r>
                <w:rPr>
                  <w:rStyle w:val="InternetLink"/>
                  <w:rFonts w:ascii="Arial;sans-serif" w:hAnsi="Arial;sans-serif"/>
                  <w:b w:val="false"/>
                  <w:color w:val="000080"/>
                  <w:sz w:val="16"/>
                  <w:u w:val="single"/>
                </w:rPr>
                <w:t xml:space="preserve">(PCAOB ID </w:t>
              </w:r>
            </w:hyperlink>
            <w:r>
              <w:rPr>
                <w:rFonts w:ascii="Arial;sans-serif" w:hAnsi="Arial;sans-serif"/>
                <w:b w:val="false"/>
                <w:color w:val="0000EE"/>
                <w:sz w:val="16"/>
                <w:u w:val="single"/>
              </w:rPr>
              <w:t>238</w:t>
            </w:r>
            <w:hyperlink w:anchor="if20e1f3d5a734e3eabbb6aa8f57c7562_7388">
              <w:r>
                <w:rPr>
                  <w:rStyle w:val="InternetLink"/>
                  <w:rFonts w:ascii="Arial;sans-serif" w:hAnsi="Arial;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f20e1f3d5a734e3eabbb6aa8f57c7562_7388">
              <w:r>
                <w:rPr>
                  <w:rStyle w:val="InternetLink"/>
                  <w:rFonts w:ascii="Arial;sans-serif" w:hAnsi="Arial;sans-serif"/>
                  <w:b w:val="false"/>
                  <w:color w:val="0000FF"/>
                  <w:sz w:val="16"/>
                  <w:u w:val="single"/>
                </w:rPr>
                <w:t>49</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1">
              <w:r>
                <w:rPr>
                  <w:rStyle w:val="InternetLink"/>
                  <w:rFonts w:ascii="Arial;sans-serif" w:hAnsi="Arial;sans-serif"/>
                  <w:b w:val="false"/>
                  <w:color w:val="0000FF"/>
                  <w:sz w:val="16"/>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1">
              <w:r>
                <w:rPr>
                  <w:rStyle w:val="InternetLink"/>
                  <w:rFonts w:ascii="Arial;sans-serif" w:hAnsi="Arial;sans-serif"/>
                  <w:b w:val="false"/>
                  <w:color w:val="0000FF"/>
                  <w:sz w:val="16"/>
                  <w:u w:val="single"/>
                </w:rPr>
                <w:t>52</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4">
              <w:r>
                <w:rPr>
                  <w:rStyle w:val="InternetLink"/>
                  <w:rFonts w:ascii="Arial;sans-serif" w:hAnsi="Arial;sans-serif"/>
                  <w:b w:val="false"/>
                  <w:color w:val="0000FF"/>
                  <w:sz w:val="16"/>
                  <w:u w:val="single"/>
                </w:rPr>
                <w:t>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4">
              <w:r>
                <w:rPr>
                  <w:rStyle w:val="InternetLink"/>
                  <w:rFonts w:ascii="Arial;sans-serif" w:hAnsi="Arial;sans-serif"/>
                  <w:b w:val="false"/>
                  <w:color w:val="0000FF"/>
                  <w:sz w:val="16"/>
                  <w:u w:val="single"/>
                </w:rPr>
                <w:t>53</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7">
              <w:r>
                <w:rPr>
                  <w:rStyle w:val="InternetLink"/>
                  <w:rFonts w:ascii="Arial;sans-serif" w:hAnsi="Arial;sans-serif"/>
                  <w:b w:val="false"/>
                  <w:color w:val="0000FF"/>
                  <w:sz w:val="16"/>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7">
              <w:r>
                <w:rPr>
                  <w:rStyle w:val="InternetLink"/>
                  <w:rFonts w:ascii="Arial;sans-serif" w:hAnsi="Arial;sans-serif"/>
                  <w:b w:val="false"/>
                  <w:color w:val="0000FF"/>
                  <w:sz w:val="16"/>
                  <w:u w:val="single"/>
                </w:rPr>
                <w:t>54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0">
              <w:r>
                <w:rPr>
                  <w:rStyle w:val="InternetLink"/>
                  <w:rFonts w:ascii="Arial;sans-serif" w:hAnsi="Arial;sans-serif"/>
                  <w:b w:val="false"/>
                  <w:color w:val="0000FF"/>
                  <w:sz w:val="16"/>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0">
              <w:r>
                <w:rPr>
                  <w:rStyle w:val="InternetLink"/>
                  <w:rFonts w:ascii="Arial;sans-serif" w:hAnsi="Arial;sans-serif"/>
                  <w:b w:val="false"/>
                  <w:color w:val="0000FF"/>
                  <w:sz w:val="16"/>
                  <w:u w:val="single"/>
                </w:rPr>
                <w:t>55</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424">
              <w:r>
                <w:rPr>
                  <w:rStyle w:val="InternetLink"/>
                  <w:rFonts w:ascii="Arial;sans-serif" w:hAnsi="Arial;sans-serif"/>
                  <w:b w:val="false"/>
                  <w:color w:val="0000FF"/>
                  <w:sz w:val="16"/>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3089744190131">
              <w:r>
                <w:rPr>
                  <w:rStyle w:val="InternetLink"/>
                  <w:rFonts w:ascii="Arial;sans-serif" w:hAnsi="Arial;sans-serif"/>
                  <w:b w:val="false"/>
                  <w:color w:val="0000FF"/>
                  <w:sz w:val="16"/>
                  <w:u w:val="single"/>
                </w:rPr>
                <w:t>57</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6">
              <w:r>
                <w:rPr>
                  <w:rStyle w:val="InternetLink"/>
                  <w:rFonts w:ascii="Arial;sans-serif" w:hAnsi="Arial;sans-serif"/>
                  <w:b w:val="false"/>
                  <w:color w:val="000080"/>
                  <w:sz w:val="16"/>
                  <w:u w:val="single"/>
                </w:rPr>
                <w:t xml:space="preserve">Notes to the </w:t>
              </w:r>
            </w:hyperlink>
            <w:hyperlink w:anchor="if20e1f3d5a734e3eabbb6aa8f57c7562_66">
              <w:r>
                <w:rPr>
                  <w:rStyle w:val="InternetLink"/>
                  <w:rFonts w:ascii="Arial;sans-serif" w:hAnsi="Arial;sans-serif"/>
                  <w:b w:val="false"/>
                  <w:color w:val="000080"/>
                  <w:sz w:val="16"/>
                  <w:u w:val="single"/>
                </w:rPr>
                <w:t>Annual</w:t>
              </w:r>
            </w:hyperlink>
            <w:hyperlink w:anchor="if20e1f3d5a734e3eabbb6aa8f57c7562_66">
              <w:r>
                <w:rPr>
                  <w:rStyle w:val="InternetLink"/>
                  <w:rFonts w:ascii="Arial;sans-serif" w:hAnsi="Arial;sans-serif"/>
                  <w:b w:val="false"/>
                  <w:color w:val="000080"/>
                  <w:sz w:val="16"/>
                  <w:u w:val="single"/>
                </w:rPr>
                <w:t xml:space="preserve">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6">
              <w:r>
                <w:rPr>
                  <w:rStyle w:val="InternetLink"/>
                  <w:rFonts w:ascii="Arial;sans-serif" w:hAnsi="Arial;sans-serif"/>
                  <w:b w:val="false"/>
                  <w:color w:val="0000FF"/>
                  <w:sz w:val="16"/>
                  <w:u w:val="single"/>
                </w:rPr>
                <w:t>58</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9">
              <w:r>
                <w:rPr>
                  <w:rStyle w:val="InternetLink"/>
                  <w:rFonts w:ascii="Arial;sans-serif" w:hAnsi="Arial;sans-serif"/>
                  <w:b w:val="false"/>
                  <w:color w:val="0000FF"/>
                  <w:sz w:val="16"/>
                  <w:u w:val="single"/>
                </w:rPr>
                <w:t>1. Organization and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9">
              <w:r>
                <w:rPr>
                  <w:rStyle w:val="InternetLink"/>
                  <w:rFonts w:ascii="Arial;sans-serif" w:hAnsi="Arial;sans-serif"/>
                  <w:b w:val="false"/>
                  <w:color w:val="0000FF"/>
                  <w:sz w:val="16"/>
                  <w:u w:val="single"/>
                </w:rPr>
                <w:t>58</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72">
              <w:r>
                <w:rPr>
                  <w:rStyle w:val="InternetLink"/>
                  <w:rFonts w:ascii="Arial;sans-serif" w:hAnsi="Arial;sans-serif"/>
                  <w:b w:val="false"/>
                  <w:color w:val="0000FF"/>
                  <w:sz w:val="16"/>
                  <w:u w:val="single"/>
                </w:rPr>
                <w:t>2. Basis of Presentation and Summary of Significant Accounting Policies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72">
              <w:r>
                <w:rPr>
                  <w:rStyle w:val="InternetLink"/>
                  <w:rFonts w:ascii="Arial;sans-serif" w:hAnsi="Arial;sans-serif"/>
                  <w:b w:val="false"/>
                  <w:color w:val="0000FF"/>
                  <w:sz w:val="16"/>
                  <w:u w:val="single"/>
                </w:rPr>
                <w:t>58</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570">
              <w:r>
                <w:rPr>
                  <w:rStyle w:val="InternetLink"/>
                  <w:rFonts w:ascii="Arial;sans-serif" w:hAnsi="Arial;sans-serif"/>
                  <w:b w:val="false"/>
                  <w:color w:val="000080"/>
                  <w:sz w:val="16"/>
                  <w:u w:val="single"/>
                </w:rPr>
                <w:t>3</w:t>
              </w:r>
            </w:hyperlink>
            <w:hyperlink w:anchor="if20e1f3d5a734e3eabbb6aa8f57c7562_6570">
              <w:r>
                <w:rPr>
                  <w:rStyle w:val="InternetLink"/>
                  <w:rFonts w:ascii="Arial;sans-serif" w:hAnsi="Arial;sans-serif"/>
                  <w:b w:val="false"/>
                  <w:color w:val="000080"/>
                  <w:sz w:val="16"/>
                  <w:u w:val="single"/>
                </w:rPr>
                <w:t xml:space="preserve">. </w:t>
              </w:r>
            </w:hyperlink>
            <w:hyperlink w:anchor="if20e1f3d5a734e3eabbb6aa8f57c7562_6570">
              <w:r>
                <w:rPr>
                  <w:rStyle w:val="InternetLink"/>
                  <w:rFonts w:ascii="Arial;sans-serif" w:hAnsi="Arial;sans-serif"/>
                  <w:b w:val="false"/>
                  <w:color w:val="000080"/>
                  <w:sz w:val="16"/>
                  <w:u w:val="single"/>
                </w:rPr>
                <w:t>Talen Emergence from Restructuring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570">
              <w:r>
                <w:rPr>
                  <w:rStyle w:val="InternetLink"/>
                  <w:rFonts w:ascii="Arial;sans-serif" w:hAnsi="Arial;sans-serif"/>
                  <w:b w:val="false"/>
                  <w:color w:val="0000FF"/>
                  <w:sz w:val="16"/>
                  <w:u w:val="single"/>
                </w:rPr>
                <w:t>65</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610">
              <w:r>
                <w:rPr>
                  <w:rStyle w:val="InternetLink"/>
                  <w:rFonts w:ascii="Arial;sans-serif" w:hAnsi="Arial;sans-serif"/>
                  <w:b w:val="false"/>
                  <w:color w:val="000080"/>
                  <w:sz w:val="16"/>
                  <w:u w:val="single"/>
                </w:rPr>
                <w:t>4</w:t>
              </w:r>
            </w:hyperlink>
            <w:hyperlink w:anchor="if20e1f3d5a734e3eabbb6aa8f57c7562_6610">
              <w:r>
                <w:rPr>
                  <w:rStyle w:val="InternetLink"/>
                  <w:rFonts w:ascii="Arial;sans-serif" w:hAnsi="Arial;sans-serif"/>
                  <w:b w:val="false"/>
                  <w:color w:val="000080"/>
                  <w:sz w:val="16"/>
                  <w:u w:val="single"/>
                </w:rPr>
                <w:t>. F</w:t>
              </w:r>
            </w:hyperlink>
            <w:hyperlink w:anchor="if20e1f3d5a734e3eabbb6aa8f57c7562_6610">
              <w:r>
                <w:rPr>
                  <w:rStyle w:val="InternetLink"/>
                  <w:rFonts w:ascii="Arial;sans-serif" w:hAnsi="Arial;sans-serif"/>
                  <w:b w:val="false"/>
                  <w:color w:val="000080"/>
                  <w:sz w:val="16"/>
                  <w:u w:val="single"/>
                </w:rPr>
                <w:t xml:space="preserve">resh Start </w:t>
              </w:r>
            </w:hyperlink>
            <w:hyperlink w:anchor="if20e1f3d5a734e3eabbb6aa8f57c7562_6610">
              <w:r>
                <w:rPr>
                  <w:rStyle w:val="InternetLink"/>
                  <w:rFonts w:ascii="Arial;sans-serif" w:hAnsi="Arial;sans-serif"/>
                  <w:b w:val="false"/>
                  <w:color w:val="000080"/>
                  <w:sz w:val="16"/>
                  <w:u w:val="single"/>
                </w:rPr>
                <w:t>Accounting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610">
              <w:r>
                <w:rPr>
                  <w:rStyle w:val="InternetLink"/>
                  <w:rFonts w:ascii="Arial;sans-serif" w:hAnsi="Arial;sans-serif"/>
                  <w:b w:val="false"/>
                  <w:color w:val="0000FF"/>
                  <w:sz w:val="16"/>
                  <w:u w:val="single"/>
                </w:rPr>
                <w:t>66</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14">
              <w:r>
                <w:rPr>
                  <w:rStyle w:val="InternetLink"/>
                  <w:rFonts w:ascii="Arial;sans-serif" w:hAnsi="Arial;sans-serif"/>
                  <w:b w:val="false"/>
                  <w:color w:val="000080"/>
                  <w:sz w:val="16"/>
                  <w:u w:val="single"/>
                </w:rPr>
                <w:t>5</w:t>
              </w:r>
            </w:hyperlink>
            <w:hyperlink w:anchor="if20e1f3d5a734e3eabbb6aa8f57c7562_114">
              <w:r>
                <w:rPr>
                  <w:rStyle w:val="InternetLink"/>
                  <w:rFonts w:ascii="Arial;sans-serif" w:hAnsi="Arial;sans-serif"/>
                  <w:b w:val="false"/>
                  <w:color w:val="000080"/>
                  <w:sz w:val="16"/>
                  <w:u w:val="single"/>
                </w:rPr>
                <w:t>. Risk Management, Derivative Instruments and Hedging Activities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14">
              <w:r>
                <w:rPr>
                  <w:rStyle w:val="InternetLink"/>
                  <w:rFonts w:ascii="Arial;sans-serif" w:hAnsi="Arial;sans-serif"/>
                  <w:b w:val="false"/>
                  <w:color w:val="0000FF"/>
                  <w:sz w:val="16"/>
                  <w:u w:val="single"/>
                </w:rPr>
                <w:t>74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23">
              <w:r>
                <w:rPr>
                  <w:rStyle w:val="InternetLink"/>
                  <w:rFonts w:ascii="Arial;sans-serif" w:hAnsi="Arial;sans-serif"/>
                  <w:b w:val="false"/>
                  <w:color w:val="000080"/>
                  <w:sz w:val="16"/>
                  <w:u w:val="single"/>
                </w:rPr>
                <w:t>6</w:t>
              </w:r>
            </w:hyperlink>
            <w:hyperlink w:anchor="if20e1f3d5a734e3eabbb6aa8f57c7562_123">
              <w:r>
                <w:rPr>
                  <w:rStyle w:val="InternetLink"/>
                  <w:rFonts w:ascii="Arial;sans-serif" w:hAnsi="Arial;sans-serif"/>
                  <w:b w:val="false"/>
                  <w:color w:val="000080"/>
                  <w:sz w:val="16"/>
                  <w:u w:val="single"/>
                </w:rPr>
                <w:t>. Revenue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23">
              <w:r>
                <w:rPr>
                  <w:rStyle w:val="InternetLink"/>
                  <w:rFonts w:ascii="Arial;sans-serif" w:hAnsi="Arial;sans-serif"/>
                  <w:b w:val="false"/>
                  <w:color w:val="0000FF"/>
                  <w:sz w:val="16"/>
                  <w:u w:val="single"/>
                </w:rPr>
                <w:t>76</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38">
              <w:r>
                <w:rPr>
                  <w:rStyle w:val="InternetLink"/>
                  <w:rFonts w:ascii="Arial;sans-serif" w:hAnsi="Arial;sans-serif"/>
                  <w:b w:val="false"/>
                  <w:color w:val="000080"/>
                  <w:sz w:val="16"/>
                  <w:u w:val="single"/>
                </w:rPr>
                <w:t>7</w:t>
              </w:r>
            </w:hyperlink>
            <w:hyperlink w:anchor="if20e1f3d5a734e3eabbb6aa8f57c7562_138">
              <w:r>
                <w:rPr>
                  <w:rStyle w:val="InternetLink"/>
                  <w:rFonts w:ascii="Arial;sans-serif" w:hAnsi="Arial;sans-serif"/>
                  <w:b w:val="false"/>
                  <w:color w:val="000080"/>
                  <w:sz w:val="16"/>
                  <w:u w:val="single"/>
                </w:rPr>
                <w:t>. Income Taxes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38">
              <w:r>
                <w:rPr>
                  <w:rStyle w:val="InternetLink"/>
                  <w:rFonts w:ascii="Arial;sans-serif" w:hAnsi="Arial;sans-serif"/>
                  <w:b w:val="false"/>
                  <w:color w:val="0000FF"/>
                  <w:sz w:val="16"/>
                  <w:u w:val="single"/>
                </w:rPr>
                <w:t>77</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47">
              <w:r>
                <w:rPr>
                  <w:rStyle w:val="InternetLink"/>
                  <w:rFonts w:ascii="Arial;sans-serif" w:hAnsi="Arial;sans-serif"/>
                  <w:b w:val="false"/>
                  <w:color w:val="000080"/>
                  <w:sz w:val="16"/>
                  <w:u w:val="single"/>
                </w:rPr>
                <w:t>8</w:t>
              </w:r>
            </w:hyperlink>
            <w:hyperlink w:anchor="if20e1f3d5a734e3eabbb6aa8f57c7562_147">
              <w:r>
                <w:rPr>
                  <w:rStyle w:val="InternetLink"/>
                  <w:rFonts w:ascii="Arial;sans-serif" w:hAnsi="Arial;sans-serif"/>
                  <w:b w:val="false"/>
                  <w:color w:val="000080"/>
                  <w:sz w:val="16"/>
                  <w:u w:val="single"/>
                </w:rPr>
                <w:t>. Inventory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47">
              <w:r>
                <w:rPr>
                  <w:rStyle w:val="InternetLink"/>
                  <w:rFonts w:ascii="Arial;sans-serif" w:hAnsi="Arial;sans-serif"/>
                  <w:b w:val="false"/>
                  <w:color w:val="0000FF"/>
                  <w:sz w:val="16"/>
                  <w:u w:val="single"/>
                </w:rPr>
                <w:t>80</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0">
              <w:r>
                <w:rPr>
                  <w:rStyle w:val="InternetLink"/>
                  <w:rFonts w:ascii="Arial;sans-serif" w:hAnsi="Arial;sans-serif"/>
                  <w:b w:val="false"/>
                  <w:color w:val="000080"/>
                  <w:sz w:val="16"/>
                  <w:u w:val="single"/>
                </w:rPr>
                <w:t>9</w:t>
              </w:r>
            </w:hyperlink>
            <w:hyperlink w:anchor="if20e1f3d5a734e3eabbb6aa8f57c7562_150">
              <w:r>
                <w:rPr>
                  <w:rStyle w:val="InternetLink"/>
                  <w:rFonts w:ascii="Arial;sans-serif" w:hAnsi="Arial;sans-serif"/>
                  <w:b w:val="false"/>
                  <w:color w:val="000080"/>
                  <w:sz w:val="16"/>
                  <w:u w:val="single"/>
                </w:rPr>
                <w:t>. Nuclear Decommissioning Trust Funds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0">
              <w:r>
                <w:rPr>
                  <w:rStyle w:val="InternetLink"/>
                  <w:rFonts w:ascii="Arial;sans-serif" w:hAnsi="Arial;sans-serif"/>
                  <w:b w:val="false"/>
                  <w:color w:val="0000FF"/>
                  <w:sz w:val="16"/>
                  <w:u w:val="single"/>
                </w:rPr>
                <w:t>81</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3">
              <w:r>
                <w:rPr>
                  <w:rStyle w:val="InternetLink"/>
                  <w:rFonts w:ascii="Arial;sans-serif" w:hAnsi="Arial;sans-serif"/>
                  <w:b w:val="false"/>
                  <w:color w:val="0000FF"/>
                  <w:sz w:val="16"/>
                  <w:u w:val="single"/>
                </w:rPr>
                <w:t>10. Property, Plant and Equipment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3">
              <w:r>
                <w:rPr>
                  <w:rStyle w:val="InternetLink"/>
                  <w:rFonts w:ascii="Arial;sans-serif" w:hAnsi="Arial;sans-serif"/>
                  <w:b w:val="false"/>
                  <w:color w:val="0000FF"/>
                  <w:sz w:val="16"/>
                  <w:u w:val="single"/>
                </w:rPr>
                <w:t>82</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6">
              <w:r>
                <w:rPr>
                  <w:rStyle w:val="InternetLink"/>
                  <w:rFonts w:ascii="Arial;sans-serif" w:hAnsi="Arial;sans-serif"/>
                  <w:b w:val="false"/>
                  <w:color w:val="000080"/>
                  <w:sz w:val="16"/>
                  <w:u w:val="single"/>
                </w:rPr>
                <w:t>11</w:t>
              </w:r>
            </w:hyperlink>
            <w:hyperlink w:anchor="if20e1f3d5a734e3eabbb6aa8f57c7562_156">
              <w:r>
                <w:rPr>
                  <w:rStyle w:val="InternetLink"/>
                  <w:rFonts w:ascii="Arial;sans-serif" w:hAnsi="Arial;sans-serif"/>
                  <w:b w:val="false"/>
                  <w:color w:val="000080"/>
                  <w:sz w:val="16"/>
                  <w:u w:val="single"/>
                </w:rPr>
                <w:t xml:space="preserve">. </w:t>
              </w:r>
            </w:hyperlink>
            <w:hyperlink w:anchor="if20e1f3d5a734e3eabbb6aa8f57c7562_156">
              <w:r>
                <w:rPr>
                  <w:rStyle w:val="InternetLink"/>
                  <w:rFonts w:ascii="Arial;sans-serif" w:hAnsi="Arial;sans-serif"/>
                  <w:b w:val="false"/>
                  <w:color w:val="000080"/>
                  <w:sz w:val="16"/>
                  <w:u w:val="single"/>
                </w:rPr>
                <w:t>Asset Retirement Obligations and Accrued Environmental Costs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6">
              <w:r>
                <w:rPr>
                  <w:rStyle w:val="InternetLink"/>
                  <w:rFonts w:ascii="Arial;sans-serif" w:hAnsi="Arial;sans-serif"/>
                  <w:b w:val="false"/>
                  <w:color w:val="0000FF"/>
                  <w:sz w:val="16"/>
                  <w:u w:val="single"/>
                </w:rPr>
                <w:t>84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62">
              <w:r>
                <w:rPr>
                  <w:rStyle w:val="InternetLink"/>
                  <w:rFonts w:ascii="Arial;sans-serif" w:hAnsi="Arial;sans-serif"/>
                  <w:b w:val="false"/>
                  <w:color w:val="000080"/>
                  <w:sz w:val="16"/>
                  <w:u w:val="single"/>
                </w:rPr>
                <w:t>1</w:t>
              </w:r>
            </w:hyperlink>
            <w:hyperlink w:anchor="if20e1f3d5a734e3eabbb6aa8f57c7562_162">
              <w:r>
                <w:rPr>
                  <w:rStyle w:val="InternetLink"/>
                  <w:rFonts w:ascii="Arial;sans-serif" w:hAnsi="Arial;sans-serif"/>
                  <w:b w:val="false"/>
                  <w:color w:val="000080"/>
                  <w:sz w:val="16"/>
                  <w:u w:val="single"/>
                </w:rPr>
                <w:t>2</w:t>
              </w:r>
            </w:hyperlink>
            <w:hyperlink w:anchor="if20e1f3d5a734e3eabbb6aa8f57c7562_162">
              <w:r>
                <w:rPr>
                  <w:rStyle w:val="InternetLink"/>
                  <w:rFonts w:ascii="Arial;sans-serif" w:hAnsi="Arial;sans-serif"/>
                  <w:b w:val="false"/>
                  <w:color w:val="000080"/>
                  <w:sz w:val="16"/>
                  <w:u w:val="single"/>
                </w:rPr>
                <w:t>. Commitments and Contingencies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62">
              <w:r>
                <w:rPr>
                  <w:rStyle w:val="InternetLink"/>
                  <w:rFonts w:ascii="Arial;sans-serif" w:hAnsi="Arial;sans-serif"/>
                  <w:b w:val="false"/>
                  <w:color w:val="0000FF"/>
                  <w:sz w:val="16"/>
                  <w:u w:val="single"/>
                </w:rPr>
                <w:t>86</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80">
              <w:r>
                <w:rPr>
                  <w:rStyle w:val="InternetLink"/>
                  <w:rFonts w:ascii="Arial;sans-serif" w:hAnsi="Arial;sans-serif"/>
                  <w:b w:val="false"/>
                  <w:color w:val="000080"/>
                  <w:sz w:val="16"/>
                  <w:u w:val="single"/>
                </w:rPr>
                <w:t>1</w:t>
              </w:r>
            </w:hyperlink>
            <w:hyperlink w:anchor="if20e1f3d5a734e3eabbb6aa8f57c7562_180">
              <w:r>
                <w:rPr>
                  <w:rStyle w:val="InternetLink"/>
                  <w:rFonts w:ascii="Arial;sans-serif" w:hAnsi="Arial;sans-serif"/>
                  <w:b w:val="false"/>
                  <w:color w:val="000080"/>
                  <w:sz w:val="16"/>
                  <w:u w:val="single"/>
                </w:rPr>
                <w:t>3</w:t>
              </w:r>
            </w:hyperlink>
            <w:hyperlink w:anchor="if20e1f3d5a734e3eabbb6aa8f57c7562_180">
              <w:r>
                <w:rPr>
                  <w:rStyle w:val="InternetLink"/>
                  <w:rFonts w:ascii="Arial;sans-serif" w:hAnsi="Arial;sans-serif"/>
                  <w:b w:val="false"/>
                  <w:color w:val="000080"/>
                  <w:sz w:val="16"/>
                  <w:u w:val="single"/>
                </w:rPr>
                <w:t>. Long-Term Debt and Other Credit Facilities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80">
              <w:r>
                <w:rPr>
                  <w:rStyle w:val="InternetLink"/>
                  <w:rFonts w:ascii="Arial;sans-serif" w:hAnsi="Arial;sans-serif"/>
                  <w:b w:val="false"/>
                  <w:color w:val="0000FF"/>
                  <w:sz w:val="16"/>
                  <w:u w:val="single"/>
                </w:rPr>
                <w:t>91</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13">
              <w:r>
                <w:rPr>
                  <w:rStyle w:val="InternetLink"/>
                  <w:rFonts w:ascii="Arial;sans-serif" w:hAnsi="Arial;sans-serif"/>
                  <w:b w:val="false"/>
                  <w:color w:val="000080"/>
                  <w:sz w:val="16"/>
                  <w:u w:val="single"/>
                </w:rPr>
                <w:t>1</w:t>
              </w:r>
            </w:hyperlink>
            <w:hyperlink w:anchor="if20e1f3d5a734e3eabbb6aa8f57c7562_213">
              <w:r>
                <w:rPr>
                  <w:rStyle w:val="InternetLink"/>
                  <w:rFonts w:ascii="Arial;sans-serif" w:hAnsi="Arial;sans-serif"/>
                  <w:b w:val="false"/>
                  <w:color w:val="000080"/>
                  <w:sz w:val="16"/>
                  <w:u w:val="single"/>
                </w:rPr>
                <w:t>4</w:t>
              </w:r>
            </w:hyperlink>
            <w:hyperlink w:anchor="if20e1f3d5a734e3eabbb6aa8f57c7562_213">
              <w:r>
                <w:rPr>
                  <w:rStyle w:val="InternetLink"/>
                  <w:rFonts w:ascii="Arial;sans-serif" w:hAnsi="Arial;sans-serif"/>
                  <w:b w:val="false"/>
                  <w:color w:val="000080"/>
                  <w:sz w:val="16"/>
                  <w:u w:val="single"/>
                </w:rPr>
                <w:t>. Fair Value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13">
              <w:r>
                <w:rPr>
                  <w:rStyle w:val="InternetLink"/>
                  <w:rFonts w:ascii="Arial;sans-serif" w:hAnsi="Arial;sans-serif"/>
                  <w:b w:val="false"/>
                  <w:color w:val="0000FF"/>
                  <w:sz w:val="16"/>
                  <w:u w:val="single"/>
                </w:rPr>
                <w:t>94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2">
              <w:r>
                <w:rPr>
                  <w:rStyle w:val="InternetLink"/>
                  <w:rFonts w:ascii="Arial;sans-serif" w:hAnsi="Arial;sans-serif"/>
                  <w:b w:val="false"/>
                  <w:color w:val="000080"/>
                  <w:sz w:val="16"/>
                  <w:u w:val="single"/>
                </w:rPr>
                <w:t>1</w:t>
              </w:r>
            </w:hyperlink>
            <w:hyperlink w:anchor="if20e1f3d5a734e3eabbb6aa8f57c7562_222">
              <w:r>
                <w:rPr>
                  <w:rStyle w:val="InternetLink"/>
                  <w:rFonts w:ascii="Arial;sans-serif" w:hAnsi="Arial;sans-serif"/>
                  <w:b w:val="false"/>
                  <w:color w:val="000080"/>
                  <w:sz w:val="16"/>
                  <w:u w:val="single"/>
                </w:rPr>
                <w:t>5</w:t>
              </w:r>
            </w:hyperlink>
            <w:hyperlink w:anchor="if20e1f3d5a734e3eabbb6aa8f57c7562_222">
              <w:r>
                <w:rPr>
                  <w:rStyle w:val="InternetLink"/>
                  <w:rFonts w:ascii="Arial;sans-serif" w:hAnsi="Arial;sans-serif"/>
                  <w:b w:val="false"/>
                  <w:color w:val="000080"/>
                  <w:sz w:val="16"/>
                  <w:u w:val="single"/>
                </w:rPr>
                <w:t>. Postretirement Benefit 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2">
              <w:r>
                <w:rPr>
                  <w:rStyle w:val="InternetLink"/>
                  <w:rFonts w:ascii="Arial;sans-serif" w:hAnsi="Arial;sans-serif"/>
                  <w:b w:val="false"/>
                  <w:color w:val="0000FF"/>
                  <w:sz w:val="16"/>
                  <w:u w:val="single"/>
                </w:rPr>
                <w:t>95</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32">
              <w:r>
                <w:rPr>
                  <w:rStyle w:val="InternetLink"/>
                  <w:rFonts w:ascii="Arial;sans-serif" w:hAnsi="Arial;sans-serif"/>
                  <w:b w:val="false"/>
                  <w:color w:val="000080"/>
                  <w:sz w:val="16"/>
                  <w:u w:val="single"/>
                </w:rPr>
                <w:t>1</w:t>
              </w:r>
            </w:hyperlink>
            <w:hyperlink w:anchor="if20e1f3d5a734e3eabbb6aa8f57c7562_2532">
              <w:r>
                <w:rPr>
                  <w:rStyle w:val="InternetLink"/>
                  <w:rFonts w:ascii="Arial;sans-serif" w:hAnsi="Arial;sans-serif"/>
                  <w:b w:val="false"/>
                  <w:color w:val="000080"/>
                  <w:sz w:val="16"/>
                  <w:u w:val="single"/>
                </w:rPr>
                <w:t>6</w:t>
              </w:r>
            </w:hyperlink>
            <w:hyperlink w:anchor="if20e1f3d5a734e3eabbb6aa8f57c7562_2532">
              <w:r>
                <w:rPr>
                  <w:rStyle w:val="InternetLink"/>
                  <w:rFonts w:ascii="Arial;sans-serif" w:hAnsi="Arial;sans-serif"/>
                  <w:b w:val="false"/>
                  <w:color w:val="000080"/>
                  <w:sz w:val="16"/>
                  <w:u w:val="single"/>
                </w:rPr>
                <w:t xml:space="preserve">. </w:t>
              </w:r>
            </w:hyperlink>
            <w:hyperlink w:anchor="if20e1f3d5a734e3eabbb6aa8f57c7562_2532">
              <w:r>
                <w:rPr>
                  <w:rStyle w:val="InternetLink"/>
                  <w:rFonts w:ascii="Arial;sans-serif" w:hAnsi="Arial;sans-serif"/>
                  <w:b w:val="false"/>
                  <w:color w:val="000080"/>
                  <w:sz w:val="16"/>
                  <w:u w:val="single"/>
                </w:rPr>
                <w:t>Stock-Based Com</w:t>
              </w:r>
            </w:hyperlink>
            <w:hyperlink w:anchor="if20e1f3d5a734e3eabbb6aa8f57c7562_2532">
              <w:r>
                <w:rPr>
                  <w:rStyle w:val="InternetLink"/>
                  <w:rFonts w:ascii="Arial;sans-serif" w:hAnsi="Arial;sans-serif"/>
                  <w:b w:val="false"/>
                  <w:color w:val="000080"/>
                  <w:sz w:val="16"/>
                  <w:u w:val="single"/>
                </w:rPr>
                <w:t>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532">
              <w:r>
                <w:rPr>
                  <w:rStyle w:val="InternetLink"/>
                  <w:rFonts w:ascii="Arial;sans-serif" w:hAnsi="Arial;sans-serif"/>
                  <w:b w:val="false"/>
                  <w:color w:val="0000FF"/>
                  <w:sz w:val="16"/>
                  <w:u w:val="single"/>
                </w:rPr>
                <w:t>101</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8">
              <w:r>
                <w:rPr>
                  <w:rStyle w:val="InternetLink"/>
                  <w:rFonts w:ascii="Arial;sans-serif" w:hAnsi="Arial;sans-serif"/>
                  <w:b w:val="false"/>
                  <w:color w:val="000080"/>
                  <w:sz w:val="16"/>
                  <w:u w:val="single"/>
                </w:rPr>
                <w:t>1</w:t>
              </w:r>
            </w:hyperlink>
            <w:hyperlink w:anchor="if20e1f3d5a734e3eabbb6aa8f57c7562_228">
              <w:r>
                <w:rPr>
                  <w:rStyle w:val="InternetLink"/>
                  <w:rFonts w:ascii="Arial;sans-serif" w:hAnsi="Arial;sans-serif"/>
                  <w:b w:val="false"/>
                  <w:color w:val="000080"/>
                  <w:sz w:val="16"/>
                  <w:u w:val="single"/>
                </w:rPr>
                <w:t>7</w:t>
              </w:r>
            </w:hyperlink>
            <w:hyperlink w:anchor="if20e1f3d5a734e3eabbb6aa8f57c7562_228">
              <w:r>
                <w:rPr>
                  <w:rStyle w:val="InternetLink"/>
                  <w:rFonts w:ascii="Arial;sans-serif" w:hAnsi="Arial;sans-serif"/>
                  <w:b w:val="false"/>
                  <w:color w:val="000080"/>
                  <w:sz w:val="16"/>
                  <w:u w:val="single"/>
                </w:rPr>
                <w:t>. Earnings Per Share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8">
              <w:r>
                <w:rPr>
                  <w:rStyle w:val="InternetLink"/>
                  <w:rFonts w:ascii="Arial;sans-serif" w:hAnsi="Arial;sans-serif"/>
                  <w:b w:val="false"/>
                  <w:color w:val="0000FF"/>
                  <w:sz w:val="16"/>
                  <w:u w:val="single"/>
                </w:rPr>
                <w:t>103</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13">
              <w:r>
                <w:rPr>
                  <w:rStyle w:val="InternetLink"/>
                  <w:rFonts w:ascii="Arial;sans-serif" w:hAnsi="Arial;sans-serif"/>
                  <w:b w:val="false"/>
                  <w:color w:val="000080"/>
                  <w:sz w:val="16"/>
                  <w:u w:val="single"/>
                </w:rPr>
                <w:t>1</w:t>
              </w:r>
            </w:hyperlink>
            <w:hyperlink w:anchor="if20e1f3d5a734e3eabbb6aa8f57c7562_3713">
              <w:r>
                <w:rPr>
                  <w:rStyle w:val="InternetLink"/>
                  <w:rFonts w:ascii="Arial;sans-serif" w:hAnsi="Arial;sans-serif"/>
                  <w:b w:val="false"/>
                  <w:color w:val="000080"/>
                  <w:sz w:val="16"/>
                  <w:u w:val="single"/>
                </w:rPr>
                <w:t>8</w:t>
              </w:r>
            </w:hyperlink>
            <w:hyperlink w:anchor="if20e1f3d5a734e3eabbb6aa8f57c7562_3713">
              <w:r>
                <w:rPr>
                  <w:rStyle w:val="InternetLink"/>
                  <w:rFonts w:ascii="Arial;sans-serif" w:hAnsi="Arial;sans-serif"/>
                  <w:b w:val="false"/>
                  <w:color w:val="000080"/>
                  <w:sz w:val="16"/>
                  <w:u w:val="single"/>
                </w:rPr>
                <w:t>.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713">
              <w:r>
                <w:rPr>
                  <w:rStyle w:val="InternetLink"/>
                  <w:rFonts w:ascii="Arial;sans-serif" w:hAnsi="Arial;sans-serif"/>
                  <w:b w:val="false"/>
                  <w:color w:val="0000FF"/>
                  <w:sz w:val="16"/>
                  <w:u w:val="single"/>
                </w:rPr>
                <w:t>104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34">
              <w:r>
                <w:rPr>
                  <w:rStyle w:val="InternetLink"/>
                  <w:rFonts w:ascii="Arial;sans-serif" w:hAnsi="Arial;sans-serif"/>
                  <w:b w:val="false"/>
                  <w:color w:val="000080"/>
                  <w:sz w:val="16"/>
                  <w:u w:val="single"/>
                </w:rPr>
                <w:t>1</w:t>
              </w:r>
            </w:hyperlink>
            <w:hyperlink w:anchor="if20e1f3d5a734e3eabbb6aa8f57c7562_234">
              <w:r>
                <w:rPr>
                  <w:rStyle w:val="InternetLink"/>
                  <w:rFonts w:ascii="Arial;sans-serif" w:hAnsi="Arial;sans-serif"/>
                  <w:b w:val="false"/>
                  <w:color w:val="000080"/>
                  <w:sz w:val="16"/>
                  <w:u w:val="single"/>
                </w:rPr>
                <w:t>9</w:t>
              </w:r>
            </w:hyperlink>
            <w:hyperlink w:anchor="if20e1f3d5a734e3eabbb6aa8f57c7562_234">
              <w:r>
                <w:rPr>
                  <w:rStyle w:val="InternetLink"/>
                  <w:rFonts w:ascii="Arial;sans-serif" w:hAnsi="Arial;sans-serif"/>
                  <w:b w:val="false"/>
                  <w:color w:val="000080"/>
                  <w:sz w:val="16"/>
                  <w:u w:val="single"/>
                </w:rPr>
                <w:t>. Supplemental Cash Flow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34">
              <w:r>
                <w:rPr>
                  <w:rStyle w:val="InternetLink"/>
                  <w:rFonts w:ascii="Arial;sans-serif" w:hAnsi="Arial;sans-serif"/>
                  <w:b w:val="false"/>
                  <w:color w:val="0000FF"/>
                  <w:sz w:val="16"/>
                  <w:u w:val="single"/>
                </w:rPr>
                <w:t>106</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49">
              <w:r>
                <w:rPr>
                  <w:rStyle w:val="InternetLink"/>
                  <w:rFonts w:ascii="Arial;sans-serif" w:hAnsi="Arial;sans-serif"/>
                  <w:b w:val="false"/>
                  <w:color w:val="000080"/>
                  <w:sz w:val="16"/>
                  <w:u w:val="single"/>
                </w:rPr>
                <w:t>2</w:t>
              </w:r>
            </w:hyperlink>
            <w:hyperlink w:anchor="if20e1f3d5a734e3eabbb6aa8f57c7562_249">
              <w:r>
                <w:rPr>
                  <w:rStyle w:val="InternetLink"/>
                  <w:rFonts w:ascii="Arial;sans-serif" w:hAnsi="Arial;sans-serif"/>
                  <w:b w:val="false"/>
                  <w:color w:val="000080"/>
                  <w:sz w:val="16"/>
                  <w:u w:val="single"/>
                </w:rPr>
                <w:t>0</w:t>
              </w:r>
            </w:hyperlink>
            <w:hyperlink w:anchor="if20e1f3d5a734e3eabbb6aa8f57c7562_249">
              <w:r>
                <w:rPr>
                  <w:rStyle w:val="InternetLink"/>
                  <w:rFonts w:ascii="Arial;sans-serif" w:hAnsi="Arial;sans-serif"/>
                  <w:b w:val="false"/>
                  <w:color w:val="000080"/>
                  <w:sz w:val="16"/>
                  <w:u w:val="single"/>
                </w:rPr>
                <w:t>. Acquisitions and Divestitures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49">
              <w:r>
                <w:rPr>
                  <w:rStyle w:val="InternetLink"/>
                  <w:rFonts w:ascii="Arial;sans-serif" w:hAnsi="Arial;sans-serif"/>
                  <w:b w:val="false"/>
                  <w:color w:val="0000FF"/>
                  <w:sz w:val="16"/>
                  <w:u w:val="single"/>
                </w:rPr>
                <w:t>107</w:t>
              </w:r>
            </w:hyperlink>
          </w:p>
        </w:tc>
      </w:tr>
      <w:tr>
        <w:trPr/>
        <w:tc>
          <w:tcPr>
            <w:tcW w:w="5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f20e1f3d5a734e3eabbb6aa8f57c7562_252">
              <w:r>
                <w:rPr>
                  <w:rStyle w:val="InternetLink"/>
                  <w:rFonts w:ascii="Arial;sans-serif" w:hAnsi="Arial;sans-serif"/>
                  <w:b w:val="false"/>
                  <w:color w:val="000080"/>
                  <w:sz w:val="16"/>
                  <w:u w:val="single"/>
                </w:rPr>
                <w:t>2</w:t>
              </w:r>
            </w:hyperlink>
            <w:hyperlink w:anchor="if20e1f3d5a734e3eabbb6aa8f57c7562_252">
              <w:r>
                <w:rPr>
                  <w:rStyle w:val="InternetLink"/>
                  <w:rFonts w:ascii="Arial;sans-serif" w:hAnsi="Arial;sans-serif"/>
                  <w:b w:val="false"/>
                  <w:color w:val="000080"/>
                  <w:sz w:val="16"/>
                  <w:u w:val="single"/>
                </w:rPr>
                <w:t>1</w:t>
              </w:r>
            </w:hyperlink>
            <w:hyperlink w:anchor="if20e1f3d5a734e3eabbb6aa8f57c7562_252">
              <w:r>
                <w:rPr>
                  <w:rStyle w:val="InternetLink"/>
                  <w:rFonts w:ascii="Arial;sans-serif" w:hAnsi="Arial;sans-serif"/>
                  <w:b w:val="false"/>
                  <w:color w:val="000080"/>
                  <w:sz w:val="16"/>
                  <w:u w:val="single"/>
                </w:rPr>
                <w:t>. Segments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hyperlink w:anchor="if20e1f3d5a734e3eabbb6aa8f57c7562_252">
              <w:r>
                <w:rPr>
                  <w:rStyle w:val="InternetLink"/>
                  <w:rFonts w:ascii="Arial;sans-serif" w:hAnsi="Arial;sans-serif"/>
                  <w:b w:val="false"/>
                  <w:color w:val="0000FF"/>
                  <w:sz w:val="16"/>
                  <w:u w:val="single"/>
                </w:rPr>
                <w:t>107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To the Board of Directors and Stockholders of Talen Energy Corporation</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Opinion on the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audited the accompanying consolidated balance sheets of Talen Energy Corporation and its subsidiaries (Successor) (the "Company") as of December 31, 2024 and 2023, and the related consolidated statements of operations, comprehensive income (loss), equity and cash flows for the year then ended December 31, 2024 and for the period from May 18, 2023 through December 31, 2023, including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 ended December 31, 2024 and for the period from May 18, 2023 through December 31, 2023 in conformity with accounting principles generally accepted in the United States of America.</w:t>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Basis of Accounting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discussed in Note 3 to the consolidated financial statements, the United States Bankruptcy Court for Southern District of Texas confirmed the Company's Plan of Reorganization (the "plan") in December 2022. Confirmation of the plan resulted in the discharge of all claims against the Company that arose before May 9, 2022 and substantially alters rights and interests of equity security holders as provided for in the plan. The plan was substantially consummated on May 17, 2023 and the Company emerged from bankruptcy. In connection with its emergence from bankruptcy, the Company adopted fresh start accounting as of May 17, 2023.</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Basis for Opinion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Critical Audit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Commodity Derivatives Valuation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As described in Notes 2, 5 and 14 to the consolidated financial statements, the Company had a fair value net derivative asset position of $71 million and a fair value net derivative liability position of $7 million, as of December 31, 2024. As disclosed by management, the Company utilizes exchange-traded and over the-counter traded derivative instruments to economically hedge the commodity price risk of the forecasted future sales and purchases of commodities associated with their generation portfolio. Commodity derivative contracts are valued using inputs and assumptions such as contractual volumes, delivery location, forward commodity prices, commodity price volatility, discount rates, and credit worthiness of counterparties.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principal considerations for our determination that performing procedures relating to commodity derivative valuation is a critical audit matter are (i) the significant judgment by management when developing the valuation of commodity derivatives; (ii) a high degree of auditor judgment and effort in performing procedures and evaluating management’s significant assumptions related to the forward commodity prices and commodity price volatility; and (iii) the audit effort involved the use of professionals with specialized skill and knowledge.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49</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Addressing the matter involved performing procedures and evaluating audit evidence in connection with forming our overall opinion on the consolidated financial statements. These procedures included, among others, (i) testing management’s process for developing the valuation of commodity derivatives; (ii) evaluating the appropriateness of management’s model; (iii) testing, on a sample basis, the completeness and accuracy of the underlying contract terms and the accounting treatment conclusions; and (iv) evaluating, on a sample basis, the reasonableness of the significant assumptions used by management related to forward commodity prices and commodity price volatility. Professionals with specialized skill and knowledge were used to assist in evaluating the reasonableness of forward commodity prices and commodity price volatility assumptions. </w: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 PricewaterhouseCoopers LLP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Houston, Texas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February 27, 2025</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served as the Company’s auditor since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50</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To the Board of Managers and Members of Talen Energy Supply, LLC</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Opinion on the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audited the consolidated statements of operations, comprehensive income (loss), equity and cash flows of Talen Energy Supply, LLC and its subsidiaries (Predecessor) (the “Company”) for the period from January 1, 2023 through May 17, 2023 and for the year then ended December 31, 2022, including the related notes (collectively referred to as the “consolidated financial statements”). In our opinion, the consolidated financial statements present fairly, in all material respects, the results of operations and cash flows of the Company for the period from January 1, 2023 through May 17, 2023 and for the year then ended December 31, 2022 in conformity with accounting principles generally accepted in the United States of America.</w:t>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Basis of Accounting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discussed in Note 3 to the consolidated financial statements, the Company filed a petition on May 9, 2022 with the United States Bankruptcy Court for the Southern District of Texas for reorganization under the provisions of Chapter 11 of the Bankruptcy Code. The Company’s Plan of Reorganization was substantially consummated on May 17, 2023 and the Company emerged from bankruptcy. In connection with its emergence from bankruptcy, the Company adopted fresh start accounting.</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Basis for Opinion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 PricewaterhouseCoopers LLP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Houston, Texas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March 14, 2024</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served as the Company’s auditor since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51</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OPERATIONS</w:t>
      </w:r>
    </w:p>
    <w:tbl>
      <w:tblPr>
        <w:tblW w:w="10205" w:type="dxa"/>
        <w:jc w:val="left"/>
        <w:tblInd w:w="0" w:type="dxa"/>
        <w:tblLayout w:type="fixed"/>
        <w:tblCellMar>
          <w:top w:w="28" w:type="dxa"/>
          <w:left w:w="28" w:type="dxa"/>
          <w:bottom w:w="28" w:type="dxa"/>
          <w:right w:w="28" w:type="dxa"/>
        </w:tblCellMar>
      </w:tblPr>
      <w:tblGrid>
        <w:gridCol w:w="1437"/>
        <w:gridCol w:w="696"/>
        <w:gridCol w:w="704"/>
        <w:gridCol w:w="109"/>
        <w:gridCol w:w="109"/>
        <w:gridCol w:w="109"/>
        <w:gridCol w:w="109"/>
        <w:gridCol w:w="109"/>
        <w:gridCol w:w="109"/>
        <w:gridCol w:w="109"/>
        <w:gridCol w:w="300"/>
        <w:gridCol w:w="850"/>
        <w:gridCol w:w="168"/>
        <w:gridCol w:w="109"/>
        <w:gridCol w:w="109"/>
        <w:gridCol w:w="109"/>
        <w:gridCol w:w="356"/>
        <w:gridCol w:w="847"/>
        <w:gridCol w:w="199"/>
        <w:gridCol w:w="109"/>
        <w:gridCol w:w="109"/>
        <w:gridCol w:w="109"/>
        <w:gridCol w:w="109"/>
        <w:gridCol w:w="109"/>
        <w:gridCol w:w="109"/>
        <w:gridCol w:w="323"/>
        <w:gridCol w:w="720"/>
        <w:gridCol w:w="183"/>
        <w:gridCol w:w="109"/>
        <w:gridCol w:w="109"/>
        <w:gridCol w:w="109"/>
        <w:gridCol w:w="277"/>
        <w:gridCol w:w="849"/>
        <w:gridCol w:w="225"/>
      </w:tblGrid>
      <w:tr>
        <w:trPr/>
        <w:tc>
          <w:tcPr>
            <w:tcW w:w="143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8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2,115</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(1,084)</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income (expense), net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 (Note 20)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w:t>
            </w:r>
            <w:r>
              <w:rPr>
                <w:color w:val="000000"/>
              </w:rPr>
              <w:t>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w:t>
            </w:r>
            <w:r>
              <w:rPr>
                <w:color w:val="000000"/>
              </w:rPr>
              <w:t> </w:t>
            </w:r>
          </w:p>
        </w:tc>
        <w:tc>
          <w:tcPr>
            <w:tcW w:w="1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(1,328)</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w:t>
            </w:r>
            <w:r>
              <w:rPr>
                <w:color w:val="000000"/>
              </w:rPr>
              <w:t>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1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(1,293)</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(1,289)</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54,254 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59,029 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8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56,486 </w:t>
            </w:r>
          </w:p>
        </w:tc>
        <w:tc>
          <w:tcPr>
            <w:tcW w:w="1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59,399 </w:t>
            </w:r>
          </w:p>
        </w:tc>
        <w:tc>
          <w:tcPr>
            <w:tcW w:w="19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6"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52</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pPr>
      <w:r>
        <w:rPr>
          <w:rFonts w:ascii="Arial;sans-serif" w:hAnsi="Arial;sans-serif"/>
          <w:b/>
          <w:color w:val="000000"/>
          <w:sz w:val="18"/>
        </w:rPr>
        <w:t>CONSOLIDATED STATEMENTS OF COMPREHENSIVE INCOME (LOSS)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153"/>
        <w:gridCol w:w="944"/>
        <w:gridCol w:w="863"/>
        <w:gridCol w:w="109"/>
        <w:gridCol w:w="109"/>
        <w:gridCol w:w="109"/>
        <w:gridCol w:w="109"/>
        <w:gridCol w:w="109"/>
        <w:gridCol w:w="109"/>
        <w:gridCol w:w="109"/>
        <w:gridCol w:w="286"/>
        <w:gridCol w:w="837"/>
        <w:gridCol w:w="161"/>
        <w:gridCol w:w="109"/>
        <w:gridCol w:w="109"/>
        <w:gridCol w:w="109"/>
        <w:gridCol w:w="360"/>
        <w:gridCol w:w="802"/>
        <w:gridCol w:w="201"/>
        <w:gridCol w:w="109"/>
        <w:gridCol w:w="109"/>
        <w:gridCol w:w="109"/>
        <w:gridCol w:w="109"/>
        <w:gridCol w:w="109"/>
        <w:gridCol w:w="109"/>
        <w:gridCol w:w="313"/>
        <w:gridCol w:w="698"/>
        <w:gridCol w:w="177"/>
        <w:gridCol w:w="109"/>
        <w:gridCol w:w="109"/>
        <w:gridCol w:w="109"/>
        <w:gridCol w:w="271"/>
        <w:gridCol w:w="846"/>
        <w:gridCol w:w="222"/>
      </w:tblGrid>
      <w:tr>
        <w:trPr/>
        <w:tc>
          <w:tcPr>
            <w:tcW w:w="11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9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 (Note 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actuarial (gain) loss, net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(losses) arising during the period, net of tax</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Qualifying derivatives unrealized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actuarial (gain) loss, net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Reclassifications from AOCI, net of tax</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w:t>
            </w:r>
            <w:r>
              <w:rPr>
                <w:color w:val="000000"/>
              </w:rPr>
              <w:t> </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w:t>
            </w:r>
            <w:r>
              <w:rPr>
                <w:color w:val="000000"/>
              </w:rPr>
              <w:t>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(1,308)</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6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1,009</w:t>
            </w:r>
            <w:r>
              <w:rPr>
                <w:color w:val="000000"/>
              </w:rPr>
              <w:t> </w:t>
            </w:r>
          </w:p>
        </w:tc>
        <w:tc>
          <w:tcPr>
            <w:tcW w:w="1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20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485</w:t>
            </w:r>
            <w:r>
              <w:rPr>
                <w:color w:val="000000"/>
              </w:rPr>
              <w:t> </w:t>
            </w:r>
          </w:p>
        </w:tc>
        <w:tc>
          <w:tcPr>
            <w:tcW w:w="17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(1,304)</w:t>
            </w:r>
          </w:p>
        </w:tc>
        <w:tc>
          <w:tcPr>
            <w:tcW w:w="2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7"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53</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BALANCE SHEETS</w:t>
      </w:r>
    </w:p>
    <w:tbl>
      <w:tblPr>
        <w:tblW w:w="8377" w:type="dxa"/>
        <w:jc w:val="left"/>
        <w:tblInd w:w="0" w:type="dxa"/>
        <w:tblLayout w:type="fixed"/>
        <w:tblCellMar>
          <w:top w:w="28" w:type="dxa"/>
          <w:left w:w="28" w:type="dxa"/>
          <w:bottom w:w="28" w:type="dxa"/>
          <w:right w:w="28" w:type="dxa"/>
        </w:tblCellMar>
      </w:tblPr>
      <w:tblGrid>
        <w:gridCol w:w="1929"/>
        <w:gridCol w:w="1695"/>
        <w:gridCol w:w="1715"/>
        <w:gridCol w:w="109"/>
        <w:gridCol w:w="109"/>
        <w:gridCol w:w="109"/>
        <w:gridCol w:w="261"/>
        <w:gridCol w:w="762"/>
        <w:gridCol w:w="146"/>
        <w:gridCol w:w="109"/>
        <w:gridCol w:w="109"/>
        <w:gridCol w:w="109"/>
        <w:gridCol w:w="258"/>
        <w:gridCol w:w="753"/>
        <w:gridCol w:w="204"/>
      </w:tblGrid>
      <w:tr>
        <w:trPr/>
        <w:tc>
          <w:tcPr>
            <w:tcW w:w="192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 (Note 19)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 (Note 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5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1,554</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(Notes 9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5 and 14)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7,121</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 (Notes 13 and 14)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5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(Notes 13 and 14)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2,811 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5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(Note 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4,719</w:t>
            </w: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4,587</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 (Note 18)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stock ($0.001 par value, 350,000,000 shares authorized)</w:t>
            </w:r>
            <w:r>
              <w:rPr>
                <w:color w:val="000000"/>
              </w:rPr>
              <w:t xml:space="preserv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2,534</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7,121</w:t>
            </w:r>
            <w:r>
              <w:rPr>
                <w:color w:val="000000"/>
              </w:rPr>
              <w:t> </w:t>
            </w:r>
          </w:p>
        </w:tc>
        <w:tc>
          <w:tcPr>
            <w:tcW w:w="2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(a)45,961,910 and 59,028,843 shares issued and outstanding as of December 31, 2024 (Successor) and December 31, 2023 (Successor), respectively.</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8"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54</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CASH FLOWS</w:t>
      </w:r>
    </w:p>
    <w:tbl>
      <w:tblPr>
        <w:tblW w:w="10205" w:type="dxa"/>
        <w:jc w:val="left"/>
        <w:tblInd w:w="0" w:type="dxa"/>
        <w:tblLayout w:type="fixed"/>
        <w:tblCellMar>
          <w:top w:w="28" w:type="dxa"/>
          <w:left w:w="28" w:type="dxa"/>
          <w:bottom w:w="28" w:type="dxa"/>
          <w:right w:w="28" w:type="dxa"/>
        </w:tblCellMar>
      </w:tblPr>
      <w:tblGrid>
        <w:gridCol w:w="1146"/>
        <w:gridCol w:w="902"/>
        <w:gridCol w:w="771"/>
        <w:gridCol w:w="109"/>
        <w:gridCol w:w="109"/>
        <w:gridCol w:w="109"/>
        <w:gridCol w:w="322"/>
        <w:gridCol w:w="915"/>
        <w:gridCol w:w="180"/>
        <w:gridCol w:w="109"/>
        <w:gridCol w:w="109"/>
        <w:gridCol w:w="109"/>
        <w:gridCol w:w="411"/>
        <w:gridCol w:w="883"/>
        <w:gridCol w:w="230"/>
        <w:gridCol w:w="109"/>
        <w:gridCol w:w="109"/>
        <w:gridCol w:w="109"/>
        <w:gridCol w:w="109"/>
        <w:gridCol w:w="109"/>
        <w:gridCol w:w="109"/>
        <w:gridCol w:w="360"/>
        <w:gridCol w:w="777"/>
        <w:gridCol w:w="203"/>
        <w:gridCol w:w="109"/>
        <w:gridCol w:w="109"/>
        <w:gridCol w:w="109"/>
        <w:gridCol w:w="297"/>
        <w:gridCol w:w="933"/>
        <w:gridCol w:w="240"/>
      </w:tblGrid>
      <w:tr>
        <w:trPr/>
        <w:tc>
          <w:tcPr>
            <w:tcW w:w="1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8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AWS Data Campus Sale and ERCOT Sale (Note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19)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(gain) loss, net (excluding interest and fees)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sales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(income) expense, net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restructuring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(Note 19)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w:t>
            </w:r>
            <w:r>
              <w:rPr>
                <w:color w:val="000000"/>
              </w:rPr>
              <w:t> </w:t>
            </w:r>
          </w:p>
        </w:tc>
        <w:tc>
          <w:tcPr>
            <w:tcW w:w="18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w:t>
            </w:r>
            <w:r>
              <w:rPr>
                <w:color w:val="000000"/>
              </w:rPr>
              <w:t> </w:t>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w:t>
            </w:r>
            <w:r>
              <w:rPr>
                <w:color w:val="000000"/>
              </w:rPr>
              <w:t> </w:t>
            </w:r>
          </w:p>
        </w:tc>
        <w:tc>
          <w:tcPr>
            <w:tcW w:w="20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w:t>
            </w:r>
            <w:r>
              <w:rPr>
                <w:color w:val="000000"/>
              </w:rPr>
              <w:t>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investment purchases (Note 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(2,271)</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investment sale proceeds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2,243 </w:t>
            </w:r>
          </w:p>
        </w:tc>
        <w:tc>
          <w:tcPr>
            <w:tcW w:w="24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AWS Data Campus Sale and ERCOT Sale (Note 20)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investments in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sale of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and restricted cash due to consolidation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1,171</w:t>
            </w:r>
            <w:r>
              <w:rPr>
                <w:color w:val="000000"/>
              </w:rPr>
              <w:t>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w:t>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(157)</w:t>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(368)</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9"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55</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before="0" w:after="0"/>
        <w:ind w:left="0" w:right="0" w:hanging="36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CASH FLOWS</w:t>
      </w:r>
    </w:p>
    <w:tbl>
      <w:tblPr>
        <w:tblW w:w="10205" w:type="dxa"/>
        <w:jc w:val="left"/>
        <w:tblInd w:w="0" w:type="dxa"/>
        <w:tblLayout w:type="fixed"/>
        <w:tblCellMar>
          <w:top w:w="28" w:type="dxa"/>
          <w:left w:w="28" w:type="dxa"/>
          <w:bottom w:w="28" w:type="dxa"/>
          <w:right w:w="28" w:type="dxa"/>
        </w:tblCellMar>
      </w:tblPr>
      <w:tblGrid>
        <w:gridCol w:w="1602"/>
        <w:gridCol w:w="829"/>
        <w:gridCol w:w="770"/>
        <w:gridCol w:w="109"/>
        <w:gridCol w:w="109"/>
        <w:gridCol w:w="109"/>
        <w:gridCol w:w="351"/>
        <w:gridCol w:w="783"/>
        <w:gridCol w:w="196"/>
        <w:gridCol w:w="109"/>
        <w:gridCol w:w="109"/>
        <w:gridCol w:w="109"/>
        <w:gridCol w:w="374"/>
        <w:gridCol w:w="834"/>
        <w:gridCol w:w="209"/>
        <w:gridCol w:w="109"/>
        <w:gridCol w:w="109"/>
        <w:gridCol w:w="109"/>
        <w:gridCol w:w="109"/>
        <w:gridCol w:w="109"/>
        <w:gridCol w:w="109"/>
        <w:gridCol w:w="327"/>
        <w:gridCol w:w="728"/>
        <w:gridCol w:w="185"/>
        <w:gridCol w:w="109"/>
        <w:gridCol w:w="109"/>
        <w:gridCol w:w="109"/>
        <w:gridCol w:w="341"/>
        <w:gridCol w:w="762"/>
        <w:gridCol w:w="279"/>
      </w:tblGrid>
      <w:tr>
        <w:trPr/>
        <w:tc>
          <w:tcPr>
            <w:tcW w:w="160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3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320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TES debt issuance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TES debt repayments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Cumulus Digital TLF repayment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noncontrolling interest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restricted stock units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or repurchase of warrants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LMBE-MC TLB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TLB-1 proceeds,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prepetition secured indebtedness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proceeds at Emergence, net of discount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make-whole premiums on prepetition secured indebtedness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with financing elements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Debtor-in-possession credit facilities proceeds,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Prepetition deferred capacity obligations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Prepetition inventory repurchase obligations, net increase (decrease)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Prepetition senior secured revolving credit facility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Prepetition senior secured revolving credit facility repayments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(1,963)</w:t>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w:t>
            </w:r>
          </w:p>
        </w:tc>
        <w:tc>
          <w:tcPr>
            <w:tcW w:w="2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(539)</w:t>
            </w:r>
          </w:p>
        </w:tc>
        <w:tc>
          <w:tcPr>
            <w:tcW w:w="18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27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279"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w:t>
            </w: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754</w:t>
            </w: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988</w:t>
            </w:r>
            <w:r>
              <w:rPr>
                <w:color w:val="000000"/>
              </w:rPr>
              <w:t>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See Note 19 for supplemental cash flow information.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60"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56</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EQUITY</w:t>
      </w:r>
    </w:p>
    <w:tbl>
      <w:tblPr>
        <w:tblW w:w="11166" w:type="dxa"/>
        <w:jc w:val="left"/>
        <w:tblInd w:w="0" w:type="dxa"/>
        <w:tblLayout w:type="fixed"/>
        <w:tblCellMar>
          <w:top w:w="28" w:type="dxa"/>
          <w:left w:w="28" w:type="dxa"/>
          <w:bottom w:w="28" w:type="dxa"/>
          <w:right w:w="28" w:type="dxa"/>
        </w:tblCellMar>
      </w:tblPr>
      <w:tblGrid>
        <w:gridCol w:w="862"/>
        <w:gridCol w:w="191"/>
        <w:gridCol w:w="193"/>
        <w:gridCol w:w="109"/>
        <w:gridCol w:w="109"/>
        <w:gridCol w:w="109"/>
        <w:gridCol w:w="381"/>
        <w:gridCol w:w="280"/>
        <w:gridCol w:w="281"/>
        <w:gridCol w:w="109"/>
        <w:gridCol w:w="109"/>
        <w:gridCol w:w="109"/>
        <w:gridCol w:w="208"/>
        <w:gridCol w:w="606"/>
        <w:gridCol w:w="117"/>
        <w:gridCol w:w="109"/>
        <w:gridCol w:w="109"/>
        <w:gridCol w:w="109"/>
        <w:gridCol w:w="305"/>
        <w:gridCol w:w="680"/>
        <w:gridCol w:w="171"/>
        <w:gridCol w:w="109"/>
        <w:gridCol w:w="109"/>
        <w:gridCol w:w="109"/>
        <w:gridCol w:w="196"/>
        <w:gridCol w:w="406"/>
        <w:gridCol w:w="109"/>
        <w:gridCol w:w="109"/>
        <w:gridCol w:w="109"/>
        <w:gridCol w:w="109"/>
        <w:gridCol w:w="219"/>
        <w:gridCol w:w="454"/>
        <w:gridCol w:w="123"/>
        <w:gridCol w:w="109"/>
        <w:gridCol w:w="109"/>
        <w:gridCol w:w="109"/>
        <w:gridCol w:w="230"/>
        <w:gridCol w:w="512"/>
        <w:gridCol w:w="129"/>
        <w:gridCol w:w="109"/>
        <w:gridCol w:w="109"/>
        <w:gridCol w:w="109"/>
        <w:gridCol w:w="258"/>
        <w:gridCol w:w="574"/>
        <w:gridCol w:w="144"/>
        <w:gridCol w:w="109"/>
        <w:gridCol w:w="109"/>
        <w:gridCol w:w="109"/>
        <w:gridCol w:w="196"/>
        <w:gridCol w:w="571"/>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Common stock shares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Member's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24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2021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1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consolidation of affiliate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distribution to member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contribution from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contribution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2022 (Predecessor)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Cancellation of member’s equity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Issuance of member’s equity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Issuance of warrants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Common equity from member’s equity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59,029 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contributions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distributions </w:t>
            </w:r>
            <w:r>
              <w:rPr>
                <w:rFonts w:ascii="Arial;sans-serif" w:hAnsi="Arial;sans-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May 17, 2023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59,029</w:t>
            </w:r>
            <w:r>
              <w:rPr>
                <w:color w:val="000000"/>
              </w:rPr>
              <w:t> </w:t>
            </w:r>
          </w:p>
        </w:tc>
        <w:tc>
          <w:tcPr>
            <w:tcW w:w="2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2,321</w:t>
            </w:r>
            <w:r>
              <w:rPr>
                <w:color w:val="000000"/>
              </w:rPr>
              <w:t>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May 18, 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59,029</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Purchase of noncontrolling interest</w:t>
            </w:r>
            <w:r>
              <w:rPr>
                <w:color w:val="000000"/>
              </w:rPr>
              <w:t xml:space="preserve"> </w:t>
            </w:r>
            <w:r>
              <w:rPr>
                <w:rFonts w:ascii="Arial;sans-serif" w:hAnsi="Arial;sans-serif"/>
                <w:b w:val="false"/>
                <w:color w:val="000000"/>
                <w:sz w:val="10"/>
              </w:rPr>
              <w: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distributions </w:t>
            </w:r>
            <w:r>
              <w:rPr>
                <w:rFonts w:ascii="Arial;sans-serif" w:hAnsi="Arial;sans-serif"/>
                <w:b w:val="false"/>
                <w:color w:val="000000"/>
                <w:sz w:val="10"/>
              </w:rPr>
              <w:t>(d)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59,029</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(13,227)</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Purchase of noncontrolling interest </w:t>
            </w:r>
            <w:r>
              <w:rPr>
                <w:rFonts w:ascii="Arial;sans-serif" w:hAnsi="Arial;sans-serif"/>
                <w:b w:val="false"/>
                <w:color w:val="000000"/>
                <w:sz w:val="10"/>
              </w:rPr>
              <w: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warrants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Cash distributions </w:t>
            </w:r>
            <w:r>
              <w:rPr>
                <w:rFonts w:ascii="Arial;sans-serif" w:hAnsi="Arial;sans-serif"/>
                <w:b w:val="false"/>
                <w:color w:val="000000"/>
                <w:sz w:val="1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distributions </w:t>
            </w:r>
            <w:r>
              <w:rPr>
                <w:rFonts w:ascii="Arial;sans-serif" w:hAnsi="Arial;sans-serif"/>
                <w:b w:val="false"/>
                <w:color w:val="000000"/>
                <w:sz w:val="10"/>
              </w:rPr>
              <w:t>(g)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45,962</w:t>
            </w:r>
            <w:r>
              <w:rPr>
                <w:color w:val="000000"/>
              </w:rPr>
              <w:t> </w:t>
            </w:r>
          </w:p>
        </w:tc>
        <w:tc>
          <w:tcPr>
            <w:tcW w:w="2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1,725</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(326)</w:t>
            </w:r>
          </w:p>
        </w:tc>
        <w:tc>
          <w:tcPr>
            <w:tcW w:w="1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(a)Shares in thousands.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(b)Pursuant to the Plan of Reorganization: (i) existing equity interests were canceled; and (ii) new equity interests and equity-classified warrants were issued.</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(c)Related to contributions of cryptocurrency miners by TeraWulf to Nautilus. </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(d)Related primarily to distributions of Bitcoin to TeraWulf.</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(e)TES acquisition of remaining noncontrolling interests in Cumulus Digital and Nautilus. See Note 18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(f)Distributions to noncontrolling interest owners of Cumulus Digital and Nautilus.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(g)Related primarily to distribution of Bitcoin and cryptocurrency miners to TeraWulf.</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1"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57</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NOTES TO THE ANNUAL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Capitalized terms and abbreviations appearing in these Notes to the Annual Financial Statements Financial Statements are defined in the glossary. Dollars are in millions, unless otherwise noted.</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 xml:space="preserve">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Note 2 for additional information.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 Organization and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is a leading independent power producer and energy infrastructure company dedicated to powering the future. We own and operate approximately 10.7 gigawatts of power infrastructure in the United States, including 2.2 gigawatts of nuclear power and a significant dispatchable generation fleet. We produce and sell electricity, capacity, and ancillary services into wholesale U.S. power markets, with our generation fleet principally located in the Mid-Atlantic and Montana. Talen is headquartered in Houston,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Basis of Presentation and Principles of Consolidation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Annual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w:t>
      </w:r>
    </w:p>
    <w:p>
      <w:pPr>
        <w:pStyle w:val="TextBody"/>
        <w:bidi w:val="0"/>
        <w:spacing w:lineRule="auto" w:line="288" w:before="0" w:after="180"/>
        <w:jc w:val="left"/>
        <w:rPr/>
      </w:pPr>
      <w:r>
        <w:rPr>
          <w:rFonts w:ascii="Arial;sans-serif" w:hAnsi="Arial;sans-serif"/>
          <w:b w:val="false"/>
          <w:i/>
          <w:color w:val="000000"/>
          <w:sz w:val="18"/>
        </w:rPr>
        <w:t>Emergence from Restructuring, Fresh Start Accounting, and Reverse Acquisition.</w:t>
      </w:r>
      <w:r>
        <w:rPr>
          <w:color w:val="000000"/>
        </w:rPr>
        <w:t xml:space="preserve"> </w:t>
      </w:r>
      <w:r>
        <w:rPr>
          <w:rFonts w:ascii="Arial;sans-serif" w:hAnsi="Arial;sans-serif"/>
          <w:b w:val="false"/>
          <w:color w:val="000000"/>
          <w:sz w:val="18"/>
        </w:rPr>
        <w:t>In May 2022, TES and 71 of its subsidiaries voluntarily commenced the Restructuring under Chapter 11 of the U.S. Bankruptcy Code. TEC joined the Restructuring in December 2022. The Plan of Reorganization was approved by the requisite parties and confirmed by the bankruptcy court in late 2022, and was consummated and became effective in May 2023, when TEC, TES, and the other debtors emerged from the Restructuring.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these Annual Financial Statements are issued under the name of TEC, the legal parent of TES and accounting acquiree, but represent the continuation of the financial statements of TES, the accounting acquirer.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periods from January 1 through May 17, 2023 (Predecessor) and the year ended December 31, 2022 (Predecessor); and (ii) the Successor periods from May 18 through December 31, 2023 (Successor) and the year ended December 31, 2024 (Successor). These Annual Financial Statements and notes hereto have been presented with a black line division to delineate the lack of comparability between the Predecessor and Successor.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3 for additional information on the Restructuring and Note 4 for additional information on fresh start accounting.</w:t>
      </w:r>
    </w:p>
    <w:p>
      <w:pPr>
        <w:pStyle w:val="TextBody"/>
        <w:bidi w:val="0"/>
        <w:spacing w:lineRule="auto" w:line="288" w:before="0" w:after="180"/>
        <w:jc w:val="left"/>
        <w:rPr/>
      </w:pPr>
      <w:r>
        <w:rPr>
          <w:rFonts w:ascii="Arial;sans-serif" w:hAnsi="Arial;sans-serif"/>
          <w:b w:val="false"/>
          <w:i/>
          <w:color w:val="000000"/>
          <w:sz w:val="18"/>
        </w:rPr>
        <w:t>Consolidation of an Affiliate’s Subsidiary.</w:t>
      </w:r>
      <w:r>
        <w:rPr>
          <w:color w:val="000000"/>
        </w:rPr>
        <w:t xml:space="preserve"> </w:t>
      </w:r>
      <w:r>
        <w:rPr>
          <w:rFonts w:ascii="Arial;sans-serif" w:hAnsi="Arial;sans-serif"/>
          <w:b w:val="false"/>
          <w:color w:val="000000"/>
          <w:sz w:val="18"/>
        </w:rPr>
        <w:t>In September 2022, as part of a settlement of certain matters in the Restructuring, TES exchanged preferred units in subsidiaries of Cumulus Digital for common units in Cumulus Digital. Following the consummation of the exchange and other related transactions, TES became the primary beneficiary of Cumulus Digital, a variable interest entity, due to its ability to control the activities that most significantly impacted Cumulus Digital. Accordingly, Cumulus Digital and its subsidiaries were consolidated by TES as of September 30, 2022. The difference between (i) the fair value of Cumulus Digital and its subsidiaries; and (ii) the carrying value of the preferred units immediately before the exchange resulted in a loss of $170 million presented as “Consolidation of subsidiary gain (loss)” on the Consolidated Statements of Operations for the year ended December 31, 2022 (Predecessor).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2"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58</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Summary of Significant Accounting Policies</w:t>
      </w:r>
    </w:p>
    <w:p>
      <w:pPr>
        <w:pStyle w:val="TextBody"/>
        <w:bidi w:val="0"/>
        <w:spacing w:lineRule="auto" w:line="288" w:before="0" w:after="180"/>
        <w:jc w:val="left"/>
        <w:rPr/>
      </w:pPr>
      <w:r>
        <w:rPr>
          <w:rFonts w:ascii="Arial;sans-serif" w:hAnsi="Arial;sans-serif"/>
          <w:b w:val="false"/>
          <w:i/>
          <w:color w:val="000000"/>
          <w:sz w:val="18"/>
        </w:rPr>
        <w:t>Reclassifications.</w:t>
      </w:r>
      <w:r>
        <w:rPr>
          <w:color w:val="000000"/>
        </w:rPr>
        <w:t xml:space="preserve"> </w:t>
      </w:r>
      <w:r>
        <w:rPr>
          <w:rFonts w:ascii="Arial;sans-serif" w:hAnsi="Arial;sans-serif"/>
          <w:b w:val="false"/>
          <w:color w:val="000000"/>
          <w:sz w:val="18"/>
        </w:rPr>
        <w:t xml:space="preserve">Certain amounts in the prior period financial statements were reclassified to conform to the current period’s presentation. The reclassifications did not affect operating income, net income, total assets, total liabilities, net equity, or cash flows. </w:t>
      </w:r>
    </w:p>
    <w:p>
      <w:pPr>
        <w:pStyle w:val="TextBody"/>
        <w:bidi w:val="0"/>
        <w:spacing w:lineRule="auto" w:line="288" w:before="0" w:after="180"/>
        <w:jc w:val="left"/>
        <w:rPr/>
      </w:pPr>
      <w:r>
        <w:rPr>
          <w:rFonts w:ascii="Arial;sans-serif" w:hAnsi="Arial;sans-serif"/>
          <w:b w:val="false"/>
          <w:i/>
          <w:color w:val="000000"/>
          <w:sz w:val="18"/>
        </w:rPr>
        <w:t>Use of Estimates.</w:t>
      </w:r>
      <w:r>
        <w:rPr>
          <w:color w:val="000000"/>
        </w:rPr>
        <w:t xml:space="preserve"> </w:t>
      </w:r>
      <w:r>
        <w:rPr>
          <w:rFonts w:ascii="Arial;sans-serif" w:hAnsi="Arial;sans-serif"/>
          <w:b w:val="false"/>
          <w:color w:val="000000"/>
          <w:sz w:val="18"/>
        </w:rPr>
        <w:t>The preparation of financial statements in conformity with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could differ from those estimates.</w:t>
      </w:r>
    </w:p>
    <w:p>
      <w:pPr>
        <w:pStyle w:val="TextBody"/>
        <w:bidi w:val="0"/>
        <w:spacing w:lineRule="auto" w:line="288" w:before="0" w:after="180"/>
        <w:jc w:val="left"/>
        <w:rPr/>
      </w:pPr>
      <w:r>
        <w:rPr>
          <w:rFonts w:ascii="Arial;sans-serif" w:hAnsi="Arial;sans-serif"/>
          <w:b w:val="false"/>
          <w:i/>
          <w:color w:val="000000"/>
          <w:sz w:val="18"/>
        </w:rPr>
        <w:t xml:space="preserve">Restructuring Effects. </w:t>
      </w:r>
      <w:r>
        <w:rPr>
          <w:rFonts w:ascii="Arial;sans-serif" w:hAnsi="Arial;sans-serif"/>
          <w:b w:val="false"/>
          <w:color w:val="000000"/>
          <w:sz w:val="18"/>
        </w:rPr>
        <w:t>Income, expenses, gains, or losses that were incurred or realized as a direct result of the Restructuring since entering bankruptcy proceedings are presented as “Reorganization income (expense), net”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3 and 4 for additional information on the Restructuring and fresh start accounting.</w:t>
      </w:r>
    </w:p>
    <w:p>
      <w:pPr>
        <w:pStyle w:val="TextBody"/>
        <w:bidi w:val="0"/>
        <w:spacing w:lineRule="auto" w:line="288" w:before="0" w:after="180"/>
        <w:jc w:val="left"/>
        <w:rPr/>
      </w:pPr>
      <w:r>
        <w:rPr>
          <w:rFonts w:ascii="Arial;sans-serif" w:hAnsi="Arial;sans-serif"/>
          <w:b w:val="false"/>
          <w:i/>
          <w:color w:val="000000"/>
          <w:sz w:val="18"/>
        </w:rPr>
        <w:t>Fair Value of Financial Instruments and Derivatives.</w:t>
      </w:r>
      <w:r>
        <w:rPr>
          <w:color w:val="000000"/>
        </w:rPr>
        <w:t xml:space="preserve"> </w:t>
      </w:r>
      <w:r>
        <w:rPr>
          <w:rFonts w:ascii="Arial;sans-serif" w:hAnsi="Arial;sans-serif"/>
          <w:b w:val="false"/>
          <w:color w:val="000000"/>
          <w:sz w:val="18"/>
        </w:rPr>
        <w:t>We carry a portion of our assets and liabilities at fair value that are measured at a reporting date using 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 (i) Level 1 inputs that are quoted prices (unadjusted) in active markets for identical assets or liabilities; (ii) Level 2 inputs that are other than quoted prices that are directly or indirectly observable; and (iii) Level 3 inputs are unobservable inputs for assets or liabilities.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classification of an asset or liability is based on the lowest level of input significant to its fair value. Those initially classified as Level 3 are subsequently reported as Level 2 when the fair value derived from unobservable inputs is inconsequential to the overall fair value, or if corroborated market data becomes available. Those initially classified as Level 2 are subsequently reported as Level 3 if corroborated market data is no longer available. Transfers occur at the end of the reporting period.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5, 10, 14, and 15 for fair value disclosures.</w:t>
      </w:r>
    </w:p>
    <w:p>
      <w:pPr>
        <w:pStyle w:val="TextBody"/>
        <w:bidi w:val="0"/>
        <w:spacing w:lineRule="auto" w:line="288" w:before="0" w:after="180"/>
        <w:jc w:val="left"/>
        <w:rPr/>
      </w:pPr>
      <w:r>
        <w:rPr>
          <w:rFonts w:ascii="Arial;sans-serif" w:hAnsi="Arial;sans-serif"/>
          <w:b w:val="false"/>
          <w:i/>
          <w:color w:val="000000"/>
          <w:sz w:val="18"/>
        </w:rPr>
        <w:t>Operating Revenues and Revenue Recognition.</w:t>
      </w:r>
      <w:r>
        <w:rPr>
          <w:color w:val="000000"/>
        </w:rPr>
        <w:t xml:space="preserve"> </w:t>
      </w:r>
      <w:r>
        <w:rPr>
          <w:rFonts w:ascii="Arial;sans-serif" w:hAnsi="Arial;sans-serif"/>
          <w:b w:val="false"/>
          <w:color w:val="000000"/>
          <w:sz w:val="18"/>
        </w:rPr>
        <w:t>Operating revenues on the Consolidated Statements of Operations are primarily comprised of items presented as: (i) “Capacity revenues;” (ii) “Energy and other revenues;” and (iii) “Unrealized gain (loss) on derivative instruments” for certain electricity contracts.</w:t>
      </w:r>
    </w:p>
    <w:p>
      <w:pPr>
        <w:pStyle w:val="TextBody"/>
        <w:bidi w:val="0"/>
        <w:spacing w:lineRule="auto" w:line="288" w:before="0" w:after="180"/>
        <w:jc w:val="left"/>
        <w:rPr/>
      </w:pPr>
      <w:r>
        <w:rPr>
          <w:rFonts w:ascii="Arial;sans-serif" w:hAnsi="Arial;sans-serif"/>
          <w:b w:val="false"/>
          <w:color w:val="000000"/>
          <w:sz w:val="18"/>
          <w:u w:val="single"/>
        </w:rPr>
        <w:t>Capacity revenues.</w:t>
      </w:r>
      <w:r>
        <w:rPr>
          <w:color w:val="000000"/>
        </w:rPr>
        <w:t xml:space="preserve"> </w:t>
      </w:r>
      <w:r>
        <w:rPr>
          <w:rFonts w:ascii="Arial;sans-serif" w:hAnsi="Arial;sans-serif"/>
          <w:b w:val="false"/>
          <w:color w:val="000000"/>
          <w:sz w:val="18"/>
        </w:rPr>
        <w:t xml:space="preserve">Includes amounts earned from auctions in ISOs and RTOs and under bilateral contracts to provide available generation capacity that is needed to satisfy system reliability and integrity requirements. Capacity revenues are recognized ratably over the PJM Capacity Year by Talen-owned generation facilities that participate in the auctions and stand ready to deliver generated power. Capacity revenues are based on invoiced amounts corresponding directly to the value provided over a specific time interval. </w:t>
      </w:r>
    </w:p>
    <w:p>
      <w:pPr>
        <w:pStyle w:val="TextBody"/>
        <w:bidi w:val="0"/>
        <w:spacing w:lineRule="auto" w:line="288" w:before="0" w:after="180"/>
        <w:jc w:val="left"/>
        <w:rPr/>
      </w:pPr>
      <w:r>
        <w:rPr>
          <w:rFonts w:ascii="Arial;sans-serif" w:hAnsi="Arial;sans-serif"/>
          <w:b w:val="false"/>
          <w:color w:val="000000"/>
          <w:sz w:val="18"/>
          <w:u w:val="single"/>
        </w:rPr>
        <w:t>Energy and other revenues.</w:t>
      </w:r>
      <w:r>
        <w:rPr>
          <w:color w:val="000000"/>
        </w:rPr>
        <w:t xml:space="preserv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Energy revenues primarily include: (i) amounts earned from sales to ISOs and RTOs for electric generation and ancillary services products that support transmission and grid operations; (ii) amounts earned for wholesale electricity sales to bilateral counterparties; and (iii) realized gains and losses on commodity derivative instruments.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Sales of each electric generation and ancillary services to ISOs and RTOs represent performance obligations recognized over time based on volumes delivered or services performed at contractually agreed upon day-ahead or real-time market prices.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Sales of wholesale electricity to bilateral counterparties represent performance obligations recognized over a contractually agreed period of time based on volumes delivered at the contractually agreed price.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Sales of electric generation, ancillary services, and wholesale electricity to bilateral counterparties are recognized based on invoiced amounts which corresponds directly with the value provided over a specific time interval.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contracts constitute bundled agreements to sell energy, capacity, and (or) ancillary services. In such cases, all performance obligations are deemed to be delivered and (or) performed at the same time. Accordingly, as the timing of revenue recognition for all performance obligations is the same and occurs over a contractually agreed period of time, it is unnecessary to allocate transaction price to multiple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3"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59</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Realized gains and losses on commodity derivative instruments include the settlements of financial and physical power transactions utilized for the Company’s commercial risk management objectives. Realized settlements of these derivative instruments are recognized and presented net within “Energy and other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Other revenues primarily include: (i) Nuclear PTC revenues; and (ii) Nautilus revenues from Bitcoin mining.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Nuclear PTC program provides qualified nuclear power generation facilities with transferable credits for electricity produced and sold 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6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There have been no transfers of Nuclear PTCs to third parties during the year ended December 31, 2024 (Successor). Additional guidance expected to be issued from the U.S. Treasury and IRS may impact the credit value recognized.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primary output of Nautilus’s ordinary business activities is providing hash calculation services to solve complex cryptographic algorithms in support of blockchain mining. Nautilus is party to a mining pool arrangement to provide an unspecified amount of its available hash calculations to an unaffiliated mining pool operator. Nautilus is entitled to an enforceable right to compensation from the mining pool operator only for the duration of time over which Nautilus provides its hash calculations.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exchange for providing hash calculation services to the mining pool operator, Nautilus is entitled to consideration, whether or not the mining pool operator successfully solves a block, based on a ‘full-pay-per-share’ payout methodology. Nautilus’s only performance obligation is to provide hash calculations to the mining pool operator. If Nautilus does not provide hash calculations to the mining pool operator, no consideration is earned by Nautilus nor does Nautilus incur any penalties from the mining pool operator. The Bitcoin earned by Nautilus is all variable noncash consideration. Accordingly, Nautilus recognizes revenue that is measured at fair value using the quoted price for Bitcoin in Nautilus’s principal market at the beginning of each day (Coordinated Universal Time). Nautilus operations were suspended in October 2024.</w:t>
      </w:r>
    </w:p>
    <w:p>
      <w:pPr>
        <w:pStyle w:val="TextBody"/>
        <w:bidi w:val="0"/>
        <w:spacing w:lineRule="auto" w:line="288" w:before="0" w:after="180"/>
        <w:jc w:val="left"/>
        <w:rPr/>
      </w:pPr>
      <w:r>
        <w:rPr>
          <w:rFonts w:ascii="Arial;sans-serif" w:hAnsi="Arial;sans-serif"/>
          <w:b w:val="false"/>
          <w:color w:val="000000"/>
          <w:sz w:val="18"/>
          <w:u w:val="single"/>
        </w:rPr>
        <w:t>Unrealized gain (loss) on derivative instruments.</w:t>
      </w:r>
      <w:r>
        <w:rPr>
          <w:color w:val="000000"/>
        </w:rPr>
        <w:t xml:space="preserve"> </w:t>
      </w:r>
      <w:r>
        <w:rPr>
          <w:rFonts w:ascii="Arial;sans-serif" w:hAnsi="Arial;sans-serif"/>
          <w:b w:val="false"/>
          <w:color w:val="000000"/>
          <w:sz w:val="18"/>
        </w:rPr>
        <w:t>Includes unrealized gains and losses resulting from changes in the fair value of certain power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6 for additional information on revenue.</w:t>
      </w:r>
    </w:p>
    <w:p>
      <w:pPr>
        <w:pStyle w:val="TextBody"/>
        <w:bidi w:val="0"/>
        <w:spacing w:lineRule="auto" w:line="288" w:before="0" w:after="180"/>
        <w:jc w:val="left"/>
        <w:rPr/>
      </w:pPr>
      <w:r>
        <w:rPr>
          <w:rFonts w:ascii="Arial;sans-serif" w:hAnsi="Arial;sans-serif"/>
          <w:b w:val="false"/>
          <w:i/>
          <w:color w:val="000000"/>
          <w:sz w:val="18"/>
        </w:rPr>
        <w:t>Energy Expenses.</w:t>
      </w:r>
      <w:r>
        <w:rPr>
          <w:color w:val="000000"/>
        </w:rPr>
        <w:t xml:space="preserve"> </w:t>
      </w:r>
      <w:r>
        <w:rPr>
          <w:rFonts w:ascii="Arial;sans-serif" w:hAnsi="Arial;sans-serif"/>
          <w:b w:val="false"/>
          <w:color w:val="000000"/>
          <w:sz w:val="18"/>
        </w:rPr>
        <w:t>Energy expenses on the Consolidated Statements of Operations are primarily comprised of items presented as: (i) “Fuel and energy purchases;” (ii) “Nuclear fuel amortization;” and (iii) “Unrealized gain (loss) on derivative instruments” for certain commodity purchase contracts.</w:t>
      </w:r>
    </w:p>
    <w:p>
      <w:pPr>
        <w:pStyle w:val="TextBody"/>
        <w:bidi w:val="0"/>
        <w:spacing w:lineRule="auto" w:line="288" w:before="0" w:after="180"/>
        <w:jc w:val="left"/>
        <w:rPr/>
      </w:pPr>
      <w:r>
        <w:rPr>
          <w:rFonts w:ascii="Arial;sans-serif" w:hAnsi="Arial;sans-serif"/>
          <w:b w:val="false"/>
          <w:color w:val="000000"/>
          <w:sz w:val="18"/>
          <w:u w:val="single"/>
        </w:rPr>
        <w:t>Fuel and energy purchases.</w:t>
      </w:r>
      <w:r>
        <w:rPr>
          <w:color w:val="000000"/>
        </w:rPr>
        <w:t xml:space="preserve"> </w:t>
      </w:r>
      <w:r>
        <w:rPr>
          <w:rFonts w:ascii="Arial;sans-serif" w:hAnsi="Arial;sans-serif"/>
          <w:b w:val="false"/>
          <w:color w:val="000000"/>
          <w:sz w:val="18"/>
        </w:rPr>
        <w:t xml:space="preserve">Primarily includes: (i) fuel costs; (ii) environmental product costs; and (iii) realized gain (loss) on commodity derivative instruments.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Fuel costs include the costs incurred by Talen-owned generation facilities for the conversion of natural gas, coal, and (or) oil products to electricity. Fuel for electric generation from natural gas purchases are recognized at the agreed price for natural gas delivered to the applicable generation facility over a contractually agreed period of time. Fuel for electric generation from coal and oil product inventories are recognized at the applicable weighted average inventory cost of volumes consumed.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Environmental product costs primarily include RGGIs and other emission product compliance costs that are mandated by certain states. The estimated cost of compliance is accrued at the time an obligation under the applicable terms of each state's environmental compliance program arises.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Realized gains and losses on commodity derivative instruments primarily include the settlements of financial and physical fuel contracts utilized for the Company’s commercial risk management objectives. Realized settlements of these derivative instruments are recognized and presented net within “Fuel and energy purchases” on the Consolidated Statements of Operations based on the delivery period of the underlying contract at contractually agreed prices. See “Operating Revenues and Revenue Recognition” above for additional information on realized gains and losses on derivative instruments presented as “Energy and other revenues”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4"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60</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color w:val="000000"/>
          <w:sz w:val="18"/>
          <w:u w:val="single"/>
        </w:rPr>
        <w:t>Nuclear fuel amortization.</w:t>
      </w:r>
      <w:r>
        <w:rPr>
          <w:color w:val="000000"/>
        </w:rPr>
        <w:t xml:space="preserve"> </w:t>
      </w:r>
      <w:r>
        <w:rPr>
          <w:rFonts w:ascii="Arial;sans-serif" w:hAnsi="Arial;sans-serif"/>
          <w:b w:val="false"/>
          <w:color w:val="000000"/>
          <w:sz w:val="18"/>
        </w:rPr>
        <w:t>Nuclear fuel-related costs, including procurement of uranium, conversion, enrichment, fabrication and assemblies, are capitalized and presented as “Property, plant and equipment, net”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pStyle w:val="TextBody"/>
        <w:bidi w:val="0"/>
        <w:spacing w:lineRule="auto" w:line="288" w:before="0" w:after="180"/>
        <w:jc w:val="left"/>
        <w:rPr/>
      </w:pPr>
      <w:r>
        <w:rPr>
          <w:rFonts w:ascii="Arial;sans-serif" w:hAnsi="Arial;sans-serif"/>
          <w:b w:val="false"/>
          <w:color w:val="000000"/>
          <w:sz w:val="18"/>
          <w:u w:val="single"/>
        </w:rPr>
        <w:t>Unrealized gain (loss) on derivative instruments.</w:t>
      </w:r>
      <w:r>
        <w:rPr>
          <w:color w:val="000000"/>
        </w:rPr>
        <w:t xml:space="preserve"> </w:t>
      </w:r>
      <w:r>
        <w:rPr>
          <w:rFonts w:ascii="Arial;sans-serif" w:hAnsi="Arial;sans-serif"/>
          <w:b w:val="false"/>
          <w:color w:val="000000"/>
          <w:sz w:val="18"/>
        </w:rPr>
        <w:t>Includes unrealized gains and losses resulting from changes in the fair value of certain fuel contracts and environmental product contracts that qualify as derivative instruments. See “Derivative Instruments” below for the recognition criteria of unrealized gains and losses on commodity derivative instruments. See “Operating Revenues and Revenue Recognition” above for additional information on unrealized gains and losses of derivative instruments presented as “Operating Revenues” on the Consolidated Statements of Operations.</w:t>
      </w:r>
    </w:p>
    <w:p>
      <w:pPr>
        <w:pStyle w:val="TextBody"/>
        <w:bidi w:val="0"/>
        <w:spacing w:lineRule="auto" w:line="288" w:before="0" w:after="180"/>
        <w:jc w:val="left"/>
        <w:rPr/>
      </w:pPr>
      <w:r>
        <w:rPr>
          <w:rFonts w:ascii="Arial;sans-serif" w:hAnsi="Arial;sans-serif"/>
          <w:b w:val="false"/>
          <w:i/>
          <w:color w:val="000000"/>
          <w:sz w:val="18"/>
        </w:rPr>
        <w:t>Derivative Instruments.</w:t>
      </w:r>
      <w:r>
        <w:rPr>
          <w:color w:val="000000"/>
        </w:rPr>
        <w:t xml:space="preserve"> </w:t>
      </w:r>
      <w:r>
        <w:rPr>
          <w:rFonts w:ascii="Arial;sans-serif" w:hAnsi="Arial;sans-serif"/>
          <w:b w:val="false"/>
          <w:color w:val="000000"/>
          <w:sz w:val="18"/>
        </w:rPr>
        <w:t>The fair value of derivative contracts required to be measured at fair value are presented as “Derivative instruments” within assets or liabilities on the Consolidated Balance Sheets. The primary type of derivative instruments utilized are commodity derivatives. Commodity derivative contracts are valued using inputs and assumptions such as contractual volumes, delivery location, forward commodity prices, commodity price volatility, discount rates, and credit worthiness of counterparties. For derivatives that trade in liquid markets, such as generic forwards, swaps, and options, the inputs and assumptions are generally observable. Such instruments are categorized in Level 2.</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most instances, master netting agreements govern derivative transactions between parties and contain certain provisions for setoff rights. The fair value of derivative instruments is presented net of setoff rights and cash collateral deposits. The fair value of commercial contracts that are not subject to netting and (or) collateral provisions is presented gross. Prior to Emergence, the fair value of derivative instruments presented on the Consolidated Balance Sheets was presented gross of setoff rights and cash collateral deposits exchanged between parties under such arrangements. </w:t>
      </w:r>
    </w:p>
    <w:p>
      <w:pPr>
        <w:pStyle w:val="TextBody"/>
        <w:bidi w:val="0"/>
        <w:spacing w:lineRule="auto" w:line="288" w:before="0" w:after="180"/>
        <w:jc w:val="left"/>
        <w:rPr/>
      </w:pPr>
      <w:r>
        <w:rPr>
          <w:rFonts w:ascii="Arial;sans-serif" w:hAnsi="Arial;sans-serif"/>
          <w:b w:val="false"/>
          <w:color w:val="000000"/>
          <w:sz w:val="18"/>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As there are no derivatives where qualified hedge accounting has been elected, changes in the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as “Interest expense and other finance charge</w:t>
      </w:r>
      <w:r>
        <w:rPr>
          <w:rFonts w:ascii="Arial;sans-serif" w:hAnsi="Arial;sans-serif"/>
          <w:b w:val="false"/>
          <w:i/>
          <w:color w:val="000000"/>
          <w:sz w:val="18"/>
        </w:rPr>
        <w:t>s</w:t>
      </w:r>
      <w:r>
        <w:rPr>
          <w:color w:val="000000"/>
        </w:rPr>
        <w:t xml:space="preserve">” </w:t>
      </w:r>
      <w:r>
        <w:rPr>
          <w:rFonts w:ascii="Arial;sans-serif" w:hAnsi="Arial;sans-serif"/>
          <w:b w:val="false"/>
          <w:color w:val="000000"/>
          <w:sz w:val="18"/>
        </w:rPr>
        <w:t>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5 and 14 for additional information on the presentation of derivative contracts and fair value measurements.</w:t>
      </w:r>
    </w:p>
    <w:p>
      <w:pPr>
        <w:pStyle w:val="TextBody"/>
        <w:bidi w:val="0"/>
        <w:spacing w:lineRule="auto" w:line="288" w:before="0" w:after="180"/>
        <w:jc w:val="left"/>
        <w:rPr/>
      </w:pPr>
      <w:r>
        <w:rPr>
          <w:rFonts w:ascii="Arial;sans-serif" w:hAnsi="Arial;sans-serif"/>
          <w:b w:val="false"/>
          <w:i/>
          <w:color w:val="000000"/>
          <w:sz w:val="18"/>
        </w:rPr>
        <w:t>Operation, Maintenance and Development.</w:t>
      </w:r>
      <w:r>
        <w:rPr>
          <w:color w:val="000000"/>
        </w:rPr>
        <w:t xml:space="preserve"> </w:t>
      </w:r>
      <w:r>
        <w:rPr>
          <w:rFonts w:ascii="Arial;sans-serif" w:hAnsi="Arial;sans-serif"/>
          <w:b w:val="false"/>
          <w:color w:val="000000"/>
          <w:sz w:val="18"/>
        </w:rPr>
        <w:t>The costs of removal, repairs, maintenance, and other operating costs, pre-commercial development activities, and salaries and benefits for operations personnel that each do not meet capitalization criteria are recognized as an expense when incurred. Materials and supplies inventories are recognized as an expense at the weighted average cost of materials consumed as they are used for repairs and maintenance. Costs for pre-commercial development stages of certain projects that are not capitalized as “Property, plant and equipment, net” on the Consolidated Balance Sheets and recurring operational and maintenance activities are each presented as “Operation, maintenance and development” on the Consolidated Statements of Operations. Development expenses incurred are primarily for pre-commercial activities at Nautilus and hyperscale construction activities at Cumulus Digital.</w:t>
      </w:r>
    </w:p>
    <w:p>
      <w:pPr>
        <w:pStyle w:val="TextBody"/>
        <w:bidi w:val="0"/>
        <w:spacing w:lineRule="auto" w:line="288" w:before="0" w:after="180"/>
        <w:jc w:val="left"/>
        <w:rPr/>
      </w:pPr>
      <w:r>
        <w:rPr>
          <w:rFonts w:ascii="Arial;sans-serif" w:hAnsi="Arial;sans-serif"/>
          <w:b w:val="false"/>
          <w:i/>
          <w:color w:val="000000"/>
          <w:sz w:val="18"/>
        </w:rPr>
        <w:t>Stock-Based Compensation.</w:t>
      </w:r>
      <w:r>
        <w:rPr>
          <w:color w:val="000000"/>
        </w:rPr>
        <w:t xml:space="preserve"> </w:t>
      </w:r>
      <w:r>
        <w:rPr>
          <w:rFonts w:ascii="Arial;sans-serif" w:hAnsi="Arial;sans-serif"/>
          <w:b w:val="false"/>
          <w:color w:val="000000"/>
          <w:sz w:val="18"/>
        </w:rPr>
        <w:t xml:space="preserve">TEC grants performance stock units (“PSUs”) and restricted stock units (“RSUs”) to certain employees and non-employee directors. The fair value of PSUs is estimated on the grant date utilizing a Monte Carlo Valuation Model, which contains significant unobservable inputs that are believed to be consistent with those used by principal market participants. The fair value of RSUs is derived from the closing price of TEC common stock at the grant date. Forfeitures are recognized as they occur. Unvested PSUs and RSUs are entitled to dividends or dividend equivalents, which are accrued and distributed to award recipients at the time such awards vest. Dividends and dividend equivalents are subject to the same vesting and forfeiture provisions as the underlying awards. Stock-based compensation expense is recognized for both graded and cliff vesting awards on a straight-line basis over the requisite service period for the entire award. Stock-based compensation expense is presented as “General and administrative” on the Consolidated Statements of Operations.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16 for additional information on stock-based compensation.</w:t>
      </w:r>
    </w:p>
    <w:p>
      <w:pPr>
        <w:pStyle w:val="TextBody"/>
        <w:bidi w:val="0"/>
        <w:spacing w:lineRule="auto" w:line="288" w:before="0" w:after="180"/>
        <w:jc w:val="left"/>
        <w:rPr/>
      </w:pPr>
      <w:r>
        <w:rPr>
          <w:rFonts w:ascii="Arial;sans-serif" w:hAnsi="Arial;sans-serif"/>
          <w:b w:val="false"/>
          <w:i/>
          <w:color w:val="000000"/>
          <w:sz w:val="18"/>
        </w:rPr>
        <w:t>Income Taxes.</w:t>
      </w:r>
      <w:r>
        <w:rPr>
          <w:color w:val="000000"/>
        </w:rPr>
        <w:t xml:space="preserve"> </w:t>
      </w:r>
      <w:r>
        <w:rPr>
          <w:rFonts w:ascii="Arial;sans-serif" w:hAnsi="Arial;sans-serif"/>
          <w:b w:val="false"/>
          <w:color w:val="000000"/>
          <w:sz w:val="18"/>
        </w:rPr>
        <w:t>TEC and its subsidiaries file a consolidated U.S. federal income tax return. Income taxes are accounted for under the asset and liability 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5"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61</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7 for additional information on income taxes.</w:t>
      </w:r>
    </w:p>
    <w:p>
      <w:pPr>
        <w:pStyle w:val="TextBody"/>
        <w:bidi w:val="0"/>
        <w:spacing w:lineRule="auto" w:line="288" w:before="0" w:after="180"/>
        <w:jc w:val="left"/>
        <w:rPr/>
      </w:pPr>
      <w:r>
        <w:rPr>
          <w:rFonts w:ascii="Arial;sans-serif" w:hAnsi="Arial;sans-serif"/>
          <w:b w:val="false"/>
          <w:i/>
          <w:color w:val="000000"/>
          <w:sz w:val="18"/>
        </w:rPr>
        <w:t>Loss Contingencies.</w:t>
      </w:r>
      <w:r>
        <w:rPr>
          <w:color w:val="000000"/>
        </w:rPr>
        <w:t xml:space="preserve"> </w:t>
      </w:r>
      <w:r>
        <w:rPr>
          <w:rFonts w:ascii="Arial;sans-serif" w:hAnsi="Arial;sans-serif"/>
          <w:b w:val="false"/>
          <w:color w:val="000000"/>
          <w:sz w:val="18"/>
        </w:rPr>
        <w:t>Potential losses are accrued when: (i) information is available that indicates it is probable (i.e., likely to occur) that a loss has been incurred, given the likelihood of the uncertain future events; and (ii) the amount of the loss can be reasonably estimated. We continuously assess potential loss contingencies for environmental remediation, litigation claims, regulatory penalties and other events. Loss contingencies are discounted when appropriate. Legal costs are expensed as incurred. See Note 12 for additional information.</w:t>
      </w:r>
    </w:p>
    <w:p>
      <w:pPr>
        <w:pStyle w:val="TextBody"/>
        <w:bidi w:val="0"/>
        <w:spacing w:lineRule="auto" w:line="288" w:before="0" w:after="180"/>
        <w:jc w:val="left"/>
        <w:rPr/>
      </w:pPr>
      <w:r>
        <w:rPr>
          <w:rFonts w:ascii="Arial;sans-serif" w:hAnsi="Arial;sans-serif"/>
          <w:b w:val="false"/>
          <w:i/>
          <w:color w:val="000000"/>
          <w:sz w:val="18"/>
        </w:rPr>
        <w:t>Concentrations of Credit Risk.</w:t>
      </w:r>
      <w:r>
        <w:rPr>
          <w:color w:val="000000"/>
        </w:rPr>
        <w:t xml:space="preserve"> </w:t>
      </w:r>
      <w:r>
        <w:rPr>
          <w:rFonts w:ascii="Arial;sans-serif" w:hAnsi="Arial;sans-serif"/>
          <w:b w:val="false"/>
          <w:color w:val="000000"/>
          <w:sz w:val="18"/>
        </w:rPr>
        <w:t>Concentrations of credit risk exist primarily within cash and cash equivalents, receivables, and commodity derivative assets. 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5 for additional information on concentrations of credit risk.</w:t>
      </w:r>
    </w:p>
    <w:p>
      <w:pPr>
        <w:pStyle w:val="TextBody"/>
        <w:bidi w:val="0"/>
        <w:spacing w:lineRule="auto" w:line="288" w:before="0" w:after="180"/>
        <w:jc w:val="left"/>
        <w:rPr/>
      </w:pPr>
      <w:r>
        <w:rPr>
          <w:rFonts w:ascii="Arial;sans-serif" w:hAnsi="Arial;sans-serif"/>
          <w:b w:val="false"/>
          <w:i/>
          <w:color w:val="000000"/>
          <w:sz w:val="18"/>
        </w:rPr>
        <w:t>Cash and Cash Equivalents.</w:t>
      </w:r>
      <w:r>
        <w:rPr>
          <w:color w:val="000000"/>
        </w:rPr>
        <w:t xml:space="preserve"> </w:t>
      </w:r>
      <w:r>
        <w:rPr>
          <w:rFonts w:ascii="Arial;sans-serif" w:hAnsi="Arial;sans-serif"/>
          <w:b w:val="false"/>
          <w:color w:val="000000"/>
          <w:sz w:val="18"/>
        </w:rPr>
        <w:t>Bank deposits, liquid investments, and other similar assets with original maturities of three months or less. Bank deposits, commodity exchange deposits, liquid investments, and other similar assets with original maturities of three months or less that are restricted by agreement are presented as “Restricted cash and cash equivalents” on the Consolidated Balance Sheets. See Note 19 for additional information.</w:t>
      </w:r>
    </w:p>
    <w:p>
      <w:pPr>
        <w:pStyle w:val="TextBody"/>
        <w:bidi w:val="0"/>
        <w:spacing w:lineRule="auto" w:line="288" w:before="0" w:after="180"/>
        <w:jc w:val="left"/>
        <w:rPr/>
      </w:pPr>
      <w:r>
        <w:rPr>
          <w:rFonts w:ascii="Arial;sans-serif" w:hAnsi="Arial;sans-serif"/>
          <w:b w:val="false"/>
          <w:i/>
          <w:color w:val="000000"/>
          <w:sz w:val="18"/>
        </w:rPr>
        <w:t>Accounts Receivable.</w:t>
      </w:r>
      <w:r>
        <w:rPr>
          <w:color w:val="000000"/>
        </w:rPr>
        <w:t xml:space="preserve"> </w:t>
      </w:r>
      <w:r>
        <w:rPr>
          <w:rFonts w:ascii="Arial;sans-serif" w:hAnsi="Arial;sans-serif"/>
          <w:b w:val="false"/>
          <w:color w:val="000000"/>
          <w:sz w:val="18"/>
        </w:rPr>
        <w:t>Receivables primarily consist of amounts due from customers or other contract counterparties, net of any collection allowances. Uncollected receivables greater than 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Additionally, if it becomes known that a specific customer may have the inability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w:t>
      </w:r>
    </w:p>
    <w:p>
      <w:pPr>
        <w:pStyle w:val="TextBody"/>
        <w:bidi w:val="0"/>
        <w:spacing w:lineRule="auto" w:line="288" w:before="0" w:after="180"/>
        <w:jc w:val="left"/>
        <w:rPr/>
      </w:pPr>
      <w:r>
        <w:rPr>
          <w:rFonts w:ascii="Arial;sans-serif" w:hAnsi="Arial;sans-serif"/>
          <w:b w:val="false"/>
          <w:i/>
          <w:color w:val="000000"/>
          <w:sz w:val="18"/>
        </w:rPr>
        <w:t>Inventory.</w:t>
      </w:r>
      <w:r>
        <w:rPr>
          <w:color w:val="000000"/>
        </w:rPr>
        <w:t xml:space="preserve"> </w:t>
      </w:r>
      <w:r>
        <w:rPr>
          <w:rFonts w:ascii="Arial;sans-serif" w:hAnsi="Arial;sans-serif"/>
          <w:b w:val="false"/>
          <w:color w:val="000000"/>
          <w:sz w:val="18"/>
        </w:rPr>
        <w:t>Inventory consists of fuel for generation (primarily coal and fuel oil), materials and supplies, and environmental products each of which are valued at the lower of weighted average cost or net realizable value. See Note 8 for additional information on inventory.</w:t>
      </w:r>
    </w:p>
    <w:p>
      <w:pPr>
        <w:pStyle w:val="TextBody"/>
        <w:bidi w:val="0"/>
        <w:spacing w:lineRule="auto" w:line="288" w:before="0" w:after="180"/>
        <w:jc w:val="left"/>
        <w:rPr/>
      </w:pPr>
      <w:r>
        <w:rPr>
          <w:rFonts w:ascii="Arial;sans-serif" w:hAnsi="Arial;sans-serif"/>
          <w:b w:val="false"/>
          <w:i/>
          <w:color w:val="000000"/>
          <w:sz w:val="18"/>
        </w:rPr>
        <w:t>Variable Interest Entities.</w:t>
      </w:r>
      <w:r>
        <w:rPr>
          <w:color w:val="000000"/>
        </w:rPr>
        <w:t xml:space="preserve"> </w:t>
      </w:r>
      <w:r>
        <w:rPr>
          <w:rFonts w:ascii="Arial;sans-serif" w:hAnsi="Arial;sans-serif"/>
          <w:b w:val="false"/>
          <w:color w:val="000000"/>
          <w:sz w:val="18"/>
        </w:rPr>
        <w:t>The primary beneficiary (a controlling financial interest) of a VIE is required to consolidate the VIE when it has both: (i) the power to direct the activities that most significantly impact the entity’s economic performance; and (ii) the obligation to absorb losses or receive benefits from the entity that could potentially be significant to the VIE. Talen consolidates a VIE when it is determined that it is the primary beneficiary of the VIE. Investments in entities in which Talen has the ability to exercise significant influence but does not have a controlling financial interest are accounted for under the equity method.</w:t>
      </w:r>
    </w:p>
    <w:p>
      <w:pPr>
        <w:pStyle w:val="TextBody"/>
        <w:bidi w:val="0"/>
        <w:spacing w:lineRule="auto" w:line="288" w:before="0" w:after="180"/>
        <w:jc w:val="left"/>
        <w:rPr/>
      </w:pPr>
      <w:r>
        <w:rPr>
          <w:rFonts w:ascii="Arial;sans-serif" w:hAnsi="Arial;sans-serif"/>
          <w:b w:val="false"/>
          <w:i/>
          <w:color w:val="000000"/>
          <w:sz w:val="18"/>
        </w:rPr>
        <w:t>Investments in Debt and Equity Securities.</w:t>
      </w:r>
      <w:r>
        <w:rPr>
          <w:color w:val="000000"/>
        </w:rPr>
        <w:t xml:space="preserve"> </w:t>
      </w:r>
      <w:r>
        <w:rPr>
          <w:rFonts w:ascii="Arial;sans-serif" w:hAnsi="Arial;sans-serif"/>
          <w:b w:val="false"/>
          <w:color w:val="000000"/>
          <w:sz w:val="18"/>
        </w:rPr>
        <w:t xml:space="preserve">The NDT holds investments in available-for-sale debt securities and equity securities, which are carried at fair value and presented as “Nuclear decommissioning trust funds” on the Consolidated Balance Sheets.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Unrealized gains and losses and realized gains and losses on equity securities are presented as “Nuclear decommissioning trust funds gain (loss), net” on the Consolidated Statements of Operations in the period when such gains or losses arise.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9 and 14 for additional information on investments in debt and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6"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62</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i/>
          <w:color w:val="000000"/>
          <w:sz w:val="18"/>
        </w:rPr>
        <w:t>Property, Plant and Equipment.</w:t>
      </w:r>
      <w:r>
        <w:rPr>
          <w:color w:val="000000"/>
        </w:rPr>
        <w:t xml:space="preserve"> </w:t>
      </w:r>
      <w:r>
        <w:rPr>
          <w:rFonts w:ascii="Arial;sans-serif" w:hAnsi="Arial;sans-serif"/>
          <w:b w:val="false"/>
          <w:color w:val="000000"/>
          <w:sz w:val="18"/>
        </w:rPr>
        <w:t>Expenditures for land, the construction of facilities, the addition or refurbishment of major equipment, and commercially viable new development projects are capitalized at cost. Such capitalized amounts include interest costs, where appropriate. Facilities, land, and other equipment acquired in a business combination is recognized at fair value. In each case, such amounts are presented as “Property, plant and equipment, net” on the Consolidated Balance Sheets. Reductions in the carrying value of PP&amp;E are accumulated over the estimated useful life of each depreciable unit using straight-line or group depreciation methods, where appropriate. Such periodic reduction is presented as a charge to “Depreciation, amortization and accretion” on the Consolidated Statements of Operations. Generally, upon normal retirement of PP&amp;E under the group depreciation method, the costs of such assets are retired against accumulated depreciation in the period of the retirement and no gain or loss is recognized. Any remaining carrying value of PP&amp;E at its retirement date that depreciated under the straight-line depreciation method is presented as a loss within “Other operating income (expense), net” on the Consolidated Statements of Operations. Any remaining carrying value of PP&amp;E at its sale date and any proceeds from the disposition are presented as a gain or loss net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Expenditures for intangible assets such as contractual rights, software and licenses are capitalized at cost and are presented as “Property, plant and equipment, net” on the Consolidated Balance Sheets. Reductions in the carrying value of intangible assets with finite useful lives are accumulated over the estimated useful life of each intangible asset using an amortization pattern which reflects the economic benefits of the intangible asset. Such periodic reduction is presented as a charge to “Depreciation, amortization and accretion”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“Impairments” below for additional information regarding impairments on the carrying values of PP&amp;E.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10 for additional information on PP&amp;E.</w:t>
      </w:r>
    </w:p>
    <w:p>
      <w:pPr>
        <w:pStyle w:val="TextBody"/>
        <w:bidi w:val="0"/>
        <w:spacing w:lineRule="auto" w:line="288" w:before="0" w:after="180"/>
        <w:jc w:val="left"/>
        <w:rPr/>
      </w:pPr>
      <w:r>
        <w:rPr>
          <w:rFonts w:ascii="Arial;sans-serif" w:hAnsi="Arial;sans-serif"/>
          <w:b w:val="false"/>
          <w:i/>
          <w:color w:val="000000"/>
          <w:sz w:val="18"/>
        </w:rPr>
        <w:t>Impairments.</w:t>
      </w:r>
      <w:r>
        <w:rPr>
          <w:color w:val="000000"/>
        </w:rPr>
        <w:t xml:space="preserve"> </w:t>
      </w:r>
      <w:r>
        <w:rPr>
          <w:rFonts w:ascii="Arial;sans-serif" w:hAnsi="Arial;sans-serif"/>
          <w:b w:val="false"/>
          <w:color w:val="000000"/>
          <w:sz w:val="18"/>
        </w:rPr>
        <w:t>PP&amp;E used in operations are assessed for impairment whenever changes in facts and circumstances indicate the carrying value of the asset group may not be recoverable. Indicators of impairment may include changes in the economic environment, negative financial trends, physical damage to assets or decisions of management regarding strategic initiatives. Where applicable, individual assets are grouped for impairment purposes at the lowest level for which there are identifiable cash flows that are largely independent of the cash flows of other assets and liabilities. If there is an indication the carrying value of an asset group may not be recovered, management reviews the expected future cash flows of the asset group. If the sum of the undiscounted pre-tax cash flows is less than the carrying value of the asset group,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on the Consolidated Statements of Operations in the period in which such projects are abandoned, canceled, or management otherwise determines the costs to be unrecoverable.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10 for information on impairments.</w:t>
      </w:r>
    </w:p>
    <w:p>
      <w:pPr>
        <w:pStyle w:val="TextBody"/>
        <w:bidi w:val="0"/>
        <w:spacing w:lineRule="auto" w:line="288" w:before="0" w:after="180"/>
        <w:jc w:val="left"/>
        <w:rPr/>
      </w:pPr>
      <w:r>
        <w:rPr>
          <w:rFonts w:ascii="Arial;sans-serif" w:hAnsi="Arial;sans-serif"/>
          <w:b w:val="false"/>
          <w:i/>
          <w:color w:val="000000"/>
          <w:sz w:val="18"/>
        </w:rPr>
        <w:t>Asset Retirement Obligations.</w:t>
      </w:r>
      <w:r>
        <w:rPr>
          <w:color w:val="000000"/>
        </w:rPr>
        <w:t xml:space="preserve"> </w:t>
      </w:r>
      <w:r>
        <w:rPr>
          <w:rFonts w:ascii="Arial;sans-serif" w:hAnsi="Arial;sans-serif"/>
          <w:b w:val="false"/>
          <w:color w:val="000000"/>
          <w:sz w:val="18"/>
        </w:rPr>
        <w:t>A liability for an ARO or conditional ARO exists when a legal obligation arises from laws, regulations or other contractual 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net” for the asset retirement capitalized cost. Estimated future ARO cash expenditures and settlement dates are reviewed periodically to identify any required amendments to the carrying value of each ARO liability.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ARO liabilities increase over a period of time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7"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63</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conditional ARO refers to an entity’s legal obligation to perform an asset retirement activity in which the timing or method of settlement is conditional on a future event that may or may not be within the entity’s control, including legal or regulatory requirements.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11 for additional information on AROs.</w:t>
      </w:r>
    </w:p>
    <w:p>
      <w:pPr>
        <w:pStyle w:val="TextBody"/>
        <w:bidi w:val="0"/>
        <w:spacing w:lineRule="auto" w:line="288" w:before="0" w:after="180"/>
        <w:jc w:val="left"/>
        <w:rPr/>
      </w:pPr>
      <w:r>
        <w:rPr>
          <w:rFonts w:ascii="Arial;sans-serif" w:hAnsi="Arial;sans-serif"/>
          <w:b w:val="false"/>
          <w:i/>
          <w:color w:val="000000"/>
          <w:sz w:val="18"/>
        </w:rPr>
        <w:t>Contingencies.</w:t>
      </w:r>
      <w:r>
        <w:rPr>
          <w:color w:val="000000"/>
        </w:rPr>
        <w:t xml:space="preserve"> </w:t>
      </w:r>
      <w:r>
        <w:rPr>
          <w:rFonts w:ascii="Arial;sans-serif" w:hAnsi="Arial;sans-serif"/>
          <w:b w:val="false"/>
          <w:color w:val="000000"/>
          <w:sz w:val="18"/>
        </w:rPr>
        <w:t xml:space="preserve">Management continuously assesses potential loss contingencies for environmental remediation, litigation claims, regulatory penalties and other events. Potential 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See Note 12 for additional information on loss contingencies.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Business interruption insurance proceeds are considered gain contingencies and not recognized until realized.</w:t>
      </w:r>
    </w:p>
    <w:p>
      <w:pPr>
        <w:pStyle w:val="TextBody"/>
        <w:bidi w:val="0"/>
        <w:spacing w:lineRule="auto" w:line="288" w:before="0" w:after="180"/>
        <w:jc w:val="left"/>
        <w:rPr/>
      </w:pPr>
      <w:r>
        <w:rPr>
          <w:rFonts w:ascii="Arial;sans-serif" w:hAnsi="Arial;sans-serif"/>
          <w:b w:val="false"/>
          <w:i/>
          <w:color w:val="000000"/>
          <w:sz w:val="18"/>
        </w:rPr>
        <w:t>Debt.</w:t>
      </w:r>
      <w:r>
        <w:rPr>
          <w:color w:val="000000"/>
        </w:rPr>
        <w:t xml:space="preserve"> </w:t>
      </w:r>
      <w:r>
        <w:rPr>
          <w:rFonts w:ascii="Arial;sans-serif" w:hAnsi="Arial;sans-serif"/>
          <w:b w:val="false"/>
          <w:color w:val="000000"/>
          <w:sz w:val="18"/>
        </w:rPr>
        <w:t>Proceeds received on the issuance of new term loans, secured notes, unsecured notes, bonds, and similar indebtedness are presented as “Long-term debt” or “Long-term debt, due within one year” on the Consolidated Balance Sheets. Interest incurred as paid-in-kind, whether accrued or capitalized as additional principal are presented as “Long-term debt” with the associated outstanding amounts of indebtedness. Costs incurred to issue new indebtedness and any original issuance discounts or premiums are deferred at issuance on the Consolidated Balance Sheets and presented together with the associated outstanding principal amounts of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Gains and losses on the: (i) early redemption of indebtedness; or (ii) early termination and (or) reduction of revolving credit facility committed capacity are presented as a gain or loss on the Consolidated Statements of Operations. Such amounts include the proportional derecognition of any deferred financing costs, fees, discounts, and (or) premiums associated with the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Direct cash borrowings under secured lines of credit, revolving credit facilities, and similar indebtedness are presented as a current liability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13 for additional information on debt.</w:t>
      </w:r>
    </w:p>
    <w:p>
      <w:pPr>
        <w:pStyle w:val="TextBody"/>
        <w:bidi w:val="0"/>
        <w:spacing w:lineRule="auto" w:line="288" w:before="0" w:after="180"/>
        <w:jc w:val="left"/>
        <w:rPr/>
      </w:pPr>
      <w:r>
        <w:rPr>
          <w:rFonts w:ascii="Arial;sans-serif" w:hAnsi="Arial;sans-serif"/>
          <w:b w:val="false"/>
          <w:i/>
          <w:color w:val="000000"/>
          <w:sz w:val="18"/>
        </w:rPr>
        <w:t>Postretirement Benefit Obligations.</w:t>
      </w:r>
      <w:r>
        <w:rPr>
          <w:color w:val="000000"/>
        </w:rPr>
        <w:t xml:space="preserve"> </w:t>
      </w:r>
      <w:r>
        <w:rPr>
          <w:rFonts w:ascii="Arial;sans-serif" w:hAnsi="Arial;sans-serif"/>
          <w:b w:val="false"/>
          <w:color w:val="000000"/>
          <w:sz w:val="18"/>
        </w:rPr>
        <w:t>Certain Talen subsidiaries sponsor various defined benefit pension plans and other postretirement benefit plans. Gains and losses, net of income tax, that arise and are not a component of net periodic defined benefit costs are presented as “Other Comprehensive Income (Loss)” on the Consolidated Statements of Comprehensive Income.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Following Emergence, actuarial gains and losses in excess of the greater of 10% of the plan's projected benefit obligation or the market-related value of plan assets are amortized over (i) the expected average remaining service period of active plan participants for active plans; or (ii) the average future remaining lifetime of the plan participants of frozen plans. Prior to Emergence, Talen used an accelerated amortization method for the recognition of gains and losses for defined benefit pension plans: (i) actuarial gains and losses in excess of 30% of the plan's projected benefit obligation are amortized on a straight-line basis over one-half of the expected average remaining service of active plan participants; and (ii)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Following Emergence, a spot rate curve that represents a portfolio of high-quality corporate bonds is used to develop the discount rate utilized to measure the projected benefit obligations and service costs for benefit plans. Prior to Emergence, a bond matching methodology was utilized, based on a specific portfolio of bonds that closely match the overall cash flow timing and duration of the benefit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8"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64</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is obligated to provide health care benefits under the Coal Act and pneumoconiosis (black lung) benefits under the Black Lung Act for retired miners and eligible beneficiaries. Benefits are funded from a Voluntary Employees’ Benefit Association (“VEBA”) trust and a trust maintained under certain federal and state black lung legislation. Shortfalls in funded status of the plans are assessed as contingent liabilities. As such, Talen recognizes funding shortfalls on its balance sheet, where applicable, if benefit obligations of either plan exceed the fair value of available trust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15 for additional information on the plans and the accounting for defined benefits.</w:t>
      </w:r>
    </w:p>
    <w:p>
      <w:pPr>
        <w:pStyle w:val="TextBody"/>
        <w:bidi w:val="0"/>
        <w:spacing w:lineRule="auto" w:line="288" w:before="0" w:after="180"/>
        <w:jc w:val="left"/>
        <w:rPr/>
      </w:pPr>
      <w:r>
        <w:rPr>
          <w:rFonts w:ascii="Arial;sans-serif" w:hAnsi="Arial;sans-serif"/>
          <w:b w:val="false"/>
          <w:i/>
          <w:color w:val="000000"/>
          <w:sz w:val="18"/>
        </w:rPr>
        <w:t>Treasury Stock and Retirement of Treasury Shares.</w:t>
      </w:r>
      <w:r>
        <w:rPr>
          <w:color w:val="000000"/>
        </w:rPr>
        <w:t xml:space="preserve"> </w:t>
      </w:r>
      <w:r>
        <w:rPr>
          <w:rFonts w:ascii="Arial;sans-serif" w:hAnsi="Arial;sans-serif"/>
          <w:b w:val="false"/>
          <w:color w:val="000000"/>
          <w:sz w:val="18"/>
        </w:rPr>
        <w:t>Share repurchases are accounted for under the cost method, which recognizes the entire cost of the acquired stock, including transaction costs and excise tax, as a reduction in additional paid-in-capital and are presented as “Treasury stock” on the Consolidated Balance Sheets. Share repurchases are recognized on a trade date basis when we are contractually obligated to purchase the shares. Treasury shares are retired on the settlement date of the transaction. At retirement, the common stock balance is reduced for the par value of the shares. The excess of the acquisition cost of repurchased shares over the par value is recognized in additional paid-in capital (up to the amount credited to additional paid-in capital upon original issuance of the shares), with any remaining cost deducted from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Recently Adopted Accounting Pronouncements</w:t>
      </w:r>
    </w:p>
    <w:p>
      <w:pPr>
        <w:pStyle w:val="TextBody"/>
        <w:bidi w:val="0"/>
        <w:spacing w:lineRule="auto" w:line="288" w:before="0" w:after="180"/>
        <w:jc w:val="left"/>
        <w:rPr/>
      </w:pPr>
      <w:r>
        <w:rPr>
          <w:rFonts w:ascii="Arial;sans-serif" w:hAnsi="Arial;sans-serif"/>
          <w:b w:val="false"/>
          <w:i/>
          <w:color w:val="000000"/>
          <w:sz w:val="18"/>
        </w:rPr>
        <w:t>ASU 2023-07</w:t>
      </w:r>
      <w:r>
        <w:rPr>
          <w:rFonts w:ascii="Arial;sans-serif" w:hAnsi="Arial;sans-serif"/>
          <w:b w:val="false"/>
          <w:color w:val="000000"/>
          <w:sz w:val="18"/>
        </w:rPr>
        <w:t>. In November 2023, the Financial Accounting Standards Board (the “FASB”) issued ASU 2023-07, Segment Reporting (Topic 280): Improvements to Reportable Segment Disclosures. This ASU requires enhanced disclosures about significant segment expenses. The ASU is effective for fiscal years beginning after December 15, 2023, and interim periods within fiscal years beginning after December 15, 2024. Early adoption is permitted. The Company adopted the fiscal year disclosure requirements for this ASU beginning January 1, 2024, and will adopt interim period disclosure requirements beginning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Recent Accounting Pronouncements Not Yet Adopted</w:t>
      </w:r>
    </w:p>
    <w:p>
      <w:pPr>
        <w:pStyle w:val="TextBody"/>
        <w:bidi w:val="0"/>
        <w:spacing w:lineRule="auto" w:line="288" w:before="0" w:after="180"/>
        <w:jc w:val="left"/>
        <w:rPr/>
      </w:pPr>
      <w:r>
        <w:rPr>
          <w:rFonts w:ascii="Arial;sans-serif" w:hAnsi="Arial;sans-serif"/>
          <w:b w:val="false"/>
          <w:i/>
          <w:color w:val="000000"/>
          <w:sz w:val="18"/>
        </w:rPr>
        <w:t>ASU 2023-09.</w:t>
      </w:r>
      <w:r>
        <w:rPr>
          <w:color w:val="000000"/>
        </w:rPr>
        <w:t xml:space="preserve"> </w:t>
      </w:r>
      <w:r>
        <w:rPr>
          <w:rFonts w:ascii="Arial;sans-serif" w:hAnsi="Arial;sans-serif"/>
          <w:b w:val="false"/>
          <w:color w:val="000000"/>
          <w:sz w:val="18"/>
        </w:rPr>
        <w:t>In December 2023, the FASB issued ASU 2023-09 Income Taxes (Topic 740): Improvements to Income Tax Disclosures. This ASU requires annual disclosures for specific categories in the rate reconciliation and additional information for reconciling items that meet a quantitative threshold. The ASU is effective for fiscal years beginning after December 15, 2024. Early adoption is permitted for annual financial statements that have not yet been issued. The Company is evaluating the disclosure impact of this ASU and expects to adopt it in the required period.</w:t>
      </w:r>
    </w:p>
    <w:p>
      <w:pPr>
        <w:pStyle w:val="TextBody"/>
        <w:bidi w:val="0"/>
        <w:spacing w:lineRule="auto" w:line="288" w:before="0" w:after="180"/>
        <w:jc w:val="left"/>
        <w:rPr/>
      </w:pPr>
      <w:r>
        <w:rPr>
          <w:rFonts w:ascii="Arial;sans-serif" w:hAnsi="Arial;sans-serif"/>
          <w:b w:val="false"/>
          <w:i/>
          <w:color w:val="000000"/>
          <w:sz w:val="18"/>
        </w:rPr>
        <w:t>ASU 2024-03.</w:t>
      </w:r>
      <w:r>
        <w:rPr>
          <w:color w:val="000000"/>
        </w:rPr>
        <w:t xml:space="preserve"> </w:t>
      </w:r>
      <w:r>
        <w:rPr>
          <w:rFonts w:ascii="Arial;sans-serif" w:hAnsi="Arial;sans-serif"/>
          <w:b w:val="false"/>
          <w:color w:val="000000"/>
          <w:sz w:val="18"/>
        </w:rPr>
        <w:t>In November 2024, the FASB issued ASU 2024-03, Expense Disaggregation Disclosures (Subtopic 220-40): Disaggregation of Income Statement Expenses. This ASU requires public companies to disclose, in the notes to financial statements, specified information about certain costs and expenses at each interim and annual reporting period. This ASU is effective for annual reporting periods beginning after December 15, 2026. Early adoption is permitted. The Company is evaluating the disclosure impact of this ASU and expects to adopt it in the required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3. Emergence from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Voluntary Reorganization Under Chapter 11 of the U.S. Bankruptcy Code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May 2022, TES and 71 of its subsidiaries voluntarily commenced the Restructuring under Chapter 11 of the U.S. Bankruptcy Code. TEC joined the Restructuring in December 2022. The Plan of Reorganization was approved by the requisite parties and confirmed by the bankruptcy court in late 2022, and was consummated and became effective in May 2023, when TEC, TES, and the other debtors emerged from the Restructuring.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Prior to and during the Restructuring, TES and its debtor subsidiaries reached a number of settlements with various stakeholders (including certain holders of claims under TES’s prepetition indebtedness, certain affiliates Riverstone Holdings, LLC (“Riverstone”) (which then held all of the equity in TEC), TEC, and the Official Committee of Unsecured Creditors), the terms of which were incorporated into the Plan of Reorganization. Under the settlements, the Company agreed to conduct a common equity rights offering, which certain holders of prepetition unsecured notes agreed to backstop in exchange for subscription rights to purchase 30% of the new equity issued plus a backstop premium payment in the form of cash and (or) new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Restructuring Transactions and Emergence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Restructuring transactions were completed, and the Company emerged from the Restructuring, on May 17, 2023. Pursuant to the Plan of Reorganization, among other things: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Claims against TEC were paid in full in cash or reinstated. All existing equity interests in TEC were extinguished, and new equity interests in TEC were issued as follows: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Holders of unsecured claims under TES’s prepetition indebtedness (including the backstopping holders) received: (i) TEC equity; and (ii) subscription rights to purchase additional TEC equity in the equity rights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9"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65</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equity rights offering was consummated, resulting in $1.4 billion in net cash proceeds to the Company. The backstopping holders (i) fully exercised their subscription rights; (ii) were required to purchase additional unsubscribed-for TEC equity; and (iii) were paid the remaining portion of the backstop premium in the form of TEC equity.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Riverstone received: (i) 1% of the equity in TEC; (ii) a contingent right to receive additional TEC equity or cash upon certain conditions following Emergence; and (iii) warrants to purchase additional TEC equity. In the third quarter 2023, Riverstone surrendered the warrants and waived its contingent right to additional TEC equity or cash in exchange for $40 million in cash.</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existing intercompany ownership structure of the debtors remained in place and intercompany claims were extinguished.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Company consummated its exit financings, comprised of the RCF, TLB-1, TLC, TLC LCF, Bilateral LCF, and Secured Notes. The PEDFA 2009B and 2009C Bonds remained outstanding following the Restructuring.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proceeds of the equity rights offering and the exit financings, together with cash on hand, were used to fully repay the Company’s debtor-in-possession credit facilities and to pay $3.1 billion relating to other secured claims.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Holders of other unsecured claims received interests in a designated $26 million pool of cash, to which Talen Montana subsequently contributed an additional $11 million from proceeds of the PPL/Talen Montana settlement</w:t>
      </w:r>
      <w:r>
        <w:rPr>
          <w:rFonts w:ascii="Arial;sans-serif" w:hAnsi="Arial;sans-serif"/>
          <w:b w:val="false"/>
          <w:color w:val="000000"/>
          <w:sz w:val="18"/>
          <w:shd w:fill="FFFFFF" w:val="clear"/>
        </w:rPr>
        <w:t>. See Note 12 for additional information on the PPL/Talen Montana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4. Fresh Start Accounting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At Emergence, TES adopted fresh start accounting as: (i) the holders of existing voting shares before the consummation of the Plan of Reorganization received less than 50% of the voting shares of the Successor; and (ii) the reorganization value of TES’s assets immediately prior to confirmation of the Plan of Reorganization of $7.8 billion was less than the total of post-petition liabilities and allowed claims of $9.8 billion. Accordingly, TES allocated its reorganization value to its individual assets based on their estimated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Reorganization Value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Reorganization value is derived from an estimate of enterprise value, or the fair value of the Company’s interest-bearing debt and member’s equity. As negotiated in the Plan of Reorganization and related disclosure statement approved by the Bankruptcy Court, the enterprise value as of Emergence was $4.5 billion. Management engaged third-party valuation advisors to assist in estimating the enterprise value and allocating the enterprise value to the assets and liabilities for financial reporting purposes as of Emergence. Enterprise value assumptions incorporated: (i) economic and industry information relevant to the business; (ii) internal financial information and operating data; (iii) historical financial information; and (iv) financial projections and other applicable assumptions. The valuation techniques used to estimate the enterprise value as of Emergence included the income approach, market approach, and cost approach, with consideration of the exit market and nature of the applicable asset or liability subject to valuation.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Commodity prices used to estimate future cash flows in observable periods were primarily based on adjusted exchange prices, prices provided by brokers, or prices provided by price service companies that are corroborated by market data. Commodity prices for future unobservable periods used third party pricing services that incorporate industry standard methodologies that may consider the historical relationships among various commodities, modeled market prices, inflation assumptions, and other relevant economic measures. Future estimates for capital expenditures and operating expenses, such as major maintenance and employee compensation were estimated considering unit operating experience, recent historical financial information, and expected operating performance. The expected useful lives of the generation facilities were estimated through 2050 and incorporated expectations regarding the economic prospects of each unit, permitting and licensing, regulatory requirements, and (or) other considerations. The cash flow estimates incorporated a federal effective tax rate of 21% and the applicable state tax rate based on the location of each generation facility. The present value of expected future cash flows utilized a weighted average cost of capital discount rate that ranged from 8.5% to 46.5%. The discount rate utilized for nuclear generation was 8.5% and certain natural gas generation facilities were estimated near the low end of the range. Certain coal and natural gas generation units were estimated near the high end of the range. Discount rates for each generation facility considered, among other things, unit characteristics, fuel type, and market location.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70"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66</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assumptions used to estimate the reorganization value considered all available evidence as of Emergence and are believed to be consistent with those used by the principal market participants and outlook for each generation facility and represent management’s best estimate of reorganization value. However, such assumptions are inherently uncertain and require judgment. Accordingly, changes to sensitive assumptions, which primarily include commodity prices and discount rates, would have a reasonable possibility of significantly affecting the measurement of the reorganization value. See below under “Fresh Start Adjustments” for additional information regarding assumptions used in the measurement of the Company’s various other significant assets and liabilities.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Upon the application of fresh start accounting, the Company preliminarily allocated the reorganization value to its individual assets based on their estimated fair values. The following table reconciles the Company’s enterprise value to the estimated reorganization value at Emergence: </w:t>
      </w:r>
    </w:p>
    <w:tbl>
      <w:tblPr>
        <w:tblW w:w="7586" w:type="dxa"/>
        <w:jc w:val="left"/>
        <w:tblInd w:w="0" w:type="dxa"/>
        <w:tblLayout w:type="fixed"/>
        <w:tblCellMar>
          <w:top w:w="28" w:type="dxa"/>
          <w:left w:w="28" w:type="dxa"/>
          <w:bottom w:w="28" w:type="dxa"/>
          <w:right w:w="28" w:type="dxa"/>
        </w:tblCellMar>
      </w:tblPr>
      <w:tblGrid>
        <w:gridCol w:w="2212"/>
        <w:gridCol w:w="1946"/>
        <w:gridCol w:w="1962"/>
        <w:gridCol w:w="109"/>
        <w:gridCol w:w="109"/>
        <w:gridCol w:w="109"/>
        <w:gridCol w:w="242"/>
        <w:gridCol w:w="707"/>
        <w:gridCol w:w="190"/>
      </w:tblGrid>
      <w:tr>
        <w:trPr/>
        <w:tc>
          <w:tcPr>
            <w:tcW w:w="2212"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17, 2023</w:t>
            </w:r>
          </w:p>
        </w:tc>
      </w:tr>
      <w:tr>
        <w:trPr/>
        <w:tc>
          <w:tcPr>
            <w:tcW w:w="61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Enterprise value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9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Plus: Cash and cash equivalents and Restricted cash and cash equivalents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Current liabilities excluding 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Non-current liabilities excluding long-term debt and liability-classified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Fair value of noncontrolling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Reorganization value to be 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7,059</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(a)Excludes any value associated with noncontrolling interest.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(b)Excludes $52 million for payment of professional fees.</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reconciles TES’s enterprise value to the estimated fair value at Emergence:</w:t>
      </w:r>
    </w:p>
    <w:tbl>
      <w:tblPr>
        <w:tblW w:w="7240" w:type="dxa"/>
        <w:jc w:val="left"/>
        <w:tblInd w:w="0" w:type="dxa"/>
        <w:tblLayout w:type="fixed"/>
        <w:tblCellMar>
          <w:top w:w="28" w:type="dxa"/>
          <w:left w:w="28" w:type="dxa"/>
          <w:bottom w:w="28" w:type="dxa"/>
          <w:right w:w="28" w:type="dxa"/>
        </w:tblCellMar>
      </w:tblPr>
      <w:tblGrid>
        <w:gridCol w:w="2087"/>
        <w:gridCol w:w="1836"/>
        <w:gridCol w:w="1851"/>
        <w:gridCol w:w="109"/>
        <w:gridCol w:w="109"/>
        <w:gridCol w:w="109"/>
        <w:gridCol w:w="242"/>
        <w:gridCol w:w="707"/>
        <w:gridCol w:w="190"/>
      </w:tblGrid>
      <w:tr>
        <w:trPr/>
        <w:tc>
          <w:tcPr>
            <w:tcW w:w="2087"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May 17, 2023</w:t>
            </w:r>
          </w:p>
        </w:tc>
      </w:tr>
      <w:tr>
        <w:trPr/>
        <w:tc>
          <w:tcPr>
            <w:tcW w:w="5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Enterprise value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9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Plus: Cash and cash equivalents and Restricted cash and cash equivalents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Fair value of debt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(2,845)</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Liability-classified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Fair value of member’s equity </w:t>
            </w:r>
            <w:r>
              <w:rPr>
                <w:rFonts w:ascii="Arial;sans-serif" w:hAnsi="Arial;sans-serif"/>
                <w:b/>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2,321</w:t>
            </w:r>
            <w:r>
              <w:rPr>
                <w:color w:val="000000"/>
              </w:rPr>
              <w:t> </w:t>
            </w:r>
          </w:p>
        </w:tc>
        <w:tc>
          <w:tcPr>
            <w:tcW w:w="19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Fair value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w:t>
            </w:r>
            <w:r>
              <w:rPr>
                <w:color w:val="000000"/>
              </w:rPr>
              <w:t> </w:t>
            </w:r>
          </w:p>
        </w:tc>
        <w:tc>
          <w:tcPr>
            <w:tcW w:w="19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(a)Excludes any value associated with noncontrolling interest.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(b)Excludes $52 million for payment of professional fees.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(c)Issued in accordance with the Plan of Reorganization. Includes 59,028,843 shares of TEC common stock and $8 million of equity-classified warrants.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1"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67</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Consolidated Balance Sheet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“Reorganization Adjustments” on the fresh start Consolidated Balance Sheet as of Emergence present the aggregate effect of the transactions contemplated by the Plan of Reorganization. The “Fresh Start Adjustments” present the preliminary fair value and other required adjustments as a result of applying fresh start accounting. The explanatory notes provide additional information related to the adjustments, the methods used to determine fair values, and significant assumptions.</w:t>
      </w:r>
    </w:p>
    <w:tbl>
      <w:tblPr>
        <w:tblW w:w="10205" w:type="dxa"/>
        <w:jc w:val="left"/>
        <w:tblInd w:w="0" w:type="dxa"/>
        <w:tblLayout w:type="fixed"/>
        <w:tblCellMar>
          <w:top w:w="28" w:type="dxa"/>
          <w:left w:w="28" w:type="dxa"/>
          <w:bottom w:w="28" w:type="dxa"/>
          <w:right w:w="28" w:type="dxa"/>
        </w:tblCellMar>
      </w:tblPr>
      <w:tblGrid>
        <w:gridCol w:w="1609"/>
        <w:gridCol w:w="1382"/>
        <w:gridCol w:w="1401"/>
        <w:gridCol w:w="109"/>
        <w:gridCol w:w="109"/>
        <w:gridCol w:w="109"/>
        <w:gridCol w:w="241"/>
        <w:gridCol w:w="704"/>
        <w:gridCol w:w="136"/>
        <w:gridCol w:w="109"/>
        <w:gridCol w:w="109"/>
        <w:gridCol w:w="109"/>
        <w:gridCol w:w="295"/>
        <w:gridCol w:w="861"/>
        <w:gridCol w:w="165"/>
        <w:gridCol w:w="109"/>
        <w:gridCol w:w="109"/>
        <w:gridCol w:w="109"/>
        <w:gridCol w:w="251"/>
        <w:gridCol w:w="733"/>
        <w:gridCol w:w="142"/>
        <w:gridCol w:w="109"/>
        <w:gridCol w:w="109"/>
        <w:gridCol w:w="109"/>
        <w:gridCol w:w="207"/>
        <w:gridCol w:w="605"/>
        <w:gridCol w:w="165"/>
      </w:tblGrid>
      <w:tr>
        <w:trPr/>
        <w:tc>
          <w:tcPr>
            <w:tcW w:w="16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17, 2023</w:t>
            </w:r>
          </w:p>
        </w:tc>
      </w:tr>
      <w:tr>
        <w:trPr/>
        <w:tc>
          <w:tcPr>
            <w:tcW w:w="4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Reorganization</w:t>
            </w:r>
          </w:p>
          <w:p>
            <w:pPr>
              <w:pStyle w:val="TableContents"/>
              <w:bidi w:val="0"/>
              <w:spacing w:lineRule="auto" w:line="240" w:before="0" w:after="0"/>
              <w:jc w:val="center"/>
              <w:rPr/>
            </w:pPr>
            <w:r>
              <w:rPr>
                <w:rFonts w:ascii="Arial;sans-serif" w:hAnsi="Arial;sans-serif"/>
                <w:b/>
                <w:color w:val="000000"/>
                <w:sz w:val="16"/>
              </w:rPr>
              <w:t xml:space="preserve">Adjustments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Fresh Start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3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Cash and cash equivalents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w:t>
            </w:r>
          </w:p>
        </w:tc>
        <w:tc>
          <w:tcPr>
            <w:tcW w:w="2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Accounts receivable,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Inventory,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Derivative instruments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current assets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3,091</w:t>
            </w:r>
            <w:r>
              <w:rPr>
                <w:color w:val="000000"/>
              </w:rPr>
              <w:t> </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(710)</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(859)</w:t>
            </w:r>
          </w:p>
        </w:tc>
        <w:tc>
          <w:tcPr>
            <w:tcW w:w="1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1,522</w:t>
            </w:r>
            <w:r>
              <w:rPr>
                <w:color w:val="000000"/>
              </w:rPr>
              <w:t>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Derivative instruments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noncurrent assets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9,061</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Revolving credit facilities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Accrued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Accounts payable and other accrued liabilities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Derivative instruments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current liabilities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(j)</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(v)</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3,648</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Long-term debt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2,504 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(k)</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2,840 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subject to compromise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Derivative instruments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(x)</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Asset retirement obligations and accrued environmental costs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(y)</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Deferred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(z)</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noncurrent liabilities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9,755</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4,628</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Member’s equity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3,416 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w:t>
            </w:r>
          </w:p>
        </w:tc>
        <w:tc>
          <w:tcPr>
            <w:tcW w:w="98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(bb)</w:t>
            </w:r>
          </w:p>
        </w:tc>
        <w:tc>
          <w:tcPr>
            <w:tcW w:w="8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(cc)</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Equity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(694)</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3,416</w:t>
            </w:r>
            <w:r>
              <w:rPr>
                <w:color w:val="000000"/>
              </w:rPr>
              <w:t>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(291)</w:t>
            </w:r>
          </w:p>
        </w:tc>
        <w:tc>
          <w:tcPr>
            <w:tcW w:w="1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w:t>
            </w:r>
            <w:r>
              <w:rPr>
                <w:color w:val="000000"/>
              </w:rPr>
              <w:t>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Liabilities and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9,061</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(722)</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(1,280)</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7,059</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Reorganization Adjustments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reorganization adjustments required in connection with the application of fresh start accounting and the allocation of the enterprise value were: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(a)Emergence adjustments for the implementation of the Plan of Reorganization. Such adjustments include: (i) settlement of prepetition liabilities subject to compromise; (ii) payment of certain prepetition indebtedness; (iii) issuances of member’s equity; (iv) recognition of new indebtedness and related restricted cash; and (v) other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68</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(b)The uses of “Cash and cash equivalents” at Emergence resulting from the implementation of the Plan of Reorganization were: </w:t>
      </w:r>
    </w:p>
    <w:tbl>
      <w:tblPr>
        <w:tblW w:w="7503" w:type="dxa"/>
        <w:jc w:val="left"/>
        <w:tblInd w:w="0" w:type="dxa"/>
        <w:tblLayout w:type="fixed"/>
        <w:tblCellMar>
          <w:top w:w="28" w:type="dxa"/>
          <w:left w:w="28" w:type="dxa"/>
          <w:bottom w:w="28" w:type="dxa"/>
          <w:right w:w="28" w:type="dxa"/>
        </w:tblCellMar>
      </w:tblPr>
      <w:tblGrid>
        <w:gridCol w:w="2242"/>
        <w:gridCol w:w="1973"/>
        <w:gridCol w:w="1980"/>
        <w:gridCol w:w="109"/>
        <w:gridCol w:w="109"/>
        <w:gridCol w:w="109"/>
        <w:gridCol w:w="196"/>
        <w:gridCol w:w="631"/>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Proceeds from rights offering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Proceeds from TLB-1 and TLC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Proceeds from Secured Notes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Release of 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claims under prepetition senior secured revolving credit facility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claims under other prepetition secured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debtor-in-possession term loan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Restriction of cash relating to TLC LCF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debt issuance costs on exit financing (TLB-1, TLC, and Secured Notes)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Funding of professional fees escrow account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Payment of hedge rejections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Payment to general unsecured creditors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Payment of professional fees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uses of Cash and cash equivalents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(1,133)</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pPr>
      <w:r>
        <w:rPr>
          <w:rFonts w:ascii="Arial;sans-serif" w:hAnsi="Arial;sans-serif"/>
          <w:b w:val="false"/>
          <w:color w:val="000000"/>
          <w:sz w:val="14"/>
        </w:rPr>
        <w:t xml:space="preserve">(a)Includes </w:t>
      </w:r>
      <w:r>
        <w:rPr>
          <w:rFonts w:ascii="Arial;sans-serif" w:hAnsi="Arial;sans-serif"/>
          <w:b w:val="false"/>
          <w:color w:val="000000"/>
          <w:sz w:val="14"/>
          <w:shd w:fill="FFFFFF" w:val="clear"/>
        </w:rPr>
        <w:t>$1 million</w:t>
      </w:r>
      <w:r>
        <w:rPr>
          <w:color w:val="000000"/>
        </w:rPr>
        <w:t xml:space="preserve"> </w:t>
      </w:r>
      <w:r>
        <w:rPr>
          <w:rFonts w:ascii="Arial;sans-serif" w:hAnsi="Arial;sans-serif"/>
          <w:b w:val="false"/>
          <w:color w:val="000000"/>
          <w:sz w:val="14"/>
        </w:rPr>
        <w:t>of proceeds from Riverstone for payment to general unsecured creditors trust.</w:t>
      </w:r>
    </w:p>
    <w:p>
      <w:pPr>
        <w:pStyle w:val="TextBody"/>
        <w:bidi w:val="0"/>
        <w:spacing w:lineRule="auto" w:line="288" w:before="0" w:after="180"/>
        <w:ind w:left="0" w:right="0" w:hanging="360"/>
        <w:jc w:val="left"/>
        <w:rPr/>
      </w:pPr>
      <w:r>
        <w:rPr>
          <w:rFonts w:ascii="Arial;sans-serif" w:hAnsi="Arial;sans-serif"/>
          <w:b w:val="false"/>
          <w:color w:val="000000"/>
          <w:sz w:val="18"/>
        </w:rPr>
        <w:t>(c)</w:t>
      </w:r>
      <w:r>
        <w:rPr>
          <w:color w:val="000000"/>
        </w:rPr>
        <w:t>“</w:t>
      </w:r>
      <w:r>
        <w:rPr>
          <w:rFonts w:ascii="Arial;sans-serif" w:hAnsi="Arial;sans-serif"/>
          <w:b w:val="false"/>
          <w:color w:val="000000"/>
          <w:sz w:val="18"/>
        </w:rPr>
        <w:t>Restricted cash and cash equivalents” net change:</w:t>
      </w:r>
    </w:p>
    <w:tbl>
      <w:tblPr>
        <w:tblW w:w="5327" w:type="dxa"/>
        <w:jc w:val="left"/>
        <w:tblInd w:w="0" w:type="dxa"/>
        <w:tblLayout w:type="fixed"/>
        <w:tblCellMar>
          <w:top w:w="28" w:type="dxa"/>
          <w:left w:w="28" w:type="dxa"/>
          <w:bottom w:w="28" w:type="dxa"/>
          <w:right w:w="28" w:type="dxa"/>
        </w:tblCellMar>
      </w:tblPr>
      <w:tblGrid>
        <w:gridCol w:w="1525"/>
        <w:gridCol w:w="1343"/>
        <w:gridCol w:w="1346"/>
        <w:gridCol w:w="109"/>
        <w:gridCol w:w="109"/>
        <w:gridCol w:w="109"/>
        <w:gridCol w:w="196"/>
        <w:gridCol w:w="43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Restriction of cash relating to TLC LCF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Funding of professional fees escrow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 of restricted cash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(d)</w:t>
      </w:r>
      <w:r>
        <w:rPr>
          <w:color w:val="000000"/>
        </w:rPr>
        <w:t>“</w:t>
      </w:r>
      <w:r>
        <w:rPr>
          <w:rFonts w:ascii="Arial;sans-serif" w:hAnsi="Arial;sans-serif"/>
          <w:b w:val="false"/>
          <w:color w:val="000000"/>
          <w:sz w:val="18"/>
        </w:rPr>
        <w:t>Accounts receivable, net” net change related to settlement of affiliate receivables.</w:t>
      </w:r>
    </w:p>
    <w:p>
      <w:pPr>
        <w:pStyle w:val="TextBody"/>
        <w:bidi w:val="0"/>
        <w:spacing w:lineRule="auto" w:line="288" w:before="0" w:after="180"/>
        <w:ind w:left="0" w:right="0" w:hanging="360"/>
        <w:jc w:val="left"/>
        <w:rPr/>
      </w:pPr>
      <w:r>
        <w:rPr>
          <w:rFonts w:ascii="Arial;sans-serif" w:hAnsi="Arial;sans-serif"/>
          <w:b w:val="false"/>
          <w:color w:val="000000"/>
          <w:sz w:val="18"/>
        </w:rPr>
        <w:t>(e)</w:t>
      </w:r>
      <w:r>
        <w:rPr>
          <w:color w:val="000000"/>
        </w:rPr>
        <w:t>“</w:t>
      </w:r>
      <w:r>
        <w:rPr>
          <w:rFonts w:ascii="Arial;sans-serif" w:hAnsi="Arial;sans-serif"/>
          <w:b w:val="false"/>
          <w:color w:val="000000"/>
          <w:sz w:val="18"/>
        </w:rPr>
        <w:t>Other noncurrent assets” net change:</w:t>
      </w:r>
    </w:p>
    <w:tbl>
      <w:tblPr>
        <w:tblW w:w="8267" w:type="dxa"/>
        <w:jc w:val="left"/>
        <w:tblInd w:w="0" w:type="dxa"/>
        <w:tblLayout w:type="fixed"/>
        <w:tblCellMar>
          <w:top w:w="28" w:type="dxa"/>
          <w:left w:w="28" w:type="dxa"/>
          <w:bottom w:w="28" w:type="dxa"/>
          <w:right w:w="28" w:type="dxa"/>
        </w:tblCellMar>
      </w:tblPr>
      <w:tblGrid>
        <w:gridCol w:w="2604"/>
        <w:gridCol w:w="2282"/>
        <w:gridCol w:w="2298"/>
        <w:gridCol w:w="109"/>
        <w:gridCol w:w="109"/>
        <w:gridCol w:w="109"/>
        <w:gridCol w:w="196"/>
        <w:gridCol w:w="406"/>
        <w:gridCol w:w="154"/>
      </w:tblGrid>
      <w:tr>
        <w:trPr/>
        <w:tc>
          <w:tcPr>
            <w:tcW w:w="260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debt issuance costs associated with prepetition senior secured revolving credit facility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previously capitalized debt issuance costs to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Capitalization of debt issuance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(f)Payment of principal amounts owed under prepetition senior secured revolving credit facility.</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(g)Repayment of debtor-in-possession credit facilities.</w:t>
      </w:r>
    </w:p>
    <w:p>
      <w:pPr>
        <w:pStyle w:val="TextBody"/>
        <w:bidi w:val="0"/>
        <w:spacing w:lineRule="auto" w:line="288" w:before="0" w:after="180"/>
        <w:ind w:left="0" w:right="0" w:hanging="360"/>
        <w:jc w:val="left"/>
        <w:rPr/>
      </w:pPr>
      <w:r>
        <w:rPr>
          <w:rFonts w:ascii="Arial;sans-serif" w:hAnsi="Arial;sans-serif"/>
          <w:b w:val="false"/>
          <w:color w:val="000000"/>
          <w:sz w:val="18"/>
        </w:rPr>
        <w:t>(h)</w:t>
      </w:r>
      <w:r>
        <w:rPr>
          <w:color w:val="000000"/>
        </w:rPr>
        <w:t>“</w:t>
      </w:r>
      <w:r>
        <w:rPr>
          <w:rFonts w:ascii="Arial;sans-serif" w:hAnsi="Arial;sans-serif"/>
          <w:b w:val="false"/>
          <w:color w:val="000000"/>
          <w:sz w:val="18"/>
        </w:rPr>
        <w:t>Accrued interest” net change:</w:t>
      </w:r>
    </w:p>
    <w:tbl>
      <w:tblPr>
        <w:tblW w:w="7157" w:type="dxa"/>
        <w:jc w:val="left"/>
        <w:tblInd w:w="0" w:type="dxa"/>
        <w:tblLayout w:type="fixed"/>
        <w:tblCellMar>
          <w:top w:w="28" w:type="dxa"/>
          <w:left w:w="28" w:type="dxa"/>
          <w:bottom w:w="28" w:type="dxa"/>
          <w:right w:w="28" w:type="dxa"/>
        </w:tblCellMar>
      </w:tblPr>
      <w:tblGrid>
        <w:gridCol w:w="2164"/>
        <w:gridCol w:w="1903"/>
        <w:gridCol w:w="1917"/>
        <w:gridCol w:w="109"/>
        <w:gridCol w:w="109"/>
        <w:gridCol w:w="109"/>
        <w:gridCol w:w="196"/>
        <w:gridCol w:w="496"/>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accrued interest on prepetition senior secured revolving credit facility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accrued interest on other prepetition secured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accrued interest on debtor-in-possession credit facilities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Accrued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(284)</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(i)</w:t>
      </w:r>
      <w:r>
        <w:rPr>
          <w:color w:val="000000"/>
        </w:rPr>
        <w:t>“</w:t>
      </w:r>
      <w:r>
        <w:rPr>
          <w:rFonts w:ascii="Arial;sans-serif" w:hAnsi="Arial;sans-serif"/>
          <w:b w:val="false"/>
          <w:color w:val="000000"/>
          <w:sz w:val="18"/>
        </w:rPr>
        <w:t>Accounts payable and other accrued liabilities” net change:</w:t>
      </w:r>
    </w:p>
    <w:tbl>
      <w:tblPr>
        <w:tblW w:w="6003" w:type="dxa"/>
        <w:jc w:val="left"/>
        <w:tblInd w:w="0" w:type="dxa"/>
        <w:tblLayout w:type="fixed"/>
        <w:tblCellMar>
          <w:top w:w="28" w:type="dxa"/>
          <w:left w:w="28" w:type="dxa"/>
          <w:bottom w:w="28" w:type="dxa"/>
          <w:right w:w="28" w:type="dxa"/>
        </w:tblCellMar>
      </w:tblPr>
      <w:tblGrid>
        <w:gridCol w:w="1781"/>
        <w:gridCol w:w="1566"/>
        <w:gridCol w:w="1573"/>
        <w:gridCol w:w="109"/>
        <w:gridCol w:w="109"/>
        <w:gridCol w:w="109"/>
        <w:gridCol w:w="196"/>
        <w:gridCol w:w="406"/>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hedge contract rejections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Reinstatement of liabilities subject to compromise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 for professional fees incurred at Emergence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69</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ind w:left="0" w:right="0" w:hanging="360"/>
        <w:jc w:val="left"/>
        <w:rPr/>
      </w:pPr>
      <w:r>
        <w:rPr>
          <w:rFonts w:ascii="Arial;sans-serif" w:hAnsi="Arial;sans-serif"/>
          <w:b w:val="false"/>
          <w:color w:val="000000"/>
          <w:sz w:val="18"/>
        </w:rPr>
        <w:t>(j)</w:t>
      </w:r>
      <w:r>
        <w:rPr>
          <w:color w:val="000000"/>
        </w:rPr>
        <w:t>“</w:t>
      </w:r>
      <w:r>
        <w:rPr>
          <w:rFonts w:ascii="Arial;sans-serif" w:hAnsi="Arial;sans-serif"/>
          <w:b w:val="false"/>
          <w:color w:val="000000"/>
          <w:sz w:val="18"/>
        </w:rPr>
        <w:t>Other current liabilities” net change:</w:t>
      </w:r>
    </w:p>
    <w:tbl>
      <w:tblPr>
        <w:tblW w:w="4848" w:type="dxa"/>
        <w:jc w:val="left"/>
        <w:tblInd w:w="0" w:type="dxa"/>
        <w:tblLayout w:type="fixed"/>
        <w:tblCellMar>
          <w:top w:w="28" w:type="dxa"/>
          <w:left w:w="28" w:type="dxa"/>
          <w:bottom w:w="28" w:type="dxa"/>
          <w:right w:w="28" w:type="dxa"/>
        </w:tblCellMar>
      </w:tblPr>
      <w:tblGrid>
        <w:gridCol w:w="1330"/>
        <w:gridCol w:w="1168"/>
        <w:gridCol w:w="1177"/>
        <w:gridCol w:w="109"/>
        <w:gridCol w:w="109"/>
        <w:gridCol w:w="109"/>
        <w:gridCol w:w="196"/>
        <w:gridCol w:w="49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equity for backstop premium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Reinstatement of liabilities subject to compromise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Other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(k)</w:t>
      </w:r>
      <w:r>
        <w:rPr>
          <w:color w:val="000000"/>
        </w:rPr>
        <w:t>“</w:t>
      </w:r>
      <w:r>
        <w:rPr>
          <w:rFonts w:ascii="Arial;sans-serif" w:hAnsi="Arial;sans-serif"/>
          <w:b w:val="false"/>
          <w:color w:val="000000"/>
          <w:sz w:val="18"/>
        </w:rPr>
        <w:t>Long-term debt” net change:</w:t>
      </w:r>
    </w:p>
    <w:tbl>
      <w:tblPr>
        <w:tblW w:w="6362" w:type="dxa"/>
        <w:jc w:val="left"/>
        <w:tblInd w:w="0" w:type="dxa"/>
        <w:tblLayout w:type="fixed"/>
        <w:tblCellMar>
          <w:top w:w="28" w:type="dxa"/>
          <w:left w:w="28" w:type="dxa"/>
          <w:bottom w:w="28" w:type="dxa"/>
          <w:right w:w="28" w:type="dxa"/>
        </w:tblCellMar>
      </w:tblPr>
      <w:tblGrid>
        <w:gridCol w:w="1830"/>
        <w:gridCol w:w="1610"/>
        <w:gridCol w:w="1614"/>
        <w:gridCol w:w="109"/>
        <w:gridCol w:w="109"/>
        <w:gridCol w:w="109"/>
        <w:gridCol w:w="196"/>
        <w:gridCol w:w="63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claims under prepetition secured indebtedness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Borrowings of $1.2 billion under the Secured Notes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Borrowings of $580 million under TLB-1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Borrowings of $470 million under TLC </w:t>
            </w:r>
            <w:r>
              <w:rPr>
                <w:rFonts w:ascii="Arial;sans-serif" w:hAnsi="Arial;sans-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Reinstatement of PEDFA 2009B Bonds and PEDFA 2009C Bonds </w:t>
            </w:r>
            <w:r>
              <w:rPr>
                <w:rFonts w:ascii="Arial;sans-serif" w:hAnsi="Arial;sans-serif"/>
                <w:b w:val="false"/>
                <w:color w:val="000000"/>
                <w:sz w:val="10"/>
              </w:rPr>
              <w:t>(d)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prepetition secured indebtedness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Long-term debt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(a)Net of an aggregate initial purchaser discount and debt issuance costs of $21 million.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(b)Net of an aggregate original issue discount and debt issuance costs of $32 million. </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(c)Net of an aggregate original issue discount and debt issuance costs of $24 million.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(d)Includes recognition of $4 million of interest expense.</w:t>
      </w:r>
    </w:p>
    <w:p>
      <w:pPr>
        <w:pStyle w:val="TextBody"/>
        <w:bidi w:val="0"/>
        <w:spacing w:lineRule="auto" w:line="288" w:before="0" w:after="180"/>
        <w:ind w:left="0" w:right="0" w:hanging="360"/>
        <w:jc w:val="left"/>
        <w:rPr/>
      </w:pPr>
      <w:r>
        <w:rPr>
          <w:rFonts w:ascii="Arial;sans-serif" w:hAnsi="Arial;sans-serif"/>
          <w:b w:val="false"/>
          <w:color w:val="000000"/>
          <w:sz w:val="18"/>
        </w:rPr>
        <w:t>(l)</w:t>
      </w:r>
      <w:r>
        <w:rPr>
          <w:color w:val="000000"/>
        </w:rPr>
        <w:t>“</w:t>
      </w:r>
      <w:r>
        <w:rPr>
          <w:rFonts w:ascii="Arial;sans-serif" w:hAnsi="Arial;sans-serif"/>
          <w:b w:val="false"/>
          <w:color w:val="000000"/>
          <w:sz w:val="18"/>
        </w:rPr>
        <w:t>Liabilities subject to compromise” settled or reinstated at Emergence in accordance with the Plan of Reorganization</w:t>
      </w:r>
      <w:r>
        <w:rPr>
          <w:rFonts w:ascii="Times New Roman;sans-serif" w:hAnsi="Times New Roman;sans-serif"/>
          <w:b w:val="false"/>
          <w:color w:val="000000"/>
          <w:sz w:val="20"/>
        </w:rPr>
        <w:t>:</w:t>
      </w:r>
    </w:p>
    <w:tbl>
      <w:tblPr>
        <w:tblW w:w="9377" w:type="dxa"/>
        <w:jc w:val="left"/>
        <w:tblInd w:w="0" w:type="dxa"/>
        <w:tblLayout w:type="fixed"/>
        <w:tblCellMar>
          <w:top w:w="28" w:type="dxa"/>
          <w:left w:w="28" w:type="dxa"/>
          <w:bottom w:w="28" w:type="dxa"/>
          <w:right w:w="28" w:type="dxa"/>
        </w:tblCellMar>
      </w:tblPr>
      <w:tblGrid>
        <w:gridCol w:w="2941"/>
        <w:gridCol w:w="2591"/>
        <w:gridCol w:w="2597"/>
        <w:gridCol w:w="109"/>
        <w:gridCol w:w="109"/>
        <w:gridCol w:w="109"/>
        <w:gridCol w:w="196"/>
        <w:gridCol w:w="571"/>
        <w:gridCol w:w="154"/>
      </w:tblGrid>
      <w:tr>
        <w:trPr/>
        <w:tc>
          <w:tcPr>
            <w:tcW w:w="294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subject to compromise prior to Emergence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retail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Reinstatement and settlements of certain Liabilities subject to compromise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Reinstatement of liabilities subject to compromise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Excess fair value ascribed to lenders participating in rights offering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member’s equity to holders of claims under prepetition unsecured notes and PEDFA 2009A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to general unsecured creditors trust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Gain on derecognition of certain Liabilities subject to compromise </w:t>
            </w:r>
            <w:r>
              <w:rPr>
                <w:rFonts w:ascii="Arial;sans-serif" w:hAnsi="Arial;sans-serif"/>
                <w:b/>
                <w:color w:val="000000"/>
                <w:sz w:val="10"/>
              </w:rPr>
              <w:t xml:space="preserve">(b)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1,462</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(a)Primarily includes postretirement benefit obligations, AROs, and deferred income taxes.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(b)Represents liabilities subject to compromise that were discharged in accordance with the Plan of Reorganization.</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(m)Reinstatement of “Liabilities subject to compromise.”</w:t>
      </w:r>
    </w:p>
    <w:p>
      <w:pPr>
        <w:pStyle w:val="TextBody"/>
        <w:bidi w:val="0"/>
        <w:spacing w:lineRule="auto" w:line="288" w:before="0" w:after="180"/>
        <w:ind w:left="0" w:right="0" w:hanging="360"/>
        <w:jc w:val="left"/>
        <w:rPr/>
      </w:pPr>
      <w:r>
        <w:rPr>
          <w:rFonts w:ascii="Arial;sans-serif" w:hAnsi="Arial;sans-serif"/>
          <w:b w:val="false"/>
          <w:color w:val="000000"/>
          <w:sz w:val="18"/>
        </w:rPr>
        <w:t>(n)</w:t>
      </w:r>
      <w:r>
        <w:rPr>
          <w:color w:val="000000"/>
        </w:rPr>
        <w:t>“</w:t>
      </w:r>
      <w:r>
        <w:rPr>
          <w:rFonts w:ascii="Arial;sans-serif" w:hAnsi="Arial;sans-serif"/>
          <w:b w:val="false"/>
          <w:color w:val="000000"/>
          <w:sz w:val="18"/>
        </w:rPr>
        <w:t>Deferred income taxes” net change:</w:t>
      </w:r>
    </w:p>
    <w:tbl>
      <w:tblPr>
        <w:tblW w:w="10205" w:type="dxa"/>
        <w:jc w:val="left"/>
        <w:tblInd w:w="0" w:type="dxa"/>
        <w:tblLayout w:type="fixed"/>
        <w:tblCellMar>
          <w:top w:w="28" w:type="dxa"/>
          <w:left w:w="28" w:type="dxa"/>
          <w:bottom w:w="28" w:type="dxa"/>
          <w:right w:w="28" w:type="dxa"/>
        </w:tblCellMar>
      </w:tblPr>
      <w:tblGrid>
        <w:gridCol w:w="3330"/>
        <w:gridCol w:w="2876"/>
        <w:gridCol w:w="2885"/>
        <w:gridCol w:w="109"/>
        <w:gridCol w:w="109"/>
        <w:gridCol w:w="109"/>
        <w:gridCol w:w="196"/>
        <w:gridCol w:w="436"/>
        <w:gridCol w:w="155"/>
      </w:tblGrid>
      <w:tr>
        <w:trPr/>
        <w:tc>
          <w:tcPr>
            <w:tcW w:w="3330"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09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deferred tax liabilities primarily due to estimated tax attribute reduction from the recognition of cancellation of debt income, partially offset by change in valuation allowance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5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Reinstatement of liabilities subject to compromise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Deferred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w:t>
            </w:r>
            <w:r>
              <w:rPr>
                <w:color w:val="000000"/>
              </w:rPr>
              <w:t> </w:t>
            </w:r>
          </w:p>
        </w:tc>
        <w:tc>
          <w:tcPr>
            <w:tcW w:w="1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70</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ind w:left="0" w:right="0" w:hanging="360"/>
        <w:jc w:val="left"/>
        <w:rPr/>
      </w:pPr>
      <w:r>
        <w:rPr>
          <w:rFonts w:ascii="Arial;sans-serif" w:hAnsi="Arial;sans-serif"/>
          <w:b w:val="false"/>
          <w:color w:val="000000"/>
          <w:sz w:val="18"/>
        </w:rPr>
        <w:t>(o)</w:t>
      </w:r>
      <w:r>
        <w:rPr>
          <w:color w:val="000000"/>
        </w:rPr>
        <w:t>“</w:t>
      </w:r>
      <w:r>
        <w:rPr>
          <w:rFonts w:ascii="Arial;sans-serif" w:hAnsi="Arial;sans-serif"/>
          <w:b w:val="false"/>
          <w:color w:val="000000"/>
          <w:sz w:val="18"/>
        </w:rPr>
        <w:t>Other noncurrent liabilities” net change:</w:t>
      </w:r>
    </w:p>
    <w:tbl>
      <w:tblPr>
        <w:tblW w:w="4697" w:type="dxa"/>
        <w:jc w:val="left"/>
        <w:tblInd w:w="0" w:type="dxa"/>
        <w:tblLayout w:type="fixed"/>
        <w:tblCellMar>
          <w:top w:w="28" w:type="dxa"/>
          <w:left w:w="28" w:type="dxa"/>
          <w:bottom w:w="28" w:type="dxa"/>
          <w:right w:w="28" w:type="dxa"/>
        </w:tblCellMar>
      </w:tblPr>
      <w:tblGrid>
        <w:gridCol w:w="1330"/>
        <w:gridCol w:w="1171"/>
        <w:gridCol w:w="1173"/>
        <w:gridCol w:w="109"/>
        <w:gridCol w:w="109"/>
        <w:gridCol w:w="109"/>
        <w:gridCol w:w="196"/>
        <w:gridCol w:w="34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liability-classified warrants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Reinstatement of liabilities subject to compromise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change in Other noncurrent liabilities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estimated fair value of liability-classified warrants was determined using a Black-Scholes Option Pricing Model with the following assumptions at Emergence:</w:t>
      </w:r>
    </w:p>
    <w:tbl>
      <w:tblPr>
        <w:tblW w:w="3209" w:type="dxa"/>
        <w:jc w:val="left"/>
        <w:tblInd w:w="0" w:type="dxa"/>
        <w:tblLayout w:type="fixed"/>
        <w:tblCellMar>
          <w:top w:w="28" w:type="dxa"/>
          <w:left w:w="28" w:type="dxa"/>
          <w:bottom w:w="28" w:type="dxa"/>
          <w:right w:w="28" w:type="dxa"/>
        </w:tblCellMar>
      </w:tblPr>
      <w:tblGrid>
        <w:gridCol w:w="663"/>
        <w:gridCol w:w="582"/>
        <w:gridCol w:w="584"/>
        <w:gridCol w:w="109"/>
        <w:gridCol w:w="109"/>
        <w:gridCol w:w="109"/>
        <w:gridCol w:w="196"/>
        <w:gridCol w:w="556"/>
        <w:gridCol w:w="301"/>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18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Strike price per share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52.92 </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(p)</w:t>
      </w:r>
      <w:r>
        <w:rPr>
          <w:color w:val="000000"/>
        </w:rPr>
        <w:t>“</w:t>
      </w:r>
      <w:r>
        <w:rPr>
          <w:rFonts w:ascii="Arial;sans-serif" w:hAnsi="Arial;sans-serif"/>
          <w:b w:val="false"/>
          <w:color w:val="000000"/>
          <w:sz w:val="18"/>
        </w:rPr>
        <w:t>Member’s equity” net change:</w:t>
      </w:r>
    </w:p>
    <w:tbl>
      <w:tblPr>
        <w:tblW w:w="9377" w:type="dxa"/>
        <w:jc w:val="left"/>
        <w:tblInd w:w="0" w:type="dxa"/>
        <w:tblLayout w:type="fixed"/>
        <w:tblCellMar>
          <w:top w:w="28" w:type="dxa"/>
          <w:left w:w="28" w:type="dxa"/>
          <w:bottom w:w="28" w:type="dxa"/>
          <w:right w:w="28" w:type="dxa"/>
        </w:tblCellMar>
      </w:tblPr>
      <w:tblGrid>
        <w:gridCol w:w="2945"/>
        <w:gridCol w:w="2588"/>
        <w:gridCol w:w="2596"/>
        <w:gridCol w:w="109"/>
        <w:gridCol w:w="109"/>
        <w:gridCol w:w="109"/>
        <w:gridCol w:w="196"/>
        <w:gridCol w:w="571"/>
        <w:gridCol w:w="154"/>
      </w:tblGrid>
      <w:tr>
        <w:trPr/>
        <w:tc>
          <w:tcPr>
            <w:tcW w:w="2945"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settlement of liabilities subject to compromise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losses attributable to gain on debt discharge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on debt discharge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 expensed at Emergence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Restructuring-related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reorganization items from reorganization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incurred at Emergence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reorganization adjustments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1,374</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from reorganization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1,168</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member’s equity in connection with rights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member’s equity for backstop premium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member’s equity to holders of claims under prepetition unsecured notes and PEDFA 2009A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equity-classified warrants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liability-classified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change in Member’s equity </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3,416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$1 million of proceeds from Riverstone for payment to general unsecured creditors trust.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Fresh Start Adjustments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(q)Net presentation of derivatives on the Consolidated Balance Sheets. See Note 2 for additional information on the related accounting policy.</w:t>
      </w:r>
    </w:p>
    <w:p>
      <w:pPr>
        <w:pStyle w:val="TextBody"/>
        <w:bidi w:val="0"/>
        <w:spacing w:lineRule="auto" w:line="288" w:before="0" w:after="180"/>
        <w:ind w:left="0" w:right="0" w:hanging="360"/>
        <w:jc w:val="left"/>
        <w:rPr/>
      </w:pPr>
      <w:r>
        <w:rPr>
          <w:rFonts w:ascii="Arial;sans-serif" w:hAnsi="Arial;sans-serif"/>
          <w:b w:val="false"/>
          <w:color w:val="000000"/>
          <w:sz w:val="18"/>
        </w:rPr>
        <w:t>(r)</w:t>
      </w:r>
      <w:r>
        <w:rPr>
          <w:color w:val="000000"/>
        </w:rPr>
        <w:t>“</w:t>
      </w:r>
      <w:r>
        <w:rPr>
          <w:rFonts w:ascii="Arial;sans-serif" w:hAnsi="Arial;sans-serif"/>
          <w:b w:val="false"/>
          <w:color w:val="000000"/>
          <w:sz w:val="18"/>
        </w:rPr>
        <w:t>Inventory, net” fair value adjustments:</w:t>
      </w:r>
    </w:p>
    <w:tbl>
      <w:tblPr>
        <w:tblW w:w="4037" w:type="dxa"/>
        <w:jc w:val="left"/>
        <w:tblInd w:w="0" w:type="dxa"/>
        <w:tblLayout w:type="fixed"/>
        <w:tblCellMar>
          <w:top w:w="28" w:type="dxa"/>
          <w:left w:w="28" w:type="dxa"/>
          <w:bottom w:w="28" w:type="dxa"/>
          <w:right w:w="28" w:type="dxa"/>
        </w:tblCellMar>
      </w:tblPr>
      <w:tblGrid>
        <w:gridCol w:w="1033"/>
        <w:gridCol w:w="904"/>
        <w:gridCol w:w="927"/>
        <w:gridCol w:w="109"/>
        <w:gridCol w:w="109"/>
        <w:gridCol w:w="109"/>
        <w:gridCol w:w="196"/>
        <w:gridCol w:w="49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Materials and supplies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 to Inventory,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(141)</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 </w:t>
      </w:r>
    </w:p>
    <w:p>
      <w:pPr>
        <w:pStyle w:val="TextBody"/>
        <w:bidi w:val="0"/>
        <w:spacing w:lineRule="auto" w:line="288" w:before="0" w:after="180"/>
        <w:ind w:left="0" w:right="0" w:hanging="360"/>
        <w:jc w:val="left"/>
        <w:rPr/>
      </w:pPr>
      <w:r>
        <w:rPr>
          <w:rFonts w:ascii="Arial;sans-serif" w:hAnsi="Arial;sans-serif"/>
          <w:b w:val="false"/>
          <w:color w:val="000000"/>
          <w:sz w:val="18"/>
        </w:rPr>
        <w:t>(s)</w:t>
      </w:r>
      <w:r>
        <w:rPr>
          <w:color w:val="000000"/>
        </w:rPr>
        <w:t>“</w:t>
      </w:r>
      <w:r>
        <w:rPr>
          <w:rFonts w:ascii="Arial;sans-serif" w:hAnsi="Arial;sans-serif"/>
          <w:b w:val="false"/>
          <w:color w:val="000000"/>
          <w:sz w:val="18"/>
        </w:rPr>
        <w:t>Other current assets” primarily represents miscellaneous fair value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71</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ind w:left="0" w:right="0" w:hanging="360"/>
        <w:jc w:val="left"/>
        <w:rPr/>
      </w:pPr>
      <w:r>
        <w:rPr>
          <w:rFonts w:ascii="Arial;sans-serif" w:hAnsi="Arial;sans-serif"/>
          <w:b w:val="false"/>
          <w:color w:val="000000"/>
          <w:sz w:val="18"/>
        </w:rPr>
        <w:t>(t)</w:t>
      </w:r>
      <w:r>
        <w:rPr>
          <w:color w:val="000000"/>
        </w:rPr>
        <w:t>“</w:t>
      </w:r>
      <w:r>
        <w:rPr>
          <w:rFonts w:ascii="Arial;sans-serif" w:hAnsi="Arial;sans-serif"/>
          <w:b w:val="false"/>
          <w:color w:val="000000"/>
          <w:sz w:val="18"/>
        </w:rPr>
        <w:t>Property, plant and equipment, net” fair value adjustments:</w:t>
      </w:r>
    </w:p>
    <w:tbl>
      <w:tblPr>
        <w:tblW w:w="5703" w:type="dxa"/>
        <w:jc w:val="left"/>
        <w:tblInd w:w="0" w:type="dxa"/>
        <w:tblLayout w:type="fixed"/>
        <w:tblCellMar>
          <w:top w:w="28" w:type="dxa"/>
          <w:left w:w="28" w:type="dxa"/>
          <w:bottom w:w="28" w:type="dxa"/>
          <w:right w:w="28" w:type="dxa"/>
        </w:tblCellMar>
      </w:tblPr>
      <w:tblGrid>
        <w:gridCol w:w="1640"/>
        <w:gridCol w:w="1444"/>
        <w:gridCol w:w="1446"/>
        <w:gridCol w:w="109"/>
        <w:gridCol w:w="109"/>
        <w:gridCol w:w="109"/>
        <w:gridCol w:w="196"/>
        <w:gridCol w:w="49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 to 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fair value of “Property, plant and equipment, net” was estimated using the income approach, market approach and cost approach, as applicable. The fair value of land was estimated utilizing the market approach, which considered comparable market-based transactions within a defined area based on size, use and utility.</w:t>
      </w:r>
    </w:p>
    <w:p>
      <w:pPr>
        <w:pStyle w:val="TextBody"/>
        <w:bidi w:val="0"/>
        <w:spacing w:lineRule="auto" w:line="288" w:before="0" w:after="180"/>
        <w:ind w:left="0" w:right="0" w:hanging="360"/>
        <w:jc w:val="left"/>
        <w:rPr/>
      </w:pPr>
      <w:r>
        <w:rPr>
          <w:rFonts w:ascii="Arial;sans-serif" w:hAnsi="Arial;sans-serif"/>
          <w:b w:val="false"/>
          <w:color w:val="000000"/>
          <w:sz w:val="18"/>
        </w:rPr>
        <w:t>(u)</w:t>
      </w:r>
      <w:r>
        <w:rPr>
          <w:color w:val="000000"/>
        </w:rPr>
        <w:t>“</w:t>
      </w:r>
      <w:r>
        <w:rPr>
          <w:rFonts w:ascii="Arial;sans-serif" w:hAnsi="Arial;sans-serif"/>
          <w:b w:val="false"/>
          <w:color w:val="000000"/>
          <w:sz w:val="18"/>
        </w:rPr>
        <w:t>Other noncurrent assets” fair value adjustments:</w:t>
      </w:r>
    </w:p>
    <w:tbl>
      <w:tblPr>
        <w:tblW w:w="7203" w:type="dxa"/>
        <w:jc w:val="left"/>
        <w:tblInd w:w="0" w:type="dxa"/>
        <w:tblLayout w:type="fixed"/>
        <w:tblCellMar>
          <w:top w:w="28" w:type="dxa"/>
          <w:left w:w="28" w:type="dxa"/>
          <w:bottom w:w="28" w:type="dxa"/>
          <w:right w:w="28" w:type="dxa"/>
        </w:tblCellMar>
      </w:tblPr>
      <w:tblGrid>
        <w:gridCol w:w="2211"/>
        <w:gridCol w:w="1939"/>
        <w:gridCol w:w="1955"/>
        <w:gridCol w:w="109"/>
        <w:gridCol w:w="109"/>
        <w:gridCol w:w="109"/>
        <w:gridCol w:w="196"/>
        <w:gridCol w:w="421"/>
        <w:gridCol w:w="154"/>
      </w:tblGrid>
      <w:tr>
        <w:trPr/>
        <w:tc>
          <w:tcPr>
            <w:tcW w:w="2211"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Favorable supply contracts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to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Eliminate debt issuance costs associated with debtor-in-possession credit facilities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reduction to other miscellaneous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 to Other noncurrent assets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(a)The fair value of supply contracts was determined utilizing the present value of the after-tax difference between the pricing of actual contracts in place and a current market benchmark.</w:t>
      </w:r>
    </w:p>
    <w:p>
      <w:pPr>
        <w:pStyle w:val="TextBody"/>
        <w:bidi w:val="0"/>
        <w:spacing w:lineRule="auto" w:line="288" w:before="0" w:after="180"/>
        <w:ind w:left="0" w:right="0" w:hanging="360"/>
        <w:jc w:val="left"/>
        <w:rPr/>
      </w:pPr>
      <w:r>
        <w:rPr>
          <w:rFonts w:ascii="Arial;sans-serif" w:hAnsi="Arial;sans-serif"/>
          <w:b w:val="false"/>
          <w:color w:val="000000"/>
          <w:sz w:val="18"/>
        </w:rPr>
        <w:t>(v)</w:t>
      </w:r>
      <w:r>
        <w:rPr>
          <w:color w:val="000000"/>
        </w:rPr>
        <w:t>“</w:t>
      </w:r>
      <w:r>
        <w:rPr>
          <w:rFonts w:ascii="Arial;sans-serif" w:hAnsi="Arial;sans-serif"/>
          <w:b w:val="false"/>
          <w:color w:val="000000"/>
          <w:sz w:val="18"/>
        </w:rPr>
        <w:t>Other current liabilities” fair value adjustments, primarily related to short-term AROs.</w:t>
      </w:r>
    </w:p>
    <w:p>
      <w:pPr>
        <w:pStyle w:val="TextBody"/>
        <w:bidi w:val="0"/>
        <w:spacing w:lineRule="auto" w:line="288" w:before="0" w:after="180"/>
        <w:ind w:left="0" w:right="0" w:hanging="360"/>
        <w:jc w:val="left"/>
        <w:rPr/>
      </w:pPr>
      <w:r>
        <w:rPr>
          <w:rFonts w:ascii="Arial;sans-serif" w:hAnsi="Arial;sans-serif"/>
          <w:b w:val="false"/>
          <w:color w:val="000000"/>
          <w:sz w:val="18"/>
        </w:rPr>
        <w:t>(w)</w:t>
      </w:r>
      <w:r>
        <w:rPr>
          <w:color w:val="000000"/>
        </w:rPr>
        <w:t>“</w:t>
      </w:r>
      <w:r>
        <w:rPr>
          <w:rFonts w:ascii="Arial;sans-serif" w:hAnsi="Arial;sans-serif"/>
          <w:b w:val="false"/>
          <w:color w:val="000000"/>
          <w:sz w:val="18"/>
        </w:rPr>
        <w:t>Long-term debt” fair value adjustments:</w:t>
      </w:r>
    </w:p>
    <w:tbl>
      <w:tblPr>
        <w:tblW w:w="9002" w:type="dxa"/>
        <w:jc w:val="left"/>
        <w:tblInd w:w="0" w:type="dxa"/>
        <w:tblLayout w:type="fixed"/>
        <w:tblCellMar>
          <w:top w:w="28" w:type="dxa"/>
          <w:left w:w="28" w:type="dxa"/>
          <w:bottom w:w="28" w:type="dxa"/>
          <w:right w:w="28" w:type="dxa"/>
        </w:tblCellMar>
      </w:tblPr>
      <w:tblGrid>
        <w:gridCol w:w="2892"/>
        <w:gridCol w:w="2535"/>
        <w:gridCol w:w="2552"/>
        <w:gridCol w:w="109"/>
        <w:gridCol w:w="109"/>
        <w:gridCol w:w="109"/>
        <w:gridCol w:w="196"/>
        <w:gridCol w:w="346"/>
        <w:gridCol w:w="154"/>
      </w:tblGrid>
      <w:tr>
        <w:trPr/>
        <w:tc>
          <w:tcPr>
            <w:tcW w:w="2892"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Eliminate debt issuance costs associated with prepetition secured notes, prepetition TLB and LMBE-MC TLB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to Cumulus Digital TLF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to LMBE-MC TLB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 to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Fair value adjustments to “Long-term debt” were determined using a lattice model, given that the debt can be prepaid by the borrower prior to the maturity date.</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(x)Change in accounting policy for discount rates used to estimate postretirement obligations from a bond-matching model to yield curve approach. See Note 2 for additional information.</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(y)Adjustment to present at fair value AROs using assumptions as of Emergence, including an inflation factor of 2%-3% and an estimated 5- to 20-year credit-adjusted risk-free rate of 8%-12%based on timing of cash flows for each underlying obligation.</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(z)Adjustment to “Deferred income taxes” for the change in financial reporting basis of assets and liabilities as a result of the adoption of fresh start accounting.</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(aa)Fair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(bb)Cumulative impact of fresh start accounting adjustments presented herein.</w:t>
      </w:r>
    </w:p>
    <w:p>
      <w:pPr>
        <w:pStyle w:val="TextBody"/>
        <w:bidi w:val="0"/>
        <w:spacing w:lineRule="auto" w:line="288" w:before="0" w:after="180"/>
        <w:ind w:left="0" w:right="0" w:hanging="360"/>
        <w:jc w:val="left"/>
        <w:rPr/>
      </w:pPr>
      <w:r>
        <w:rPr>
          <w:rFonts w:ascii="Arial;sans-serif" w:hAnsi="Arial;sans-serif"/>
          <w:b w:val="false"/>
          <w:color w:val="000000"/>
          <w:sz w:val="18"/>
        </w:rPr>
        <w:t>(cc)</w:t>
      </w:r>
      <w:r>
        <w:rPr>
          <w:color w:val="000000"/>
        </w:rPr>
        <w:t>“</w:t>
      </w:r>
      <w:r>
        <w:rPr>
          <w:rFonts w:ascii="Arial;sans-serif" w:hAnsi="Arial;sans-serif"/>
          <w:b w:val="false"/>
          <w:color w:val="000000"/>
          <w:sz w:val="18"/>
        </w:rPr>
        <w:t>Noncontrolling interests” fair value adjustments for certain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72</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Liabilities Subject to Compromise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2022 (Predecessor), prepetition liabilities and obligations whose treatment and satisfaction were dependent on the outcome of the Restructuring were presented as “Liabilities subject to compromise” on the Consolidated Balance Sheets. The carrying value of prepetition liabilities that were subject to compromise are presented at the best estimate of the claim amount permitted by the Bankruptcy Court. Such amounts presented as “Liabilities subject to compromise” on the Consolidated Balance Sheets were subject to adjustments depending on bankruptcy court actions, developments with respect to disputed claims, determination of secured status of certain claims, the determination as to the value of any collateral securing claims, proof of claims and (or) other events.</w:t>
      </w:r>
    </w:p>
    <w:tbl>
      <w:tblPr>
        <w:tblW w:w="6716" w:type="dxa"/>
        <w:jc w:val="left"/>
        <w:tblInd w:w="0" w:type="dxa"/>
        <w:tblLayout w:type="fixed"/>
        <w:tblCellMar>
          <w:top w:w="28" w:type="dxa"/>
          <w:left w:w="28" w:type="dxa"/>
          <w:bottom w:w="28" w:type="dxa"/>
          <w:right w:w="28" w:type="dxa"/>
        </w:tblCellMar>
      </w:tblPr>
      <w:tblGrid>
        <w:gridCol w:w="1715"/>
        <w:gridCol w:w="1510"/>
        <w:gridCol w:w="1544"/>
        <w:gridCol w:w="109"/>
        <w:gridCol w:w="109"/>
        <w:gridCol w:w="109"/>
        <w:gridCol w:w="344"/>
        <w:gridCol w:w="1004"/>
        <w:gridCol w:w="272"/>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7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Debt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1,558 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retail power and other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Postretirement benefit obligations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Asset retirement obligations and accrued environmental costs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liabilities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Deferred tax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Derivatives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Liabilities Subject to Compromise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2,825</w:t>
            </w:r>
            <w:r>
              <w:rPr>
                <w:color w:val="000000"/>
              </w:rPr>
              <w:t>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(a)Includes both current and noncurrent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Reorganization Income (Expense), net</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Reorganization income (expense), net” for the relevant periods were:</w:t>
      </w:r>
    </w:p>
    <w:tbl>
      <w:tblPr>
        <w:tblW w:w="10205" w:type="dxa"/>
        <w:jc w:val="left"/>
        <w:tblInd w:w="0" w:type="dxa"/>
        <w:tblLayout w:type="fixed"/>
        <w:tblCellMar>
          <w:top w:w="28" w:type="dxa"/>
          <w:left w:w="28" w:type="dxa"/>
          <w:bottom w:w="28" w:type="dxa"/>
          <w:right w:w="28" w:type="dxa"/>
        </w:tblCellMar>
      </w:tblPr>
      <w:tblGrid>
        <w:gridCol w:w="1849"/>
        <w:gridCol w:w="1465"/>
        <w:gridCol w:w="1472"/>
        <w:gridCol w:w="109"/>
        <w:gridCol w:w="109"/>
        <w:gridCol w:w="109"/>
        <w:gridCol w:w="109"/>
        <w:gridCol w:w="109"/>
        <w:gridCol w:w="109"/>
        <w:gridCol w:w="582"/>
        <w:gridCol w:w="1297"/>
        <w:gridCol w:w="329"/>
        <w:gridCol w:w="109"/>
        <w:gridCol w:w="109"/>
        <w:gridCol w:w="109"/>
        <w:gridCol w:w="553"/>
        <w:gridCol w:w="1233"/>
        <w:gridCol w:w="444"/>
      </w:tblGrid>
      <w:tr>
        <w:trPr/>
        <w:tc>
          <w:tcPr>
            <w:tcW w:w="184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478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Backstop premium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3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4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debt discharge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revaluation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3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Make-whole premiums and accrued interest on certain indebtedness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4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 incurred to obtain the debtor-in-possession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deferred financing cost and original issue discount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4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Reorganization Income (Expense),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w:t>
            </w:r>
            <w:r>
              <w:rPr>
                <w:color w:val="000000"/>
              </w:rPr>
              <w:t> </w:t>
            </w:r>
          </w:p>
        </w:tc>
        <w:tc>
          <w:tcPr>
            <w:tcW w:w="32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3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(812)</w:t>
            </w:r>
          </w:p>
        </w:tc>
        <w:tc>
          <w:tcPr>
            <w:tcW w:w="44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color w:val="000000"/>
          <w:sz w:val="18"/>
        </w:rPr>
        <w:t xml:space="preserve">In the preceding table, make-whole premiums and accrued interest on certain indebtedness primarily represents charges recognized by the debtors for estimates related to make-whole premiums and accrued interest, where applicable, on the prepetition senior secured revolving credit facility and certain other prepetition secured indebtedness. </w:t>
      </w:r>
      <w:r>
        <w:rPr>
          <w:rFonts w:ascii="Arial;sans-serif" w:hAnsi="Arial;sans-serif"/>
          <w:b w:val="false"/>
          <w:color w:val="000000"/>
          <w:sz w:val="18"/>
          <w:shd w:fill="FFFFFF" w:val="clear"/>
        </w:rPr>
        <w:t xml:space="preserve">As of the bankruptcy petition date, the debtors ceased recognizing interest expense on certain outstanding unsecured or under-secured prepetition indebtedness. Contractual interest expense represented amounts due under the terms of outstanding prepetition indebtedness. </w:t>
      </w:r>
      <w:r>
        <w:rPr>
          <w:rFonts w:ascii="Arial;sans-serif" w:hAnsi="Arial;sans-serif"/>
          <w:b w:val="false"/>
          <w:color w:val="000000"/>
          <w:sz w:val="18"/>
        </w:rPr>
        <w:t>The charges are presented as “Reorganization income (expense), net” on the Consolidated Statements of Operations and included in “Accrued interest” on the Consolidated Balance Sheets.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Cash paid for certain reorganization expenses was $308 million for the period from January 1 through May 17, 2023 (Predecessor). Cash paid for the year ended December 31, 2022 (Predecessor) for debtor-in-possession credit facilities financing fees is presented as “Financing Activities” on the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73</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5. Risk Management, Derivative Instruments and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Risk Management Objectives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exposed to risks arising from our business, including but not limited to market and commodity price risk, credit and liquidity risk, and interest rate risk. The hedging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Board of Directors, including the risk committee, and management have established procedures to monitor, measure, and manage hedging activities and credit risk in accordance with the risk policy.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pStyle w:val="TextBody"/>
        <w:bidi w:val="0"/>
        <w:spacing w:lineRule="auto" w:line="288" w:before="0" w:after="180"/>
        <w:jc w:val="left"/>
        <w:rPr/>
      </w:pPr>
      <w:r>
        <w:rPr>
          <w:rFonts w:ascii="Arial;sans-serif" w:hAnsi="Arial;sans-serif"/>
          <w:b w:val="false"/>
          <w:i/>
          <w:color w:val="000000"/>
          <w:sz w:val="18"/>
        </w:rPr>
        <w:t>Market and Commodity Price Risk.</w:t>
      </w:r>
      <w:r>
        <w:rPr>
          <w:color w:val="000000"/>
        </w:rPr>
        <w:t xml:space="preserve"> </w:t>
      </w:r>
      <w:r>
        <w:rPr>
          <w:rFonts w:ascii="Arial;sans-serif" w:hAnsi="Arial;sans-serif"/>
          <w:b w:val="false"/>
          <w:color w:val="000000"/>
          <w:sz w:val="18"/>
        </w:rPr>
        <w:t>Volatility in the wholesale power markets provides uncertainty in the future earnings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 (v) market liquidity; and (vi) federal, regional, and state regulations.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Open commodity purchase (sales) derivatives range in maturity through 2026. The net notional volumes of open commodity derivatives were:</w:t>
      </w:r>
    </w:p>
    <w:tbl>
      <w:tblPr>
        <w:tblW w:w="6292"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579"/>
        <w:gridCol w:w="579"/>
        <w:gridCol w:w="581"/>
        <w:gridCol w:w="109"/>
        <w:gridCol w:w="109"/>
        <w:gridCol w:w="109"/>
        <w:gridCol w:w="522"/>
        <w:gridCol w:w="522"/>
        <w:gridCol w:w="740"/>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Successor </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December 31, 2024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December 31, 2023 </w:t>
            </w:r>
            <w:r>
              <w:rPr>
                <w:rFonts w:ascii="Arial;sans-serif" w:hAnsi="Arial;sans-serif"/>
                <w:b/>
                <w:color w:val="000000"/>
                <w:sz w:val="10"/>
              </w:rPr>
              <w:t>(a)</w:t>
            </w:r>
          </w:p>
        </w:tc>
      </w:tr>
      <w:tr>
        <w:trPr/>
        <w:tc>
          <w:tcPr>
            <w:tcW w:w="211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(38,615,192)</w:t>
            </w:r>
          </w:p>
        </w:tc>
        <w:tc>
          <w:tcPr>
            <w:tcW w:w="5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(27,557,871)</w:t>
            </w:r>
          </w:p>
        </w:tc>
        <w:tc>
          <w:tcPr>
            <w:tcW w:w="7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32,405,460 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8,314,060 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Emission allowances (tons)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58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74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 xml:space="preserve">(a)The volumes may be less than the contractual volumes, as the probability that option contracts will be exercised is considered in the volumes displayed. </w:t>
      </w:r>
    </w:p>
    <w:p>
      <w:pPr>
        <w:pStyle w:val="TextBody"/>
        <w:bidi w:val="0"/>
        <w:spacing w:lineRule="auto" w:line="288" w:before="0" w:after="180"/>
        <w:jc w:val="left"/>
        <w:rPr/>
      </w:pPr>
      <w:r>
        <w:rPr>
          <w:rFonts w:ascii="Arial;sans-serif" w:hAnsi="Arial;sans-serif"/>
          <w:b w:val="false"/>
          <w:i/>
          <w:color w:val="000000"/>
          <w:sz w:val="18"/>
        </w:rPr>
        <w:t>Interest Rate Risk.</w:t>
      </w:r>
      <w:r>
        <w:rPr>
          <w:color w:val="000000"/>
        </w:rPr>
        <w:t xml:space="preserve"> </w:t>
      </w:r>
      <w:r>
        <w:rPr>
          <w:rFonts w:ascii="Arial;sans-serif" w:hAnsi="Arial;sans-serif"/>
          <w:b w:val="false"/>
          <w:color w:val="000000"/>
          <w:sz w:val="18"/>
        </w:rPr>
        <w:t xml:space="preserve">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Open interest rate derivatives are related to the TLB-1 indebtedness and mature in 2026. The net notional volumes of open interest rate derivatives were:</w:t>
      </w:r>
    </w:p>
    <w:tbl>
      <w:tblPr>
        <w:tblW w:w="5708"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425"/>
        <w:gridCol w:w="913"/>
        <w:gridCol w:w="237"/>
        <w:gridCol w:w="109"/>
        <w:gridCol w:w="109"/>
        <w:gridCol w:w="109"/>
        <w:gridCol w:w="411"/>
        <w:gridCol w:w="884"/>
        <w:gridCol w:w="325"/>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85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rate (in millions)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3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3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pPr>
      <w:r>
        <w:rPr>
          <w:rFonts w:ascii="Arial;sans-serif" w:hAnsi="Arial;sans-serif"/>
          <w:b w:val="false"/>
          <w:i/>
          <w:color w:val="000000"/>
          <w:sz w:val="18"/>
        </w:rPr>
        <w:t>Credit Risk.</w:t>
      </w:r>
      <w:r>
        <w:rPr>
          <w:color w:val="000000"/>
        </w:rPr>
        <w:t xml:space="preserve"> </w:t>
      </w:r>
      <w:r>
        <w:rPr>
          <w:rFonts w:ascii="Arial;sans-serif" w:hAnsi="Arial;sans-serif"/>
          <w:b w:val="false"/>
          <w:color w:val="000000"/>
          <w:sz w:val="18"/>
        </w:rPr>
        <w:t>Credit risk, which is the risk of financial loss if a customer, counterparty, or financial institution is unable to perform or pay amounts due, is applicable to cash and cash equivalents, restricted cash and cash equivalents, derivative instruments, and accounts receivable.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8"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74</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December 31, 2024 (Successor) and December 31, 2023 (Successor).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Talen’s aggregate credit exposure, which excludes the effects of netting arrangements, cash collateral, LCs, and any allowances for doubtful collections, was $350 million and its credit exposure including such net effects was $91 million. Excluding ISO and RTO counterparties, whose accounts receivable settlements are subject to applicable market controls, the ten largest single net credit exposures account for 71% of Talen’s total net credit exposure, which are primarily with entities assigned investment grade credit ratings.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December 31, 2024 (Successor) and December 31, 2023 (Successor).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Derivative Instrument Presentation </w:t>
      </w:r>
    </w:p>
    <w:p>
      <w:pPr>
        <w:pStyle w:val="TextBody"/>
        <w:bidi w:val="0"/>
        <w:spacing w:lineRule="auto" w:line="288" w:before="0" w:after="180"/>
        <w:jc w:val="left"/>
        <w:rPr/>
      </w:pPr>
      <w:r>
        <w:rPr>
          <w:rFonts w:ascii="Arial;sans-serif" w:hAnsi="Arial;sans-serif"/>
          <w:b w:val="false"/>
          <w:i/>
          <w:color w:val="000000"/>
          <w:sz w:val="18"/>
        </w:rPr>
        <w:t xml:space="preserve">Balance Sheets Presentation. </w:t>
      </w:r>
      <w:r>
        <w:rPr>
          <w:rFonts w:ascii="Arial;sans-serif" w:hAnsi="Arial;sans-serif"/>
          <w:b w:val="false"/>
          <w:color w:val="000000"/>
          <w:sz w:val="18"/>
        </w:rPr>
        <w:t>The fair value of derivative instruments presented within assets and liabilities on the Consolidated Balance Sheets were:</w:t>
      </w:r>
    </w:p>
    <w:tbl>
      <w:tblPr>
        <w:tblW w:w="7717" w:type="dxa"/>
        <w:jc w:val="left"/>
        <w:tblInd w:w="0" w:type="dxa"/>
        <w:tblLayout w:type="fixed"/>
        <w:tblCellMar>
          <w:top w:w="28" w:type="dxa"/>
          <w:left w:w="28" w:type="dxa"/>
          <w:bottom w:w="28" w:type="dxa"/>
          <w:right w:w="28" w:type="dxa"/>
        </w:tblCellMar>
      </w:tblPr>
      <w:tblGrid>
        <w:gridCol w:w="1205"/>
        <w:gridCol w:w="1059"/>
        <w:gridCol w:w="1066"/>
        <w:gridCol w:w="109"/>
        <w:gridCol w:w="109"/>
        <w:gridCol w:w="109"/>
        <w:gridCol w:w="199"/>
        <w:gridCol w:w="336"/>
        <w:gridCol w:w="111"/>
        <w:gridCol w:w="109"/>
        <w:gridCol w:w="109"/>
        <w:gridCol w:w="109"/>
        <w:gridCol w:w="240"/>
        <w:gridCol w:w="497"/>
        <w:gridCol w:w="134"/>
        <w:gridCol w:w="109"/>
        <w:gridCol w:w="109"/>
        <w:gridCol w:w="109"/>
        <w:gridCol w:w="199"/>
        <w:gridCol w:w="336"/>
        <w:gridCol w:w="111"/>
        <w:gridCol w:w="109"/>
        <w:gridCol w:w="109"/>
        <w:gridCol w:w="109"/>
        <w:gridCol w:w="257"/>
        <w:gridCol w:w="455"/>
        <w:gridCol w:w="20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r>
      <w:tr>
        <w:trPr/>
        <w:tc>
          <w:tcPr>
            <w:tcW w:w="33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See Note 2 for additional information on derivative instruments and Note 14 for additional information on fair value. </w:t>
      </w:r>
    </w:p>
    <w:p>
      <w:pPr>
        <w:pStyle w:val="TextBody"/>
        <w:bidi w:val="0"/>
        <w:spacing w:lineRule="auto" w:line="288" w:before="0" w:after="180"/>
        <w:jc w:val="left"/>
        <w:rPr/>
      </w:pPr>
      <w:r>
        <w:rPr>
          <w:rFonts w:ascii="Arial;sans-serif" w:hAnsi="Arial;sans-serif"/>
          <w:b w:val="false"/>
          <w:i/>
          <w:color w:val="000000"/>
          <w:sz w:val="18"/>
        </w:rPr>
        <w:t>Effect of Netting.</w:t>
      </w:r>
      <w:r>
        <w:rPr>
          <w:color w:val="000000"/>
        </w:rPr>
        <w:t xml:space="preserve"> </w:t>
      </w:r>
      <w:r>
        <w:rPr>
          <w:rFonts w:ascii="Arial;sans-serif" w:hAnsi="Arial;sans-serif"/>
          <w:b w:val="false"/>
          <w:color w:val="000000"/>
          <w:sz w:val="18"/>
        </w:rPr>
        <w:t xml:space="preserve">Generally, the right of setoff within master netting arrangements permits the fair value of derivative assets to be offset with derivative liabilities. As an election, derivative assets and derivative liabilities are presented on the Consolidated Balance Sheets with the effect of such permitted netting as of December 31, 2024 (Successor) and December 31, 2023 (Successor).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9"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75</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net amounts of “Derivative instruments” presented as assets and liabilities on the Consolidated Balance Sheets considering the effect of permitted netting and where cash collateral is pledged in accordance with the underlying agreement were:</w:t>
      </w:r>
    </w:p>
    <w:tbl>
      <w:tblPr>
        <w:tblW w:w="10205" w:type="dxa"/>
        <w:jc w:val="left"/>
        <w:tblInd w:w="0" w:type="dxa"/>
        <w:tblLayout w:type="fixed"/>
        <w:tblCellMar>
          <w:top w:w="28" w:type="dxa"/>
          <w:left w:w="28" w:type="dxa"/>
          <w:bottom w:w="28" w:type="dxa"/>
          <w:right w:w="28" w:type="dxa"/>
        </w:tblCellMar>
      </w:tblPr>
      <w:tblGrid>
        <w:gridCol w:w="598"/>
        <w:gridCol w:w="526"/>
        <w:gridCol w:w="530"/>
        <w:gridCol w:w="109"/>
        <w:gridCol w:w="109"/>
        <w:gridCol w:w="109"/>
        <w:gridCol w:w="436"/>
        <w:gridCol w:w="940"/>
        <w:gridCol w:w="244"/>
        <w:gridCol w:w="109"/>
        <w:gridCol w:w="109"/>
        <w:gridCol w:w="109"/>
        <w:gridCol w:w="266"/>
        <w:gridCol w:w="639"/>
        <w:gridCol w:w="148"/>
        <w:gridCol w:w="109"/>
        <w:gridCol w:w="109"/>
        <w:gridCol w:w="109"/>
        <w:gridCol w:w="109"/>
        <w:gridCol w:w="109"/>
        <w:gridCol w:w="472"/>
        <w:gridCol w:w="798"/>
        <w:gridCol w:w="264"/>
        <w:gridCol w:w="109"/>
        <w:gridCol w:w="109"/>
        <w:gridCol w:w="109"/>
        <w:gridCol w:w="512"/>
        <w:gridCol w:w="669"/>
        <w:gridCol w:w="286"/>
        <w:gridCol w:w="109"/>
        <w:gridCol w:w="109"/>
        <w:gridCol w:w="109"/>
        <w:gridCol w:w="292"/>
        <w:gridCol w:w="492"/>
        <w:gridCol w:w="240"/>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Eligible for Offset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Collateral (Posted)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Amounts</w:t>
            </w:r>
          </w:p>
        </w:tc>
      </w:tr>
      <w:tr>
        <w:trPr/>
        <w:tc>
          <w:tcPr>
            <w:tcW w:w="16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6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8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2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6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pPr>
      <w:r>
        <w:rPr>
          <w:rFonts w:ascii="Arial;sans-serif" w:hAnsi="Arial;sans-serif"/>
          <w:b w:val="false"/>
          <w:i/>
          <w:color w:val="000000"/>
          <w:sz w:val="18"/>
        </w:rPr>
        <w:t>Statements of Operations Presentation.</w:t>
      </w:r>
      <w:r>
        <w:rPr>
          <w:color w:val="000000"/>
        </w:rPr>
        <w:t xml:space="preserve"> </w:t>
      </w:r>
      <w:r>
        <w:rPr>
          <w:rFonts w:ascii="Arial;sans-serif" w:hAnsi="Arial;sans-serif"/>
          <w:b w:val="false"/>
          <w:color w:val="000000"/>
          <w:sz w:val="18"/>
        </w:rPr>
        <w:t>The location and pre-tax effect of “Derivative instruments” presented on the Consolidated Statements of Operations for the periods were:</w:t>
      </w:r>
    </w:p>
    <w:tbl>
      <w:tblPr>
        <w:tblW w:w="10205" w:type="dxa"/>
        <w:jc w:val="left"/>
        <w:tblInd w:w="0" w:type="dxa"/>
        <w:tblLayout w:type="fixed"/>
        <w:tblCellMar>
          <w:top w:w="28" w:type="dxa"/>
          <w:left w:w="28" w:type="dxa"/>
          <w:bottom w:w="28" w:type="dxa"/>
          <w:right w:w="28" w:type="dxa"/>
        </w:tblCellMar>
      </w:tblPr>
      <w:tblGrid>
        <w:gridCol w:w="846"/>
        <w:gridCol w:w="743"/>
        <w:gridCol w:w="745"/>
        <w:gridCol w:w="109"/>
        <w:gridCol w:w="109"/>
        <w:gridCol w:w="109"/>
        <w:gridCol w:w="109"/>
        <w:gridCol w:w="109"/>
        <w:gridCol w:w="109"/>
        <w:gridCol w:w="109"/>
        <w:gridCol w:w="389"/>
        <w:gridCol w:w="836"/>
        <w:gridCol w:w="217"/>
        <w:gridCol w:w="109"/>
        <w:gridCol w:w="109"/>
        <w:gridCol w:w="109"/>
        <w:gridCol w:w="419"/>
        <w:gridCol w:w="901"/>
        <w:gridCol w:w="234"/>
        <w:gridCol w:w="109"/>
        <w:gridCol w:w="109"/>
        <w:gridCol w:w="109"/>
        <w:gridCol w:w="109"/>
        <w:gridCol w:w="109"/>
        <w:gridCol w:w="109"/>
        <w:gridCol w:w="368"/>
        <w:gridCol w:w="793"/>
        <w:gridCol w:w="208"/>
        <w:gridCol w:w="109"/>
        <w:gridCol w:w="109"/>
        <w:gridCol w:w="109"/>
        <w:gridCol w:w="350"/>
        <w:gridCol w:w="801"/>
        <w:gridCol w:w="284"/>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3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gain (loss) on 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revenues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Fuel and energy purchases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2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8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2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expenses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and unrealized gain (loss) on interest rate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and other finance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(a)Does not include those derivative instruments that settle through physical delivery.</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(b)Presented as “Unrealized gain (loss) on derivative instruments”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Contract Terminations</w:t>
      </w:r>
    </w:p>
    <w:p>
      <w:pPr>
        <w:pStyle w:val="TextBody"/>
        <w:bidi w:val="0"/>
        <w:spacing w:lineRule="auto" w:line="288" w:before="0" w:after="180"/>
        <w:jc w:val="left"/>
        <w:rPr/>
      </w:pPr>
      <w:r>
        <w:rPr>
          <w:rFonts w:ascii="Arial;sans-serif" w:hAnsi="Arial;sans-serif"/>
          <w:b w:val="false"/>
          <w:i/>
          <w:color w:val="000000"/>
          <w:sz w:val="18"/>
        </w:rPr>
        <w:t>Commodity Hedge Terminations.</w:t>
      </w:r>
      <w:r>
        <w:rPr>
          <w:color w:val="000000"/>
        </w:rPr>
        <w:t xml:space="preserve"> </w:t>
      </w:r>
      <w:r>
        <w:rPr>
          <w:rFonts w:ascii="Arial;sans-serif" w:hAnsi="Arial;sans-serif"/>
          <w:b w:val="false"/>
          <w:color w:val="000000"/>
          <w:sz w:val="18"/>
        </w:rPr>
        <w:t xml:space="preserve">In March and April 2022, Talen Energy Marketing and a counterparty terminated certain derivative contracts in a net liability position with a carrying value and fair value of $124 million prior to the agreements’ scheduled maturity dates. As the parties agreed to a monthly settlement through January 2023, repayments are presented as “Derivatives with financing elements” on the Consolidated Statements of Cash Flows.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May 2022, certain commodity counterparties of Talen Energy Marketing terminated derivative contracts in a net liability position with a carrying value and fair value of $33 million prior to the agreements’ scheduled maturity dates. During 2022, Talen Energy Marketing received $7 million in net settlements from counterparties and, at Emergence, settled the remaining $40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6. Revenue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components of operating revenues for the periods were: </w:t>
      </w:r>
    </w:p>
    <w:tbl>
      <w:tblPr>
        <w:tblW w:w="10205" w:type="dxa"/>
        <w:jc w:val="left"/>
        <w:tblInd w:w="0" w:type="dxa"/>
        <w:tblLayout w:type="fixed"/>
        <w:tblCellMar>
          <w:top w:w="28" w:type="dxa"/>
          <w:left w:w="28" w:type="dxa"/>
          <w:bottom w:w="28" w:type="dxa"/>
          <w:right w:w="28" w:type="dxa"/>
        </w:tblCellMar>
      </w:tblPr>
      <w:tblGrid>
        <w:gridCol w:w="860"/>
        <w:gridCol w:w="658"/>
        <w:gridCol w:w="661"/>
        <w:gridCol w:w="109"/>
        <w:gridCol w:w="109"/>
        <w:gridCol w:w="109"/>
        <w:gridCol w:w="109"/>
        <w:gridCol w:w="109"/>
        <w:gridCol w:w="109"/>
        <w:gridCol w:w="109"/>
        <w:gridCol w:w="322"/>
        <w:gridCol w:w="942"/>
        <w:gridCol w:w="181"/>
        <w:gridCol w:w="109"/>
        <w:gridCol w:w="109"/>
        <w:gridCol w:w="109"/>
        <w:gridCol w:w="347"/>
        <w:gridCol w:w="1015"/>
        <w:gridCol w:w="195"/>
        <w:gridCol w:w="109"/>
        <w:gridCol w:w="109"/>
        <w:gridCol w:w="109"/>
        <w:gridCol w:w="109"/>
        <w:gridCol w:w="109"/>
        <w:gridCol w:w="109"/>
        <w:gridCol w:w="325"/>
        <w:gridCol w:w="949"/>
        <w:gridCol w:w="181"/>
        <w:gridCol w:w="109"/>
        <w:gridCol w:w="109"/>
        <w:gridCol w:w="109"/>
        <w:gridCol w:w="317"/>
        <w:gridCol w:w="924"/>
        <w:gridCol w:w="257"/>
      </w:tblGrid>
      <w:tr>
        <w:trPr/>
        <w:tc>
          <w:tcPr>
            <w:tcW w:w="8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17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sales and ancillary services, ISO/RTO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Physical electricity sales, bilateral contracts, 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 from contracts with customers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1,574</w:t>
            </w:r>
            <w:r>
              <w:rPr>
                <w:color w:val="000000"/>
              </w:rPr>
              <w:t> </w:t>
            </w:r>
          </w:p>
        </w:tc>
        <w:tc>
          <w:tcPr>
            <w:tcW w:w="1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1,165</w:t>
            </w:r>
            <w:r>
              <w:rPr>
                <w:color w:val="000000"/>
              </w:rPr>
              <w:t>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w:t>
            </w:r>
            <w:r>
              <w:rPr>
                <w:color w:val="000000"/>
              </w:rPr>
              <w:t> </w:t>
            </w:r>
          </w:p>
        </w:tc>
        <w:tc>
          <w:tcPr>
            <w:tcW w:w="1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3,209</w:t>
            </w:r>
            <w:r>
              <w:rPr>
                <w:color w:val="000000"/>
              </w:rPr>
              <w:t> </w:t>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gain (loss)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PTC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2,115</w:t>
            </w:r>
            <w:r>
              <w:rPr>
                <w:color w:val="000000"/>
              </w:rPr>
              <w:t> </w:t>
            </w:r>
          </w:p>
        </w:tc>
        <w:tc>
          <w:tcPr>
            <w:tcW w:w="1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19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1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w:t>
            </w:r>
            <w:r>
              <w:rPr>
                <w:color w:val="000000"/>
              </w:rPr>
              <w:t> </w:t>
            </w:r>
          </w:p>
        </w:tc>
        <w:tc>
          <w:tcPr>
            <w:tcW w:w="2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(a)During the year ended December 31, 2024 (Successor), $70 million of estimated Nuclear PTCs were utilized as a credit against our federal income tax payable. See Note 7 for additional information on the tax impact of the Nuclear PTC.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80"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76</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Accounts Receivable</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 xml:space="preserve">Accounts receivable” presented on the Consolidated Balance Sheets were: </w:t>
      </w:r>
    </w:p>
    <w:tbl>
      <w:tblPr>
        <w:tblW w:w="6203" w:type="dxa"/>
        <w:jc w:val="left"/>
        <w:tblInd w:w="0" w:type="dxa"/>
        <w:tblLayout w:type="fixed"/>
        <w:tblCellMar>
          <w:top w:w="28" w:type="dxa"/>
          <w:left w:w="28" w:type="dxa"/>
          <w:bottom w:w="28" w:type="dxa"/>
          <w:right w:w="28" w:type="dxa"/>
        </w:tblCellMar>
      </w:tblPr>
      <w:tblGrid>
        <w:gridCol w:w="852"/>
        <w:gridCol w:w="749"/>
        <w:gridCol w:w="754"/>
        <w:gridCol w:w="109"/>
        <w:gridCol w:w="109"/>
        <w:gridCol w:w="109"/>
        <w:gridCol w:w="416"/>
        <w:gridCol w:w="927"/>
        <w:gridCol w:w="232"/>
        <w:gridCol w:w="109"/>
        <w:gridCol w:w="109"/>
        <w:gridCol w:w="109"/>
        <w:gridCol w:w="402"/>
        <w:gridCol w:w="897"/>
        <w:gridCol w:w="320"/>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35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23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2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year ended December 31, 2024 (Successor), the period from May 18 through December 31, 2023 (Successor), and the period from January 1 through May 17, 2023 (Predecessor), there were no significant changes in accounts receivable other than normal receivable recognition and collection transactions. See Note 5 for additional information on Talen’s credit risk on the carrying value of its receivables and for additional information on a Talen Energy Marketing receivables sales arrangement that was terminated in May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Future Performance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the normal course of business, Talen has future performance obligations for capacity sales awarded through market-based capacity auctions and (or) for capacity sales under bilateral contractual arrangements.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PJM Base Residual Auction for the 2025/2026 PJM Capacity Year was held in July 2024. Talen cleared a total of 6,820 MW at a clearing price of $269.92 per MW-day for the MAAC, PPL, and PSEG locational deliverability areas. The PJM BRAs for any years thereafter have not yet been held, and the PJM BRA for delivery year 2026/2027 has been postponed to July 2025. See Note 12 for additional information on the PJM BRAs.</w:t>
      </w:r>
    </w:p>
    <w:p>
      <w:pPr>
        <w:pStyle w:val="TextBody"/>
        <w:bidi w:val="0"/>
        <w:spacing w:lineRule="auto" w:line="288" w:before="0" w:after="180"/>
        <w:jc w:val="left"/>
        <w:rPr/>
      </w:pPr>
      <w:r>
        <w:rPr>
          <w:rFonts w:ascii="Arial;sans-serif" w:hAnsi="Arial;sans-serif"/>
          <w:b w:val="false"/>
          <w:color w:val="000000"/>
          <w:sz w:val="18"/>
        </w:rPr>
        <w:t>As of December 31, 2024 (Successor), the expected future period capacity revenues subject to unsatisfied or partially unsatisfied performance obligations were:</w:t>
      </w:r>
      <w:r>
        <w:rPr>
          <w:color w:val="000000"/>
        </w:rPr>
        <w:t xml:space="preserve"> </w:t>
      </w:r>
    </w:p>
    <w:tbl>
      <w:tblPr>
        <w:tblW w:w="7139" w:type="dxa"/>
        <w:jc w:val="left"/>
        <w:tblInd w:w="0" w:type="dxa"/>
        <w:tblLayout w:type="fixed"/>
        <w:tblCellMar>
          <w:top w:w="28" w:type="dxa"/>
          <w:left w:w="28" w:type="dxa"/>
          <w:bottom w:w="28" w:type="dxa"/>
          <w:right w:w="28" w:type="dxa"/>
        </w:tblCellMar>
      </w:tblPr>
      <w:tblGrid>
        <w:gridCol w:w="799"/>
        <w:gridCol w:w="701"/>
        <w:gridCol w:w="704"/>
        <w:gridCol w:w="109"/>
        <w:gridCol w:w="109"/>
        <w:gridCol w:w="109"/>
        <w:gridCol w:w="196"/>
        <w:gridCol w:w="421"/>
        <w:gridCol w:w="109"/>
        <w:gridCol w:w="109"/>
        <w:gridCol w:w="109"/>
        <w:gridCol w:w="109"/>
        <w:gridCol w:w="196"/>
        <w:gridCol w:w="421"/>
        <w:gridCol w:w="109"/>
        <w:gridCol w:w="109"/>
        <w:gridCol w:w="109"/>
        <w:gridCol w:w="109"/>
        <w:gridCol w:w="196"/>
        <w:gridCol w:w="241"/>
        <w:gridCol w:w="109"/>
        <w:gridCol w:w="109"/>
        <w:gridCol w:w="109"/>
        <w:gridCol w:w="109"/>
        <w:gridCol w:w="196"/>
        <w:gridCol w:w="241"/>
        <w:gridCol w:w="109"/>
        <w:gridCol w:w="109"/>
        <w:gridCol w:w="109"/>
        <w:gridCol w:w="109"/>
        <w:gridCol w:w="196"/>
        <w:gridCol w:w="40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2026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r>
      <w:tr>
        <w:trPr/>
        <w:tc>
          <w:tcPr>
            <w:tcW w:w="2204"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(a)Estimated through May 31, 2026. The PJM BRA for the 2026/2027 PJM Capacity Year has been delayed to July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7.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“Income tax benefit (expense)” for the periods were:</w:t>
      </w:r>
    </w:p>
    <w:tbl>
      <w:tblPr>
        <w:tblW w:w="10205" w:type="dxa"/>
        <w:jc w:val="left"/>
        <w:tblInd w:w="0" w:type="dxa"/>
        <w:tblLayout w:type="fixed"/>
        <w:tblCellMar>
          <w:top w:w="28" w:type="dxa"/>
          <w:left w:w="28" w:type="dxa"/>
          <w:bottom w:w="28" w:type="dxa"/>
          <w:right w:w="28" w:type="dxa"/>
        </w:tblCellMar>
      </w:tblPr>
      <w:tblGrid>
        <w:gridCol w:w="646"/>
        <w:gridCol w:w="463"/>
        <w:gridCol w:w="466"/>
        <w:gridCol w:w="109"/>
        <w:gridCol w:w="109"/>
        <w:gridCol w:w="109"/>
        <w:gridCol w:w="109"/>
        <w:gridCol w:w="109"/>
        <w:gridCol w:w="109"/>
        <w:gridCol w:w="109"/>
        <w:gridCol w:w="423"/>
        <w:gridCol w:w="944"/>
        <w:gridCol w:w="237"/>
        <w:gridCol w:w="109"/>
        <w:gridCol w:w="109"/>
        <w:gridCol w:w="109"/>
        <w:gridCol w:w="526"/>
        <w:gridCol w:w="927"/>
        <w:gridCol w:w="294"/>
        <w:gridCol w:w="109"/>
        <w:gridCol w:w="109"/>
        <w:gridCol w:w="109"/>
        <w:gridCol w:w="109"/>
        <w:gridCol w:w="109"/>
        <w:gridCol w:w="109"/>
        <w:gridCol w:w="387"/>
        <w:gridCol w:w="951"/>
        <w:gridCol w:w="215"/>
        <w:gridCol w:w="109"/>
        <w:gridCol w:w="109"/>
        <w:gridCol w:w="109"/>
        <w:gridCol w:w="464"/>
        <w:gridCol w:w="819"/>
        <w:gridCol w:w="372"/>
      </w:tblGrid>
      <w:tr>
        <w:trPr/>
        <w:tc>
          <w:tcPr>
            <w:tcW w:w="6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15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2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(144)</w:t>
            </w:r>
          </w:p>
        </w:tc>
        <w:tc>
          <w:tcPr>
            <w:tcW w:w="2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3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tax credit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(212)</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1"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77</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Effective Tax Rate Reconciliations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reconciliations of the effective tax rate for the periods were:</w:t>
      </w:r>
    </w:p>
    <w:tbl>
      <w:tblPr>
        <w:tblW w:w="10205" w:type="dxa"/>
        <w:jc w:val="left"/>
        <w:tblInd w:w="0" w:type="dxa"/>
        <w:tblLayout w:type="fixed"/>
        <w:tblCellMar>
          <w:top w:w="28" w:type="dxa"/>
          <w:left w:w="28" w:type="dxa"/>
          <w:bottom w:w="28" w:type="dxa"/>
          <w:right w:w="28" w:type="dxa"/>
        </w:tblCellMar>
      </w:tblPr>
      <w:tblGrid>
        <w:gridCol w:w="1277"/>
        <w:gridCol w:w="649"/>
        <w:gridCol w:w="655"/>
        <w:gridCol w:w="109"/>
        <w:gridCol w:w="109"/>
        <w:gridCol w:w="109"/>
        <w:gridCol w:w="109"/>
        <w:gridCol w:w="109"/>
        <w:gridCol w:w="109"/>
        <w:gridCol w:w="109"/>
        <w:gridCol w:w="270"/>
        <w:gridCol w:w="766"/>
        <w:gridCol w:w="353"/>
        <w:gridCol w:w="109"/>
        <w:gridCol w:w="109"/>
        <w:gridCol w:w="109"/>
        <w:gridCol w:w="312"/>
        <w:gridCol w:w="671"/>
        <w:gridCol w:w="409"/>
        <w:gridCol w:w="109"/>
        <w:gridCol w:w="109"/>
        <w:gridCol w:w="109"/>
        <w:gridCol w:w="109"/>
        <w:gridCol w:w="109"/>
        <w:gridCol w:w="109"/>
        <w:gridCol w:w="282"/>
        <w:gridCol w:w="669"/>
        <w:gridCol w:w="368"/>
        <w:gridCol w:w="109"/>
        <w:gridCol w:w="109"/>
        <w:gridCol w:w="109"/>
        <w:gridCol w:w="258"/>
        <w:gridCol w:w="789"/>
        <w:gridCol w:w="406"/>
      </w:tblGrid>
      <w:tr>
        <w:trPr/>
        <w:tc>
          <w:tcPr>
            <w:tcW w:w="127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58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1,111 </w:t>
            </w:r>
          </w:p>
        </w:tc>
        <w:tc>
          <w:tcPr>
            <w:tcW w:w="3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4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3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35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40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36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0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income tax statutory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w:t>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computed at the federal income tax statutory tax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increase (decrease)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PTC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to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permanent differences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benefit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benefit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w:t>
            </w:r>
          </w:p>
        </w:tc>
        <w:tc>
          <w:tcPr>
            <w:tcW w:w="3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4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(212)</w:t>
            </w:r>
          </w:p>
        </w:tc>
        <w:tc>
          <w:tcPr>
            <w:tcW w:w="36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4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Deferred Taxes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deferred tax liabilities and deferred tax assets were:</w:t>
      </w:r>
    </w:p>
    <w:tbl>
      <w:tblPr>
        <w:tblW w:w="6937" w:type="dxa"/>
        <w:jc w:val="left"/>
        <w:tblInd w:w="0" w:type="dxa"/>
        <w:tblLayout w:type="fixed"/>
        <w:tblCellMar>
          <w:top w:w="28" w:type="dxa"/>
          <w:left w:w="28" w:type="dxa"/>
          <w:bottom w:w="28" w:type="dxa"/>
          <w:right w:w="28" w:type="dxa"/>
        </w:tblCellMar>
      </w:tblPr>
      <w:tblGrid>
        <w:gridCol w:w="1119"/>
        <w:gridCol w:w="984"/>
        <w:gridCol w:w="986"/>
        <w:gridCol w:w="109"/>
        <w:gridCol w:w="109"/>
        <w:gridCol w:w="109"/>
        <w:gridCol w:w="745"/>
        <w:gridCol w:w="414"/>
        <w:gridCol w:w="416"/>
        <w:gridCol w:w="109"/>
        <w:gridCol w:w="109"/>
        <w:gridCol w:w="109"/>
        <w:gridCol w:w="690"/>
        <w:gridCol w:w="383"/>
        <w:gridCol w:w="546"/>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w:t>
            </w:r>
          </w:p>
        </w:tc>
      </w:tr>
      <w:tr>
        <w:trPr/>
        <w:tc>
          <w:tcPr>
            <w:tcW w:w="308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qualifying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1,029</w:t>
            </w:r>
          </w:p>
        </w:tc>
      </w:tr>
      <w:tr>
        <w:trPr/>
        <w:tc>
          <w:tcPr>
            <w:tcW w:w="3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limitation carryforward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r>
      <w:tr>
        <w:trPr/>
        <w:tc>
          <w:tcPr>
            <w:tcW w:w="308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pension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r>
      <w:tr>
        <w:trPr/>
        <w:tc>
          <w:tcPr>
            <w:tcW w:w="308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net operating loss carryforwards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30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749</w:t>
            </w:r>
          </w:p>
        </w:tc>
      </w:tr>
      <w:tr>
        <w:trPr/>
        <w:tc>
          <w:tcPr>
            <w:tcW w:w="3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r>
      <w:tr>
        <w:trPr/>
        <w:tc>
          <w:tcPr>
            <w:tcW w:w="308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liabilities,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9"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82"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78</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Net Operating Losses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NOL carryforwards were:</w:t>
      </w:r>
    </w:p>
    <w:tbl>
      <w:tblPr>
        <w:tblW w:w="8498" w:type="dxa"/>
        <w:jc w:val="left"/>
        <w:tblInd w:w="0" w:type="dxa"/>
        <w:tblLayout w:type="fixed"/>
        <w:tblCellMar>
          <w:top w:w="28" w:type="dxa"/>
          <w:left w:w="28" w:type="dxa"/>
          <w:bottom w:w="28" w:type="dxa"/>
          <w:right w:w="28" w:type="dxa"/>
        </w:tblCellMar>
      </w:tblPr>
      <w:tblGrid>
        <w:gridCol w:w="1683"/>
        <w:gridCol w:w="1477"/>
        <w:gridCol w:w="1490"/>
        <w:gridCol w:w="109"/>
        <w:gridCol w:w="109"/>
        <w:gridCol w:w="109"/>
        <w:gridCol w:w="745"/>
        <w:gridCol w:w="414"/>
        <w:gridCol w:w="416"/>
        <w:gridCol w:w="109"/>
        <w:gridCol w:w="109"/>
        <w:gridCol w:w="109"/>
        <w:gridCol w:w="690"/>
        <w:gridCol w:w="383"/>
        <w:gridCol w:w="546"/>
      </w:tblGrid>
      <w:tr>
        <w:trPr/>
        <w:tc>
          <w:tcPr>
            <w:tcW w:w="168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65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expirations 2036 - 2037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indefinite expiration, limited to annual utilization of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w:t>
            </w:r>
          </w:p>
        </w:tc>
      </w:tr>
      <w:tr>
        <w:trPr/>
        <w:tc>
          <w:tcPr>
            <w:tcW w:w="465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expirations 2025 - 2043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“Emergence from Restructuring” below for information on limitations on our NOLs.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Unrecognized Tax Benefits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Unrecognized tax benefits as of December 31, 2024 (Successor) and December 31, 2023 (Successor) were a non-material amount and it is not expected the total amount of unrecognized tax benefit will change significantly within one year.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All tax returns filed for years December 31, 2021 and forward are open to examination by the relevant taxing authorities.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Emergence from Restructuring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Company evaluated, including the change in control resulting from its Emergence from bankruptcy, the tax impact of its Restructuring as described in Note 3. As part of the Restructuring, a substantial portion of the Company’s prepetition debt was extinguished, resulting in cancellation of debt income (“CODI”). A taxpayer emerging from bankruptcy may exclude CODI from taxable income but must first reduce its tax attributes by the amount of CODI realized. The Company realized CODI of $1.2 billion, which resulted in a partial reduction in tax basis in PP&amp;E assets.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Upon Emergence, the Company experienced an ownership change under Section 382 of the Internal Revenue Code. The Internal Revenue Code Sections 382 and 383 impose limitations on the ability of a company to utilize tax attributes after experiencing an ownership change. States generally have similar tax attribute limitation rules following an ownership change. The Company also applied fresh start accounting. As a result, deferred tax assets and liabilities were adjusted based on the Successor GAAP financial statements. See Note 4 for additional information on fresh start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Valuation Allowance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Company’s most significant deferred tax assets are its net operating losses and interest limitation carryforward. Management assesses the available positive and negative evidence to estimate whether it is more likely than not that sufficient future taxable income will be generated to permit the use of existing deferred tax assets. Such assessment includes the evaluation of historical earnings after adjusting for certain nonrecurring items for the purpose of projecting future taxable income. Negative evidence in the form of cumulative losses are no longer present as the Company has returned to profitability. The existence of objective positive evidence allows for consideration of other subjective evidence, including (but not limited to) Talen’s projections for future income which would allow for utilization of all net operating losses and interest limitation carryforwards. At each period, management will continue to assess the available positive and negative evidence to determine the need for a valuation allowance.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result of the assessment, it was determined that it is more likely than not that federal and state deferred tax assets will be fully utilized by future taxable income. As of December 31, 2024 (Successor), the entire federal and state valuation allowances were released, resulting in a $128 million tax benefit.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period from May 18 through December 31, 2023 (Successor), a $43 million tax expense was recognized for the increase in federal and state valuation allowances based on the realizability of deferred tax assets. For the period from January 1 through May 17, 2023 (Predecessor), a $129 million benefit was recognized for the reduction in federal and state valuation allowances. The change in valuation allowance estimates was the result of tax attribute reduction from the cancellation of debt income that was realized upon Emergence. For the year ended December 31, 2022 (Predecessor) a $198 million tax expense was recognized for the increase in federal and state valuation allowances based on realizability of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3"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79</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Inflation Reduction Act of 2022</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Inflation Reduction Act was signed into law in August 2022. Among the Act’s provisions are amendments to the Internal Revenue Code to create a nuclear production tax credit program.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Nuclear PTC program provides qualified nuclear power generation facilities with a $3 per MWh transferable credit for electricity produced and sold to an unrelated party during each tax year. Electricity produced and sold by Susquehanna to third parties after December 31, 2023 through December 31, 2032 qualifies for the credit, which is subject to potential adjustments. Such adjustments include inflation escalators, a five-times increase in tax credit value (to $15 per MWh) if the qualifying generation facility meets prevailing wage requirements (which we expect to meet), and a pro-rata decrease in tax credit value once the annual gross receipts of a qualifying generation facility exceeds $25 per MWh. As the credit is eliminated when the annual gross receipts are equivalent to $43.75 per MWh (adjusted for inflation), the Nuclear PTC program is expected to create a minimum price Susquehanna is expected to receive for its generation. Susquehanna generated 17 million MWh sold to third parties in calendar year 2024.</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credit would be:</w:t>
      </w:r>
    </w:p>
    <w:tbl>
      <w:tblPr>
        <w:tblW w:w="8530"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1795"/>
        <w:gridCol w:w="1795"/>
        <w:gridCol w:w="254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Annual Gross Receipts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Credit Amount</w:t>
            </w:r>
          </w:p>
        </w:tc>
      </w:tr>
      <w:tr>
        <w:trPr/>
        <w:tc>
          <w:tcPr>
            <w:tcW w:w="20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$25 per MWh or less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$15 per MWh</w:t>
            </w:r>
          </w:p>
        </w:tc>
      </w:tr>
      <w:tr>
        <w:trPr/>
        <w:tc>
          <w:tcPr>
            <w:tcW w:w="20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Greater than $25 per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Ratably reduced until gross receipts equal $43.75 per MWh, $0 after that threshold</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Inflation Reduction Act’s provisions are subject to implementation regulations, the terms of which are not yet fully known. No assurance can be provided as to the magnitude of the benefit to Susquehanna, as the Inflation Reduction Act’s provisions, including the computations of the Nuclear PTC, are subject to implementation regulations that could impact the credit value recognized to date and credit value available in future periods. Accordingly, Talen cannot fully predict the realization of any minimum price for Susquehanna’s generation and (or) impacts to Talen’s liquidity or results of operations. See Note 6 for additional information on Nuclear PTC revenue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Current Taxes Payable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Current tax liabilities presented as “Other current liabilities” on the Consolidated Balance Sheets were $53 million as of December 31, 2024 (Successor) and $2 million as of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8. Inventory</w:t>
      </w:r>
    </w:p>
    <w:tbl>
      <w:tblPr>
        <w:tblW w:w="6622" w:type="dxa"/>
        <w:jc w:val="left"/>
        <w:tblInd w:w="0" w:type="dxa"/>
        <w:tblLayout w:type="fixed"/>
        <w:tblCellMar>
          <w:top w:w="28" w:type="dxa"/>
          <w:left w:w="28" w:type="dxa"/>
          <w:bottom w:w="28" w:type="dxa"/>
          <w:right w:w="28" w:type="dxa"/>
        </w:tblCellMar>
      </w:tblPr>
      <w:tblGrid>
        <w:gridCol w:w="1000"/>
        <w:gridCol w:w="876"/>
        <w:gridCol w:w="898"/>
        <w:gridCol w:w="109"/>
        <w:gridCol w:w="109"/>
        <w:gridCol w:w="109"/>
        <w:gridCol w:w="416"/>
        <w:gridCol w:w="927"/>
        <w:gridCol w:w="232"/>
        <w:gridCol w:w="109"/>
        <w:gridCol w:w="109"/>
        <w:gridCol w:w="109"/>
        <w:gridCol w:w="402"/>
        <w:gridCol w:w="897"/>
        <w:gridCol w:w="320"/>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inventory for 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Materials and supplies,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products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w:t>
            </w: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color w:val="000000"/>
          <w:sz w:val="18"/>
        </w:rPr>
        <w:t>Inventory net realizable value and obsolescence charges on coal and fuel oil inventories are presented as “Other operating income (expense), net” on the Consolidated Statements of Operations. Such non-cash charges were non-material for the year ended December 31, 2024 (Successor), non-material for the period from May 18 through December 31, 2023 (Successor), $37 million for the period from January 1 through May 17, 2023 (Predecessor)</w:t>
      </w:r>
      <w:r>
        <w:rPr>
          <w:rFonts w:ascii="Arial;sans-serif" w:hAnsi="Arial;sans-serif"/>
          <w:b w:val="false"/>
          <w:color w:val="000000"/>
          <w:sz w:val="16"/>
        </w:rPr>
        <w:t>,</w:t>
      </w:r>
      <w:r>
        <w:rPr>
          <w:color w:val="000000"/>
        </w:rPr>
        <w:t xml:space="preserve"> </w:t>
      </w:r>
      <w:r>
        <w:rPr>
          <w:rFonts w:ascii="Arial;sans-serif" w:hAnsi="Arial;sans-serif"/>
          <w:b w:val="false"/>
          <w:color w:val="000000"/>
          <w:sz w:val="18"/>
        </w:rPr>
        <w:t>and non-material for the year ended December 31, 2022 (Predecessor).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period from January 1 through May 17, 2023 (Predecessor), $24 million of adjustments were related to Brandon Shores coal and materials and supplies inventories. See Note 10 for additional information on the Brandon Shores recoverability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4"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80</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9. Nuclear Decommissioning Trust Funds</w:t>
      </w:r>
    </w:p>
    <w:tbl>
      <w:tblPr>
        <w:tblW w:w="11080" w:type="dxa"/>
        <w:jc w:val="left"/>
        <w:tblInd w:w="0" w:type="dxa"/>
        <w:tblLayout w:type="fixed"/>
        <w:tblCellMar>
          <w:top w:w="28" w:type="dxa"/>
          <w:left w:w="28" w:type="dxa"/>
          <w:bottom w:w="28" w:type="dxa"/>
          <w:right w:w="28" w:type="dxa"/>
        </w:tblCellMar>
      </w:tblPr>
      <w:tblGrid>
        <w:gridCol w:w="417"/>
        <w:gridCol w:w="301"/>
        <w:gridCol w:w="303"/>
        <w:gridCol w:w="109"/>
        <w:gridCol w:w="109"/>
        <w:gridCol w:w="109"/>
        <w:gridCol w:w="208"/>
        <w:gridCol w:w="606"/>
        <w:gridCol w:w="117"/>
        <w:gridCol w:w="109"/>
        <w:gridCol w:w="109"/>
        <w:gridCol w:w="109"/>
        <w:gridCol w:w="250"/>
        <w:gridCol w:w="556"/>
        <w:gridCol w:w="140"/>
        <w:gridCol w:w="109"/>
        <w:gridCol w:w="109"/>
        <w:gridCol w:w="109"/>
        <w:gridCol w:w="260"/>
        <w:gridCol w:w="540"/>
        <w:gridCol w:w="146"/>
        <w:gridCol w:w="109"/>
        <w:gridCol w:w="109"/>
        <w:gridCol w:w="109"/>
        <w:gridCol w:w="196"/>
        <w:gridCol w:w="571"/>
        <w:gridCol w:w="109"/>
        <w:gridCol w:w="109"/>
        <w:gridCol w:w="109"/>
        <w:gridCol w:w="109"/>
        <w:gridCol w:w="208"/>
        <w:gridCol w:w="606"/>
        <w:gridCol w:w="117"/>
        <w:gridCol w:w="109"/>
        <w:gridCol w:w="109"/>
        <w:gridCol w:w="109"/>
        <w:gridCol w:w="250"/>
        <w:gridCol w:w="556"/>
        <w:gridCol w:w="140"/>
        <w:gridCol w:w="109"/>
        <w:gridCol w:w="109"/>
        <w:gridCol w:w="109"/>
        <w:gridCol w:w="260"/>
        <w:gridCol w:w="540"/>
        <w:gridCol w:w="146"/>
        <w:gridCol w:w="109"/>
        <w:gridCol w:w="109"/>
        <w:gridCol w:w="109"/>
        <w:gridCol w:w="196"/>
        <w:gridCol w:w="571"/>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(payables),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NDT funds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1,724</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1,044</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1,575</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14 for additional information on the NDT fair value. There were no available-for-sale debt securities with credit losses as of December 31, 2024 (Successor) and December 31, 2023 (Successor).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December 31, 2024 (Successor) were:</w:t>
      </w:r>
    </w:p>
    <w:tbl>
      <w:tblPr>
        <w:tblW w:w="6638" w:type="dxa"/>
        <w:jc w:val="left"/>
        <w:tblInd w:w="0" w:type="dxa"/>
        <w:tblLayout w:type="fixed"/>
        <w:tblCellMar>
          <w:top w:w="28" w:type="dxa"/>
          <w:left w:w="28" w:type="dxa"/>
          <w:bottom w:w="28" w:type="dxa"/>
          <w:right w:w="28" w:type="dxa"/>
        </w:tblCellMar>
      </w:tblPr>
      <w:tblGrid>
        <w:gridCol w:w="1265"/>
        <w:gridCol w:w="1110"/>
        <w:gridCol w:w="1119"/>
        <w:gridCol w:w="109"/>
        <w:gridCol w:w="109"/>
        <w:gridCol w:w="109"/>
        <w:gridCol w:w="234"/>
        <w:gridCol w:w="521"/>
        <w:gridCol w:w="130"/>
        <w:gridCol w:w="109"/>
        <w:gridCol w:w="109"/>
        <w:gridCol w:w="109"/>
        <w:gridCol w:w="518"/>
        <w:gridCol w:w="677"/>
        <w:gridCol w:w="410"/>
      </w:tblGrid>
      <w:tr>
        <w:trPr/>
        <w:tc>
          <w:tcPr>
            <w:tcW w:w="12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r>
      <w:tr>
        <w:trPr/>
        <w:tc>
          <w:tcPr>
            <w:tcW w:w="349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Debt securities in unrealized loss position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 aggregate fair value of debt securities in a loss position for a duration of one year or longer were $15 million and the unrealized losses were non-material.</w:t>
      </w:r>
    </w:p>
    <w:p>
      <w:pPr>
        <w:pStyle w:val="TextBody"/>
        <w:bidi w:val="0"/>
        <w:spacing w:lineRule="auto" w:line="288" w:before="0" w:after="0"/>
        <w:jc w:val="left"/>
        <w:rPr/>
      </w:pPr>
      <w:r>
        <w:rPr>
          <w:rFonts w:ascii="Arial;sans-serif" w:hAnsi="Arial;sans-serif"/>
          <w:b w:val="false"/>
          <w:color w:val="000000"/>
          <w:sz w:val="18"/>
        </w:rPr>
        <w:t>The contractual maturities for available-for-sale debt securities presented on the Consolidated Balance Sheets were:</w:t>
      </w:r>
      <w:r>
        <w:rPr>
          <w:color w:val="000000"/>
        </w:rPr>
        <w:t xml:space="preserve"> </w:t>
      </w:r>
    </w:p>
    <w:tbl>
      <w:tblPr>
        <w:tblW w:w="6368"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416"/>
        <w:gridCol w:w="927"/>
        <w:gridCol w:w="232"/>
        <w:gridCol w:w="109"/>
        <w:gridCol w:w="109"/>
        <w:gridCol w:w="109"/>
        <w:gridCol w:w="402"/>
        <w:gridCol w:w="897"/>
        <w:gridCol w:w="32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within two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thereafter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 securities,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579</w:t>
            </w: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sales proceeds, gains, and losses for available-for-sale debt securities for the periods were:</w:t>
      </w:r>
    </w:p>
    <w:tbl>
      <w:tblPr>
        <w:tblW w:w="10205" w:type="dxa"/>
        <w:jc w:val="left"/>
        <w:tblInd w:w="0" w:type="dxa"/>
        <w:tblLayout w:type="fixed"/>
        <w:tblCellMar>
          <w:top w:w="28" w:type="dxa"/>
          <w:left w:w="28" w:type="dxa"/>
          <w:bottom w:w="28" w:type="dxa"/>
          <w:right w:w="28" w:type="dxa"/>
        </w:tblCellMar>
      </w:tblPr>
      <w:tblGrid>
        <w:gridCol w:w="694"/>
        <w:gridCol w:w="610"/>
        <w:gridCol w:w="614"/>
        <w:gridCol w:w="109"/>
        <w:gridCol w:w="109"/>
        <w:gridCol w:w="109"/>
        <w:gridCol w:w="109"/>
        <w:gridCol w:w="109"/>
        <w:gridCol w:w="109"/>
        <w:gridCol w:w="109"/>
        <w:gridCol w:w="347"/>
        <w:gridCol w:w="984"/>
        <w:gridCol w:w="194"/>
        <w:gridCol w:w="109"/>
        <w:gridCol w:w="109"/>
        <w:gridCol w:w="109"/>
        <w:gridCol w:w="376"/>
        <w:gridCol w:w="1066"/>
        <w:gridCol w:w="210"/>
        <w:gridCol w:w="109"/>
        <w:gridCol w:w="109"/>
        <w:gridCol w:w="109"/>
        <w:gridCol w:w="109"/>
        <w:gridCol w:w="109"/>
        <w:gridCol w:w="109"/>
        <w:gridCol w:w="393"/>
        <w:gridCol w:w="847"/>
        <w:gridCol w:w="222"/>
        <w:gridCol w:w="109"/>
        <w:gridCol w:w="109"/>
        <w:gridCol w:w="109"/>
        <w:gridCol w:w="338"/>
        <w:gridCol w:w="963"/>
        <w:gridCol w:w="276"/>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191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proceeds of NDT funds investments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2,132 </w:t>
            </w:r>
          </w:p>
        </w:tc>
        <w:tc>
          <w:tcPr>
            <w:tcW w:w="1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1,259 </w:t>
            </w:r>
          </w:p>
        </w:tc>
        <w:tc>
          <w:tcPr>
            <w:tcW w:w="2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2,081 </w:t>
            </w:r>
          </w:p>
        </w:tc>
        <w:tc>
          <w:tcPr>
            <w:tcW w:w="2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realized losses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9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2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27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(a)Sales proceeds are used to pay income taxes and trust management fees. Remaining proceeds are reinvested in the NDT.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5"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81</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10. Property, Plant and Equipment</w:t>
      </w:r>
    </w:p>
    <w:tbl>
      <w:tblPr>
        <w:tblW w:w="10205" w:type="dxa"/>
        <w:jc w:val="left"/>
        <w:tblInd w:w="0" w:type="dxa"/>
        <w:tblLayout w:type="fixed"/>
        <w:tblCellMar>
          <w:top w:w="28" w:type="dxa"/>
          <w:left w:w="28" w:type="dxa"/>
          <w:bottom w:w="28" w:type="dxa"/>
          <w:right w:w="28" w:type="dxa"/>
        </w:tblCellMar>
      </w:tblPr>
      <w:tblGrid>
        <w:gridCol w:w="494"/>
        <w:gridCol w:w="291"/>
        <w:gridCol w:w="292"/>
        <w:gridCol w:w="109"/>
        <w:gridCol w:w="109"/>
        <w:gridCol w:w="109"/>
        <w:gridCol w:w="307"/>
        <w:gridCol w:w="307"/>
        <w:gridCol w:w="308"/>
        <w:gridCol w:w="109"/>
        <w:gridCol w:w="109"/>
        <w:gridCol w:w="109"/>
        <w:gridCol w:w="196"/>
        <w:gridCol w:w="572"/>
        <w:gridCol w:w="109"/>
        <w:gridCol w:w="109"/>
        <w:gridCol w:w="109"/>
        <w:gridCol w:w="109"/>
        <w:gridCol w:w="309"/>
        <w:gridCol w:w="689"/>
        <w:gridCol w:w="173"/>
        <w:gridCol w:w="109"/>
        <w:gridCol w:w="109"/>
        <w:gridCol w:w="109"/>
        <w:gridCol w:w="197"/>
        <w:gridCol w:w="574"/>
        <w:gridCol w:w="109"/>
        <w:gridCol w:w="109"/>
        <w:gridCol w:w="109"/>
        <w:gridCol w:w="109"/>
        <w:gridCol w:w="196"/>
        <w:gridCol w:w="572"/>
        <w:gridCol w:w="109"/>
        <w:gridCol w:w="109"/>
        <w:gridCol w:w="109"/>
        <w:gridCol w:w="109"/>
        <w:gridCol w:w="309"/>
        <w:gridCol w:w="689"/>
        <w:gridCol w:w="173"/>
        <w:gridCol w:w="109"/>
        <w:gridCol w:w="109"/>
        <w:gridCol w:w="109"/>
        <w:gridCol w:w="197"/>
        <w:gridCol w:w="574"/>
        <w:gridCol w:w="170"/>
      </w:tblGrid>
      <w:tr>
        <w:trPr/>
        <w:tc>
          <w:tcPr>
            <w:tcW w:w="4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10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3-27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3,069 </w:t>
            </w:r>
          </w:p>
        </w:tc>
        <w:tc>
          <w:tcPr>
            <w:tcW w:w="1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and equipment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70"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(465)</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(186)</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3,839</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pPr>
      <w:r>
        <w:rPr>
          <w:rFonts w:ascii="Arial;sans-serif" w:hAnsi="Arial;sans-serif"/>
          <w:b w:val="false"/>
          <w:color w:val="000000"/>
          <w:sz w:val="18"/>
        </w:rPr>
        <w:t>The components of “Depreciation, amortization and accretion</w:t>
      </w:r>
      <w:r>
        <w:rPr>
          <w:color w:val="000000"/>
        </w:rPr>
        <w:t xml:space="preserve">” </w:t>
      </w:r>
      <w:r>
        <w:rPr>
          <w:rFonts w:ascii="Arial;sans-serif" w:hAnsi="Arial;sans-serif"/>
          <w:b w:val="false"/>
          <w:color w:val="000000"/>
          <w:sz w:val="18"/>
        </w:rPr>
        <w:t>presented on the Consolidated Statements of Operations for the periods were: </w:t>
      </w:r>
    </w:p>
    <w:tbl>
      <w:tblPr>
        <w:tblW w:w="10205" w:type="dxa"/>
        <w:jc w:val="left"/>
        <w:tblInd w:w="0" w:type="dxa"/>
        <w:tblLayout w:type="fixed"/>
        <w:tblCellMar>
          <w:top w:w="28" w:type="dxa"/>
          <w:left w:w="28" w:type="dxa"/>
          <w:bottom w:w="28" w:type="dxa"/>
          <w:right w:w="28" w:type="dxa"/>
        </w:tblCellMar>
      </w:tblPr>
      <w:tblGrid>
        <w:gridCol w:w="778"/>
        <w:gridCol w:w="610"/>
        <w:gridCol w:w="612"/>
        <w:gridCol w:w="109"/>
        <w:gridCol w:w="109"/>
        <w:gridCol w:w="109"/>
        <w:gridCol w:w="109"/>
        <w:gridCol w:w="109"/>
        <w:gridCol w:w="109"/>
        <w:gridCol w:w="109"/>
        <w:gridCol w:w="397"/>
        <w:gridCol w:w="886"/>
        <w:gridCol w:w="222"/>
        <w:gridCol w:w="109"/>
        <w:gridCol w:w="109"/>
        <w:gridCol w:w="109"/>
        <w:gridCol w:w="430"/>
        <w:gridCol w:w="959"/>
        <w:gridCol w:w="240"/>
        <w:gridCol w:w="109"/>
        <w:gridCol w:w="109"/>
        <w:gridCol w:w="109"/>
        <w:gridCol w:w="109"/>
        <w:gridCol w:w="109"/>
        <w:gridCol w:w="109"/>
        <w:gridCol w:w="380"/>
        <w:gridCol w:w="846"/>
        <w:gridCol w:w="215"/>
        <w:gridCol w:w="109"/>
        <w:gridCol w:w="109"/>
        <w:gridCol w:w="109"/>
        <w:gridCol w:w="385"/>
        <w:gridCol w:w="859"/>
        <w:gridCol w:w="315"/>
      </w:tblGrid>
      <w:tr>
        <w:trPr/>
        <w:tc>
          <w:tcPr>
            <w:tcW w:w="77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00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expense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3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expense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Accretion expense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Depreciation, amortization and accretion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2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2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w:t>
            </w:r>
            <w:r>
              <w:rPr>
                <w:color w:val="000000"/>
              </w:rPr>
              <w:t> </w:t>
            </w:r>
          </w:p>
        </w:tc>
        <w:tc>
          <w:tcPr>
            <w:tcW w:w="3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(a)Electric generation and other property and equipment.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(b)Intangible assets and capitalized software.</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(c)ARO and accrued environmental cost accretion. See Note 11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cost of nuclear fuel and the amortization of nuclear fuel intangible assets are presented as “Nuclear fuel amortization”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Amortization expense related to nuclear fuel intangible assets was $33 million for the year ended December 31, 2024 (Successor) and $53 million for the period from May 18 through December 31, 2023 (Successor). Estimated intangible assets amortization expense for the next four years is:</w:t>
      </w:r>
    </w:p>
    <w:tbl>
      <w:tblPr>
        <w:tblW w:w="6171" w:type="dxa"/>
        <w:jc w:val="left"/>
        <w:tblInd w:w="0" w:type="dxa"/>
        <w:tblLayout w:type="fixed"/>
        <w:tblCellMar>
          <w:top w:w="28" w:type="dxa"/>
          <w:left w:w="28" w:type="dxa"/>
          <w:bottom w:w="28" w:type="dxa"/>
          <w:right w:w="28" w:type="dxa"/>
        </w:tblCellMar>
      </w:tblPr>
      <w:tblGrid>
        <w:gridCol w:w="885"/>
        <w:gridCol w:w="778"/>
        <w:gridCol w:w="782"/>
        <w:gridCol w:w="109"/>
        <w:gridCol w:w="109"/>
        <w:gridCol w:w="109"/>
        <w:gridCol w:w="196"/>
        <w:gridCol w:w="331"/>
        <w:gridCol w:w="109"/>
        <w:gridCol w:w="109"/>
        <w:gridCol w:w="109"/>
        <w:gridCol w:w="109"/>
        <w:gridCol w:w="196"/>
        <w:gridCol w:w="241"/>
        <w:gridCol w:w="109"/>
        <w:gridCol w:w="109"/>
        <w:gridCol w:w="109"/>
        <w:gridCol w:w="109"/>
        <w:gridCol w:w="196"/>
        <w:gridCol w:w="241"/>
        <w:gridCol w:w="109"/>
        <w:gridCol w:w="109"/>
        <w:gridCol w:w="109"/>
        <w:gridCol w:w="109"/>
        <w:gridCol w:w="229"/>
        <w:gridCol w:w="281"/>
        <w:gridCol w:w="180"/>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6"/>
              </w:rPr>
              <w:t>2028</w:t>
            </w:r>
            <w:r>
              <w:rPr>
                <w:color w:val="000000"/>
              </w:rPr>
              <w:t xml:space="preserve"> </w:t>
            </w:r>
            <w:r>
              <w:rPr>
                <w:rFonts w:ascii="Arial;sans-serif" w:hAnsi="Arial;sans-serif"/>
                <w:b/>
                <w:color w:val="000000"/>
                <w:sz w:val="10"/>
              </w:rPr>
              <w:t>(a)</w:t>
            </w:r>
          </w:p>
        </w:tc>
      </w:tr>
      <w:tr>
        <w:trPr/>
        <w:tc>
          <w:tcPr>
            <w:tcW w:w="2445"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Estimated amortization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28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0"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(a)Supply contracts underlying the nuclear fuel intangible assets expire in 2028.</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carrying value of nuclear fuel intangible assets presented as “Other noncurrent assets” on the Consolidated Balance Sheets was $23 million as of December 31, 2024 (Successor) and $56 million as of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Jointly Owned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proportional share of costs and is entitled to its proportionate share of electric generation and (or) other attributes of the relevant jointly owned facilities. Talen's proportional share of gross margin and other operating costs for its undivided interests is presented within the Consolidated Statements of Operations.</w:t>
      </w:r>
    </w:p>
    <w:p>
      <w:pPr>
        <w:pStyle w:val="TextBody"/>
        <w:bidi w:val="0"/>
        <w:spacing w:lineRule="auto" w:line="288" w:before="0" w:after="180"/>
        <w:jc w:val="left"/>
        <w:rPr/>
      </w:pPr>
      <w:r>
        <w:rPr>
          <w:rFonts w:ascii="Arial;sans-serif" w:hAnsi="Arial;sans-serif"/>
          <w:b w:val="false"/>
          <w:color w:val="000000"/>
          <w:sz w:val="18"/>
          <w:shd w:fill="FFFFFF" w:val="clear"/>
        </w:rPr>
        <w:t xml:space="preserve">Talen owns undivided interest of </w:t>
      </w:r>
      <w:r>
        <w:rPr>
          <w:rFonts w:ascii="Arial;sans-serif" w:hAnsi="Arial;sans-serif"/>
          <w:b w:val="false"/>
          <w:color w:val="000000"/>
          <w:sz w:val="18"/>
        </w:rPr>
        <w:t>90%</w:t>
      </w:r>
      <w:r>
        <w:rPr>
          <w:color w:val="000000"/>
          <w:shd w:fill="FFFFFF" w:val="clear"/>
        </w:rPr>
        <w:t xml:space="preserve"> </w:t>
      </w:r>
      <w:r>
        <w:rPr>
          <w:rFonts w:ascii="Arial;sans-serif" w:hAnsi="Arial;sans-serif"/>
          <w:b w:val="false"/>
          <w:color w:val="000000"/>
          <w:sz w:val="18"/>
          <w:shd w:fill="FFFFFF" w:val="clear"/>
        </w:rPr>
        <w:t xml:space="preserve">in Susquehanna, </w:t>
      </w:r>
      <w:r>
        <w:rPr>
          <w:rFonts w:ascii="Arial;sans-serif" w:hAnsi="Arial;sans-serif"/>
          <w:b w:val="false"/>
          <w:color w:val="000000"/>
          <w:sz w:val="18"/>
        </w:rPr>
        <w:t>22.22%</w:t>
      </w:r>
      <w:r>
        <w:rPr>
          <w:color w:val="000000"/>
          <w:shd w:fill="FFFFFF" w:val="clear"/>
        </w:rPr>
        <w:t xml:space="preserve"> </w:t>
      </w:r>
      <w:r>
        <w:rPr>
          <w:rFonts w:ascii="Arial;sans-serif" w:hAnsi="Arial;sans-serif"/>
          <w:b w:val="false"/>
          <w:color w:val="000000"/>
          <w:sz w:val="18"/>
          <w:shd w:fill="FFFFFF" w:val="clear"/>
        </w:rPr>
        <w:t xml:space="preserve">in Conemaugh, and </w:t>
      </w:r>
      <w:r>
        <w:rPr>
          <w:rFonts w:ascii="Arial;sans-serif" w:hAnsi="Arial;sans-serif"/>
          <w:b w:val="false"/>
          <w:color w:val="000000"/>
          <w:sz w:val="18"/>
        </w:rPr>
        <w:t>12.34%</w:t>
      </w:r>
      <w:r>
        <w:rPr>
          <w:color w:val="000000"/>
          <w:shd w:fill="FFFFFF" w:val="clear"/>
        </w:rPr>
        <w:t xml:space="preserve"> </w:t>
      </w:r>
      <w:r>
        <w:rPr>
          <w:rFonts w:ascii="Arial;sans-serif" w:hAnsi="Arial;sans-serif"/>
          <w:b w:val="false"/>
          <w:color w:val="000000"/>
          <w:sz w:val="18"/>
          <w:shd w:fill="FFFFFF" w:val="clear"/>
        </w:rPr>
        <w:t>in Keystone. See below for information regarding the ownership of Colstrip in Montana. The carrying value of Colstrip, Conemaugh, and Keystone were non-material as of December 31, 2024 (Successor) and December 31, 2023 (Successor).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6"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82</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proportionate share of “Property, plant and equipment, net” related to Susquehanna presented on the Consolidated Balance Sheets was:</w:t>
      </w:r>
    </w:p>
    <w:tbl>
      <w:tblPr>
        <w:tblW w:w="7957" w:type="dxa"/>
        <w:jc w:val="left"/>
        <w:tblInd w:w="0" w:type="dxa"/>
        <w:tblLayout w:type="fixed"/>
        <w:tblCellMar>
          <w:top w:w="28" w:type="dxa"/>
          <w:left w:w="28" w:type="dxa"/>
          <w:bottom w:w="28" w:type="dxa"/>
          <w:right w:w="28" w:type="dxa"/>
        </w:tblCellMar>
      </w:tblPr>
      <w:tblGrid>
        <w:gridCol w:w="1490"/>
        <w:gridCol w:w="1304"/>
        <w:gridCol w:w="1315"/>
        <w:gridCol w:w="109"/>
        <w:gridCol w:w="109"/>
        <w:gridCol w:w="109"/>
        <w:gridCol w:w="351"/>
        <w:gridCol w:w="1026"/>
        <w:gridCol w:w="197"/>
        <w:gridCol w:w="109"/>
        <w:gridCol w:w="109"/>
        <w:gridCol w:w="109"/>
        <w:gridCol w:w="344"/>
        <w:gridCol w:w="1004"/>
        <w:gridCol w:w="272"/>
      </w:tblGrid>
      <w:tr>
        <w:trPr/>
        <w:tc>
          <w:tcPr>
            <w:tcW w:w="14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10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Ownership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Proportionate property, plant and equipment,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2,664</w:t>
            </w:r>
            <w:r>
              <w:rPr>
                <w:color w:val="000000"/>
              </w:rPr>
              <w:t>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2,531</w:t>
            </w:r>
            <w:r>
              <w:rPr>
                <w:color w:val="000000"/>
              </w:rPr>
              <w:t>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Proportionate property, plant and equipment,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2,338</w:t>
            </w:r>
            <w:r>
              <w:rPr>
                <w:color w:val="000000"/>
              </w:rPr>
              <w:t> </w:t>
            </w:r>
          </w:p>
        </w:tc>
        <w:tc>
          <w:tcPr>
            <w:tcW w:w="1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2,410</w:t>
            </w:r>
            <w:r>
              <w:rPr>
                <w:color w:val="000000"/>
              </w:rPr>
              <w:t> </w:t>
            </w:r>
          </w:p>
        </w:tc>
        <w:tc>
          <w:tcPr>
            <w:tcW w:w="2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i/>
          <w:color w:val="000000"/>
          <w:sz w:val="18"/>
        </w:rPr>
        <w:t xml:space="preserve">Talen Montana. </w:t>
      </w:r>
      <w:r>
        <w:rPr>
          <w:rFonts w:ascii="Arial;sans-serif" w:hAnsi="Arial;sans-serif"/>
          <w:b w:val="false"/>
          <w:color w:val="000000"/>
          <w:sz w:val="18"/>
        </w:rPr>
        <w:t>Talen Montana owns 30% of Colstrip Unit 3 and does not own any portion of Colstrip Unit 4. However, it is a participant in a joint-owner sharing agreement which governs each party’s responsibilities and rights whereby Talen Montana is responsible for 15% of the total operating costs and expenditures of Colstrip Unit 3 and 15% of Colstrip Unit 4. Accordingly, it is entitled to 15% of the available generation from each of these units. In January 2020, Talen Montana and the other co-owner of Colstrip Units 1 and 2 permanently retired the units. Talen Montana is responsible for 50% of the decommissioning and other related costs of Colstrip Units 1 and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Reliability Impact Assessments</w:t>
      </w:r>
    </w:p>
    <w:p>
      <w:pPr>
        <w:pStyle w:val="TextBody"/>
        <w:bidi w:val="0"/>
        <w:spacing w:lineRule="auto" w:line="288" w:before="0" w:after="180"/>
        <w:jc w:val="left"/>
        <w:rPr/>
      </w:pPr>
      <w:r>
        <w:rPr>
          <w:rFonts w:ascii="Arial;sans-serif" w:hAnsi="Arial;sans-serif"/>
          <w:b w:val="false"/>
          <w:i/>
          <w:color w:val="000000"/>
          <w:sz w:val="18"/>
        </w:rPr>
        <w:t>Brandon Shores and H.A Wagner RMR Arrangements.</w:t>
      </w:r>
      <w:r>
        <w:rPr>
          <w:color w:val="000000"/>
        </w:rPr>
        <w:t xml:space="preserve"> </w:t>
      </w:r>
      <w:r>
        <w:rPr>
          <w:rFonts w:ascii="Arial;sans-serif" w:hAnsi="Arial;sans-serif"/>
          <w:b w:val="false"/>
          <w:color w:val="000000"/>
          <w:sz w:val="18"/>
        </w:rPr>
        <w:t>In 2023, we notified PJM of our intent to deactivate electric generation at both our Brandon Shores and H.A. Wagner facilities on June 1, 2025. However, PJM subsequently notified us that both Brandon Shores and H.A Wagner are needed past their previously planned retirement dates to maintain reliability in PJM. In January 2025, we reached a settlement (which remains subject to FERC approval) with key stakeholders on the terms of an RMR arrangement and filed with FERC the resulting Joint Offers of Settlement regarding both facilities’ RMR Continuing Operations Rates Schedules (the “CORS”). If approved, the proposed RMR arrangements will extend the operating life of these plants through May 31, 2029, or until such time as the necessary transmission upgrades are placed into service. Beginning June 1, 2025, the CORS will provide a monthly fixed-cost payment of $12,083,333 ($312/MW-day) for Brandon Shores and $2,916,667 ($137/MW-day) for H.A Wagner, which includes a performance “hold back” of $416,667 per month for Brandon Shores and $208,333 per month for H.A Wagner, each to be paid out based on unit performance. We will also receive separate reimbursement for variable costs and approved project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2023 Impairment</w:t>
      </w:r>
    </w:p>
    <w:p>
      <w:pPr>
        <w:pStyle w:val="TextBody"/>
        <w:bidi w:val="0"/>
        <w:spacing w:lineRule="auto" w:line="288" w:before="0" w:after="180"/>
        <w:jc w:val="left"/>
        <w:rPr/>
      </w:pPr>
      <w:r>
        <w:rPr>
          <w:rFonts w:ascii="Arial;sans-serif" w:hAnsi="Arial;sans-serif"/>
          <w:b w:val="false"/>
          <w:i/>
          <w:color w:val="000000"/>
          <w:sz w:val="18"/>
        </w:rPr>
        <w:t xml:space="preserve">Brandon Shores Asset Group. </w:t>
      </w:r>
      <w:r>
        <w:rPr>
          <w:rFonts w:ascii="Arial;sans-serif" w:hAnsi="Arial;sans-serif"/>
          <w:b w:val="false"/>
          <w:color w:val="000000"/>
          <w:sz w:val="18"/>
        </w:rPr>
        <w:t>Brandon Shores is required by contract and permit to cease coal combustion by December 31, 2025. In the first quarter 2023, Talen canceled its plan to convert Brandon Shores to an oil combustion facility due to an increase in expected conversion costs. This decision triggered a recoverability assessment of the carrying value of the Brandon Shores asset group. Brandon Shores notified PJM that it will deactivate electric generation on June 1, 2025. See above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recoverability analysis indicated that the Brandon Shores asset group carrying value exceeded its future estimated undiscounted cash flows, which required an impairment charge to amend the asset group’s carrying value of its PP&amp;E to its estimated fair value. The estimated fair value of the asset group was determined by a discounted cash flow technique that utilized significant unobservable inputs including an 11% discount rate. 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for the period from January 1 through May 17, 2023 (Predecessor), a $361 million non-cash pre-tax impairment charge on the asset group’s undepreciated PP&amp;E is presented as “Impairments”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7"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83</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Equity Method Investments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 Talen’s aggregate fuel purchases for Conemaugh and Keystone Fuels were $35 million for the year ended December 31, 2024 (Successor), $23 million for the period from May 18 through December 31, 2023 (Successor) and $14 million for the period from January 1 through May 17, 2023 (Predecessor). For the year ended December 31, 2022 (Predecessor), Talen’s aggregate fuel purchases were $63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11. Asset Retirement Obligations and Accrued Environmental Costs</w:t>
      </w:r>
    </w:p>
    <w:tbl>
      <w:tblPr>
        <w:tblW w:w="10205" w:type="dxa"/>
        <w:jc w:val="left"/>
        <w:tblInd w:w="0" w:type="dxa"/>
        <w:tblLayout w:type="fixed"/>
        <w:tblCellMar>
          <w:top w:w="28" w:type="dxa"/>
          <w:left w:w="28" w:type="dxa"/>
          <w:bottom w:w="28" w:type="dxa"/>
          <w:right w:w="28" w:type="dxa"/>
        </w:tblCellMar>
      </w:tblPr>
      <w:tblGrid>
        <w:gridCol w:w="2336"/>
        <w:gridCol w:w="2037"/>
        <w:gridCol w:w="2043"/>
        <w:gridCol w:w="109"/>
        <w:gridCol w:w="109"/>
        <w:gridCol w:w="109"/>
        <w:gridCol w:w="408"/>
        <w:gridCol w:w="909"/>
        <w:gridCol w:w="227"/>
        <w:gridCol w:w="109"/>
        <w:gridCol w:w="109"/>
        <w:gridCol w:w="109"/>
        <w:gridCol w:w="394"/>
        <w:gridCol w:w="880"/>
        <w:gridCol w:w="317"/>
      </w:tblGrid>
      <w:tr>
        <w:trPr/>
        <w:tc>
          <w:tcPr>
            <w:tcW w:w="233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64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641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22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3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environmental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 retirement obligations and accrued environmental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w:t>
            </w:r>
            <w:r>
              <w:rPr>
                <w:color w:val="000000"/>
              </w:rPr>
              <w:t> </w:t>
            </w:r>
          </w:p>
        </w:tc>
        <w:tc>
          <w:tcPr>
            <w:tcW w:w="22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w:t>
            </w:r>
            <w:r>
              <w:rPr>
                <w:color w:val="000000"/>
              </w:rPr>
              <w:t> </w:t>
            </w:r>
          </w:p>
        </w:tc>
        <w:tc>
          <w:tcPr>
            <w:tcW w:w="3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asset retirement obligations and accrued environmental costs due within one year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41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retirement obligations and accrued environmental costs due after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w:t>
            </w:r>
            <w:r>
              <w:rPr>
                <w:color w:val="000000"/>
              </w:rPr>
              <w:t> </w:t>
            </w:r>
          </w:p>
        </w:tc>
        <w:tc>
          <w:tcPr>
            <w:tcW w:w="22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w:t>
            </w:r>
            <w:r>
              <w:rPr>
                <w:color w:val="000000"/>
              </w:rPr>
              <w:t> </w:t>
            </w:r>
          </w:p>
        </w:tc>
        <w:tc>
          <w:tcPr>
            <w:tcW w:w="3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(a)Presented as “Other current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Asset Retirement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subsidiaries of the Company have legal retirement obligations for the decommissioning and environmental remediation costs associated with our current and former generation, which include activities such as structure removal and remediation of coal piles, wastewater basins, and ash impoundments. Most of these obligations, except remediation of some ash impoundments, are not expected to be paid until several years, or decades, in the future. The most significant obligations are associated with the decommissioning of Susquehanna (for which the NDT is expected to fund) and coal ash disposal units associated with legacy coal-fired generation facilities (for which the Company has posted surety bonds and letters of credit for certain facilities). The carrying value of these obligations include assumptions of estimated future ARO cash expenditures, cost escalation rates, probabilistic cash flow models and discount rates. The ARO carrying value of AROs associated with legacy coal-fired generation facilities may be impacted by current or future EPA rulemaking. Additionally, as of December 31, 2024 (Successor), the fair values of certain AROs as a result of the EPA CCR Rule cannot be determined. See Note 12 for additional information on the EPA CCR Rule and the regulatory timeline that is expected to determine the associated scope of work.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8"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84</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changes of the ARO carrying value during the periods were: </w:t>
      </w:r>
    </w:p>
    <w:tbl>
      <w:tblPr>
        <w:tblW w:w="5367" w:type="dxa"/>
        <w:jc w:val="left"/>
        <w:tblInd w:w="0" w:type="dxa"/>
        <w:tblLayout w:type="fixed"/>
        <w:tblCellMar>
          <w:top w:w="28" w:type="dxa"/>
          <w:left w:w="28" w:type="dxa"/>
          <w:bottom w:w="28" w:type="dxa"/>
          <w:right w:w="28" w:type="dxa"/>
        </w:tblCellMar>
      </w:tblPr>
      <w:tblGrid>
        <w:gridCol w:w="1435"/>
        <w:gridCol w:w="1260"/>
        <w:gridCol w:w="1264"/>
        <w:gridCol w:w="109"/>
        <w:gridCol w:w="109"/>
        <w:gridCol w:w="109"/>
        <w:gridCol w:w="269"/>
        <w:gridCol w:w="599"/>
        <w:gridCol w:w="213"/>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ARO </w:t>
              <w:br/>
              <w:t>Rollforward</w:t>
            </w:r>
          </w:p>
        </w:tc>
      </w:tr>
      <w:tr>
        <w:trPr/>
        <w:tc>
          <w:tcPr>
            <w:tcW w:w="39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December 31, 2022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w:t>
            </w:r>
            <w:r>
              <w:rPr>
                <w:color w:val="000000"/>
              </w:rPr>
              <w:t> </w:t>
            </w:r>
          </w:p>
        </w:tc>
        <w:tc>
          <w:tcPr>
            <w:tcW w:w="21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 and (or) settlement dates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May 17, 2023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w:t>
            </w:r>
            <w:r>
              <w:rPr>
                <w:color w:val="000000"/>
              </w:rPr>
              <w:t> </w:t>
            </w:r>
          </w:p>
        </w:tc>
        <w:tc>
          <w:tcPr>
            <w:tcW w:w="21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May 18, 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w:t>
            </w: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at Emergence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December 31,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settled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 and (or) settlement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w:t>
            </w:r>
            <w:r>
              <w:rPr>
                <w:color w:val="000000"/>
              </w:rPr>
              <w:t> </w:t>
            </w:r>
          </w:p>
        </w:tc>
        <w:tc>
          <w:tcPr>
            <w:tcW w:w="21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Supplemental information for the ARO:</w:t>
      </w:r>
    </w:p>
    <w:tbl>
      <w:tblPr>
        <w:tblW w:w="6037" w:type="dxa"/>
        <w:jc w:val="left"/>
        <w:tblInd w:w="0" w:type="dxa"/>
        <w:tblLayout w:type="fixed"/>
        <w:tblCellMar>
          <w:top w:w="28" w:type="dxa"/>
          <w:left w:w="28" w:type="dxa"/>
          <w:bottom w:w="28" w:type="dxa"/>
          <w:right w:w="28" w:type="dxa"/>
        </w:tblCellMar>
      </w:tblPr>
      <w:tblGrid>
        <w:gridCol w:w="792"/>
        <w:gridCol w:w="697"/>
        <w:gridCol w:w="700"/>
        <w:gridCol w:w="109"/>
        <w:gridCol w:w="109"/>
        <w:gridCol w:w="109"/>
        <w:gridCol w:w="416"/>
        <w:gridCol w:w="927"/>
        <w:gridCol w:w="232"/>
        <w:gridCol w:w="109"/>
        <w:gridCol w:w="109"/>
        <w:gridCol w:w="109"/>
        <w:gridCol w:w="402"/>
        <w:gridCol w:w="897"/>
        <w:gridCol w:w="320"/>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1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1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Information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Non-Nuclear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(a)Obligations are expected to be settled with available funds in the NDT at the time of decommissioning. See Note 14 for additional information on the NDT.</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(b)Certain obligations are: (i) partially supported by surety bonds, some of which have been collateralized with cash and (or) LCs; or (ii) partially prefunded under phased installment agreements.</w:t>
      </w:r>
    </w:p>
    <w:p>
      <w:pPr>
        <w:pStyle w:val="TextBody"/>
        <w:bidi w:val="0"/>
        <w:spacing w:lineRule="auto" w:line="288" w:before="0" w:after="180"/>
        <w:jc w:val="left"/>
        <w:rPr/>
      </w:pPr>
      <w:r>
        <w:rPr>
          <w:rFonts w:ascii="Arial;sans-serif" w:hAnsi="Arial;sans-serif"/>
          <w:b w:val="false"/>
          <w:i/>
          <w:color w:val="000000"/>
          <w:sz w:val="18"/>
        </w:rPr>
        <w:t xml:space="preserve">Susquehanna. </w:t>
      </w:r>
      <w:r>
        <w:rPr>
          <w:rFonts w:ascii="Arial;sans-serif" w:hAnsi="Arial;sans-serif"/>
          <w:b w:val="false"/>
          <w:color w:val="000000"/>
          <w:sz w:val="18"/>
        </w:rPr>
        <w:t>Each joint owner of Susquehanna is obligated to fund their proportional share of Susquehanna's ARO. Talen’s proportionate share of decommissioning activities will be funded from the NDT when decommissioning commences in connection with the expiration of Susquehanna’s licenses. The licenses for Susquehanna Unit 1 and Unit 2 expire in 2042 and 2044, respectively, and can be extended subject to NRC approval. The NRC has jurisdiction over the decommissioning of nuclear power generation facilities and requires minimum decommissioning funding based upon a formula. Under the most recent calculation in 2022, the NDT exceeds the NRC's minimum funding requirements. Each joint owner of Susquehanna is obligated to fund their proportional decommissioning costs if their respective nuclear decommissioning trusts do not contain sufficient funds. We believe the NDT will be adequate to fund the Company’s proportionate share of decommissioning costs. As of December 31, 2024 (Successor), the fair value of the NDT was $1.7 billion and the carrying value the Company’s proportionate share of the Susquehanna ARO, which is discounted under a present value technique, was $242 million. See Note 2 for additional information on the measurement of AROs.</w:t>
      </w:r>
    </w:p>
    <w:p>
      <w:pPr>
        <w:pStyle w:val="TextBody"/>
        <w:bidi w:val="0"/>
        <w:spacing w:lineRule="auto" w:line="288" w:before="0" w:after="180"/>
        <w:jc w:val="left"/>
        <w:rPr/>
      </w:pPr>
      <w:r>
        <w:rPr>
          <w:rFonts w:ascii="Arial;sans-serif" w:hAnsi="Arial;sans-serif"/>
          <w:b w:val="false"/>
          <w:i/>
          <w:color w:val="000000"/>
          <w:sz w:val="18"/>
        </w:rPr>
        <w:t>Talen Montana.</w:t>
      </w:r>
      <w:r>
        <w:rPr>
          <w:color w:val="000000"/>
        </w:rPr>
        <w:t xml:space="preserve"> </w:t>
      </w:r>
      <w:r>
        <w:rPr>
          <w:rFonts w:ascii="Arial;sans-serif" w:hAnsi="Arial;sans-serif"/>
          <w:b w:val="false"/>
          <w:color w:val="000000"/>
          <w:sz w:val="18"/>
        </w:rPr>
        <w:t>Talen Montana has significant decommissioning and environmental remediation liabilities primarily consisting of its proportionate share of remediation, closure and decommissioning costs for coal ash impoundments at Colstrip. Due to the expected timing and scope of anticipated remediation activities, actual cash expenditures associated with these obligations are expected to materially increase over the next five years and will continue at a reduced spending level for several decades. Talen Montana, along with the other co-owners of Colstrip, are working with the Montana Department of Environmental Quality (the “MDEQ”) to define the scope of required remediation, the scope of closure and decommissioning activities, and an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Montana's estimate of its proportionate share of the AROs, discounted using a credit adjusted risk-free rate, was $98 million at December 31, 2024 (Successor) and $107 million at December 31, 2023 (Successor).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9"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85</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result of environmental regulations issued by the EPA or other regulatory entities, the Company may be required to revise and (or) recognize new AROs. Future adjustments may be required to the Talen Montana ARO estimates due to the ongoing remediation requirements under MDEQ obligations and the EPA CCR Rule. If the assumptions underlying Talen Montana's estimates do not materialize as expected, actual cash expenditures and costs could be materially different than currently estimated. Moreover, regulatory changes and (or) changes resulting from required scope revisions on remediation activities could affect these obligations. See Note 12 for information on Talen Montana’s requirement to provide financial assurance for certain environmental decommissioning and remediation liabilities related to Colstrip.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Accrued Environmental Costs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Pennsylvania Clean Streams Law, a Talen subsidiary is obligated to remediate acid mine drainage at a former mine site and may be required to take additional steps to prevent acid mine drainage at this site. Liabilities related to the remediation were $21 million and $23 million as of December 31, 2024 (Successor) and December 31, 2023 (Successor), respectively, and were presented as “Other current liabilities” and “Asset retirement obligations and accrued environmental costs” on the Consolidated Balance Sheets. Such liabilities were discounted based on a credit adjusted risk-free rate that was in existence at the time of initial liability recognition of 8.41%. The undiscounted amount of the liabilities was $32 million and $34 million as of December 31, 2024 (Successor) and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12.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Legal, Regulatory, and Environmental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Legal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pStyle w:val="TextBody"/>
        <w:bidi w:val="0"/>
        <w:spacing w:lineRule="auto" w:line="288" w:before="0" w:after="180"/>
        <w:jc w:val="left"/>
        <w:rPr/>
      </w:pPr>
      <w:r>
        <w:rPr>
          <w:rFonts w:ascii="Arial;sans-serif" w:hAnsi="Arial;sans-serif"/>
          <w:b w:val="false"/>
          <w:i/>
          <w:color w:val="000000"/>
          <w:sz w:val="18"/>
        </w:rPr>
        <w:t>ERCOT Weather Event (Winter Storm Uri) Lawsuits.</w:t>
      </w:r>
      <w:r>
        <w:rPr>
          <w:color w:val="000000"/>
        </w:rPr>
        <w:t xml:space="preserve"> </w:t>
      </w:r>
      <w:r>
        <w:rPr>
          <w:rFonts w:ascii="Arial;sans-serif" w:hAnsi="Arial;sans-serif"/>
          <w:b w:val="false"/>
          <w:color w:val="000000"/>
          <w:sz w:val="18"/>
        </w:rPr>
        <w:t>In connection with the ERCOT Sale (see Note 20 for additional information), the Company retained certain potential liabilities relating to claims filed from 2021 onward against its former Texas subsidiaries seeking unspecified damages for alleged losses caused by the defendants’ failure to provide sufficient power to the grid during Winter Storm Uri. The claims also allege similar liability against numerous other ERCOT power market participants. In December 2023, five multi-district litigation (“MDL”) bellwether lawsuits, which were selected by the MDL court as representative of all 58 cases filed in the Uri litigation, were dismissed by the MDL court, a ruling subsequently upheld by the Texas First Court of Appeals. On January 31 and February 3, 2025, the plaintiffs (in two groups) filed for mandamus relief in the Texas Supreme Court, seeking to overturn the lower courts. If affirmed by the Texas Supreme Court, Talen expects the dismissal ruling to apply broadly to all Uri cases against Talen’s former subsidiaries. Pursuant to the Plan of Reorganization, Talen’s maximum potential damages on prepetition Uri claims are expressly limited to payments from Talen’s insurers. However, claims filed after the Restructuring by plaintiffs who did not receive effective notice of the Restructuring, if any, may not be subject to the limitations in the Plan of Reorganization.</w:t>
      </w:r>
    </w:p>
    <w:p>
      <w:pPr>
        <w:pStyle w:val="TextBody"/>
        <w:bidi w:val="0"/>
        <w:spacing w:lineRule="auto" w:line="288" w:before="0" w:after="180"/>
        <w:jc w:val="left"/>
        <w:rPr/>
      </w:pPr>
      <w:r>
        <w:rPr>
          <w:rFonts w:ascii="Arial;sans-serif" w:hAnsi="Arial;sans-serif"/>
          <w:b w:val="false"/>
          <w:i/>
          <w:color w:val="000000"/>
          <w:sz w:val="18"/>
        </w:rPr>
        <w:t>Spent Nuclear Fuel Litigation.</w:t>
      </w:r>
      <w:r>
        <w:rPr>
          <w:color w:val="000000"/>
        </w:rPr>
        <w:t xml:space="preserve"> </w:t>
      </w:r>
      <w:r>
        <w:rPr>
          <w:rFonts w:ascii="Arial;sans-serif" w:hAnsi="Arial;sans-serif"/>
          <w:b w:val="false"/>
          <w:color w:val="000000"/>
          <w:sz w:val="18"/>
        </w:rPr>
        <w:t>Federal law requires the U.S. government to provide for the permanent disposal of commercial SNF, but the government has not yet done so. Until May 2014, the Department of Energy required nuclear generation facility operators to contribute to a fund intended to pay for the transportation and disposal of SNF, and Talen cannot predict if or when the government will reinstate any such fee in the future. In May 2023, an existing settlement agreement between Susquehanna and the U.S. government was extended through the end of 2025. The settlement agreement requires the government to reimburse Susquehanna for certain SNF storage costs through 2025 and requires Susquehanna to waive certain claims against the government relating to temporary SNF storage. As of December 31, 2024 (Successor), the Company has an accrued receivable of $14 million related to such reimbursements. During the period from May 18 through December 31, 2023 (Successor) and the year ended December 31, 2022 (Predecessor), Susquehanna received reimbursements of $24 million and $7 million for such costs. No assurance can be provided that this arrangement will be extended beyond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90"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86</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Regulatory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subject to regulation by federal and state agencies and other bodies that exercise regulatory authority in the various regions where we conduct business, including but not limited to FERC; the Department of Energy; the NRC;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pStyle w:val="TextBody"/>
        <w:bidi w:val="0"/>
        <w:spacing w:lineRule="auto" w:line="288" w:before="0" w:after="180"/>
        <w:jc w:val="left"/>
        <w:rPr/>
      </w:pPr>
      <w:r>
        <w:rPr>
          <w:rFonts w:ascii="Arial;sans-serif" w:hAnsi="Arial;sans-serif"/>
          <w:b w:val="false"/>
          <w:i/>
          <w:color w:val="000000"/>
          <w:sz w:val="18"/>
        </w:rPr>
        <w:t>PJM Capacity Market Reform.</w:t>
      </w:r>
      <w:r>
        <w:rPr>
          <w:color w:val="000000"/>
        </w:rPr>
        <w:t xml:space="preserve"> </w:t>
      </w:r>
      <w:r>
        <w:rPr>
          <w:rFonts w:ascii="Arial;sans-serif" w:hAnsi="Arial;sans-serif"/>
          <w:b w:val="false"/>
          <w:color w:val="000000"/>
          <w:sz w:val="18"/>
        </w:rPr>
        <w:t>In June 2023, FERC accepted a request by PJM to delay certain PJM Base Residual Auctions in order for PJM to propose market reforms. PJM filed its market reform proposals with FERC in October 2023. In early 2024, FERC accepted portions of PJM’s proposed market changes. PJM held the PJM BRA for the 2025/2026 PJM Capacity Year in July 2024 which incorporated the FERC accepted changes. The PJM BRAs for the 2026/2027, 2027/2028, and 2028/2029 PJM Capacity Years were previously scheduled for December 2024, June 2025 (later changed to July 2025), and December 2025, respectively; however in September 2024, the Sierra Club and other organizations filed a complaint at FERC challenging PJM’s rules establishing must-offer exceptions for PJM BRA participation by RMR resources and seeking to delay the 2026/2027 PJM BRA pending resolution of its complaint. In October 2024, PJM announced it had concerns about FERC considering the Sierra Club’s complaints about RMR resources in isolation and therefore intended to file a Section 205 proceeding under the Federal Power Act seeking FERC’s approval of to-be-determined market reforms, including but not limited to potential revisions to the treatment of RMR resources. As a result, in October 2024 PJM formally requested that FERC approve six-month delays in the PJM BRAs for the 2026/2027, 2027/2028, 2028/2029, and 2029/2030 PJM Capacity Years and in November 2024, FERC approved the auction delays. The planning parameters for the 2026/2027 PJM BRA are expected in March 2025. Talen can provide no assurance that the four scheduled auctions will be held as scheduled or at all.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series of filings aimed at reforming the PJM capacity market were filed at FERC. In November 2024, the Joint Consumer Advocates, comprised of consumer advocacy groups and government entities from Illinois, Maryland, New Jersey, Ohio, and the District of Columbia filed a complaint against PJM asking FERC to find that PJM’s existing capacity market rules are unjust and unreasonable and issue an order requiring certain short-term and longer-term changes to PJM’s capacity market rules.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response, PJM made two FERC filings in December 2024 to address what they perceive as capacity market design issues (the “PJM Capacity Market 205 proceeding”). PJM proposed to retain the dual fuel combustion turbine as the reference resource and to implement a uniform non-performance charge throughout the RTO for the 2026/2027 and 2027/2028 delivery years, and to administratively include RMR units that meet certain criteria as price takers in the capacity auctions for the next two delivery years and will not assess penalties or pay bonuses to these RMR units. If approved, under PJM’s proposal, Talen’s Brandon Shores and H.A. Wagner plants may meet the criteria for RMR inclusion in the capacity auctions.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Following the above filings, in December 2024, the Pennsylvania Governor filed a complaint against PJM at FERC to address alleged elevated costs to consumers from the PJM capacity market in the 2026/2027 and 2027/2028 delivery years. Among other things, the Governor’s complaint proposed to lower the capacity price cap and reopen the closed interconnection queue to get new projects online. In January 2025, the Governor filed a motion to consolidate his complaint with the Joint Consumer Advocates complaint and two PJM filings referenced above. On January 28, 2025, the Governor and PJM announced they had reached an agreement to resolve the Governor’s complaint. That agreement would impose a collar on the capacity prices in the 2026/2027 and 2027/2028 BRAs, with a minimum capacity price of $175/Megawatt-day (“MWd”) and a maximum price of $325/MWd. On February 14, 2025, FERC accepted PJM’s proposals in the PJM Capacity Market 205 proceeding and as a result, the changes to the BRA parameters described above as part of that proceeding will be adopted for the 2026/2027 and 2027/2028 delivery years. Also on February 14, 2025, as a result of the agreement with PJM to collar the BRA results for the next two auction the Governor withdrew his complaints from FERC. On February 20, 2025, PJM initiated a new Section 205 proceeding seeking FERC’s approval of a settlement that will revise the relevant auction parameters and impose the capacity price collar agreed to with the Governor. The filing seeks expedited treatment intended to maintain the current auction schedule. At this time, it is unknown whether the collar arrangement will be approved by FERC or whether the auction schedule will remain unchanged. Talen filed comments in support of this proposal on February 24, 2025.</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February 20, 2025, FERC initiated a technical conference docket to consider broad resource adequacy issues across all RTOs, with the initial proceedings to take place on June 4 and 5, 2025. The Company intends to intervene in the new technical conference docket and participate in those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1"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87</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Environmental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Extensive federal, state, and local environmental laws and regulations are applicable to our business, including those related to air emissions, water discharges, and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future implementation and enforcement of these rules remains uncertain at this time. Further, costs may increase significantly if the requirements or scope of environmental laws or regulations, or similar rules, are expanded or changed.</w:t>
      </w:r>
    </w:p>
    <w:p>
      <w:pPr>
        <w:pStyle w:val="TextBody"/>
        <w:bidi w:val="0"/>
        <w:spacing w:lineRule="auto" w:line="288" w:before="0" w:after="180"/>
        <w:jc w:val="left"/>
        <w:rPr/>
      </w:pPr>
      <w:r>
        <w:rPr>
          <w:rFonts w:ascii="Arial;sans-serif" w:hAnsi="Arial;sans-serif"/>
          <w:b w:val="false"/>
          <w:i/>
          <w:color w:val="000000"/>
          <w:sz w:val="18"/>
        </w:rPr>
        <w:t>EPA CSAPR and Nitrogen Oxides (“NOx”) Requirements.</w:t>
      </w:r>
      <w:r>
        <w:rPr>
          <w:color w:val="000000"/>
        </w:rPr>
        <w:t xml:space="preserve"> </w:t>
      </w:r>
      <w:r>
        <w:rPr>
          <w:rFonts w:ascii="Arial;sans-serif" w:hAnsi="Arial;sans-serif"/>
          <w:b w:val="false"/>
          <w:color w:val="000000"/>
          <w:sz w:val="18"/>
        </w:rPr>
        <w:t>Coal-fired generation facilities, including those in which Talen has ownership, have been the subject of EPA regulations and efforts by certain states and other parties to strengthen applicable NOx emission limits under the Clean Air Act. In 2015, the EPA’s 2015 revision to the 8-hour ozone National Ambient Air Quality Standards for ground-level ozone to 70 parts per billion (the “EPA 2015 Ozone Standard”) was issued, which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(“Good Neighbor Plan”). Talen’s facilities in Maryland, Pennsylvania, and New Jersey are subject to the new rule; however, the entire rule has been challenged by multiple parties.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 In February 2025, the D.C. Circuit Court of Appeals denied the EPA’s motion requesting the Good Neighbor Plan litigation be held in abeyance for 60 days and ordered the parties to complete supplemental briefing in March 2025. As a result, future implementation and enforcement of the Good Neighbor Plan remains uncertain at this time.</w:t>
      </w:r>
    </w:p>
    <w:p>
      <w:pPr>
        <w:pStyle w:val="TextBody"/>
        <w:bidi w:val="0"/>
        <w:spacing w:lineRule="auto" w:line="288" w:before="0" w:after="180"/>
        <w:jc w:val="left"/>
        <w:rPr/>
      </w:pPr>
      <w:r>
        <w:rPr>
          <w:rFonts w:ascii="Arial;sans-serif" w:hAnsi="Arial;sans-serif"/>
          <w:b w:val="false"/>
          <w:i/>
          <w:color w:val="000000"/>
          <w:sz w:val="18"/>
        </w:rPr>
        <w:t>EPA MATS Rule.</w:t>
      </w:r>
      <w:r>
        <w:rPr>
          <w:color w:val="000000"/>
        </w:rPr>
        <w:t xml:space="preserve"> </w:t>
      </w:r>
      <w:r>
        <w:rPr>
          <w:rFonts w:ascii="Arial;sans-serif" w:hAnsi="Arial;sans-serif"/>
          <w:b w:val="false"/>
          <w:color w:val="000000"/>
          <w:sz w:val="18"/>
        </w:rPr>
        <w:t>In May 2024, the EPA published a rule that requires coal-fired generation facilities to reduce particulate matter emissions by the middle of 2027 (or 2028, if an extension is approved). Colstrip is not expected to meet the new particulate matter standard without substantial upgrades to its control equipment. As a result, Talen Montana and the other Colstrip co-owners face the decision either to invest in new cost-prohibitive control equipment or retire the Colstrip facility. Such decision must be evaluated in conjunction with compliance requirements under the May 2024 EPA GHG Rule due to timing and costs. Challenges to the EPA MATS Rule have been filed in the D.C. Circuit Court of Appeals, including by Talen and 23 states. After motions to stay the EPA MATS Rule during the pendency of the litigation were denied by the D.C. Circuit Court of Appeals, Talen and other parties filed emergency stay request applications with the U.S. Supreme Court in September 2024, which were denied in October 2024. The appeal on the merits of the new rule remains pending in the D.C. Circuit Court of Appeals. In February 2025, the D.C. Circuit Court of Appeals granted the EPA’s unopposed motion to hold the MATS litigation in abeyance for 90 days. No assurance can be provided as to when the challenges to the EPA MATS Rule will be resolved or whether such challenges will be resolved in the Company’s favor. As the timeline for compliance with the new standards is accelerated and must be considered in tandem with the new EPA GHG Rule, which is also subject to ongoing legal challenges, it is possible the Company will need to make operating decisions about the future of Colstrip before the Company has clarity about the outcome of the litigation.</w:t>
      </w:r>
    </w:p>
    <w:p>
      <w:pPr>
        <w:pStyle w:val="TextBody"/>
        <w:bidi w:val="0"/>
        <w:spacing w:lineRule="auto" w:line="288" w:before="0" w:after="180"/>
        <w:jc w:val="left"/>
        <w:rPr/>
      </w:pPr>
      <w:r>
        <w:rPr>
          <w:rFonts w:ascii="Arial;sans-serif" w:hAnsi="Arial;sans-serif"/>
          <w:b w:val="false"/>
          <w:i/>
          <w:color w:val="000000"/>
          <w:sz w:val="18"/>
        </w:rPr>
        <w:t>EPA GHG Rule.</w:t>
      </w:r>
      <w:r>
        <w:rPr>
          <w:color w:val="000000"/>
        </w:rPr>
        <w:t xml:space="preserve"> </w:t>
      </w:r>
      <w:r>
        <w:rPr>
          <w:rFonts w:ascii="Arial;sans-serif" w:hAnsi="Arial;sans-serif"/>
          <w:b w:val="false"/>
          <w:color w:val="000000"/>
          <w:sz w:val="18"/>
        </w:rPr>
        <w:t>In May 2024, the EPA published a rule that establishes carbon dioxide limits for new electric generating units (“EGUs”) and GHG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 In February 2025, the D.C. Circuit Court of Appeals granted the EPA’s unopposed motion to hold the litigation in abeyance for 60 days. No assurance can be provided as to when the challenges to the EPA GHG Rule will be resolved or whether such challenges will be resolved in the Company’s favor. The EPA has also stated its intent to develop GHG regulations for existing natural gas combustion turbines; however, no rule has been proposed. As the timeline for compliance with the new standards is accelerated and must be considered in tandem with the new EPA MATS Rule, which is also subject to ongoing legal challenges, it is possible the Company will need to make operating decisions about the future of Colstrip before the Company has clarity about the outcome of the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2"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88</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i/>
          <w:color w:val="000000"/>
          <w:sz w:val="18"/>
        </w:rPr>
        <w:t>Pennsylvania RGGI.</w:t>
      </w:r>
      <w:r>
        <w:rPr>
          <w:color w:val="000000"/>
        </w:rPr>
        <w:t xml:space="preserve"> </w:t>
      </w:r>
      <w:r>
        <w:rPr>
          <w:rFonts w:ascii="Arial;sans-serif" w:hAnsi="Arial;sans-serif"/>
          <w:b w:val="false"/>
          <w:color w:val="000000"/>
          <w:sz w:val="18"/>
        </w:rPr>
        <w:t>In October 2019, the then-Governor of Pennsylvania signed an Executive Order directing the Pennsylvania Department of Environmental Protection (the “PDEP”)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litigation.</w:t>
      </w:r>
    </w:p>
    <w:p>
      <w:pPr>
        <w:pStyle w:val="TextBody"/>
        <w:bidi w:val="0"/>
        <w:spacing w:lineRule="auto" w:line="288" w:before="0" w:after="180"/>
        <w:jc w:val="left"/>
        <w:rPr/>
      </w:pPr>
      <w:r>
        <w:rPr>
          <w:rFonts w:ascii="Arial;sans-serif" w:hAnsi="Arial;sans-serif"/>
          <w:b w:val="false"/>
          <w:i/>
          <w:color w:val="000000"/>
          <w:sz w:val="18"/>
        </w:rPr>
        <w:t>EPA ELG Rule.</w:t>
      </w:r>
      <w:r>
        <w:rPr>
          <w:color w:val="000000"/>
        </w:rPr>
        <w:t xml:space="preserve"> </w:t>
      </w:r>
      <w:r>
        <w:rPr>
          <w:rFonts w:ascii="Arial;sans-serif" w:hAnsi="Arial;sans-serif"/>
          <w:b w:val="false"/>
          <w:color w:val="000000"/>
          <w:sz w:val="18"/>
        </w:rPr>
        <w:t xml:space="preserve">In November 2015, the EPA revised the effluent limitation guidelines for certain power generation facilities, which imposed 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Such EPA ELG Rule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their own determination with respect to NPDES permit renewals with new limits and associated timing. As a result of the future permit conditions, additional capital expenditures and (or) AROs may be required, which may have a material impact on our results of operations and (or) financial condition. </w:t>
      </w:r>
    </w:p>
    <w:p>
      <w:pPr>
        <w:pStyle w:val="TextBody"/>
        <w:bidi w:val="0"/>
        <w:spacing w:lineRule="auto" w:line="288" w:before="0" w:after="180"/>
        <w:jc w:val="left"/>
        <w:rPr/>
      </w:pPr>
      <w:r>
        <w:rPr>
          <w:rFonts w:ascii="Arial;sans-serif" w:hAnsi="Arial;sans-serif"/>
          <w:b w:val="false"/>
          <w:color w:val="000000"/>
          <w:sz w:val="18"/>
        </w:rPr>
        <w:t>Multiple challenges, including stay requests, to the EPA ELG Rule have been filed in various U.S. Courts of Appeal by parties that include 15 states, environmental groups, and industry groups, including the Utility Water Act Group, of which Talen is a member. The appeals have been consolidated in the U.S. Court of Appeals for the Eighth Circuit, and in October 2024, stay requests were denie</w:t>
      </w:r>
      <w:r>
        <w:rPr>
          <w:rFonts w:ascii="Arial;sans-serif" w:hAnsi="Arial;sans-serif"/>
          <w:b w:val="false"/>
          <w:color w:val="000000"/>
          <w:sz w:val="18"/>
          <w:shd w:fill="FFFFFF" w:val="clear"/>
        </w:rPr>
        <w:t>d. In February 2025, the EPA filed a motion in the U.S. Court of Appeals for the Eight Circuit re</w:t>
      </w:r>
      <w:r>
        <w:rPr>
          <w:rFonts w:ascii="Arial;sans-serif" w:hAnsi="Arial;sans-serif"/>
          <w:b w:val="false"/>
          <w:color w:val="000000"/>
          <w:sz w:val="18"/>
        </w:rPr>
        <w:t>questing that the litigation be held in abeyance for a period of 60 days with a motion to govern due at the end of that period. No assurance can be provided as to when the challenges to the EPA ELG Rule merits will be resolved or whether such challenges will be resolved in the Company’s favor.</w:t>
      </w:r>
    </w:p>
    <w:p>
      <w:pPr>
        <w:pStyle w:val="TextBody"/>
        <w:bidi w:val="0"/>
        <w:spacing w:lineRule="auto" w:line="288" w:before="0" w:after="180"/>
        <w:jc w:val="left"/>
        <w:rPr/>
      </w:pPr>
      <w:r>
        <w:rPr>
          <w:rFonts w:ascii="Arial;sans-serif" w:hAnsi="Arial;sans-serif"/>
          <w:b w:val="false"/>
          <w:i/>
          <w:color w:val="000000"/>
          <w:sz w:val="18"/>
        </w:rPr>
        <w:t>EPA CCR Rule.</w:t>
      </w:r>
      <w:r>
        <w:rPr>
          <w:color w:val="000000"/>
        </w:rPr>
        <w:t xml:space="preserve"> </w:t>
      </w:r>
      <w:r>
        <w:rPr>
          <w:rFonts w:ascii="Arial;sans-serif" w:hAnsi="Arial;sans-serif"/>
          <w:b w:val="false"/>
          <w:color w:val="000000"/>
          <w:sz w:val="18"/>
        </w:rPr>
        <w:t>In April 2015, the EPA established regulations under the Resource Conservation and Recovery Act (“RCRA”) to identify CCRs as nonhazardous solid waste and provided CCR 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which provided new requirements for legacy CCR surface impoundments and new requirements for other CCR disposal and management areas at active power plants (“CCR Management Units” or “CCRMUs”). This rule has been challenged in the D.C. Circuit Court of Appeals by multiple parties, including two industry groups of which Talen is a member. In December 2024, the U.S. Supreme Court denied a requested stay of the legacy EPA CCR Rule. In February 2025, the D.C Circuit Court of Appeals granted EPA’s unopposed motion to hold the litigation in abeyance for 120 days. Additionally, the EPA is being challenged by other industry parties on new regulatory interpretations that could be consequential to CCR unit closure practices and costs. No assurance can be provided at this time as to when the legal challenges to the EPA CCR Rule and interpretations will be resolved or whether such challenges will be decided in the Company’s favor.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continues to review the new EPA CCR Rule provisions that went into effect in 2024, perform the required applicability assessments, and await additional information and guidance from the EPA concerning the rule’s requirements. Pursuant to the regulations, initial facility evaluation reports to identify CCR areas which may become regulated and subject to the rule’s requirements are due in February 2026. Following that, site investigation may be required to further investigate applicability, and a subsequent facility report is due in February 2027. The Company has initiated reviews under the facility evaluation report requirements at locations with ash impoundments that have long since ceased coal operations as well as at locations with current coal operations. No assurance can be provided as to whether any specific ash impoundments owned by the Company may or may not be within scope of the updated EPA CCR Rule until the Company completes its assessments within the regulatory timeframe.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 Company has recognized required cost estimates in order to comply with the EPA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our results of operations and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3"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89</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Certain Resolved Matters</w:t>
      </w:r>
    </w:p>
    <w:p>
      <w:pPr>
        <w:pStyle w:val="TextBody"/>
        <w:bidi w:val="0"/>
        <w:spacing w:lineRule="auto" w:line="288" w:before="0" w:after="180"/>
        <w:jc w:val="left"/>
        <w:rPr/>
      </w:pPr>
      <w:r>
        <w:rPr>
          <w:rFonts w:ascii="Arial;sans-serif" w:hAnsi="Arial;sans-serif"/>
          <w:b w:val="false"/>
          <w:i/>
          <w:color w:val="000000"/>
          <w:sz w:val="18"/>
        </w:rPr>
        <w:t>Pension Litigation.</w:t>
      </w:r>
      <w:r>
        <w:rPr>
          <w:color w:val="000000"/>
        </w:rPr>
        <w:t xml:space="preserve"> </w:t>
      </w:r>
      <w:r>
        <w:rPr>
          <w:rFonts w:ascii="Arial;sans-serif" w:hAnsi="Arial;sans-serif"/>
          <w:b w:val="false"/>
          <w:color w:val="000000"/>
          <w:sz w:val="18"/>
        </w:rPr>
        <w:t>In July 2024, a U.S. District Court in Pennsylvania approved the settlement of a class action lawsuit brought by former Talen employees alleging they were owed enhanced benefits under the TERP. Pursuant to the settlement, Talen agreed to pay: (i) $6 million for settlement administrative costs and plaintiff attorneys fees, which were partially offset by insurance recoveries; and (ii) $14 million to class members from the TERP. Both payment obligations were substantially completed during the year ended December 31, 2024 (Successor).</w:t>
      </w:r>
    </w:p>
    <w:p>
      <w:pPr>
        <w:pStyle w:val="TextBody"/>
        <w:bidi w:val="0"/>
        <w:spacing w:lineRule="auto" w:line="288" w:before="0" w:after="180"/>
        <w:jc w:val="left"/>
        <w:rPr/>
      </w:pPr>
      <w:r>
        <w:rPr>
          <w:rFonts w:ascii="Arial;sans-serif" w:hAnsi="Arial;sans-serif"/>
          <w:b w:val="false"/>
          <w:i/>
          <w:color w:val="000000"/>
          <w:sz w:val="18"/>
          <w:shd w:fill="FFFFFF" w:val="clear"/>
        </w:rPr>
        <w:t>PPL/Talen Montana Litigation.</w:t>
      </w:r>
      <w:r>
        <w:rPr>
          <w:color w:val="000000"/>
          <w:shd w:fill="FFFFFF" w:val="clear"/>
        </w:rPr>
        <w:t xml:space="preserve"> </w:t>
      </w:r>
      <w:r>
        <w:rPr>
          <w:rFonts w:ascii="Arial;sans-serif" w:hAnsi="Arial;sans-serif"/>
          <w:b w:val="false"/>
          <w:color w:val="000000"/>
          <w:sz w:val="18"/>
          <w:shd w:fill="FFFFFF" w:val="clear"/>
        </w:rPr>
        <w:t xml:space="preserve">In December 2023, a settlement was reached in (i) a 2018 class action lawsuit filed by the Talen Montana Retirement Plan against PPL and its affiliates claiming that an improper </w:t>
      </w:r>
      <w:r>
        <w:rPr>
          <w:rFonts w:ascii="Arial;sans-serif" w:hAnsi="Arial;sans-serif"/>
          <w:b w:val="false"/>
          <w:color w:val="000000"/>
          <w:sz w:val="18"/>
        </w:rPr>
        <w:t>$733 million</w:t>
      </w:r>
      <w:r>
        <w:rPr>
          <w:color w:val="000000"/>
          <w:shd w:fill="FFFFFF" w:val="clear"/>
        </w:rPr>
        <w:t xml:space="preserve"> </w:t>
      </w:r>
      <w:r>
        <w:rPr>
          <w:rFonts w:ascii="Arial;sans-serif" w:hAnsi="Arial;sans-serif"/>
          <w:b w:val="false"/>
          <w:color w:val="000000"/>
          <w:sz w:val="18"/>
          <w:shd w:fill="FFFFFF" w:val="clear"/>
        </w:rPr>
        <w:t xml:space="preserve">distribution to PPL left Talen Montana insolvent; and (ii) a related 2018 lawsuit filed by PPL against Talen and affiliates seeking various substantive and procedural relief in the first case. Under the terms of the settlement, PPL paid Talen Montana </w:t>
      </w:r>
      <w:r>
        <w:rPr>
          <w:rFonts w:ascii="Arial;sans-serif" w:hAnsi="Arial;sans-serif"/>
          <w:b w:val="false"/>
          <w:color w:val="000000"/>
          <w:sz w:val="18"/>
        </w:rPr>
        <w:t>$115 million</w:t>
      </w:r>
      <w:r>
        <w:rPr>
          <w:color w:val="000000"/>
          <w:shd w:fill="FFFFFF" w:val="clear"/>
        </w:rPr>
        <w:t xml:space="preserve"> </w:t>
      </w:r>
      <w:r>
        <w:rPr>
          <w:rFonts w:ascii="Arial;sans-serif" w:hAnsi="Arial;sans-serif"/>
          <w:b w:val="false"/>
          <w:color w:val="000000"/>
          <w:sz w:val="18"/>
          <w:shd w:fill="FFFFFF" w:val="clear"/>
        </w:rPr>
        <w:t xml:space="preserve">in exchange for a full release of claims, with </w:t>
      </w:r>
      <w:r>
        <w:rPr>
          <w:rFonts w:ascii="Arial;sans-serif" w:hAnsi="Arial;sans-serif"/>
          <w:b w:val="false"/>
          <w:color w:val="000000"/>
          <w:sz w:val="18"/>
        </w:rPr>
        <w:t>$11 million</w:t>
      </w:r>
      <w:r>
        <w:rPr>
          <w:color w:val="000000"/>
          <w:shd w:fill="FFFFFF" w:val="clear"/>
        </w:rPr>
        <w:t xml:space="preserve"> </w:t>
      </w:r>
      <w:r>
        <w:rPr>
          <w:rFonts w:ascii="Arial;sans-serif" w:hAnsi="Arial;sans-serif"/>
          <w:b w:val="false"/>
          <w:color w:val="000000"/>
          <w:sz w:val="18"/>
          <w:shd w:fill="FFFFFF" w:val="clear"/>
        </w:rPr>
        <w:t xml:space="preserve">of that amount remitted to the general unsecured creditors trust established under the Plan of Reorganization. As a result, a </w:t>
      </w:r>
      <w:r>
        <w:rPr>
          <w:rFonts w:ascii="Arial;sans-serif" w:hAnsi="Arial;sans-serif"/>
          <w:b w:val="false"/>
          <w:color w:val="000000"/>
          <w:sz w:val="18"/>
        </w:rPr>
        <w:t>$104 million</w:t>
      </w:r>
      <w:r>
        <w:rPr>
          <w:color w:val="000000"/>
          <w:shd w:fill="FFFFFF" w:val="clear"/>
        </w:rPr>
        <w:t xml:space="preserve"> </w:t>
      </w:r>
      <w:r>
        <w:rPr>
          <w:rFonts w:ascii="Arial;sans-serif" w:hAnsi="Arial;sans-serif"/>
          <w:b w:val="false"/>
          <w:color w:val="000000"/>
          <w:sz w:val="18"/>
          <w:shd w:fill="FFFFFF" w:val="clear"/>
        </w:rPr>
        <w:t xml:space="preserve">net gain is presented as “Other non-operating income (expense), net” on the Consolidated Statements of Operations for the year ended </w:t>
      </w:r>
      <w:r>
        <w:rPr>
          <w:rFonts w:ascii="Arial;sans-serif" w:hAnsi="Arial;sans-serif"/>
          <w:b w:val="false"/>
          <w:color w:val="000000"/>
          <w:sz w:val="18"/>
        </w:rPr>
        <w:t>December 31, 2023 (Successor)</w:t>
      </w:r>
      <w:r>
        <w:rPr>
          <w:rFonts w:ascii="Arial;sans-serif" w:hAnsi="Arial;sans-serif"/>
          <w:b w:val="false"/>
          <w:color w:val="000000"/>
          <w:sz w:val="18"/>
          <w:shd w:fill="FFFFFF" w:val="clear"/>
        </w:rPr>
        <w:t>.</w:t>
      </w:r>
    </w:p>
    <w:p>
      <w:pPr>
        <w:pStyle w:val="TextBody"/>
        <w:bidi w:val="0"/>
        <w:spacing w:lineRule="auto" w:line="288" w:before="0" w:after="180"/>
        <w:jc w:val="left"/>
        <w:rPr/>
      </w:pPr>
      <w:r>
        <w:rPr>
          <w:rFonts w:ascii="Arial;sans-serif" w:hAnsi="Arial;sans-serif"/>
          <w:b w:val="false"/>
          <w:i/>
          <w:color w:val="000000"/>
          <w:sz w:val="18"/>
        </w:rPr>
        <w:t>Winter Storm Elliott</w:t>
      </w:r>
      <w:r>
        <w:rPr>
          <w:rFonts w:ascii="Arial;sans-serif" w:hAnsi="Arial;sans-serif"/>
          <w:b w:val="false"/>
          <w:color w:val="000000"/>
          <w:sz w:val="14"/>
        </w:rPr>
        <w:t xml:space="preserve">. </w:t>
      </w:r>
      <w:r>
        <w:rPr>
          <w:rFonts w:ascii="Arial;sans-serif" w:hAnsi="Arial;sans-serif"/>
          <w:b w:val="false"/>
          <w:color w:val="000000"/>
          <w:sz w:val="18"/>
        </w:rPr>
        <w:t>During December 2022, as a result of Winter Storm Elliott, PJM experienced conditions that resulted in PJM declaring a Capacity Performance event. In</w:t>
      </w:r>
      <w:r>
        <w:rPr>
          <w:color w:val="000000"/>
          <w:shd w:fill="FFFFFF" w:val="clear"/>
        </w:rPr>
        <w:t xml:space="preserve"> </w:t>
      </w:r>
      <w:r>
        <w:rPr>
          <w:rFonts w:ascii="Arial;sans-serif" w:hAnsi="Arial;sans-serif"/>
          <w:b w:val="false"/>
          <w:color w:val="000000"/>
          <w:sz w:val="18"/>
          <w:shd w:fill="FFFFFF" w:val="clear"/>
        </w:rPr>
        <w:t>April 202</w:t>
      </w:r>
      <w:r>
        <w:rPr>
          <w:rFonts w:ascii="Arial;sans-serif" w:hAnsi="Arial;sans-serif"/>
          <w:b w:val="false"/>
          <w:color w:val="000000"/>
          <w:sz w:val="18"/>
        </w:rPr>
        <w:t xml:space="preserve">3, we and certain other market participants filed FERC complaints against PJM disputing a portion of the penalties charged by PJM to generators (including us) for failing to meet PJM’s Capacity Performance requirements. In December 2023, FERC approved a market-wide settlement resolving all Winter Storm Elliot complaints, including ours, </w:t>
      </w:r>
      <w:r>
        <w:rPr>
          <w:rFonts w:ascii="Arial;sans-serif" w:hAnsi="Arial;sans-serif"/>
          <w:b w:val="false"/>
          <w:color w:val="000000"/>
          <w:sz w:val="18"/>
          <w:shd w:fill="FFFFFF" w:val="clear"/>
        </w:rPr>
        <w:t xml:space="preserve">which reduced our net aggregate penalties to an estimated </w:t>
      </w:r>
      <w:r>
        <w:rPr>
          <w:rFonts w:ascii="Arial;sans-serif" w:hAnsi="Arial;sans-serif"/>
          <w:b w:val="false"/>
          <w:color w:val="000000"/>
          <w:sz w:val="18"/>
        </w:rPr>
        <w:t xml:space="preserve">$28 million. Utilizing the best available information of PJM’s assessments: </w:t>
      </w:r>
      <w:r>
        <w:rPr>
          <w:rFonts w:ascii="Arial;sans-serif" w:hAnsi="Arial;sans-serif"/>
          <w:b w:val="false"/>
          <w:color w:val="000000"/>
          <w:sz w:val="18"/>
          <w:shd w:fill="FFFFFF" w:val="clear"/>
        </w:rPr>
        <w:t xml:space="preserve">(i) an initial penalty of </w:t>
      </w:r>
      <w:r>
        <w:rPr>
          <w:rFonts w:ascii="Arial;sans-serif" w:hAnsi="Arial;sans-serif"/>
          <w:b w:val="false"/>
          <w:color w:val="000000"/>
          <w:sz w:val="18"/>
        </w:rPr>
        <w:t>$33 million</w:t>
      </w:r>
      <w:r>
        <w:rPr>
          <w:color w:val="000000"/>
          <w:shd w:fill="FFFFFF" w:val="clear"/>
        </w:rPr>
        <w:t xml:space="preserve"> </w:t>
      </w:r>
      <w:r>
        <w:rPr>
          <w:rFonts w:ascii="Arial;sans-serif" w:hAnsi="Arial;sans-serif"/>
          <w:b w:val="false"/>
          <w:color w:val="000000"/>
          <w:sz w:val="18"/>
          <w:shd w:fill="FFFFFF" w:val="clear"/>
        </w:rPr>
        <w:t xml:space="preserve">was recognized for the year ended </w:t>
      </w:r>
      <w:r>
        <w:rPr>
          <w:rFonts w:ascii="Arial;sans-serif" w:hAnsi="Arial;sans-serif"/>
          <w:b w:val="false"/>
          <w:color w:val="000000"/>
          <w:sz w:val="18"/>
        </w:rPr>
        <w:t>December 31, 2022 (Predecessor)</w:t>
      </w:r>
      <w:r>
        <w:rPr>
          <w:rFonts w:ascii="Arial;sans-serif" w:hAnsi="Arial;sans-serif"/>
          <w:b w:val="false"/>
          <w:color w:val="000000"/>
          <w:sz w:val="18"/>
          <w:shd w:fill="FFFFFF" w:val="clear"/>
        </w:rPr>
        <w:t xml:space="preserve">; (ii) an increase of </w:t>
      </w:r>
      <w:r>
        <w:rPr>
          <w:rFonts w:ascii="Arial;sans-serif" w:hAnsi="Arial;sans-serif"/>
          <w:b w:val="false"/>
          <w:color w:val="000000"/>
          <w:sz w:val="18"/>
        </w:rPr>
        <w:t>$13 million</w:t>
      </w:r>
      <w:r>
        <w:rPr>
          <w:color w:val="000000"/>
          <w:shd w:fill="FFFFFF" w:val="clear"/>
        </w:rPr>
        <w:t xml:space="preserve"> </w:t>
      </w:r>
      <w:r>
        <w:rPr>
          <w:rFonts w:ascii="Arial;sans-serif" w:hAnsi="Arial;sans-serif"/>
          <w:b w:val="false"/>
          <w:color w:val="000000"/>
          <w:sz w:val="18"/>
          <w:shd w:fill="FFFFFF" w:val="clear"/>
        </w:rPr>
        <w:t xml:space="preserve">for the period from </w:t>
      </w:r>
      <w:r>
        <w:rPr>
          <w:rFonts w:ascii="Arial;sans-serif" w:hAnsi="Arial;sans-serif"/>
          <w:b w:val="false"/>
          <w:color w:val="000000"/>
          <w:sz w:val="18"/>
        </w:rPr>
        <w:t>January 1 through May 17, 2023 (Predecessor)</w:t>
      </w:r>
      <w:r>
        <w:rPr>
          <w:rFonts w:ascii="Arial;sans-serif" w:hAnsi="Arial;sans-serif"/>
          <w:b w:val="false"/>
          <w:color w:val="000000"/>
          <w:sz w:val="18"/>
          <w:shd w:fill="FFFFFF" w:val="clear"/>
        </w:rPr>
        <w:t xml:space="preserve">; and (iii) an increase of </w:t>
      </w:r>
      <w:r>
        <w:rPr>
          <w:rFonts w:ascii="Arial;sans-serif" w:hAnsi="Arial;sans-serif"/>
          <w:b w:val="false"/>
          <w:color w:val="000000"/>
          <w:sz w:val="18"/>
        </w:rPr>
        <w:t>$2 million</w:t>
      </w:r>
      <w:r>
        <w:rPr>
          <w:color w:val="000000"/>
          <w:shd w:fill="FFFFFF" w:val="clear"/>
        </w:rPr>
        <w:t xml:space="preserve"> </w:t>
      </w:r>
      <w:r>
        <w:rPr>
          <w:rFonts w:ascii="Arial;sans-serif" w:hAnsi="Arial;sans-serif"/>
          <w:b w:val="false"/>
          <w:color w:val="000000"/>
          <w:sz w:val="18"/>
          <w:shd w:fill="FFFFFF" w:val="clear"/>
        </w:rPr>
        <w:t xml:space="preserve">for the period from </w:t>
      </w:r>
      <w:r>
        <w:rPr>
          <w:rFonts w:ascii="Arial;sans-serif" w:hAnsi="Arial;sans-serif"/>
          <w:b w:val="false"/>
          <w:color w:val="000000"/>
          <w:sz w:val="18"/>
        </w:rPr>
        <w:t>May 18 through December 31, 2023 (Successor)</w:t>
      </w:r>
      <w:r>
        <w:rPr>
          <w:rFonts w:ascii="Arial;sans-serif" w:hAnsi="Arial;sans-serif"/>
          <w:b w:val="false"/>
          <w:color w:val="000000"/>
          <w:sz w:val="18"/>
          <w:shd w:fill="FFFFFF" w:val="clear"/>
        </w:rPr>
        <w:t xml:space="preserve">. At the time of FERC’s approval, aggregate net penalty payments of </w:t>
      </w:r>
      <w:r>
        <w:rPr>
          <w:rFonts w:ascii="Arial;sans-serif" w:hAnsi="Arial;sans-serif"/>
          <w:b w:val="false"/>
          <w:color w:val="000000"/>
          <w:sz w:val="18"/>
        </w:rPr>
        <w:t>$29 million</w:t>
      </w:r>
      <w:r>
        <w:rPr>
          <w:color w:val="000000"/>
          <w:shd w:fill="FFFFFF" w:val="clear"/>
        </w:rPr>
        <w:t xml:space="preserve"> </w:t>
      </w:r>
      <w:r>
        <w:rPr>
          <w:rFonts w:ascii="Arial;sans-serif" w:hAnsi="Arial;sans-serif"/>
          <w:b w:val="false"/>
          <w:color w:val="000000"/>
          <w:sz w:val="18"/>
          <w:shd w:fill="FFFFFF" w:val="clear"/>
        </w:rPr>
        <w:t xml:space="preserve">had been remitted to PJM. Accordingly, in December 2023 as a result of FERC’s approval, the remaining </w:t>
      </w:r>
      <w:r>
        <w:rPr>
          <w:rFonts w:ascii="Arial;sans-serif" w:hAnsi="Arial;sans-serif"/>
          <w:b w:val="false"/>
          <w:color w:val="000000"/>
          <w:sz w:val="18"/>
        </w:rPr>
        <w:t>$19 million</w:t>
      </w:r>
      <w:r>
        <w:rPr>
          <w:color w:val="000000"/>
          <w:shd w:fill="FFFFFF" w:val="clear"/>
        </w:rPr>
        <w:t xml:space="preserve"> </w:t>
      </w:r>
      <w:r>
        <w:rPr>
          <w:rFonts w:ascii="Arial;sans-serif" w:hAnsi="Arial;sans-serif"/>
          <w:b w:val="false"/>
          <w:color w:val="000000"/>
          <w:sz w:val="18"/>
          <w:shd w:fill="FFFFFF" w:val="clear"/>
        </w:rPr>
        <w:t>estimated liability was derecognized.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Guarantees and Other Assurances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 </w:t>
      </w:r>
    </w:p>
    <w:p>
      <w:pPr>
        <w:pStyle w:val="TextBody"/>
        <w:bidi w:val="0"/>
        <w:spacing w:lineRule="auto" w:line="288" w:before="0" w:after="180"/>
        <w:jc w:val="left"/>
        <w:rPr/>
      </w:pPr>
      <w:r>
        <w:rPr>
          <w:rFonts w:ascii="Arial;sans-serif" w:hAnsi="Arial;sans-serif"/>
          <w:b w:val="false"/>
          <w:i/>
          <w:color w:val="000000"/>
          <w:sz w:val="18"/>
        </w:rPr>
        <w:t>Surety Bonds.</w:t>
      </w:r>
      <w:r>
        <w:rPr>
          <w:color w:val="000000"/>
        </w:rPr>
        <w:t xml:space="preserve"> </w:t>
      </w:r>
      <w:r>
        <w:rPr>
          <w:rFonts w:ascii="Arial;sans-serif" w:hAnsi="Arial;sans-serif"/>
          <w:b w:val="false"/>
          <w:color w:val="000000"/>
          <w:sz w:val="18"/>
        </w:rPr>
        <w:t>Surety bonds provide financial performance assurance to third parties on behalf of certain Company subsidiaries for obligations including but 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December 31, 2024 (Successor) and December 31, 2023 (Successor), the aggregate amount of surety bonds outstanding was $234 million and $240 million, respectively, including surety bonds posted on behalf of Talen Montana as discussed below.</w:t>
      </w:r>
    </w:p>
    <w:p>
      <w:pPr>
        <w:pStyle w:val="TextBody"/>
        <w:bidi w:val="0"/>
        <w:spacing w:lineRule="auto" w:line="288" w:before="0" w:after="180"/>
        <w:jc w:val="left"/>
        <w:rPr/>
      </w:pPr>
      <w:r>
        <w:rPr>
          <w:rFonts w:ascii="Arial;sans-serif" w:hAnsi="Arial;sans-serif"/>
          <w:b w:val="false"/>
          <w:i/>
          <w:color w:val="000000"/>
          <w:sz w:val="18"/>
        </w:rPr>
        <w:t>Talen Montana Financial Assurance.</w:t>
      </w:r>
      <w:r>
        <w:rPr>
          <w:color w:val="000000"/>
        </w:rPr>
        <w:t xml:space="preserve"> </w:t>
      </w:r>
      <w:r>
        <w:rPr>
          <w:rFonts w:ascii="Arial;sans-serif" w:hAnsi="Arial;sans-serif"/>
          <w:b w:val="false"/>
          <w:color w:val="000000"/>
          <w:sz w:val="18"/>
        </w:rPr>
        <w:t xml:space="preserve">Pursuant to the Colstrip Administrative Order on Consent (the “Colstrip AOC”), Talen Montana, in its capacity as the Colstrip operator, is obligated to close and 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 </w:t>
      </w:r>
    </w:p>
    <w:p>
      <w:pPr>
        <w:pStyle w:val="TextBody"/>
        <w:bidi w:val="0"/>
        <w:spacing w:lineRule="auto" w:line="288" w:before="0" w:after="180"/>
        <w:jc w:val="left"/>
        <w:rPr/>
      </w:pPr>
      <w:r>
        <w:rPr>
          <w:rFonts w:ascii="Arial;sans-serif" w:hAnsi="Arial;sans-serif"/>
          <w:b w:val="false"/>
          <w:color w:val="000000"/>
          <w:sz w:val="18"/>
        </w:rPr>
        <w:t>The aggregate amount of surety bonds posted to the MDEQ on behalf of Talen Montana’s proportionate share of such activities wa</w:t>
      </w:r>
      <w:r>
        <w:rPr>
          <w:rFonts w:ascii="Arial;sans-serif" w:hAnsi="Arial;sans-serif"/>
          <w:b w:val="false"/>
          <w:color w:val="000000"/>
          <w:sz w:val="18"/>
          <w:shd w:fill="FFFFFF" w:val="clear"/>
        </w:rPr>
        <w:t>s $125 million</w:t>
      </w:r>
      <w:r>
        <w:rPr>
          <w:color w:val="000000"/>
        </w:rPr>
        <w:t xml:space="preserve"> </w:t>
      </w:r>
      <w:r>
        <w:rPr>
          <w:rFonts w:ascii="Arial;sans-serif" w:hAnsi="Arial;sans-serif"/>
          <w:b w:val="false"/>
          <w:color w:val="000000"/>
          <w:sz w:val="18"/>
        </w:rPr>
        <w:t>and $115 million as of December 31, 2024 (Successor) and December 31, 2023 (Successor),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11 for additional information on Colstrip AROs.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Other Commitments and Contingencies</w:t>
      </w:r>
    </w:p>
    <w:p>
      <w:pPr>
        <w:pStyle w:val="TextBody"/>
        <w:bidi w:val="0"/>
        <w:spacing w:lineRule="auto" w:line="288" w:before="0" w:after="180"/>
        <w:jc w:val="left"/>
        <w:rPr/>
      </w:pPr>
      <w:r>
        <w:rPr>
          <w:rFonts w:ascii="Arial;sans-serif" w:hAnsi="Arial;sans-serif"/>
          <w:b w:val="false"/>
          <w:i/>
          <w:color w:val="000000"/>
          <w:sz w:val="18"/>
        </w:rPr>
        <w:t>Nuclear Insurance.</w:t>
      </w:r>
      <w:r>
        <w:rPr>
          <w:color w:val="000000"/>
        </w:rPr>
        <w:t xml:space="preserve"> </w:t>
      </w:r>
      <w:r>
        <w:rPr>
          <w:rFonts w:ascii="Arial;sans-serif" w:hAnsi="Arial;sans-serif"/>
          <w:b w:val="false"/>
          <w:color w:val="000000"/>
          <w:sz w:val="18"/>
        </w:rPr>
        <w:t>The Price-Anderson Act is a federal law that governs liability-related issues and ensures the availability of funds for public liability claims arising from a nuclear incident at any U.S. licensed nuclear facility. It also seeks to limit the liability of nuclear reactor owners for such claims from any single incident. As of December 31, 2024 (Successor), the liability limit per incident is $16.3 billion for such claims, which is funded by insurance coverage from American Nuclear Insurers ($500 million in coverage), with the remainder covered by an industry retrospective assessment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4"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90</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Susquehanna purchases property insurance programs from Nuclear Electric Insurance Limited (“NEIL”), an industry mutual insurance company of which Susquehanna is a member. As of December 31, 2024 (Successor), facilities at Susquehanna are insured against nuclear property damage losses up to $2 billion and non-nuclear property damage losses up to $1 billion. Susquehanna also purchases an insurance program that provides coverage for the cost of replacement power during prolonged outages of nuclear units caused by certain specified conditions.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Under the NEIL property and replacement power insurance programs, Susquehanna could be assessed retrospective premiums in the event of the insurers’ adverse loss experience. The maximum assessment for this premium is $48 million as of December 31, 2024 (Successor). Talen has additional coverage that, under certain conditions, may reduce this exposure. </w:t>
      </w:r>
    </w:p>
    <w:p>
      <w:pPr>
        <w:pStyle w:val="TextBody"/>
        <w:bidi w:val="0"/>
        <w:spacing w:lineRule="auto" w:line="288" w:before="0" w:after="180"/>
        <w:jc w:val="left"/>
        <w:rPr/>
      </w:pPr>
      <w:r>
        <w:rPr>
          <w:rFonts w:ascii="Arial;sans-serif" w:hAnsi="Arial;sans-serif"/>
          <w:b w:val="false"/>
          <w:i/>
          <w:color w:val="000000"/>
          <w:sz w:val="18"/>
        </w:rPr>
        <w:t xml:space="preserve">Talen Montana Fuel Supply. </w:t>
      </w:r>
      <w:r>
        <w:rPr>
          <w:rFonts w:ascii="Arial;sans-serif" w:hAnsi="Arial;sans-serif"/>
          <w:b w:val="false"/>
          <w:color w:val="000000"/>
          <w:sz w:val="18"/>
        </w:rPr>
        <w:t>Talen Montana purchases coal from a mine owned by Westmoreland Rosebud Mining, LLC (the “Rosebud Mine”) for its interest in Colstrip Units 3 and 4 under a full requirements contract with the mine operator. Two lawsuits have been brought against the Rosebud Mine challenging permits issued to it by the State of Montana. Talen Montana is not party to either lawsuit, but is monitoring the progress of each to assess the impact to its operations. In the first lawsuit, the Montana Supreme Court affirmed a lower court’s ruling to vacate a mining permit and require the Montana Board of Environmental Review to perform an additional review of the permit. In the second lawsuit, the Montana Federal District Court ordered a branch of the U.S. Department of the Interior to complete an updated Environmental Impact Statement (“EIS”). In December 2024, the Montana Federal District Court granted an extension to the EIS completion date to October 7, 2025. At this time, Talen cannot predict the effect that an adverse outcome of these lawsuits to Rosebud Mine would have on: (i) Talen Montana’s ability to source fuel for its share of Colstrip operations; or (ii) Talen Montana’s operations,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13. Long-term Debt and Other Credit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TES is the borrower/issuer under all the Company’s debt and credit facilities. As of December 31, 2024 (Successor), TES was not in default under any of its debt or credit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Long-Term Debt </w:t>
      </w:r>
    </w:p>
    <w:tbl>
      <w:tblPr>
        <w:tblW w:w="10205" w:type="dxa"/>
        <w:jc w:val="left"/>
        <w:tblInd w:w="0" w:type="dxa"/>
        <w:tblLayout w:type="fixed"/>
        <w:tblCellMar>
          <w:top w:w="28" w:type="dxa"/>
          <w:left w:w="28" w:type="dxa"/>
          <w:bottom w:w="28" w:type="dxa"/>
          <w:right w:w="28" w:type="dxa"/>
        </w:tblCellMar>
      </w:tblPr>
      <w:tblGrid>
        <w:gridCol w:w="1782"/>
        <w:gridCol w:w="1547"/>
        <w:gridCol w:w="1558"/>
        <w:gridCol w:w="109"/>
        <w:gridCol w:w="109"/>
        <w:gridCol w:w="109"/>
        <w:gridCol w:w="410"/>
        <w:gridCol w:w="410"/>
        <w:gridCol w:w="412"/>
        <w:gridCol w:w="109"/>
        <w:gridCol w:w="109"/>
        <w:gridCol w:w="109"/>
        <w:gridCol w:w="340"/>
        <w:gridCol w:w="995"/>
        <w:gridCol w:w="191"/>
        <w:gridCol w:w="109"/>
        <w:gridCol w:w="109"/>
        <w:gridCol w:w="109"/>
        <w:gridCol w:w="334"/>
        <w:gridCol w:w="975"/>
        <w:gridCol w:w="270"/>
      </w:tblGrid>
      <w:tr>
        <w:trPr/>
        <w:tc>
          <w:tcPr>
            <w:tcW w:w="178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Interest Rate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88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TLB-1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7.02 %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19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2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TLC </w:t>
            </w:r>
            <w:r>
              <w:rPr>
                <w:rFonts w:ascii="Arial;sans-serif" w:hAnsi="Arial;sans-serif"/>
                <w:b w:val="false"/>
                <w:color w:val="000000"/>
                <w:sz w:val="10"/>
              </w:rPr>
              <w:t>(b)</w:t>
            </w:r>
            <w:r>
              <w:rPr>
                <w:color w:val="000000"/>
              </w:rPr>
              <w:t xml:space="preserv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PEDFA 2009B Bonds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PEDFA 2009C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Cumulus Digital TLF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3,038</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2,849</w:t>
            </w: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Unamortized deferred financing costs and original issuance discounts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3,004</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2,820</w:t>
            </w: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2,987</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2,811</w:t>
            </w: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(a)Computed interest rate as of December 31, 2024 (Successor).</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(b)See “Recent Transactions” below for additional information on extinguishments of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Long-term debt maturities as of December 31, 2024 (Successor) were:</w:t>
      </w:r>
    </w:p>
    <w:tbl>
      <w:tblPr>
        <w:tblW w:w="9136" w:type="dxa"/>
        <w:jc w:val="left"/>
        <w:tblInd w:w="0" w:type="dxa"/>
        <w:tblLayout w:type="fixed"/>
        <w:tblCellMar>
          <w:top w:w="28" w:type="dxa"/>
          <w:left w:w="28" w:type="dxa"/>
          <w:bottom w:w="28" w:type="dxa"/>
          <w:right w:w="28" w:type="dxa"/>
        </w:tblCellMar>
      </w:tblPr>
      <w:tblGrid>
        <w:gridCol w:w="668"/>
        <w:gridCol w:w="587"/>
        <w:gridCol w:w="590"/>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208"/>
        <w:gridCol w:w="591"/>
        <w:gridCol w:w="117"/>
        <w:gridCol w:w="109"/>
        <w:gridCol w:w="109"/>
        <w:gridCol w:w="109"/>
        <w:gridCol w:w="196"/>
        <w:gridCol w:w="55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845"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debt maturities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2,952 </w:t>
            </w:r>
          </w:p>
        </w:tc>
        <w:tc>
          <w:tcPr>
            <w:tcW w:w="11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3,038 </w:t>
            </w:r>
          </w:p>
        </w:tc>
        <w:tc>
          <w:tcPr>
            <w:tcW w:w="15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91</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Revolving Credit and Other Facilities</w:t>
      </w:r>
    </w:p>
    <w:tbl>
      <w:tblPr>
        <w:tblW w:w="10205" w:type="dxa"/>
        <w:jc w:val="left"/>
        <w:tblInd w:w="0" w:type="dxa"/>
        <w:tblLayout w:type="fixed"/>
        <w:tblCellMar>
          <w:top w:w="28" w:type="dxa"/>
          <w:left w:w="28" w:type="dxa"/>
          <w:bottom w:w="28" w:type="dxa"/>
          <w:right w:w="28" w:type="dxa"/>
        </w:tblCellMar>
      </w:tblPr>
      <w:tblGrid>
        <w:gridCol w:w="189"/>
        <w:gridCol w:w="167"/>
        <w:gridCol w:w="170"/>
        <w:gridCol w:w="109"/>
        <w:gridCol w:w="109"/>
        <w:gridCol w:w="109"/>
        <w:gridCol w:w="416"/>
        <w:gridCol w:w="416"/>
        <w:gridCol w:w="422"/>
        <w:gridCol w:w="109"/>
        <w:gridCol w:w="109"/>
        <w:gridCol w:w="109"/>
        <w:gridCol w:w="411"/>
        <w:gridCol w:w="1201"/>
        <w:gridCol w:w="232"/>
        <w:gridCol w:w="109"/>
        <w:gridCol w:w="109"/>
        <w:gridCol w:w="109"/>
        <w:gridCol w:w="536"/>
        <w:gridCol w:w="1111"/>
        <w:gridCol w:w="300"/>
        <w:gridCol w:w="109"/>
        <w:gridCol w:w="109"/>
        <w:gridCol w:w="109"/>
        <w:gridCol w:w="258"/>
        <w:gridCol w:w="575"/>
        <w:gridCol w:w="143"/>
        <w:gridCol w:w="109"/>
        <w:gridCol w:w="109"/>
        <w:gridCol w:w="109"/>
        <w:gridCol w:w="318"/>
        <w:gridCol w:w="930"/>
        <w:gridCol w:w="177"/>
        <w:gridCol w:w="109"/>
        <w:gridCol w:w="109"/>
        <w:gridCol w:w="109"/>
        <w:gridCol w:w="109"/>
        <w:gridCol w:w="162"/>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598" w:type="dxa"/>
            <w:gridSpan w:val="5"/>
            <w:tcBorders/>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Committed Capacity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 Cash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LCs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Unused Capacity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RCF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0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1,600</w:t>
            </w:r>
            <w:r>
              <w:rPr>
                <w:color w:val="000000"/>
              </w:rPr>
              <w:t> </w:t>
            </w:r>
          </w:p>
        </w:tc>
        <w:tc>
          <w:tcPr>
            <w:tcW w:w="23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w:t>
            </w:r>
            <w:r>
              <w:rPr>
                <w:color w:val="000000"/>
              </w:rPr>
              <w:t> </w:t>
            </w:r>
          </w:p>
        </w:tc>
        <w:tc>
          <w:tcPr>
            <w:tcW w:w="14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1,226</w:t>
            </w:r>
            <w:r>
              <w:rPr>
                <w:color w:val="000000"/>
              </w:rPr>
              <w:t> </w:t>
            </w:r>
          </w:p>
        </w:tc>
        <w:tc>
          <w:tcPr>
            <w:tcW w:w="17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(a)RCF committed capacity can be used for direct cash borrowings and (or) LCs.</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December 2024, the TLC LCF and Bilateral LCF were terminated. However, as certain LCs remained outstanding under these facilities pending their transition to the LCF, corresponding backstop LCs were issued under the LCF. As of December 31, 2024 (Successor), the amount of such backstop LCs issued under the LCF were $297 million.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2023 (Successor): (i) the aggregate LCs issued under the TLC LCF and Bilateral LCF were $478 million; and (ii) LCs issued under TLC LCF were collateralized by $472 million of cash presented as “Restricted cash and cash equivalents” on the Consolidated Balance Sheets. The restricted cash was released in connection with the TLC LCF termination.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“Recent Transactions–Credit Facilities” below for additional information on LC facility terminations.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Long-Term Debt, Revolving Credit, and Other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key terms of our indebtedness include:</w:t>
      </w:r>
    </w:p>
    <w:tbl>
      <w:tblPr>
        <w:tblW w:w="10205" w:type="dxa"/>
        <w:jc w:val="left"/>
        <w:tblInd w:w="0" w:type="dxa"/>
        <w:tblLayout w:type="fixed"/>
        <w:tblCellMar>
          <w:top w:w="28" w:type="dxa"/>
          <w:left w:w="28" w:type="dxa"/>
          <w:bottom w:w="28" w:type="dxa"/>
          <w:right w:w="28" w:type="dxa"/>
        </w:tblCellMar>
      </w:tblPr>
      <w:tblGrid>
        <w:gridCol w:w="467"/>
        <w:gridCol w:w="412"/>
        <w:gridCol w:w="414"/>
        <w:gridCol w:w="822"/>
        <w:gridCol w:w="673"/>
        <w:gridCol w:w="496"/>
        <w:gridCol w:w="620"/>
        <w:gridCol w:w="423"/>
        <w:gridCol w:w="295"/>
        <w:gridCol w:w="446"/>
        <w:gridCol w:w="403"/>
        <w:gridCol w:w="405"/>
        <w:gridCol w:w="568"/>
        <w:gridCol w:w="568"/>
        <w:gridCol w:w="573"/>
        <w:gridCol w:w="454"/>
        <w:gridCol w:w="442"/>
        <w:gridCol w:w="329"/>
        <w:gridCol w:w="663"/>
        <w:gridCol w:w="322"/>
        <w:gridCol w:w="410"/>
      </w:tblGrid>
      <w:tr>
        <w:trPr/>
        <w:tc>
          <w:tcPr>
            <w:tcW w:w="4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Secured Notes</w:t>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TLB-1</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TLB-2</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RCF</w:t>
            </w:r>
          </w:p>
        </w:tc>
        <w:tc>
          <w:tcPr>
            <w:tcW w:w="122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LCF</w:t>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PEDFA Bonds</w:t>
            </w:r>
          </w:p>
        </w:tc>
      </w:tr>
      <w:tr>
        <w:trPr/>
        <w:tc>
          <w:tcPr>
            <w:tcW w:w="12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Maturity:</w:t>
            </w:r>
          </w:p>
        </w:tc>
        <w:tc>
          <w:tcPr>
            <w:tcW w:w="1991"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2030</w:t>
            </w:r>
          </w:p>
        </w:tc>
        <w:tc>
          <w:tcPr>
            <w:tcW w:w="1338"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2030</w:t>
            </w:r>
          </w:p>
        </w:tc>
        <w:tc>
          <w:tcPr>
            <w:tcW w:w="1254"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2031</w:t>
            </w:r>
          </w:p>
        </w:tc>
        <w:tc>
          <w:tcPr>
            <w:tcW w:w="1709"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2029</w:t>
            </w:r>
          </w:p>
        </w:tc>
        <w:tc>
          <w:tcPr>
            <w:tcW w:w="1225"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2026</w:t>
            </w:r>
          </w:p>
        </w:tc>
        <w:tc>
          <w:tcPr>
            <w:tcW w:w="1395"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2009B:</w:t>
            </w:r>
            <w:r>
              <w:rPr>
                <w:color w:val="000000"/>
              </w:rPr>
              <w:t xml:space="preserve"> </w:t>
            </w:r>
            <w:r>
              <w:rPr>
                <w:rFonts w:ascii="Arial;sans-serif" w:hAnsi="Arial;sans-serif"/>
                <w:b w:val="false"/>
                <w:color w:val="000000"/>
                <w:sz w:val="16"/>
              </w:rPr>
              <w:t>December 2038</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2009C:</w:t>
            </w:r>
            <w:r>
              <w:rPr>
                <w:color w:val="000000"/>
              </w:rPr>
              <w:t xml:space="preserve"> </w:t>
            </w:r>
            <w:r>
              <w:rPr>
                <w:rFonts w:ascii="Arial;sans-serif" w:hAnsi="Arial;sans-serif"/>
                <w:b w:val="false"/>
                <w:color w:val="000000"/>
                <w:sz w:val="16"/>
              </w:rPr>
              <w:t>December 2037</w:t>
            </w:r>
          </w:p>
        </w:tc>
      </w:tr>
      <w:tr>
        <w:trPr/>
        <w:tc>
          <w:tcPr>
            <w:tcW w:w="1293"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Index:</w:t>
            </w:r>
          </w:p>
        </w:tc>
        <w:tc>
          <w:tcPr>
            <w:tcW w:w="1991"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1338"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SOFR</w:t>
            </w:r>
          </w:p>
        </w:tc>
        <w:tc>
          <w:tcPr>
            <w:tcW w:w="1254"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SOFR</w:t>
            </w:r>
          </w:p>
        </w:tc>
        <w:tc>
          <w:tcPr>
            <w:tcW w:w="1709"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SOFR</w:t>
            </w:r>
          </w:p>
        </w:tc>
        <w:tc>
          <w:tcPr>
            <w:tcW w:w="1225"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1395"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r>
      <w:tr>
        <w:trPr/>
        <w:tc>
          <w:tcPr>
            <w:tcW w:w="1293" w:type="dxa"/>
            <w:gridSpan w:val="3"/>
            <w:tcBorders>
              <w:top w:val="dotted" w:sz="4"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Rate, Applicable Margin, and Amortization:</w:t>
            </w:r>
          </w:p>
        </w:tc>
        <w:tc>
          <w:tcPr>
            <w:tcW w:w="1991"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8.625% per annum fixed rate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No applicable margin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 amortization</w:t>
            </w:r>
          </w:p>
        </w:tc>
        <w:tc>
          <w:tcPr>
            <w:tcW w:w="1338"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bookmarkStart w:id="6" w:name="i14a6e45609324e2cb1a6b6416ac8fc6e_3-2-1-"/>
            <w:bookmarkEnd w:id="6"/>
            <w:r>
              <w:rPr>
                <w:rFonts w:ascii="Arial;sans-serif" w:hAnsi="Arial;sans-serif"/>
                <w:b w:val="false"/>
                <w:color w:val="000000"/>
                <w:sz w:val="16"/>
              </w:rPr>
              <w:t xml:space="preserve">2.50% per annum applicable margin; leverage-based step-downs to 2.25% and 2.00%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Amortization 1.00% per annum; paid quarterly</w:t>
            </w:r>
          </w:p>
        </w:tc>
        <w:tc>
          <w:tcPr>
            <w:tcW w:w="1254"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Same as TLB-1</w:t>
            </w:r>
          </w:p>
        </w:tc>
        <w:tc>
          <w:tcPr>
            <w:tcW w:w="1709"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Cash borrowings:</w:t>
            </w:r>
            <w:r>
              <w:rPr>
                <w:color w:val="000000"/>
              </w:rPr>
              <w:t xml:space="preserve"> </w:t>
            </w:r>
            <w:r>
              <w:rPr>
                <w:rFonts w:ascii="Arial;sans-serif" w:hAnsi="Arial;sans-serif"/>
                <w:b w:val="false"/>
                <w:color w:val="000000"/>
                <w:sz w:val="16"/>
              </w:rPr>
              <w:t xml:space="preserve">2.00% per annum applicable margin; leverage-based step-downs to 1.75% and 1.50%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LCs:</w:t>
            </w:r>
            <w:r>
              <w:rPr>
                <w:color w:val="000000"/>
              </w:rPr>
              <w:t xml:space="preserve"> </w:t>
            </w:r>
            <w:r>
              <w:rPr>
                <w:rFonts w:ascii="Arial;sans-serif" w:hAnsi="Arial;sans-serif"/>
                <w:b w:val="false"/>
                <w:color w:val="000000"/>
                <w:sz w:val="16"/>
              </w:rPr>
              <w:t xml:space="preserve">LC fee equal to applicable margin above + fronting fee of 0.125%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Unused commitments:</w:t>
            </w:r>
            <w:r>
              <w:rPr>
                <w:color w:val="000000"/>
              </w:rPr>
              <w:t xml:space="preserve"> </w:t>
            </w:r>
            <w:r>
              <w:rPr>
                <w:rFonts w:ascii="Arial;sans-serif" w:hAnsi="Arial;sans-serif"/>
                <w:b w:val="false"/>
                <w:color w:val="000000"/>
                <w:sz w:val="16"/>
              </w:rPr>
              <w:t xml:space="preserve">0.375%; leverage-based step-down to 0.25%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 amortization</w:t>
            </w:r>
          </w:p>
        </w:tc>
        <w:tc>
          <w:tcPr>
            <w:tcW w:w="1225"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LCs:</w:t>
            </w:r>
            <w:r>
              <w:rPr>
                <w:color w:val="000000"/>
              </w:rPr>
              <w:t xml:space="preserve"> </w:t>
            </w:r>
            <w:r>
              <w:rPr>
                <w:rFonts w:ascii="Arial;sans-serif" w:hAnsi="Arial;sans-serif"/>
                <w:b w:val="false"/>
                <w:color w:val="000000"/>
                <w:sz w:val="16"/>
              </w:rPr>
              <w:t>Same as RCF</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Unused commitments:</w:t>
            </w:r>
            <w:r>
              <w:rPr>
                <w:color w:val="000000"/>
              </w:rPr>
              <w:t xml:space="preserve"> </w:t>
            </w:r>
            <w:r>
              <w:rPr>
                <w:rFonts w:ascii="Arial;sans-serif" w:hAnsi="Arial;sans-serif"/>
                <w:b w:val="false"/>
                <w:color w:val="000000"/>
                <w:sz w:val="16"/>
              </w:rPr>
              <w:t>Same as RCF</w:t>
            </w:r>
          </w:p>
        </w:tc>
        <w:tc>
          <w:tcPr>
            <w:tcW w:w="1395"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5.25% per annum fixed rate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No applicable margin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 amortization</w:t>
            </w:r>
          </w:p>
        </w:tc>
      </w:tr>
      <w:tr>
        <w:trPr/>
        <w:tc>
          <w:tcPr>
            <w:tcW w:w="1293" w:type="dxa"/>
            <w:gridSpan w:val="3"/>
            <w:tcBorders>
              <w:top w:val="dotted"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Prepayment Penalty:</w:t>
            </w:r>
          </w:p>
        </w:tc>
        <w:tc>
          <w:tcPr>
            <w:tcW w:w="1991"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Prior to June 1, 2026:</w:t>
            </w:r>
            <w:r>
              <w:rPr>
                <w:color w:val="000000"/>
              </w:rPr>
              <w:t xml:space="preserve"> </w:t>
            </w:r>
            <w:r>
              <w:rPr>
                <w:rFonts w:ascii="Arial;sans-serif" w:hAnsi="Arial;sans-serif"/>
                <w:b w:val="false"/>
                <w:color w:val="000000"/>
                <w:sz w:val="16"/>
              </w:rPr>
              <w:t xml:space="preserve">Redeemable at par plus a customary “make-whole” premium. 40% redeemable from the proceeds of certain equity offerings at 108.625%. 10% redeemable at 103% from June 1, 2025 – May 31, 2026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On or after June 1 of the following years:</w:t>
            </w:r>
            <w:r>
              <w:rPr>
                <w:color w:val="000000"/>
              </w:rPr>
              <w:t xml:space="preserve"> </w:t>
            </w:r>
            <w:r>
              <w:rPr>
                <w:rFonts w:ascii="Arial;sans-serif" w:hAnsi="Arial;sans-serif"/>
                <w:b w:val="false"/>
                <w:color w:val="000000"/>
                <w:sz w:val="16"/>
              </w:rPr>
              <w:t>2026: 104.313%; 2027: 102.156%; 2028 and after: 100%</w:t>
            </w:r>
          </w:p>
        </w:tc>
        <w:tc>
          <w:tcPr>
            <w:tcW w:w="1338"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1.00% to the extent prepaid prior to June 20, 2025 in connection with a repricing transaction</w:t>
            </w:r>
          </w:p>
        </w:tc>
        <w:tc>
          <w:tcPr>
            <w:tcW w:w="1254"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1.00% to the extent prepaid prior to June 13, 2025 in connection with a repricing transaction</w:t>
            </w:r>
          </w:p>
        </w:tc>
        <w:tc>
          <w:tcPr>
            <w:tcW w:w="1709"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1225"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1395"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Prior to June 1, 2026:</w:t>
            </w:r>
            <w:r>
              <w:rPr>
                <w:color w:val="000000"/>
              </w:rPr>
              <w:t xml:space="preserve"> </w:t>
            </w:r>
            <w:r>
              <w:rPr>
                <w:rFonts w:ascii="Arial;sans-serif" w:hAnsi="Arial;sans-serif"/>
                <w:b w:val="false"/>
                <w:color w:val="000000"/>
                <w:sz w:val="16"/>
              </w:rPr>
              <w:t xml:space="preserve">Par plus a customary “make-whole” premium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On or after June 1, 2026:</w:t>
            </w:r>
            <w:r>
              <w:rPr>
                <w:color w:val="000000"/>
              </w:rPr>
              <w:t xml:space="preserve"> </w:t>
            </w:r>
            <w:r>
              <w:rPr>
                <w:rFonts w:ascii="Arial;sans-serif" w:hAnsi="Arial;sans-serif"/>
                <w:b w:val="false"/>
                <w:color w:val="000000"/>
                <w:sz w:val="16"/>
              </w:rPr>
              <w:t>Par</w:t>
            </w:r>
          </w:p>
        </w:tc>
      </w:tr>
    </w:tbl>
    <w:p>
      <w:pPr>
        <w:pStyle w:val="TextBody"/>
        <w:bidi w:val="0"/>
        <w:spacing w:lineRule="auto" w:line="288" w:before="0" w:after="180"/>
        <w:jc w:val="left"/>
        <w:rPr/>
      </w:pPr>
      <w:r>
        <w:rPr>
          <w:rFonts w:ascii="Arial;sans-serif" w:hAnsi="Arial;sans-serif"/>
          <w:b w:val="false"/>
          <w:i/>
          <w:color w:val="000000"/>
          <w:sz w:val="18"/>
        </w:rPr>
        <w:t>Credit Agreement</w:t>
      </w:r>
      <w:r>
        <w:rPr>
          <w:rFonts w:ascii="Times New Roman;sans-serif" w:hAnsi="Times New Roman;sans-serif"/>
          <w:b w:val="false"/>
          <w:i/>
          <w:color w:val="000000"/>
          <w:sz w:val="20"/>
        </w:rPr>
        <w:t>.</w:t>
      </w:r>
      <w:r>
        <w:rPr>
          <w:color w:val="000000"/>
        </w:rPr>
        <w:t xml:space="preserve"> </w:t>
      </w:r>
      <w:r>
        <w:rPr>
          <w:rFonts w:ascii="Arial;sans-serif" w:hAnsi="Arial;sans-serif"/>
          <w:b w:val="false"/>
          <w:color w:val="000000"/>
          <w:sz w:val="18"/>
        </w:rPr>
        <w:t>The Credit Agreement governs the RCF, TLB-1, TLB-2, and LCF. 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LCF, and solely during a compliance period (i.e., when RCF cash borrowings exceed 50% of revolving commitments), the Credit Agreement requires TES’s consolidated first lien net leverage ratio not to exceed 4.25x. This financial covenant does not apply to the TLB-1 or TLB-2. The Credit Agreement also contains customary representations and warranties, events of default, and remedies (including acceleration of amounts due and (or) termination of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6"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92</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Interest on the Secured Notes is payable semi-annually on June 1 and December 1 of each year and at maturity. The Secured Notes are subject to customary negative covenants, including but not limited to certain limitations on incurrence of liens and additional indebtedness, making investments, payment of dividends, and transactions involving the Susquehanna assets, but do not contain any financial covenants. The Secured Notes also contain customary affirmative covenants, events of default, and remedies (including acceleration).</w:t>
      </w:r>
    </w:p>
    <w:p>
      <w:pPr>
        <w:pStyle w:val="TextBody"/>
        <w:bidi w:val="0"/>
        <w:spacing w:lineRule="auto" w:line="288" w:before="0" w:after="180"/>
        <w:jc w:val="left"/>
        <w:rPr/>
      </w:pPr>
      <w:r>
        <w:rPr>
          <w:rFonts w:ascii="Arial;sans-serif" w:hAnsi="Arial;sans-serif"/>
          <w:b w:val="false"/>
          <w:i/>
          <w:color w:val="000000"/>
          <w:sz w:val="18"/>
        </w:rPr>
        <w:t>PEDFA Bonds.</w:t>
      </w:r>
      <w:r>
        <w:rPr>
          <w:color w:val="000000"/>
        </w:rPr>
        <w:t xml:space="preserve"> </w:t>
      </w:r>
      <w:r>
        <w:rPr>
          <w:rFonts w:ascii="Arial;sans-serif" w:hAnsi="Arial;sans-serif"/>
          <w:b w:val="false"/>
          <w:color w:val="000000"/>
          <w:sz w:val="18"/>
        </w:rPr>
        <w:t>The PEDFA 2009B and 2009C Bonds were issued by the PEDFA on behalf of TES, and TES then received the proceeds under corresponding back-to-back exempt facilities loan agreements with the PEDFA. Corresponding TES unsecured promissory notes for each series contain the applicable principal, interest, and prepayment provisions. The PEDFA Bonds bear interest at a fixed rate until the end of the current term rate period on June 1, 2027, at which time they are subject to mandatory remarketing during which TES may elect a different interest rate mode. Aside from principal amount and final maturity, the terms of the PEDFA 2009B Bonds and 2009C Bonds are substantially identical. The PEDFA Bonds are subject to customary affirmative and negative covenants appropriate for such tax-exempt facilities, including but not limited to limitations on incurrence of liens (but not unsecured indebtedness), and asset sales. The PEDFA Bonds are also subject customary events of default and remedies (including acceleration).</w:t>
      </w:r>
    </w:p>
    <w:p>
      <w:pPr>
        <w:pStyle w:val="TextBody"/>
        <w:bidi w:val="0"/>
        <w:spacing w:lineRule="auto" w:line="288" w:before="0" w:after="180"/>
        <w:jc w:val="left"/>
        <w:rPr/>
      </w:pPr>
      <w:r>
        <w:rPr>
          <w:rFonts w:ascii="Arial;sans-serif" w:hAnsi="Arial;sans-serif"/>
          <w:b w:val="false"/>
          <w:i/>
          <w:color w:val="000000"/>
          <w:sz w:val="18"/>
        </w:rPr>
        <w:t>Secured ISDAs.</w:t>
      </w:r>
      <w:r>
        <w:rPr>
          <w:color w:val="000000"/>
        </w:rPr>
        <w:t xml:space="preserve"> </w:t>
      </w:r>
      <w:r>
        <w:rPr>
          <w:rFonts w:ascii="Arial;sans-serif" w:hAnsi="Arial;sans-serif"/>
          <w:b w:val="false"/>
          <w:color w:val="000000"/>
          <w:sz w:val="18"/>
        </w:rPr>
        <w:t>Talen Energy Marketing is party to certain Secured ISDAs, under which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$17 million</w:t>
      </w:r>
      <w:r>
        <w:rPr>
          <w:color w:val="000000"/>
          <w:shd w:fill="FFFFFF" w:val="clear"/>
        </w:rPr>
        <w:t xml:space="preserve"> </w:t>
      </w:r>
      <w:r>
        <w:rPr>
          <w:rFonts w:ascii="Arial;sans-serif" w:hAnsi="Arial;sans-serif"/>
          <w:b w:val="false"/>
          <w:color w:val="000000"/>
          <w:sz w:val="18"/>
        </w:rPr>
        <w:t>as of December 31, 2024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Security Interests, Guarantees, and Cross-Defaults</w:t>
      </w:r>
    </w:p>
    <w:p>
      <w:pPr>
        <w:pStyle w:val="TextBody"/>
        <w:bidi w:val="0"/>
        <w:spacing w:lineRule="auto" w:line="288" w:before="0" w:after="180"/>
        <w:jc w:val="left"/>
        <w:rPr/>
      </w:pPr>
      <w:r>
        <w:rPr>
          <w:rFonts w:ascii="Arial;sans-serif" w:hAnsi="Arial;sans-serif"/>
          <w:b w:val="false"/>
          <w:i/>
          <w:color w:val="000000"/>
          <w:sz w:val="18"/>
        </w:rPr>
        <w:t>Secured Obligations.</w:t>
      </w:r>
      <w:r>
        <w:rPr>
          <w:color w:val="000000"/>
        </w:rPr>
        <w:t xml:space="preserve"> </w:t>
      </w:r>
      <w:r>
        <w:rPr>
          <w:rFonts w:ascii="Arial;sans-serif" w:hAnsi="Arial;sans-serif"/>
          <w:b w:val="false"/>
          <w:color w:val="000000"/>
          <w:sz w:val="18"/>
        </w:rPr>
        <w:t>The obligations under the Credit Facilities, Secured Notes, and Secured ISDAs are secured by a first-priority lien on and security interest in substantially all of the assets of TES and the Subsidiary Guarantors. The Subsidiary Guarantors guarantee TES’s obligations under the Credit Facilities and the Secured Notes. TES and the Subsidiary Guarantors guarantee Talen Energy Marketing’s obligations under the Secured ISDAs. The amount for which TES and the Subsidiary Guarantors may be liable is equal to the amount of obligations outstanding under such agreements and may also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pStyle w:val="TextBody"/>
        <w:bidi w:val="0"/>
        <w:spacing w:lineRule="auto" w:line="288" w:before="0" w:after="180"/>
        <w:jc w:val="left"/>
        <w:rPr/>
      </w:pPr>
      <w:r>
        <w:rPr>
          <w:rFonts w:ascii="Arial;sans-serif" w:hAnsi="Arial;sans-serif"/>
          <w:b w:val="false"/>
          <w:i/>
          <w:color w:val="000000"/>
          <w:sz w:val="18"/>
        </w:rPr>
        <w:t>Unsecured Obligations.</w:t>
      </w:r>
      <w:r>
        <w:rPr>
          <w:color w:val="000000"/>
        </w:rPr>
        <w:t xml:space="preserve"> </w:t>
      </w:r>
      <w:r>
        <w:rPr>
          <w:rFonts w:ascii="Arial;sans-serif" w:hAnsi="Arial;sans-serif"/>
          <w:b w:val="false"/>
          <w:color w:val="000000"/>
          <w:sz w:val="18"/>
        </w:rPr>
        <w:t>The PEDFA Bonds are senior unsecured obligations of TES that are effectively subordinated to TES’s secured obligations, including the Credit Facilities, Secured Notes, and Secured ISDAs, to the extent of the value of the assets securing those obligations. Certain of the Subsidiary Guarantors also guarantee TES’s obligations under the PEDFA Bonds. These guarantees are the general unsecured obligations of such Subsidiary Guarantors, rank equally with all of their other senior unsecured indebtedness, and are effectively subordinated to their secured obligations, including guarantees under the Credit Facilities, Secured Notes, and Secured ISDAs, to the extent of the value of the assets securing those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Recent Transactions</w:t>
      </w:r>
    </w:p>
    <w:p>
      <w:pPr>
        <w:pStyle w:val="TextBody"/>
        <w:bidi w:val="0"/>
        <w:spacing w:lineRule="auto" w:line="288" w:before="0" w:after="18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 January 2025, the indenture governing the Secured Notes was amended to, among other things: (i) modify certain provisions, including certain covenants and related definitions, in order to substantially conform to the corresponding amendments to the Credit Agreement obtained in the December 2024 transactions discussed below; and (ii) waive TES’s right to optionally redeem up to 10% of the Secured Notes at a price of 103% of par prior to June 1, 2025.</w:t>
      </w:r>
    </w:p>
    <w:p>
      <w:pPr>
        <w:pStyle w:val="TextBody"/>
        <w:bidi w:val="0"/>
        <w:spacing w:lineRule="auto" w:line="288" w:before="0" w:after="0"/>
        <w:jc w:val="left"/>
        <w:rPr/>
      </w:pPr>
      <w:r>
        <w:rPr>
          <w:rFonts w:ascii="Arial;sans-serif" w:hAnsi="Arial;sans-serif"/>
          <w:b w:val="false"/>
          <w:i/>
          <w:color w:val="000000"/>
          <w:sz w:val="18"/>
        </w:rPr>
        <w:t>Credit Facilities.</w:t>
      </w:r>
      <w:r>
        <w:rPr>
          <w:color w:val="000000"/>
        </w:rPr>
        <w:t xml:space="preserve"> </w:t>
      </w:r>
      <w:r>
        <w:rPr>
          <w:rFonts w:ascii="Arial;sans-serif" w:hAnsi="Arial;sans-serif"/>
          <w:b w:val="false"/>
          <w:color w:val="000000"/>
          <w:sz w:val="18"/>
        </w:rPr>
        <w:t xml:space="preserve">In December 2024, TES completed several refinancing transactions: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TLB-2: Issued a new $850 million TLB-2, the proceeds of which were used, together with cash on hand, to repurchase shares of our outstanding common stock from Rubric. See Note 18 for additional information on repurchases of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TLB-1: Repriced the existing $857 million TLB-1 to reduce the current interest rate margin by 100 basis points (to SOFR plus 250 basis points, with further leverage-based step downs available) to align pricing with the new TLB-2.</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RCF: Repriced the existing $700 million RCF to reduce the current interest rate margin by 100 basis points (to SOFR plus 200 basis points, with further leverage-based step downs available), increased revolving LC capacity from $475 million to $700 million, and extended the maturity from May 2028 to December 2029.</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LCF: Issued a new $900 million standalone secured LCF to transition LCs from the TLC LCF and Bilateral LCF. LCs issued under the LCF are subject to an LC fee of 2.00% per annum (with leverage-based step downs available) plus a fronting fee of 0.125% per annum.</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TLC/TLC LCF: Repaid in full the $470 million TLC utilizing the restricted cash collateralizing the TLC LCF, and terminated the TLC and associated $470 million TLC LCF.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7"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93</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Bilateral LCF: Terminated the $75 million Bilateral LCF.</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connection with these transactions, the requisite lenders under the Credit Agreement also consented to certain amendments, among other things, increasing the Company’s flexibility for restricted payments, investments, and dispositions under the Credit Facilities. As a result of these transactions, the Company derecognized the carrying value of the extinguished TLC and presents the carrying value of the newly issued TLB-2 on the Consolidated Balance Sheet.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May 2024, TES repriced the TLB-1 and TLC, and the lenders, as part of these debt modifications, agreed to waive mandatory prepayment obligations related to the ERCOT Sale. See Note 20 for additional information on the ERCOT Sale. Additionally, the lenders under the TLB-1, TLC, and RCF consented to certain other covenant improvements. </w:t>
      </w:r>
    </w:p>
    <w:p>
      <w:pPr>
        <w:pStyle w:val="TextBody"/>
        <w:bidi w:val="0"/>
        <w:spacing w:lineRule="auto" w:line="288" w:before="0" w:after="180"/>
        <w:jc w:val="left"/>
        <w:rPr/>
      </w:pPr>
      <w:r>
        <w:rPr>
          <w:rFonts w:ascii="Arial;sans-serif" w:hAnsi="Arial;sans-serif"/>
          <w:b w:val="false"/>
          <w:i/>
          <w:color w:val="000000"/>
          <w:sz w:val="18"/>
        </w:rPr>
        <w:t>PEDFA Bonds.</w:t>
      </w:r>
      <w:r>
        <w:rPr>
          <w:color w:val="000000"/>
        </w:rPr>
        <w:t xml:space="preserve"> </w:t>
      </w:r>
      <w:r>
        <w:rPr>
          <w:rFonts w:ascii="Arial;sans-serif" w:hAnsi="Arial;sans-serif"/>
          <w:b w:val="false"/>
          <w:color w:val="000000"/>
          <w:sz w:val="18"/>
        </w:rPr>
        <w:t>In June 2024, TES completed the remarketing of its outstanding $50 million in PEDFA 2009B Bonds and $81 million in PEDFA 2009C Bonds. As part of the remarketing, (i) the PEDFA Bonds were transitioned from a variable daily interest rate to a fixed term rate of 5.25% until June 1, 2027, at which time they are subject to mandatory remarketing during which TES may elect a different interest rate mode; (ii) $133 million of TES LCs that had previously supported the PEDFA Bonds were terminated; (iii) mandatory repurchase and optional redemption provisions were modified; and (iv) certain covenants relating to changes of control, incurrence of liens, and asset sales were amended and became operative. The remarketing transaction is excluded from the Consolidated Statements of Cash Flows as a non-cash item.</w:t>
      </w:r>
    </w:p>
    <w:p>
      <w:pPr>
        <w:pStyle w:val="TextBody"/>
        <w:bidi w:val="0"/>
        <w:spacing w:lineRule="auto" w:line="288" w:before="0" w:after="180"/>
        <w:jc w:val="left"/>
        <w:rPr/>
      </w:pPr>
      <w:r>
        <w:rPr>
          <w:rFonts w:ascii="Arial;sans-serif" w:hAnsi="Arial;sans-serif"/>
          <w:b w:val="false"/>
          <w:i/>
          <w:color w:val="000000"/>
          <w:sz w:val="18"/>
        </w:rPr>
        <w:t>Cumulus Digital TLF Repayment.</w:t>
      </w:r>
      <w:r>
        <w:rPr>
          <w:color w:val="000000"/>
        </w:rPr>
        <w:t xml:space="preserve"> </w:t>
      </w:r>
      <w:r>
        <w:rPr>
          <w:rFonts w:ascii="Arial;sans-serif" w:hAnsi="Arial;sans-serif"/>
          <w:b w:val="false"/>
          <w:color w:val="000000"/>
          <w:sz w:val="18"/>
        </w:rPr>
        <w:t>In connection with the AWS Data Campus Sale, the Cumulus Digital TLF was paid in full in March 2024, together with all accrued interest and other outstanding amounts, and related liens, guarantees, and LCs were released and terminated. See Note 20 for additional information on the AWS Data Campus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14. Fair Value</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Recurring Fair Value Measurements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Financial assets and liabilities reported at fair value on a recurring basis primarily include energy commodity derivatives, interest rate derivatives, and investments held within the NDT.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classifications of recurring fair value measurements within the fair value hierarchy were:</w:t>
      </w:r>
    </w:p>
    <w:tbl>
      <w:tblPr>
        <w:tblW w:w="12737" w:type="dxa"/>
        <w:jc w:val="left"/>
        <w:tblInd w:w="0" w:type="dxa"/>
        <w:tblLayout w:type="fixed"/>
        <w:tblCellMar>
          <w:top w:w="28" w:type="dxa"/>
          <w:left w:w="28" w:type="dxa"/>
          <w:bottom w:w="28" w:type="dxa"/>
          <w:right w:w="28" w:type="dxa"/>
        </w:tblCellMar>
      </w:tblPr>
      <w:tblGrid>
        <w:gridCol w:w="432"/>
        <w:gridCol w:w="300"/>
        <w:gridCol w:w="304"/>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4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2316" w:type="dxa"/>
            <w:gridSpan w:val="12"/>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2316" w:type="dxa"/>
            <w:gridSpan w:val="12"/>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Netting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Netting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3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securities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Receivables (payables), net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NDT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(156)</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1,064</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1,670</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(257)</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(a)Amounts represent netting pursuant to master netting arrangements and cash collateral held or placed with the same counterparty.</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(b)Includes commingled equity and fixed income funds and real estate investment trusts.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(c)Represents: (i) interest and dividends earned but not received; and (ii) net sold or purchased investments, but not settled.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There were no recurring fair value measurements classified as Level 3 as of December 31, 2024 (Successor) and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8"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94</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Nonrecurring Fair Value Measurements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There were no nonrecurring fair value measurements related to impairments of long-lived assets during the year ended December 31, 2024 (Successor) and for the period from May 18 through December 31, 2023 (Successor). See Note 4 for information on the nonrecurring fair value measurements resulting in the application of fresh start accounting and Note 10 for information on the nonrecurring fair value measurement of Brandon Shores during the period from January 1 through May 17, 2023 (Predecessor).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Reported Fair Value</w:t>
      </w:r>
    </w:p>
    <w:p>
      <w:pPr>
        <w:pStyle w:val="TextBody"/>
        <w:bidi w:val="0"/>
        <w:spacing w:lineRule="auto" w:line="288" w:before="0" w:after="180"/>
        <w:jc w:val="left"/>
        <w:rPr/>
      </w:pPr>
      <w:r>
        <w:rPr>
          <w:rFonts w:ascii="Arial;sans-serif" w:hAnsi="Arial;sans-serif"/>
          <w:b w:val="false"/>
          <w:color w:val="000000"/>
          <w:sz w:val="18"/>
        </w:rPr>
        <w:t>The carrying value of certain financial assets and liabilities on the Consolidated Balance Sheets, including “Cash and cash equivalents</w:t>
      </w:r>
      <w:r>
        <w:rPr>
          <w:rFonts w:ascii="Arial;sans-serif" w:hAnsi="Arial;sans-serif"/>
          <w:b w:val="false"/>
          <w:i/>
          <w:color w:val="000000"/>
          <w:sz w:val="18"/>
        </w:rPr>
        <w:t>,</w:t>
      </w:r>
      <w:r>
        <w:rPr>
          <w:color w:val="000000"/>
        </w:rPr>
        <w:t>” “</w:t>
      </w:r>
      <w:r>
        <w:rPr>
          <w:rFonts w:ascii="Arial;sans-serif" w:hAnsi="Arial;sans-serif"/>
          <w:b w:val="false"/>
          <w:color w:val="000000"/>
          <w:sz w:val="18"/>
        </w:rPr>
        <w:t>Restricted cash and cash equivalents</w:t>
      </w:r>
      <w:r>
        <w:rPr>
          <w:rFonts w:ascii="Arial;sans-serif" w:hAnsi="Arial;sans-serif"/>
          <w:b w:val="false"/>
          <w:i/>
          <w:color w:val="000000"/>
          <w:sz w:val="18"/>
        </w:rPr>
        <w:t>,</w:t>
      </w:r>
      <w:r>
        <w:rPr>
          <w:color w:val="000000"/>
        </w:rPr>
        <w:t>” “</w:t>
      </w:r>
      <w:r>
        <w:rPr>
          <w:rFonts w:ascii="Arial;sans-serif" w:hAnsi="Arial;sans-serif"/>
          <w:b w:val="false"/>
          <w:color w:val="000000"/>
          <w:sz w:val="18"/>
        </w:rPr>
        <w:t>Accounts receivable</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and “Accounts payable and other accrued liabilities” approximate fair value.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carrying value and fair value of indebtedness presented on the Consolidated Balance Sheets were:</w:t>
      </w:r>
    </w:p>
    <w:tbl>
      <w:tblPr>
        <w:tblW w:w="8177" w:type="dxa"/>
        <w:jc w:val="left"/>
        <w:tblInd w:w="0" w:type="dxa"/>
        <w:tblLayout w:type="fixed"/>
        <w:tblCellMar>
          <w:top w:w="28" w:type="dxa"/>
          <w:left w:w="28" w:type="dxa"/>
          <w:bottom w:w="28" w:type="dxa"/>
          <w:right w:w="28" w:type="dxa"/>
        </w:tblCellMar>
      </w:tblPr>
      <w:tblGrid>
        <w:gridCol w:w="917"/>
        <w:gridCol w:w="806"/>
        <w:gridCol w:w="811"/>
        <w:gridCol w:w="109"/>
        <w:gridCol w:w="109"/>
        <w:gridCol w:w="109"/>
        <w:gridCol w:w="287"/>
        <w:gridCol w:w="814"/>
        <w:gridCol w:w="159"/>
        <w:gridCol w:w="109"/>
        <w:gridCol w:w="109"/>
        <w:gridCol w:w="109"/>
        <w:gridCol w:w="201"/>
        <w:gridCol w:w="572"/>
        <w:gridCol w:w="112"/>
        <w:gridCol w:w="109"/>
        <w:gridCol w:w="109"/>
        <w:gridCol w:w="109"/>
        <w:gridCol w:w="287"/>
        <w:gridCol w:w="814"/>
        <w:gridCol w:w="159"/>
        <w:gridCol w:w="109"/>
        <w:gridCol w:w="109"/>
        <w:gridCol w:w="109"/>
        <w:gridCol w:w="201"/>
        <w:gridCol w:w="571"/>
        <w:gridCol w:w="158"/>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Long-term debt</w:t>
            </w:r>
            <w:r>
              <w:rPr>
                <w:color w:val="000000"/>
              </w:rPr>
              <w:t xml:space="preserv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3,004 </w:t>
            </w:r>
          </w:p>
        </w:tc>
        <w:tc>
          <w:tcPr>
            <w:tcW w:w="1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2,820 </w:t>
            </w:r>
          </w:p>
        </w:tc>
        <w:tc>
          <w:tcPr>
            <w:tcW w:w="1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2,934 </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short-term indebtedness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(a)Aggregate value of “Long-term debt” and “Long-term debt, due within one year” presented on the Consolidated Balance Sheets.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(b)Presented as “Other current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15. Postretirement Benefit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TES and certain subsidiaries sponsor postemployment benefits which include defined benefit pension plans, health and welfare postretirement plans (other postretirement benefit plans), and a defined contribution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Pension and Other Postretirement Defined Benefit Plans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pStyle w:val="TextBody"/>
        <w:bidi w:val="0"/>
        <w:spacing w:lineRule="auto" w:line="288" w:before="0" w:after="180"/>
        <w:jc w:val="left"/>
        <w:rPr/>
      </w:pPr>
      <w:r>
        <w:rPr>
          <w:rFonts w:ascii="Arial;sans-serif" w:hAnsi="Arial;sans-serif"/>
          <w:b w:val="false"/>
          <w:i/>
          <w:color w:val="000000"/>
          <w:sz w:val="18"/>
        </w:rPr>
        <w:t>Funded Status.</w:t>
      </w:r>
      <w:r>
        <w:rPr>
          <w:color w:val="000000"/>
        </w:rPr>
        <w:t xml:space="preserve"> </w:t>
      </w:r>
      <w:r>
        <w:rPr>
          <w:rFonts w:ascii="Arial;sans-serif" w:hAnsi="Arial;sans-serif"/>
          <w:b w:val="false"/>
          <w:color w:val="000000"/>
          <w:sz w:val="18"/>
        </w:rPr>
        <w:t>The net fair value of underfunded defined benefit pension and other postretirement plans are presented as “Postretirement benefit obligations” on the Consolidated Balance Sheets. Certain other postretirement plans were overfunded by $36 million and $33 million as of December 31, 2024 (Successor) and 2023 (Successor), respectively, and are presented as “Other noncurrent assets” on the Consolidated Balance Sheets. The current portion of certain unfunded postretirement obligations were non-material.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9"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95</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aggregate funded status and the weighted average assumptions for the periods were:</w:t>
      </w:r>
    </w:p>
    <w:tbl>
      <w:tblPr>
        <w:tblW w:w="10205" w:type="dxa"/>
        <w:jc w:val="left"/>
        <w:tblInd w:w="0" w:type="dxa"/>
        <w:tblLayout w:type="fixed"/>
        <w:tblCellMar>
          <w:top w:w="28" w:type="dxa"/>
          <w:left w:w="28" w:type="dxa"/>
          <w:bottom w:w="28" w:type="dxa"/>
          <w:right w:w="28" w:type="dxa"/>
        </w:tblCellMar>
      </w:tblPr>
      <w:tblGrid>
        <w:gridCol w:w="1339"/>
        <w:gridCol w:w="996"/>
        <w:gridCol w:w="1003"/>
        <w:gridCol w:w="109"/>
        <w:gridCol w:w="109"/>
        <w:gridCol w:w="109"/>
        <w:gridCol w:w="337"/>
        <w:gridCol w:w="983"/>
        <w:gridCol w:w="440"/>
        <w:gridCol w:w="109"/>
        <w:gridCol w:w="109"/>
        <w:gridCol w:w="109"/>
        <w:gridCol w:w="368"/>
        <w:gridCol w:w="1074"/>
        <w:gridCol w:w="481"/>
        <w:gridCol w:w="109"/>
        <w:gridCol w:w="109"/>
        <w:gridCol w:w="109"/>
        <w:gridCol w:w="109"/>
        <w:gridCol w:w="109"/>
        <w:gridCol w:w="109"/>
        <w:gridCol w:w="342"/>
        <w:gridCol w:w="1000"/>
        <w:gridCol w:w="534"/>
      </w:tblGrid>
      <w:tr>
        <w:trPr/>
        <w:tc>
          <w:tcPr>
            <w:tcW w:w="133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benefit obligation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Resolved litigation settlement and other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Benefit obligation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1,202</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1,308</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1,271</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assets fair value 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on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benefits paid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Plan assets fair value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Funded status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(291)</w:t>
            </w:r>
          </w:p>
        </w:tc>
        <w:tc>
          <w:tcPr>
            <w:tcW w:w="4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(333)</w:t>
            </w:r>
          </w:p>
        </w:tc>
        <w:tc>
          <w:tcPr>
            <w:tcW w:w="4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w:t>
            </w:r>
          </w:p>
        </w:tc>
        <w:tc>
          <w:tcPr>
            <w:tcW w:w="5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1,202</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1,308</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1,271</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Aggregate amounts of underfunded plans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recognized in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Assumptions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crediting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4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48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53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3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5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100"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96</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356"/>
        <w:gridCol w:w="1015"/>
        <w:gridCol w:w="1022"/>
        <w:gridCol w:w="109"/>
        <w:gridCol w:w="109"/>
        <w:gridCol w:w="109"/>
        <w:gridCol w:w="416"/>
        <w:gridCol w:w="757"/>
        <w:gridCol w:w="546"/>
        <w:gridCol w:w="109"/>
        <w:gridCol w:w="109"/>
        <w:gridCol w:w="109"/>
        <w:gridCol w:w="463"/>
        <w:gridCol w:w="817"/>
        <w:gridCol w:w="607"/>
        <w:gridCol w:w="109"/>
        <w:gridCol w:w="109"/>
        <w:gridCol w:w="109"/>
        <w:gridCol w:w="109"/>
        <w:gridCol w:w="109"/>
        <w:gridCol w:w="109"/>
        <w:gridCol w:w="410"/>
        <w:gridCol w:w="850"/>
        <w:gridCol w:w="638"/>
      </w:tblGrid>
      <w:tr>
        <w:trPr/>
        <w:tc>
          <w:tcPr>
            <w:tcW w:w="1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benefit obligation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amendments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participant contributions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Benefit obligation ending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5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60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6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assets fair value beginning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participant contributions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Plan assets fair value ending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5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60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6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Funded 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Aggregate amounts of underfunded plans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 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recognized in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accumulated other comprehensive income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5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60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54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60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63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9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of compensation increase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5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60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63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During the year ended December 31, 2024 (Successor), the decrease in postretirement benefit obligations was primarily attributable to increasing interest rates, offset by actual returns being less than expected returns on plan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March 2024, $10 million of excess assets from the PA Mines United Mine Workers of America (“UMWA”) Plan VEBA were transferred to a separate VEBA, which provides benefits for participants in Talen’s health and welfare “wrap plan.” As such assets were not presented on the Consolidated Balance Sheets prior to the transfer of the assets from the VEBA, a transfer gain of $10 million was recognized for the year ended December 31, 2024 (Successor) and presented as “Other non-operating income (expense), net” on the Consolidated Statements of Operations.</w:t>
      </w:r>
    </w:p>
    <w:p>
      <w:pPr>
        <w:pStyle w:val="TextBody"/>
        <w:bidi w:val="0"/>
        <w:spacing w:lineRule="auto" w:line="288" w:before="0" w:after="180"/>
        <w:jc w:val="left"/>
        <w:rPr/>
      </w:pPr>
      <w:r>
        <w:rPr>
          <w:rFonts w:ascii="Arial;sans-serif" w:hAnsi="Arial;sans-serif"/>
          <w:b w:val="false"/>
          <w:i/>
          <w:color w:val="000000"/>
          <w:sz w:val="18"/>
        </w:rPr>
        <w:t>Net Periodic Benefit Cost and Amounts Recognized in OCI.</w:t>
      </w:r>
      <w:r>
        <w:rPr>
          <w:color w:val="000000"/>
        </w:rPr>
        <w:t xml:space="preserve"> </w:t>
      </w:r>
      <w:r>
        <w:rPr>
          <w:rFonts w:ascii="Arial;sans-serif" w:hAnsi="Arial;sans-serif"/>
          <w:b w:val="false"/>
          <w:color w:val="000000"/>
          <w:sz w:val="18"/>
        </w:rPr>
        <w:t>Service cost is presented as “Postretirement benefits service (credit) costs, net,” while the other components of net periodic defined benefit cost (credit) for pension and other postretirement plans are presented as “Operation, maintenance and development” on the Consolidated Statements of Operations. The portion of net periodic benefit cost capitalized during the year ended December 31, 2024 (Successor) and during the periods from May 18 through December 31, 2023 (Successor), and during the periods from January 1 through May 17, 2023 (Predecessor)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101"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97</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net periodic benefit cost (credit), the amounts recognized in OCI and the associated weighted average assumptions for pension and other postretirement plans for the periods were:</w:t>
      </w:r>
    </w:p>
    <w:tbl>
      <w:tblPr>
        <w:tblW w:w="10205" w:type="dxa"/>
        <w:jc w:val="left"/>
        <w:tblInd w:w="0" w:type="dxa"/>
        <w:tblLayout w:type="fixed"/>
        <w:tblCellMar>
          <w:top w:w="28" w:type="dxa"/>
          <w:left w:w="28" w:type="dxa"/>
          <w:bottom w:w="28" w:type="dxa"/>
          <w:right w:w="28" w:type="dxa"/>
        </w:tblCellMar>
      </w:tblPr>
      <w:tblGrid>
        <w:gridCol w:w="1210"/>
        <w:gridCol w:w="654"/>
        <w:gridCol w:w="656"/>
        <w:gridCol w:w="109"/>
        <w:gridCol w:w="109"/>
        <w:gridCol w:w="109"/>
        <w:gridCol w:w="354"/>
        <w:gridCol w:w="626"/>
        <w:gridCol w:w="465"/>
        <w:gridCol w:w="109"/>
        <w:gridCol w:w="109"/>
        <w:gridCol w:w="109"/>
        <w:gridCol w:w="382"/>
        <w:gridCol w:w="674"/>
        <w:gridCol w:w="501"/>
        <w:gridCol w:w="109"/>
        <w:gridCol w:w="109"/>
        <w:gridCol w:w="109"/>
        <w:gridCol w:w="109"/>
        <w:gridCol w:w="109"/>
        <w:gridCol w:w="109"/>
        <w:gridCol w:w="329"/>
        <w:gridCol w:w="683"/>
        <w:gridCol w:w="430"/>
        <w:gridCol w:w="109"/>
        <w:gridCol w:w="109"/>
        <w:gridCol w:w="109"/>
        <w:gridCol w:w="109"/>
        <w:gridCol w:w="387"/>
        <w:gridCol w:w="506"/>
        <w:gridCol w:w="604"/>
      </w:tblGrid>
      <w:tr>
        <w:trPr/>
        <w:tc>
          <w:tcPr>
            <w:tcW w:w="121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1497" w:type="dxa"/>
            <w:gridSpan w:val="3"/>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1497" w:type="dxa"/>
            <w:gridSpan w:val="3"/>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costs (credits):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4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5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net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Resolved litigation settlement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defined benefit cost (credit)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5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4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6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Reclassifications due to settlement and (or) curtailment: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net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OCI</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5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4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6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net periodic costs and 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Assumptions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of compensation increase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6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50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6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4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5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4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5.75 </w:t>
            </w:r>
          </w:p>
        </w:tc>
        <w:tc>
          <w:tcPr>
            <w:tcW w:w="6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10"/>
        <w:gridCol w:w="654"/>
        <w:gridCol w:w="657"/>
        <w:gridCol w:w="109"/>
        <w:gridCol w:w="109"/>
        <w:gridCol w:w="109"/>
        <w:gridCol w:w="351"/>
        <w:gridCol w:w="634"/>
        <w:gridCol w:w="460"/>
        <w:gridCol w:w="109"/>
        <w:gridCol w:w="109"/>
        <w:gridCol w:w="109"/>
        <w:gridCol w:w="354"/>
        <w:gridCol w:w="736"/>
        <w:gridCol w:w="466"/>
        <w:gridCol w:w="109"/>
        <w:gridCol w:w="109"/>
        <w:gridCol w:w="109"/>
        <w:gridCol w:w="109"/>
        <w:gridCol w:w="109"/>
        <w:gridCol w:w="109"/>
        <w:gridCol w:w="329"/>
        <w:gridCol w:w="683"/>
        <w:gridCol w:w="430"/>
        <w:gridCol w:w="109"/>
        <w:gridCol w:w="109"/>
        <w:gridCol w:w="109"/>
        <w:gridCol w:w="109"/>
        <w:gridCol w:w="387"/>
        <w:gridCol w:w="506"/>
        <w:gridCol w:w="604"/>
      </w:tblGrid>
      <w:tr>
        <w:trPr/>
        <w:tc>
          <w:tcPr>
            <w:tcW w:w="121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2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Postretirement Benefits</w:t>
            </w:r>
          </w:p>
        </w:tc>
        <w:tc>
          <w:tcPr>
            <w:tcW w:w="1497" w:type="dxa"/>
            <w:gridSpan w:val="3"/>
            <w:tcBorders/>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1497" w:type="dxa"/>
            <w:gridSpan w:val="3"/>
            <w:tcBorders/>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costs (credits):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prior service cost (credit)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defined benefit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Reclassifications due to settlement and (or) curtailment: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net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net periodic costs and OCI</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4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6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46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46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4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6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46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46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4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6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Health care grading trend rates </w:t>
            </w:r>
            <w:r>
              <w:rPr>
                <w:rFonts w:ascii="Arial;sans-serif" w:hAnsi="Arial;sans-serif"/>
                <w:b w:val="false"/>
                <w:color w:val="000000"/>
                <w:sz w:val="10"/>
              </w:rPr>
              <w:t>(a)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7.10% to 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6.50% to 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6.50% to 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6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(a)Trend rates grading to 2027.</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September 2024, the Company approved a plan amendment for certain other postretirement benefit plans, resulting in the recognition of prior service credits of $21 million and presented as “Postretirement benefit prior service (credits) costs, net” on the Consolidated Statements of Comprehensive Income (Loss).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12 for additional information on recently resolved litigation regarding certain of our defined benefit pension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2"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98</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pStyle w:val="TextBody"/>
        <w:bidi w:val="0"/>
        <w:spacing w:lineRule="auto" w:line="288" w:before="0" w:after="180"/>
        <w:jc w:val="left"/>
        <w:rPr/>
      </w:pPr>
      <w:r>
        <w:rPr>
          <w:rFonts w:ascii="Arial;sans-serif" w:hAnsi="Arial;sans-serif"/>
          <w:b w:val="false"/>
          <w:i/>
          <w:color w:val="000000"/>
          <w:sz w:val="18"/>
        </w:rPr>
        <w:t>Contributions and Payments</w:t>
      </w:r>
      <w:r>
        <w:rPr>
          <w:rFonts w:ascii="Arial;sans-serif" w:hAnsi="Arial;sans-serif"/>
          <w:b w:val="false"/>
          <w:color w:val="000000"/>
          <w:sz w:val="18"/>
        </w:rPr>
        <w:t>. TES contributed $43 million and $5 million to the TES sponsored pension plan during the year ended December 31, 2024 (Successor) and the period from May 18 through December 31, 2023 (Successor), respectively. There were no contributions for the pension plans during the period from January 1 through May 17, 2023 (Predecessor). Talen Montana contributed $10 million, $4 million, and $2 million of discretionary contributions to the Talen Montana sponsored pension plan during the year ended December 31, 2024 (Successor) and for the periods from May 18 through December 31, 2023 (Successor), and January 1 through May 17, 2023 (Predecessor), respectively, to the Talen Montana pension plan.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TES expects to contribute $65 million to the TES sponsored pension plan in 2025. Talen Montana expects to contribute $8 million of discretionary contributions to the Talen Montana sponsored pension plan in 2025, of which $4 million is expected to be collected by Talen Montana from the other joint owners of Colstrip.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aggregate benefits paid to pension and other postretirement plan participants was $114 million for year ended December 31, 2024 (Successor), $60 million during the period from May 18 through December 31, 2023 (Successor), and $38 million during the period from January 1 through May 17, 2023 (Predecessor).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forecasted undiscounted benefit payments to plan participants as of December 31, 2024 (Successor) were: </w:t>
      </w:r>
    </w:p>
    <w:tbl>
      <w:tblPr>
        <w:tblW w:w="8358" w:type="dxa"/>
        <w:jc w:val="left"/>
        <w:tblInd w:w="0" w:type="dxa"/>
        <w:tblLayout w:type="fixed"/>
        <w:tblCellMar>
          <w:top w:w="28" w:type="dxa"/>
          <w:left w:w="28" w:type="dxa"/>
          <w:bottom w:w="28" w:type="dxa"/>
          <w:right w:w="28" w:type="dxa"/>
        </w:tblCellMar>
      </w:tblPr>
      <w:tblGrid>
        <w:gridCol w:w="746"/>
        <w:gridCol w:w="659"/>
        <w:gridCol w:w="664"/>
        <w:gridCol w:w="109"/>
        <w:gridCol w:w="109"/>
        <w:gridCol w:w="109"/>
        <w:gridCol w:w="196"/>
        <w:gridCol w:w="331"/>
        <w:gridCol w:w="109"/>
        <w:gridCol w:w="109"/>
        <w:gridCol w:w="109"/>
        <w:gridCol w:w="109"/>
        <w:gridCol w:w="109"/>
        <w:gridCol w:w="196"/>
        <w:gridCol w:w="331"/>
        <w:gridCol w:w="109"/>
        <w:gridCol w:w="109"/>
        <w:gridCol w:w="109"/>
        <w:gridCol w:w="109"/>
        <w:gridCol w:w="196"/>
        <w:gridCol w:w="331"/>
        <w:gridCol w:w="109"/>
        <w:gridCol w:w="109"/>
        <w:gridCol w:w="109"/>
        <w:gridCol w:w="109"/>
        <w:gridCol w:w="109"/>
        <w:gridCol w:w="196"/>
        <w:gridCol w:w="331"/>
        <w:gridCol w:w="109"/>
        <w:gridCol w:w="109"/>
        <w:gridCol w:w="109"/>
        <w:gridCol w:w="109"/>
        <w:gridCol w:w="196"/>
        <w:gridCol w:w="331"/>
        <w:gridCol w:w="109"/>
        <w:gridCol w:w="109"/>
        <w:gridCol w:w="109"/>
        <w:gridCol w:w="109"/>
        <w:gridCol w:w="236"/>
        <w:gridCol w:w="508"/>
        <w:gridCol w:w="185"/>
      </w:tblGrid>
      <w:tr>
        <w:trPr/>
        <w:tc>
          <w:tcPr>
            <w:tcW w:w="7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2030-2034</w:t>
            </w:r>
          </w:p>
        </w:tc>
      </w:tr>
      <w:tr>
        <w:trPr/>
        <w:tc>
          <w:tcPr>
            <w:tcW w:w="20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plans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8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i/>
          <w:color w:val="000000"/>
          <w:sz w:val="18"/>
        </w:rPr>
        <w:t>Pension plan assets.</w:t>
      </w:r>
      <w:r>
        <w:rPr>
          <w:color w:val="000000"/>
        </w:rPr>
        <w:t xml:space="preserve"> </w:t>
      </w:r>
      <w:r>
        <w:rPr>
          <w:rFonts w:ascii="Arial;sans-serif" w:hAnsi="Arial;sans-serif"/>
          <w:b w:val="false"/>
          <w:color w:val="000000"/>
          <w:sz w:val="18"/>
        </w:rPr>
        <w:t>Pension plan assets are held in external trusts, including a master trust, which includes a 401(h) account that is restricted for certain other postretirement benefit obligations of Talen Energy Supply. The plans’ investment policies outline investment objectives.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mitigate concentrations of risk with asset diversification.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weighted-average target asset allocations for the pension plan assets as of December 31, 2024 (Successor) were:</w:t>
      </w:r>
    </w:p>
    <w:tbl>
      <w:tblPr>
        <w:tblW w:w="3747" w:type="dxa"/>
        <w:jc w:val="left"/>
        <w:tblInd w:w="0" w:type="dxa"/>
        <w:tblLayout w:type="fixed"/>
        <w:tblCellMar>
          <w:top w:w="28" w:type="dxa"/>
          <w:left w:w="28" w:type="dxa"/>
          <w:bottom w:w="28" w:type="dxa"/>
          <w:right w:w="28" w:type="dxa"/>
        </w:tblCellMar>
      </w:tblPr>
      <w:tblGrid>
        <w:gridCol w:w="652"/>
        <w:gridCol w:w="573"/>
        <w:gridCol w:w="575"/>
        <w:gridCol w:w="109"/>
        <w:gridCol w:w="109"/>
        <w:gridCol w:w="109"/>
        <w:gridCol w:w="339"/>
        <w:gridCol w:w="339"/>
        <w:gridCol w:w="942"/>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80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9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94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Growth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80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94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Immunizing portfolio</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9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Liquidity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94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3"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99</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classifications of pension plan asset fair value measurements within the fair value hierarchy were:</w:t>
      </w:r>
    </w:p>
    <w:tbl>
      <w:tblPr>
        <w:tblW w:w="8714" w:type="dxa"/>
        <w:jc w:val="left"/>
        <w:tblInd w:w="0" w:type="dxa"/>
        <w:tblLayout w:type="fixed"/>
        <w:tblCellMar>
          <w:top w:w="28" w:type="dxa"/>
          <w:left w:w="28" w:type="dxa"/>
          <w:bottom w:w="28" w:type="dxa"/>
          <w:right w:w="28" w:type="dxa"/>
        </w:tblCellMar>
      </w:tblPr>
      <w:tblGrid>
        <w:gridCol w:w="922"/>
        <w:gridCol w:w="812"/>
        <w:gridCol w:w="816"/>
        <w:gridCol w:w="109"/>
        <w:gridCol w:w="109"/>
        <w:gridCol w:w="109"/>
        <w:gridCol w:w="332"/>
        <w:gridCol w:w="688"/>
        <w:gridCol w:w="184"/>
        <w:gridCol w:w="184"/>
        <w:gridCol w:w="184"/>
        <w:gridCol w:w="196"/>
        <w:gridCol w:w="436"/>
        <w:gridCol w:w="109"/>
        <w:gridCol w:w="196"/>
        <w:gridCol w:w="436"/>
        <w:gridCol w:w="109"/>
        <w:gridCol w:w="109"/>
        <w:gridCol w:w="109"/>
        <w:gridCol w:w="109"/>
        <w:gridCol w:w="196"/>
        <w:gridCol w:w="406"/>
        <w:gridCol w:w="109"/>
        <w:gridCol w:w="109"/>
        <w:gridCol w:w="109"/>
        <w:gridCol w:w="196"/>
        <w:gridCol w:w="436"/>
        <w:gridCol w:w="109"/>
        <w:gridCol w:w="196"/>
        <w:gridCol w:w="43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1745" w:type="dxa"/>
            <w:gridSpan w:val="8"/>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745" w:type="dxa"/>
            <w:gridSpan w:val="8"/>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5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Commingled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Commingled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Alternative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Receivables (payables), net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401(h) assets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Represents: (i) interest and dividends earned but not received; and (ii) net sold or purchased investments, but not settled.</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 Other postretirement 401(h) benefits assets are a component of the pension plan master trust. Accordingly, these are excluded from pension plan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Level 1 investments consist of exchange-traded futures contracts, which are valued using unadjusted prices available from the underlying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investments in cash equivalent funds, commingled equity securities, commingled debt securities, and alternative investments are not classified within the fair value hierarchy. The fair value measurement of these funds is based on firm quotes of NAV per share, as a practical expedient for valuation, which are not obtained from a quoted price in an active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Investments in cash equivalent funds consist of short-term investment funds and commingled cash equivalent funds. Investments in equity funds consist of large and small cap U.S. and international funds that can be redeemed daily. Investments in commingled debt funds consist of funds that invest in investment-grade intermediate and long-duration corporate and government fixed-income securities. These investments can be redeemed daily.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Alternative and other investments consist of investments in funds that invest in a portfolio of exchange-traded futures and forward contracts, hedge funds of funds that employ investment strategies including long/short equity, market neutral, distressed debt, and relative value, private equity partnerships, with limited lives ranging from ten to fifteen years, and real estate investment partnerships. Investments in real estate partnerships have redemption limitations based on available funding and investments in private equity partnerships that cannot be redeemed with the partnership prior to the end of the partnerships’ lives; however, the interest may be sold to other parties. Redemptions of hedge funds, private equity, and real estate partnerships are also subject to the respective general partner's approval. </w:t>
      </w:r>
    </w:p>
    <w:p>
      <w:pPr>
        <w:pStyle w:val="TextBody"/>
        <w:bidi w:val="0"/>
        <w:spacing w:lineRule="auto" w:line="288" w:before="0" w:after="180"/>
        <w:jc w:val="left"/>
        <w:rPr/>
      </w:pPr>
      <w:r>
        <w:rPr>
          <w:rFonts w:ascii="Arial;sans-serif" w:hAnsi="Arial;sans-serif"/>
          <w:b w:val="false"/>
          <w:i/>
          <w:color w:val="000000"/>
          <w:sz w:val="18"/>
        </w:rPr>
        <w:t xml:space="preserve">Other postretirement benefit plan assets. </w:t>
      </w:r>
      <w:r>
        <w:rPr>
          <w:rFonts w:ascii="Arial;sans-serif" w:hAnsi="Arial;sans-serif"/>
          <w:b w:val="false"/>
          <w:color w:val="000000"/>
          <w:sz w:val="18"/>
        </w:rPr>
        <w:t>The investment strategy with respect to most of the other postretirement benefit obligations is to fund VEBA or similar trusts with voluntary contributions, when appropriate, and to invest in a tax efficient manner.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target asset allocations for other postretirement benefit assets as of December 31, 2024 (Successor) were:</w:t>
      </w:r>
    </w:p>
    <w:tbl>
      <w:tblPr>
        <w:tblW w:w="3163"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216"/>
        <w:gridCol w:w="220"/>
        <w:gridCol w:w="3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09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30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4"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100</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classifications of other postretirement benefit plan asset fair value measurements within the fair value hierarchy were:</w:t>
      </w:r>
    </w:p>
    <w:tbl>
      <w:tblPr>
        <w:tblW w:w="8869" w:type="dxa"/>
        <w:jc w:val="left"/>
        <w:tblInd w:w="0" w:type="dxa"/>
        <w:tblLayout w:type="fixed"/>
        <w:tblCellMar>
          <w:top w:w="28" w:type="dxa"/>
          <w:left w:w="28" w:type="dxa"/>
          <w:bottom w:w="28" w:type="dxa"/>
          <w:right w:w="28" w:type="dxa"/>
        </w:tblCellMar>
      </w:tblPr>
      <w:tblGrid>
        <w:gridCol w:w="905"/>
        <w:gridCol w:w="797"/>
        <w:gridCol w:w="802"/>
        <w:gridCol w:w="109"/>
        <w:gridCol w:w="109"/>
        <w:gridCol w:w="109"/>
        <w:gridCol w:w="196"/>
        <w:gridCol w:w="406"/>
        <w:gridCol w:w="109"/>
        <w:gridCol w:w="196"/>
        <w:gridCol w:w="406"/>
        <w:gridCol w:w="109"/>
        <w:gridCol w:w="109"/>
        <w:gridCol w:w="196"/>
        <w:gridCol w:w="346"/>
        <w:gridCol w:w="109"/>
        <w:gridCol w:w="196"/>
        <w:gridCol w:w="346"/>
        <w:gridCol w:w="109"/>
        <w:gridCol w:w="109"/>
        <w:gridCol w:w="109"/>
        <w:gridCol w:w="109"/>
        <w:gridCol w:w="196"/>
        <w:gridCol w:w="406"/>
        <w:gridCol w:w="109"/>
        <w:gridCol w:w="196"/>
        <w:gridCol w:w="406"/>
        <w:gridCol w:w="109"/>
        <w:gridCol w:w="109"/>
        <w:gridCol w:w="196"/>
        <w:gridCol w:w="346"/>
        <w:gridCol w:w="109"/>
        <w:gridCol w:w="196"/>
        <w:gridCol w:w="34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1347"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347"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0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Commingled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Commingled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401(h) assets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Other postretirement 401(h) benefits assets are a component of the pension plan master trust. Accordingly, these are reported as postretirement assets.</w:t>
      </w:r>
    </w:p>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Level 1 investments consist of U.S. Treasury and (or) U.S. government debt securities, which are valued using unadjusted prices available from the underlying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Level 2 investments consist of corporate debt securities, which are valued using observable inputs such as benchmark yields, relevant trade data, broker/dealer bid/ask prices, benchmark securities, and credit valuation adjustments.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investments in money market funds, commingled equity securities, and commingled debt securities are not classified within the fair value hierarchy. The fair value measurements of these funds are based on firm quotes of NAV per share, as a practical expedient for valuation, which are not obtained from a quoted price in an active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Investments in equity securities consist of investments in a passively managed equity index fund that invests in securities and a combination of other collective funds. Investments in debt securities represent investments in funds that invest in a diversified portfolio of investment grade fixed income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Defined Contribution Plan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Substantially all Company employees are eligible to participate in the Company’s 401(k) deferred savings plans. Employer contributions to the plans were $25 million, $9 million, and $10 million during the year ended December 31, 2024 (Successor), for the period from May 18 through December 31, 2023 (Successor), and from the period January 1 through May 17, 2023 (Predecessor).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Coal Industry Retiree Benefit Plans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is obligated under the Coal Act and the Black Lung Act to pay for certain health care and black lung benefits of retired miners and allowable beneficiaries. These obligations are funded from medical VEBAs and a black lung trust.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funded status of each plan as of December 31, 2024 (Successor) was:</w:t>
      </w:r>
    </w:p>
    <w:tbl>
      <w:tblPr>
        <w:tblW w:w="10205" w:type="dxa"/>
        <w:jc w:val="left"/>
        <w:tblInd w:w="0" w:type="dxa"/>
        <w:tblLayout w:type="fixed"/>
        <w:tblCellMar>
          <w:top w:w="28" w:type="dxa"/>
          <w:left w:w="28" w:type="dxa"/>
          <w:bottom w:w="28" w:type="dxa"/>
          <w:right w:w="28" w:type="dxa"/>
        </w:tblCellMar>
      </w:tblPr>
      <w:tblGrid>
        <w:gridCol w:w="1656"/>
        <w:gridCol w:w="1408"/>
        <w:gridCol w:w="1412"/>
        <w:gridCol w:w="109"/>
        <w:gridCol w:w="109"/>
        <w:gridCol w:w="109"/>
        <w:gridCol w:w="477"/>
        <w:gridCol w:w="807"/>
        <w:gridCol w:w="265"/>
        <w:gridCol w:w="109"/>
        <w:gridCol w:w="109"/>
        <w:gridCol w:w="109"/>
        <w:gridCol w:w="109"/>
        <w:gridCol w:w="482"/>
        <w:gridCol w:w="817"/>
        <w:gridCol w:w="270"/>
        <w:gridCol w:w="109"/>
        <w:gridCol w:w="109"/>
        <w:gridCol w:w="109"/>
        <w:gridCol w:w="501"/>
        <w:gridCol w:w="616"/>
        <w:gridCol w:w="404"/>
      </w:tblGrid>
      <w:tr>
        <w:trPr/>
        <w:tc>
          <w:tcPr>
            <w:tcW w:w="165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Trust Asset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Obligation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Overfunded Status</w:t>
            </w:r>
          </w:p>
        </w:tc>
      </w:tr>
      <w:tr>
        <w:trPr/>
        <w:tc>
          <w:tcPr>
            <w:tcW w:w="447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Plan for UMWA Represented Retirees of Pennsylvania Mines, LLC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 Worker's Pneumoconiosis (Black Lung) Benefit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Shortfalls in funded status of the plans are assessed as contingent liabilities. As the fair value of VEBA and black lung trust assets exceed the plan obligations, both VEBA and black lung trust assets and the plan obligations are not reported on the Talen Consolidated Balance Sheets. See in Note 2 for our accounting policy related to postretirement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16. Stock-Based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June 2023, TEC began granting PSUs and RSUs to certain employees and non-employee directors under the 2023 Equity Incentive Plan. The aggregate number of shares authorized for issuance under the 2023 Talen Equity Plan is 7,083,461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5"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101</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Stock-based Compensation Expense</w:t>
      </w:r>
    </w:p>
    <w:p>
      <w:pPr>
        <w:pStyle w:val="TextBody"/>
        <w:bidi w:val="0"/>
        <w:spacing w:lineRule="auto" w:line="288" w:before="0" w:after="180"/>
        <w:jc w:val="left"/>
        <w:rPr/>
      </w:pPr>
      <w:r>
        <w:rPr>
          <w:rFonts w:ascii="Arial;sans-serif" w:hAnsi="Arial;sans-serif"/>
          <w:b w:val="false"/>
          <w:color w:val="000000"/>
          <w:sz w:val="18"/>
          <w:shd w:fill="FFFFFF" w:val="clear"/>
        </w:rPr>
        <w:t xml:space="preserve">Stock-based compensation expense presented as “General and administrative” on the </w:t>
      </w:r>
      <w:r>
        <w:rPr>
          <w:rFonts w:ascii="Arial;sans-serif" w:hAnsi="Arial;sans-serif"/>
          <w:b w:val="false"/>
          <w:color w:val="000000"/>
          <w:sz w:val="18"/>
        </w:rPr>
        <w:t>Consolidated</w:t>
      </w:r>
      <w:r>
        <w:rPr>
          <w:color w:val="000000"/>
          <w:shd w:fill="FFFFFF" w:val="clear"/>
        </w:rPr>
        <w:t xml:space="preserve"> </w:t>
      </w:r>
      <w:r>
        <w:rPr>
          <w:rFonts w:ascii="Arial;sans-serif" w:hAnsi="Arial;sans-serif"/>
          <w:b w:val="false"/>
          <w:color w:val="000000"/>
          <w:sz w:val="18"/>
          <w:shd w:fill="FFFFFF" w:val="clear"/>
        </w:rPr>
        <w:t>Statement of Operations for the periods was:</w:t>
      </w:r>
    </w:p>
    <w:tbl>
      <w:tblPr>
        <w:tblW w:w="9788" w:type="dxa"/>
        <w:jc w:val="left"/>
        <w:tblInd w:w="0" w:type="dxa"/>
        <w:tblLayout w:type="fixed"/>
        <w:tblCellMar>
          <w:top w:w="28" w:type="dxa"/>
          <w:left w:w="28" w:type="dxa"/>
          <w:bottom w:w="28" w:type="dxa"/>
          <w:right w:w="28" w:type="dxa"/>
        </w:tblCellMar>
      </w:tblPr>
      <w:tblGrid>
        <w:gridCol w:w="1347"/>
        <w:gridCol w:w="1183"/>
        <w:gridCol w:w="1190"/>
        <w:gridCol w:w="109"/>
        <w:gridCol w:w="109"/>
        <w:gridCol w:w="109"/>
        <w:gridCol w:w="758"/>
        <w:gridCol w:w="1337"/>
        <w:gridCol w:w="425"/>
        <w:gridCol w:w="109"/>
        <w:gridCol w:w="109"/>
        <w:gridCol w:w="109"/>
        <w:gridCol w:w="814"/>
        <w:gridCol w:w="1438"/>
        <w:gridCol w:w="642"/>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r>
      <w:tr>
        <w:trPr/>
        <w:tc>
          <w:tcPr>
            <w:tcW w:w="37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4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6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After-tax stock-based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4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3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6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Performance Stock Units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PSUs vest three years after Emergence or a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year:</w:t>
      </w:r>
    </w:p>
    <w:tbl>
      <w:tblPr>
        <w:tblW w:w="7205" w:type="dxa"/>
        <w:jc w:val="left"/>
        <w:tblInd w:w="0" w:type="dxa"/>
        <w:tblLayout w:type="fixed"/>
        <w:tblCellMar>
          <w:top w:w="28" w:type="dxa"/>
          <w:left w:w="28" w:type="dxa"/>
          <w:bottom w:w="28" w:type="dxa"/>
          <w:right w:w="28" w:type="dxa"/>
        </w:tblCellMar>
      </w:tblPr>
      <w:tblGrid>
        <w:gridCol w:w="1439"/>
        <w:gridCol w:w="1266"/>
        <w:gridCol w:w="1270"/>
        <w:gridCol w:w="109"/>
        <w:gridCol w:w="109"/>
        <w:gridCol w:w="109"/>
        <w:gridCol w:w="375"/>
        <w:gridCol w:w="376"/>
        <w:gridCol w:w="176"/>
        <w:gridCol w:w="109"/>
        <w:gridCol w:w="109"/>
        <w:gridCol w:w="109"/>
        <w:gridCol w:w="350"/>
        <w:gridCol w:w="1022"/>
        <w:gridCol w:w="277"/>
      </w:tblGrid>
      <w:tr>
        <w:trPr/>
        <w:tc>
          <w:tcPr>
            <w:tcW w:w="143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Grant Date </w:t>
              <w:br/>
              <w:t>Fair Value per Unit</w:t>
            </w:r>
          </w:p>
        </w:tc>
      </w:tr>
      <w:tr>
        <w:trPr/>
        <w:tc>
          <w:tcPr>
            <w:tcW w:w="39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2023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968,793</w:t>
            </w:r>
            <w:r>
              <w:rPr>
                <w:color w:val="000000"/>
              </w:rPr>
              <w:t> </w:t>
            </w:r>
          </w:p>
        </w:tc>
        <w:tc>
          <w:tcPr>
            <w:tcW w:w="1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54.35</w:t>
            </w:r>
            <w:r>
              <w:rPr>
                <w:color w:val="000000"/>
              </w:rPr>
              <w:t> </w:t>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(17,391)</w:t>
            </w:r>
          </w:p>
        </w:tc>
        <w:tc>
          <w:tcPr>
            <w:tcW w:w="1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72.75 </w:t>
            </w:r>
          </w:p>
        </w:tc>
        <w:tc>
          <w:tcPr>
            <w:tcW w:w="2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2024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956,347</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54.23</w:t>
            </w:r>
            <w:r>
              <w:rPr>
                <w:color w:val="00000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$24 million of unrecognized compensation cost related to unvested PSUs granted are expected to be recognized over a weighted average period of approximately 1.5 years.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fair value of the PSUs was determined using a Monte Carlo valuation methodology based on the fair value of the underlying stock price at the grant date and the significant inputs and assumptions summarized below: </w:t>
      </w:r>
    </w:p>
    <w:tbl>
      <w:tblPr>
        <w:tblW w:w="8004"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579"/>
        <w:gridCol w:w="579"/>
        <w:gridCol w:w="1362"/>
        <w:gridCol w:w="109"/>
        <w:gridCol w:w="109"/>
        <w:gridCol w:w="109"/>
        <w:gridCol w:w="606"/>
        <w:gridCol w:w="606"/>
        <w:gridCol w:w="1683"/>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r>
      <w:tr>
        <w:trPr/>
        <w:tc>
          <w:tcPr>
            <w:tcW w:w="19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Volatility </w:t>
            </w:r>
            <w:r>
              <w:rPr>
                <w:rFonts w:ascii="Arial;sans-serif" w:hAnsi="Arial;sans-serif"/>
                <w:b w:val="false"/>
                <w:color w:val="000000"/>
                <w:sz w:val="10"/>
              </w:rPr>
              <w:t>(a)</w:t>
            </w:r>
            <w:r>
              <w:rPr>
                <w:color w:val="000000"/>
              </w:rPr>
              <w:t xml:space="preserv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3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6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193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Risk-free rate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362" w:type="dxa"/>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4.35% - 4.59%</w:t>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Derived from an option pricing method based on the average asset volatility of peer companies and the Company’s leverage ratio.</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     Based on the U.S. constant maturity treasury rate with a term matching the expected time to the end of the performance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6"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102</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Restricted Stock Units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RSUs have three-year ratable vesting schedules beginning on the grant date, with restrictions on transferring settled shares prior to the final scheduled vesting date for each award. The fair value of the RSUs granted is derived from the closing price of TEC common stock on the grant date. The following table summarizes the Company’s non-vested RSUs and changes during the year:</w:t>
      </w:r>
    </w:p>
    <w:tbl>
      <w:tblPr>
        <w:tblW w:w="7264" w:type="dxa"/>
        <w:jc w:val="left"/>
        <w:tblInd w:w="0" w:type="dxa"/>
        <w:tblLayout w:type="fixed"/>
        <w:tblCellMar>
          <w:top w:w="28" w:type="dxa"/>
          <w:left w:w="28" w:type="dxa"/>
          <w:bottom w:w="28" w:type="dxa"/>
          <w:right w:w="28" w:type="dxa"/>
        </w:tblCellMar>
      </w:tblPr>
      <w:tblGrid>
        <w:gridCol w:w="1439"/>
        <w:gridCol w:w="1266"/>
        <w:gridCol w:w="1270"/>
        <w:gridCol w:w="109"/>
        <w:gridCol w:w="109"/>
        <w:gridCol w:w="109"/>
        <w:gridCol w:w="404"/>
        <w:gridCol w:w="406"/>
        <w:gridCol w:w="176"/>
        <w:gridCol w:w="109"/>
        <w:gridCol w:w="109"/>
        <w:gridCol w:w="109"/>
        <w:gridCol w:w="350"/>
        <w:gridCol w:w="1022"/>
        <w:gridCol w:w="277"/>
      </w:tblGrid>
      <w:tr>
        <w:trPr/>
        <w:tc>
          <w:tcPr>
            <w:tcW w:w="143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Grant Date </w:t>
              <w:br/>
              <w:t>Fair Value per Unit</w:t>
            </w:r>
          </w:p>
        </w:tc>
      </w:tr>
      <w:tr>
        <w:trPr/>
        <w:tc>
          <w:tcPr>
            <w:tcW w:w="39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2023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845,269</w:t>
            </w:r>
            <w:r>
              <w:rPr>
                <w:color w:val="000000"/>
              </w:rPr>
              <w:t> </w:t>
            </w:r>
          </w:p>
        </w:tc>
        <w:tc>
          <w:tcPr>
            <w:tcW w:w="1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48.46</w:t>
            </w:r>
            <w:r>
              <w:rPr>
                <w:color w:val="000000"/>
              </w:rPr>
              <w:t> </w:t>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(56,594)</w:t>
            </w:r>
          </w:p>
        </w:tc>
        <w:tc>
          <w:tcPr>
            <w:tcW w:w="1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55.01 </w:t>
            </w:r>
          </w:p>
        </w:tc>
        <w:tc>
          <w:tcPr>
            <w:tcW w:w="2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549,405</w:t>
            </w:r>
            <w:r>
              <w:rPr>
                <w:color w:val="000000"/>
              </w:rPr>
              <w:t> </w:t>
            </w:r>
          </w:p>
        </w:tc>
        <w:tc>
          <w:tcPr>
            <w:tcW w:w="1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55.07</w:t>
            </w:r>
            <w:r>
              <w:rPr>
                <w:color w:val="000000"/>
              </w:rPr>
              <w:t> </w:t>
            </w:r>
          </w:p>
        </w:tc>
        <w:tc>
          <w:tcPr>
            <w:tcW w:w="27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RSUs vested during the year ended December 31, 2024 (Successor) were settled in cash for $32 million.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$22 million of unrecognized compensation cost related to unvested RSUs granted are expected to be recognized over a weighted average period of approximately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80"/>
        <w:jc w:val="left"/>
        <w:rPr>
          <w:rFonts w:ascii="Arial;sans-serif" w:hAnsi="Arial;sans-serif"/>
          <w:b/>
          <w:color w:val="000000"/>
          <w:sz w:val="18"/>
        </w:rPr>
      </w:pPr>
      <w:r>
        <w:rPr>
          <w:rFonts w:ascii="Arial;sans-serif" w:hAnsi="Arial;sans-serif"/>
          <w:b/>
          <w:color w:val="000000"/>
          <w:sz w:val="18"/>
        </w:rPr>
        <w:t>17. Earnings Per Share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tbl>
      <w:tblPr>
        <w:tblW w:w="10205" w:type="dxa"/>
        <w:jc w:val="left"/>
        <w:tblInd w:w="0" w:type="dxa"/>
        <w:tblLayout w:type="fixed"/>
        <w:tblCellMar>
          <w:top w:w="28" w:type="dxa"/>
          <w:left w:w="28" w:type="dxa"/>
          <w:bottom w:w="28" w:type="dxa"/>
          <w:right w:w="28" w:type="dxa"/>
        </w:tblCellMar>
      </w:tblPr>
      <w:tblGrid>
        <w:gridCol w:w="1307"/>
        <w:gridCol w:w="782"/>
        <w:gridCol w:w="784"/>
        <w:gridCol w:w="109"/>
        <w:gridCol w:w="109"/>
        <w:gridCol w:w="109"/>
        <w:gridCol w:w="109"/>
        <w:gridCol w:w="109"/>
        <w:gridCol w:w="109"/>
        <w:gridCol w:w="109"/>
        <w:gridCol w:w="291"/>
        <w:gridCol w:w="851"/>
        <w:gridCol w:w="163"/>
        <w:gridCol w:w="109"/>
        <w:gridCol w:w="109"/>
        <w:gridCol w:w="109"/>
        <w:gridCol w:w="345"/>
        <w:gridCol w:w="849"/>
        <w:gridCol w:w="194"/>
        <w:gridCol w:w="109"/>
        <w:gridCol w:w="109"/>
        <w:gridCol w:w="109"/>
        <w:gridCol w:w="109"/>
        <w:gridCol w:w="109"/>
        <w:gridCol w:w="109"/>
        <w:gridCol w:w="319"/>
        <w:gridCol w:w="712"/>
        <w:gridCol w:w="180"/>
        <w:gridCol w:w="109"/>
        <w:gridCol w:w="109"/>
        <w:gridCol w:w="109"/>
        <w:gridCol w:w="275"/>
        <w:gridCol w:w="859"/>
        <w:gridCol w:w="223"/>
      </w:tblGrid>
      <w:tr>
        <w:trPr/>
        <w:tc>
          <w:tcPr>
            <w:tcW w:w="13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87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 (Millions of Dollars)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6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8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(1,289)</w:t>
            </w:r>
          </w:p>
        </w:tc>
        <w:tc>
          <w:tcPr>
            <w:tcW w:w="2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Number of Common Shares Outstanding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54,254</w:t>
            </w:r>
            <w:r>
              <w:rPr>
                <w:color w:val="000000"/>
              </w:rPr>
              <w:t> </w:t>
            </w:r>
          </w:p>
        </w:tc>
        <w:tc>
          <w:tcPr>
            <w:tcW w:w="16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59,029</w:t>
            </w:r>
            <w:r>
              <w:rPr>
                <w:color w:val="000000"/>
              </w:rPr>
              <w:t> </w:t>
            </w:r>
          </w:p>
        </w:tc>
        <w:tc>
          <w:tcPr>
            <w:tcW w:w="1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6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Number of Common Shares Outstanding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56,486</w:t>
            </w:r>
            <w:r>
              <w:rPr>
                <w:color w:val="000000"/>
              </w:rPr>
              <w:t> </w:t>
            </w:r>
          </w:p>
        </w:tc>
        <w:tc>
          <w:tcPr>
            <w:tcW w:w="16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59,399</w:t>
            </w:r>
            <w:r>
              <w:rPr>
                <w:color w:val="000000"/>
              </w:rPr>
              <w:t> </w:t>
            </w:r>
          </w:p>
        </w:tc>
        <w:tc>
          <w:tcPr>
            <w:tcW w:w="1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18.40</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w:t>
            </w: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873"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17.67</w:t>
            </w:r>
            <w:r>
              <w:rPr>
                <w:color w:val="000000"/>
              </w:rPr>
              <w:t> </w:t>
            </w:r>
          </w:p>
        </w:tc>
        <w:tc>
          <w:tcPr>
            <w:tcW w:w="16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9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period from January 1 through May 17, 2023 (Predecessor) and year ended December 31, 2022 (Predecessor), there were no outstanding shares of common stock.</w:t>
      </w:r>
    </w:p>
    <w:p>
      <w:pPr>
        <w:pStyle w:val="TextBody"/>
        <w:bidi w:val="0"/>
        <w:spacing w:lineRule="auto" w:line="288" w:before="0" w:after="180"/>
        <w:jc w:val="left"/>
        <w:rPr/>
      </w:pPr>
      <w:r>
        <w:rPr>
          <w:rFonts w:ascii="Arial;sans-serif" w:hAnsi="Arial;sans-serif"/>
          <w:b w:val="false"/>
          <w:color w:val="000000"/>
          <w:sz w:val="18"/>
        </w:rPr>
        <w:t>There were no shares excluded from diluted EPS for the year ended December 31, 2024 (Successor). 134,798 PSUs were excluded from diluted EPS for the period from May 18 through December 31, 2023 (Successor)</w:t>
      </w:r>
      <w:r>
        <w:rPr>
          <w:color w:val="000000"/>
        </w:rPr>
        <w:t xml:space="preserve"> </w:t>
      </w:r>
      <w:r>
        <w:rPr>
          <w:rFonts w:ascii="Arial;sans-serif" w:hAnsi="Arial;sans-serif"/>
          <w:b w:val="false"/>
          <w:color w:val="000000"/>
          <w:sz w:val="18"/>
        </w:rPr>
        <w:t>due to their anti-dilutive nature. These awards are excluded from the calculation of EPS because the performance conditions have not been met during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7"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103</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Common Stock Transactions</w:t>
      </w:r>
    </w:p>
    <w:p>
      <w:pPr>
        <w:pStyle w:val="TextBody"/>
        <w:bidi w:val="0"/>
        <w:spacing w:lineRule="auto" w:line="288" w:before="0" w:after="180"/>
        <w:jc w:val="left"/>
        <w:rPr/>
      </w:pPr>
      <w:r>
        <w:rPr>
          <w:rFonts w:ascii="Arial;sans-serif" w:hAnsi="Arial;sans-serif"/>
          <w:b w:val="false"/>
          <w:i/>
          <w:color w:val="000000"/>
          <w:sz w:val="18"/>
        </w:rPr>
        <w:t xml:space="preserve">Share Repurchases and Retirements. </w:t>
      </w:r>
      <w:r>
        <w:rPr>
          <w:rFonts w:ascii="Arial;sans-serif" w:hAnsi="Arial;sans-serif"/>
          <w:b w:val="false"/>
          <w:color w:val="000000"/>
          <w:sz w:val="18"/>
        </w:rPr>
        <w:t>Summary of activity under the SRP and direct repurchases:</w:t>
      </w:r>
    </w:p>
    <w:tbl>
      <w:tblPr>
        <w:tblW w:w="8405" w:type="dxa"/>
        <w:jc w:val="left"/>
        <w:tblInd w:w="0" w:type="dxa"/>
        <w:tblLayout w:type="fixed"/>
        <w:tblCellMar>
          <w:top w:w="28" w:type="dxa"/>
          <w:left w:w="28" w:type="dxa"/>
          <w:bottom w:w="28" w:type="dxa"/>
          <w:right w:w="28" w:type="dxa"/>
        </w:tblCellMar>
      </w:tblPr>
      <w:tblGrid>
        <w:gridCol w:w="555"/>
        <w:gridCol w:w="486"/>
        <w:gridCol w:w="489"/>
        <w:gridCol w:w="109"/>
        <w:gridCol w:w="109"/>
        <w:gridCol w:w="109"/>
        <w:gridCol w:w="109"/>
        <w:gridCol w:w="109"/>
        <w:gridCol w:w="358"/>
        <w:gridCol w:w="358"/>
        <w:gridCol w:w="358"/>
        <w:gridCol w:w="358"/>
        <w:gridCol w:w="607"/>
        <w:gridCol w:w="607"/>
        <w:gridCol w:w="631"/>
        <w:gridCol w:w="109"/>
        <w:gridCol w:w="109"/>
        <w:gridCol w:w="109"/>
        <w:gridCol w:w="238"/>
        <w:gridCol w:w="785"/>
        <w:gridCol w:w="132"/>
        <w:gridCol w:w="109"/>
        <w:gridCol w:w="109"/>
        <w:gridCol w:w="109"/>
        <w:gridCol w:w="269"/>
        <w:gridCol w:w="764"/>
        <w:gridCol w:w="211"/>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89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053" w:type="dxa"/>
            <w:gridSpan w:val="1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Number of Shares </w:t>
            </w:r>
            <w:r>
              <w:rPr>
                <w:rFonts w:ascii="Arial;sans-serif" w:hAnsi="Arial;sans-serif"/>
                <w:b/>
                <w:color w:val="000000"/>
                <w:sz w:val="10"/>
              </w:rPr>
              <w:t>(a)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Share Price </w:t>
            </w:r>
            <w:r>
              <w:rPr>
                <w:rFonts w:ascii="Arial;sans-serif" w:hAnsi="Arial;sans-serif"/>
                <w:b/>
                <w:color w:val="000000"/>
                <w:sz w:val="10"/>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Amount</w:t>
            </w:r>
          </w:p>
        </w:tc>
      </w:tr>
      <w:tr>
        <w:trPr/>
        <w:tc>
          <w:tcPr>
            <w:tcW w:w="15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13,227,222 </w:t>
            </w:r>
          </w:p>
        </w:tc>
        <w:tc>
          <w:tcPr>
            <w:tcW w:w="63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149.50 </w:t>
            </w:r>
          </w:p>
        </w:tc>
        <w:tc>
          <w:tcPr>
            <w:tcW w:w="1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retirements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(13,227,222)</w:t>
            </w:r>
          </w:p>
        </w:tc>
        <w:tc>
          <w:tcPr>
            <w:tcW w:w="6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149.50 </w:t>
            </w:r>
          </w:p>
        </w:tc>
        <w:tc>
          <w:tcPr>
            <w:tcW w:w="13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7,307,300 shares repurchased from affiliates of Rubric in July 2024 and December 2024 at a weighted average price of $177.16 per share. Of the total shares repurchased by the Company, $850 million purchased from affiliates of Rubric were not under the SRP.</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(b)Includes 5,275,862 shares repurchased as result of a tender offer in June 2024 at a weighted average price of $117.16 per share.</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(c)Weighted average price per share, including transaction costs and excise taxes.</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all repurchased shares have been retired. See Note 2 for the accounting policy related to treasury stock and retirement of treasury shares.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February 27, 2025, TEC had 45,961,910 shares of common stock outstanding.</w:t>
      </w:r>
    </w:p>
    <w:p>
      <w:pPr>
        <w:pStyle w:val="TextBody"/>
        <w:bidi w:val="0"/>
        <w:spacing w:lineRule="auto" w:line="288" w:before="0" w:after="180"/>
        <w:jc w:val="left"/>
        <w:rPr/>
      </w:pPr>
      <w:r>
        <w:rPr>
          <w:rFonts w:ascii="Arial;sans-serif" w:hAnsi="Arial;sans-serif"/>
          <w:b w:val="false"/>
          <w:i/>
          <w:color w:val="000000"/>
          <w:sz w:val="18"/>
        </w:rPr>
        <w:t>Exercise of Warrants.</w:t>
      </w:r>
      <w:r>
        <w:rPr>
          <w:color w:val="000000"/>
        </w:rPr>
        <w:t xml:space="preserve"> </w:t>
      </w:r>
      <w:r>
        <w:rPr>
          <w:rFonts w:ascii="Arial;sans-serif" w:hAnsi="Arial;sans-serif"/>
          <w:b w:val="false"/>
          <w:color w:val="000000"/>
          <w:sz w:val="18"/>
        </w:rPr>
        <w:t xml:space="preserve">In July 2024, a former executive exercised equity-classified warrants to 457,142 shares of the Company’s common stock in a non-cash transaction. After giving effect to the non-cash exercise and related tax withholding, the Company issued 160,289 shares of the Company’s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Share Repurchases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May 2024, the Board of Directors approved an increase of the SRP from $300 million to a remaining capacity of $1 billion. In September 2024, the Board of Directors approved an increase of the remaining capacity to $1.25 billion through December 31, 2026. As of December 31, 2024 (Successor), the Company had repurchased approximately 22% of its outstanding shares of common stock for a total of $1.95 billion, exclusive of transaction costs and excise taxes. The Board of Directors approved a portion of the share repurchases executed with Rubric in December 2024 outside of the existing authorization in the SRP. The remaining capacity of the SRP as of December 31, 2024 (Successor) is $1.1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Employee Stock Purchase Plan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November 2024, the Board of Directors approved the Company’s 2025 Employee Stock Purchase Plan (“ESPP”), which is subject to approval by shareholders. Effective January 1, 2025, eligible employees can withhold between 1% and 10% of their eligible compensation to purchase TEC common stock at the lesser of 85% of its market value on the offering date or 85% of the market value on the exercise date. Offering dates will occur each January 1 and July 1 and exercise dates each June 30 and December 31. Initially, 500,000 shares may be issued pursuant to the ESPP, with automatic increases in the number of shares authorized for issuance beginning on January 1, 2026 and ending on January 1, 2034. The maximum number of shares that may be issued under the ESPP is 5,000,000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Acquisition of Noncontrolling Interests</w:t>
      </w:r>
    </w:p>
    <w:p>
      <w:pPr>
        <w:pStyle w:val="TextBody"/>
        <w:bidi w:val="0"/>
        <w:spacing w:lineRule="auto" w:line="288" w:before="0" w:after="180"/>
        <w:jc w:val="left"/>
        <w:rPr/>
      </w:pPr>
      <w:r>
        <w:rPr>
          <w:rFonts w:ascii="Arial;sans-serif" w:hAnsi="Arial;sans-serif"/>
          <w:b w:val="false"/>
          <w:i/>
          <w:color w:val="000000"/>
          <w:sz w:val="18"/>
        </w:rPr>
        <w:t>Purchase of Equity in Nautilus.</w:t>
      </w:r>
      <w:r>
        <w:rPr>
          <w:color w:val="000000"/>
        </w:rPr>
        <w:t xml:space="preserve"> </w:t>
      </w:r>
      <w:r>
        <w:rPr>
          <w:rFonts w:ascii="Arial;sans-serif" w:hAnsi="Arial;sans-serif"/>
          <w:b w:val="false"/>
          <w:color w:val="000000"/>
          <w:sz w:val="18"/>
        </w:rPr>
        <w:t>In October 2024, the Company acquired TeraWulf’s 25% equity interest in Nautilus in exchange for $85 million and the distribution by Nautilus of its Bitcoin mining equipment to TeraWulf. As a result of the transaction, the Company owns 100% of the equity of Nautilus. In conjunction with the transaction, we suspended Bitcoin mining operations at the facility.</w:t>
      </w:r>
    </w:p>
    <w:p>
      <w:pPr>
        <w:pStyle w:val="TextBody"/>
        <w:bidi w:val="0"/>
        <w:spacing w:lineRule="auto" w:line="288" w:before="0" w:after="180"/>
        <w:jc w:val="left"/>
        <w:rPr/>
      </w:pPr>
      <w:r>
        <w:rPr>
          <w:rFonts w:ascii="Arial;sans-serif" w:hAnsi="Arial;sans-serif"/>
          <w:b w:val="false"/>
          <w:i/>
          <w:color w:val="000000"/>
          <w:sz w:val="18"/>
        </w:rPr>
        <w:t>Purchase of Equity in Cumulus Digital.</w:t>
      </w:r>
      <w:r>
        <w:rPr>
          <w:color w:val="000000"/>
        </w:rPr>
        <w:t xml:space="preserve"> </w:t>
      </w:r>
      <w:r>
        <w:rPr>
          <w:rFonts w:ascii="Arial;sans-serif" w:hAnsi="Arial;sans-serif"/>
          <w:b w:val="false"/>
          <w:color w:val="000000"/>
          <w:sz w:val="18"/>
        </w:rPr>
        <w:t>In March 2024, TES acquired all of the equity of Cumulus Digital held by affiliates of Orion Energy Partners and two former members of Talen senior management in exchange for an aggregate of $39 million. Following these transactions, TES owns 100% of the equity of Cumulus Digital.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8"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104</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Accumulated Other Comprehensive Income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Changes in AOCI for the periods were:</w:t>
      </w:r>
    </w:p>
    <w:tbl>
      <w:tblPr>
        <w:tblW w:w="10205" w:type="dxa"/>
        <w:jc w:val="left"/>
        <w:tblInd w:w="0" w:type="dxa"/>
        <w:tblLayout w:type="fixed"/>
        <w:tblCellMar>
          <w:top w:w="28" w:type="dxa"/>
          <w:left w:w="28" w:type="dxa"/>
          <w:bottom w:w="28" w:type="dxa"/>
          <w:right w:w="28" w:type="dxa"/>
        </w:tblCellMar>
      </w:tblPr>
      <w:tblGrid>
        <w:gridCol w:w="1077"/>
        <w:gridCol w:w="721"/>
        <w:gridCol w:w="725"/>
        <w:gridCol w:w="109"/>
        <w:gridCol w:w="109"/>
        <w:gridCol w:w="109"/>
        <w:gridCol w:w="447"/>
        <w:gridCol w:w="789"/>
        <w:gridCol w:w="250"/>
        <w:gridCol w:w="109"/>
        <w:gridCol w:w="109"/>
        <w:gridCol w:w="109"/>
        <w:gridCol w:w="442"/>
        <w:gridCol w:w="916"/>
        <w:gridCol w:w="247"/>
        <w:gridCol w:w="109"/>
        <w:gridCol w:w="109"/>
        <w:gridCol w:w="109"/>
        <w:gridCol w:w="109"/>
        <w:gridCol w:w="109"/>
        <w:gridCol w:w="109"/>
        <w:gridCol w:w="355"/>
        <w:gridCol w:w="866"/>
        <w:gridCol w:w="197"/>
        <w:gridCol w:w="109"/>
        <w:gridCol w:w="109"/>
        <w:gridCol w:w="109"/>
        <w:gridCol w:w="380"/>
        <w:gridCol w:w="848"/>
        <w:gridCol w:w="310"/>
      </w:tblGrid>
      <w:tr>
        <w:trPr/>
        <w:tc>
          <w:tcPr>
            <w:tcW w:w="10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2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(152)</w:t>
            </w:r>
          </w:p>
        </w:tc>
        <w:tc>
          <w:tcPr>
            <w:tcW w:w="3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Gains (losses) arising during the period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Reclassifications to Consolidated Statements of Operations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3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Cancellation of equity at Emergence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31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(a)Primarily related to “Postretirement benefit actuarial (gain) loss, net” for the period from May 18 through December 31, 2023 (Successor) and “Available-for-sale securities unrealized gain (loss), net” and “Postretirement benefit actuarial (gain) loss, net” for the year ended December 31, 2022 (Predecessor).</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(b)Primarily related to “Available-for-sale securities unrealized gain (loss), net” and “Postretirement benefit actuarial (gain) loss, net” for the year ended December 31, 2022 (Predecessor).</w:t>
      </w:r>
    </w:p>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AOCI, net of tax, were:</w:t>
      </w:r>
    </w:p>
    <w:tbl>
      <w:tblPr>
        <w:tblW w:w="8271" w:type="dxa"/>
        <w:jc w:val="left"/>
        <w:tblInd w:w="0" w:type="dxa"/>
        <w:tblLayout w:type="fixed"/>
        <w:tblCellMar>
          <w:top w:w="28" w:type="dxa"/>
          <w:left w:w="28" w:type="dxa"/>
          <w:bottom w:w="28" w:type="dxa"/>
          <w:right w:w="28" w:type="dxa"/>
        </w:tblCellMar>
      </w:tblPr>
      <w:tblGrid>
        <w:gridCol w:w="1483"/>
        <w:gridCol w:w="1304"/>
        <w:gridCol w:w="1308"/>
        <w:gridCol w:w="109"/>
        <w:gridCol w:w="109"/>
        <w:gridCol w:w="109"/>
        <w:gridCol w:w="474"/>
        <w:gridCol w:w="836"/>
        <w:gridCol w:w="265"/>
        <w:gridCol w:w="109"/>
        <w:gridCol w:w="109"/>
        <w:gridCol w:w="109"/>
        <w:gridCol w:w="474"/>
        <w:gridCol w:w="836"/>
        <w:gridCol w:w="265"/>
        <w:gridCol w:w="109"/>
        <w:gridCol w:w="109"/>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actuarial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locations of pre-tax gains (losses) reclassified from AOCI and included on the Consolidated Statements of Operations for the periods were:</w:t>
      </w:r>
    </w:p>
    <w:tbl>
      <w:tblPr>
        <w:tblW w:w="10205" w:type="dxa"/>
        <w:jc w:val="left"/>
        <w:tblInd w:w="0" w:type="dxa"/>
        <w:tblLayout w:type="fixed"/>
        <w:tblCellMar>
          <w:top w:w="28" w:type="dxa"/>
          <w:left w:w="28" w:type="dxa"/>
          <w:bottom w:w="28" w:type="dxa"/>
          <w:right w:w="28" w:type="dxa"/>
        </w:tblCellMar>
      </w:tblPr>
      <w:tblGrid>
        <w:gridCol w:w="829"/>
        <w:gridCol w:w="729"/>
        <w:gridCol w:w="731"/>
        <w:gridCol w:w="109"/>
        <w:gridCol w:w="109"/>
        <w:gridCol w:w="109"/>
        <w:gridCol w:w="109"/>
        <w:gridCol w:w="109"/>
        <w:gridCol w:w="109"/>
        <w:gridCol w:w="109"/>
        <w:gridCol w:w="396"/>
        <w:gridCol w:w="822"/>
        <w:gridCol w:w="222"/>
        <w:gridCol w:w="109"/>
        <w:gridCol w:w="109"/>
        <w:gridCol w:w="109"/>
        <w:gridCol w:w="540"/>
        <w:gridCol w:w="707"/>
        <w:gridCol w:w="302"/>
        <w:gridCol w:w="109"/>
        <w:gridCol w:w="109"/>
        <w:gridCol w:w="109"/>
        <w:gridCol w:w="109"/>
        <w:gridCol w:w="109"/>
        <w:gridCol w:w="109"/>
        <w:gridCol w:w="476"/>
        <w:gridCol w:w="622"/>
        <w:gridCol w:w="267"/>
        <w:gridCol w:w="109"/>
        <w:gridCol w:w="109"/>
        <w:gridCol w:w="109"/>
        <w:gridCol w:w="417"/>
        <w:gridCol w:w="738"/>
        <w:gridCol w:w="336"/>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2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decommissioning trust funds gain (loss), net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amortization and accretion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Operation, maintenance and development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non-operating income (expense), net </w:t>
            </w:r>
            <w:r>
              <w:rPr>
                <w:rFonts w:ascii="Arial;sans-serif" w:hAnsi="Arial;sans-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26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3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(a)Available-for-sale securities unrealized gain (loss), net.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(b)Qualifying derivatives unrealized gain (loss).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(c)Postretirement benefit prior service credits (costs), net.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(d)Postretirement benefit actuarial gain (loss), net.</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postretirement obligations components of AOCI are not presented in their entirety on the Consolidated Statements of Operations during the periods; rather, they are included in the computation of net periodic defined benefit costs (credits). See Note 15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9"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105</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19. Supplemental Cash Flow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Supplemental information for the Consolidated Statements of Cash Flows for the periods was:</w:t>
      </w:r>
    </w:p>
    <w:tbl>
      <w:tblPr>
        <w:tblW w:w="10205" w:type="dxa"/>
        <w:jc w:val="left"/>
        <w:tblInd w:w="0" w:type="dxa"/>
        <w:tblLayout w:type="fixed"/>
        <w:tblCellMar>
          <w:top w:w="28" w:type="dxa"/>
          <w:left w:w="28" w:type="dxa"/>
          <w:bottom w:w="28" w:type="dxa"/>
          <w:right w:w="28" w:type="dxa"/>
        </w:tblCellMar>
      </w:tblPr>
      <w:tblGrid>
        <w:gridCol w:w="1441"/>
        <w:gridCol w:w="867"/>
        <w:gridCol w:w="877"/>
        <w:gridCol w:w="109"/>
        <w:gridCol w:w="109"/>
        <w:gridCol w:w="109"/>
        <w:gridCol w:w="352"/>
        <w:gridCol w:w="785"/>
        <w:gridCol w:w="197"/>
        <w:gridCol w:w="109"/>
        <w:gridCol w:w="109"/>
        <w:gridCol w:w="109"/>
        <w:gridCol w:w="376"/>
        <w:gridCol w:w="837"/>
        <w:gridCol w:w="209"/>
        <w:gridCol w:w="109"/>
        <w:gridCol w:w="109"/>
        <w:gridCol w:w="109"/>
        <w:gridCol w:w="109"/>
        <w:gridCol w:w="109"/>
        <w:gridCol w:w="109"/>
        <w:gridCol w:w="328"/>
        <w:gridCol w:w="731"/>
        <w:gridCol w:w="185"/>
        <w:gridCol w:w="109"/>
        <w:gridCol w:w="109"/>
        <w:gridCol w:w="109"/>
        <w:gridCol w:w="342"/>
        <w:gridCol w:w="764"/>
        <w:gridCol w:w="279"/>
      </w:tblGrid>
      <w:tr>
        <w:trPr/>
        <w:tc>
          <w:tcPr>
            <w:tcW w:w="144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31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318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paid during the period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Interest and other finance charges, net of capitalized interest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derivative instruments included on the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contracts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(69)</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w:t>
            </w:r>
          </w:p>
        </w:tc>
        <w:tc>
          <w:tcPr>
            <w:tcW w:w="2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8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(648)</w:t>
            </w:r>
          </w:p>
        </w:tc>
        <w:tc>
          <w:tcPr>
            <w:tcW w:w="27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Depreciation, amortization and accretion included on the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Depreciation, amortization and accretion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w:t>
            </w:r>
            <w:r>
              <w:rPr>
                <w:color w:val="000000"/>
              </w:rPr>
              <w:t>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2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w:t>
            </w:r>
            <w:r>
              <w:rPr>
                <w:color w:val="000000"/>
              </w:rPr>
              <w:t> </w:t>
            </w:r>
          </w:p>
        </w:tc>
        <w:tc>
          <w:tcPr>
            <w:tcW w:w="18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w:t>
            </w:r>
            <w:r>
              <w:rPr>
                <w:color w:val="000000"/>
              </w:rPr>
              <w:t> </w:t>
            </w:r>
          </w:p>
        </w:tc>
        <w:tc>
          <w:tcPr>
            <w:tcW w:w="27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other non-cash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Bitcoin revenue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on distribution of miners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option premium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with financing elements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environmental liability revisions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 accrual 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contributed to equity method investment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 xml:space="preserve">Non-cash increase to PP&amp;E and decrease to other current assets for contribution of Bitcoin miners to Nautilus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 xml:space="preserve">Non-cash decrease to PP&amp;E and decrease to noncontrolling interest for distribution of Bitcoin miners to TeraWulf </w:t>
            </w:r>
            <w:r>
              <w:rPr>
                <w:rFonts w:ascii="Arial;sans-serif" w:hAnsi="Arial;sans-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6"/>
              </w:rPr>
              <w:t xml:space="preserve">Non-cash increase to PP&amp;E and increase to noncontrolling interest for contribution of Bitcoin miners by TeraWulf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85"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7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(a)Capitalized interest totaled $5 million for the year ended December 31, 2024 (Successor); $10 million for the period from May 18 through December 31, 2023 (Successor); and $12 million for the period from January 1 through May 17, 2023 (Predecessor), and $12 million for the year ended December 31, 2022 (Predecessor).</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 2023, each of the joint venture partners of Nautilus made non-cash contributions to Nautilus of Bitcoin miners that increased PP&amp;E.</w:t>
      </w:r>
    </w:p>
    <w:p>
      <w:pPr>
        <w:pStyle w:val="TextBody"/>
        <w:bidi w:val="0"/>
        <w:spacing w:lineRule="auto" w:line="288" w:before="0" w:after="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(c)In 2024, Nautilus distributed Bitcoin miners to TeraWulf as part of the buyout of TeraWulf’s noncontrolling interest.</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10"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106</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Cash and Restricted Cash</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following provides a reconciliation of “Cash and cash equivalents” and “Restricted cash and cash equivalents” presented on the Consolidated Statements of Cash Flows to line items within the Consolidated Balance Sheets: </w:t>
      </w:r>
    </w:p>
    <w:tbl>
      <w:tblPr>
        <w:tblW w:w="6983" w:type="dxa"/>
        <w:jc w:val="left"/>
        <w:tblInd w:w="0" w:type="dxa"/>
        <w:tblLayout w:type="fixed"/>
        <w:tblCellMar>
          <w:top w:w="28" w:type="dxa"/>
          <w:left w:w="28" w:type="dxa"/>
          <w:bottom w:w="28" w:type="dxa"/>
          <w:right w:w="28" w:type="dxa"/>
        </w:tblCellMar>
      </w:tblPr>
      <w:tblGrid>
        <w:gridCol w:w="1134"/>
        <w:gridCol w:w="999"/>
        <w:gridCol w:w="1002"/>
        <w:gridCol w:w="109"/>
        <w:gridCol w:w="109"/>
        <w:gridCol w:w="109"/>
        <w:gridCol w:w="416"/>
        <w:gridCol w:w="927"/>
        <w:gridCol w:w="232"/>
        <w:gridCol w:w="109"/>
        <w:gridCol w:w="109"/>
        <w:gridCol w:w="109"/>
        <w:gridCol w:w="402"/>
        <w:gridCol w:w="897"/>
        <w:gridCol w:w="320"/>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1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w:t>
            </w:r>
            <w:r>
              <w:rPr>
                <w:color w:val="000000"/>
              </w:rPr>
              <w:t>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w:t>
            </w:r>
            <w:r>
              <w:rPr>
                <w:color w:val="000000"/>
              </w:rPr>
              <w:t>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TES TLC debt restricted deposits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Nautilus project restricted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exchange margin deposits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Cumulus Digital restricted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w:t>
            </w:r>
            <w:r>
              <w:rPr>
                <w:color w:val="000000"/>
              </w:rPr>
              <w:t>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w:t>
            </w: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20.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2024 Activities</w:t>
      </w:r>
    </w:p>
    <w:p>
      <w:pPr>
        <w:pStyle w:val="TextBody"/>
        <w:bidi w:val="0"/>
        <w:spacing w:lineRule="auto" w:line="288" w:before="0" w:after="180"/>
        <w:jc w:val="left"/>
        <w:rPr/>
      </w:pPr>
      <w:r>
        <w:rPr>
          <w:rFonts w:ascii="Arial;sans-serif" w:hAnsi="Arial;sans-serif"/>
          <w:b w:val="false"/>
          <w:i/>
          <w:color w:val="000000"/>
          <w:sz w:val="18"/>
        </w:rPr>
        <w:t>ERCOT Sale.</w:t>
      </w:r>
      <w:r>
        <w:rPr>
          <w:color w:val="000000"/>
        </w:rPr>
        <w:t xml:space="preserve"> </w:t>
      </w:r>
      <w:r>
        <w:rPr>
          <w:rFonts w:ascii="Arial;sans-serif" w:hAnsi="Arial;sans-serif"/>
          <w:b w:val="false"/>
          <w:color w:val="000000"/>
          <w:sz w:val="18"/>
        </w:rPr>
        <w:t>In May 2024, we sold our 1,710 MW Texas generation portfolio to CPS Energy for $785 million, subject to customary net working capital adjustments. A gain on sale of $564 million is presented as “Gain (loss) on sale of assets, net” on the Consolidated Statements of Operations for the year ended December 31, 2024 (Successor).</w:t>
      </w:r>
    </w:p>
    <w:p>
      <w:pPr>
        <w:pStyle w:val="TextBody"/>
        <w:bidi w:val="0"/>
        <w:spacing w:lineRule="auto" w:line="288" w:before="0" w:after="180"/>
        <w:jc w:val="left"/>
        <w:rPr/>
      </w:pPr>
      <w:r>
        <w:rPr>
          <w:rFonts w:ascii="Arial;sans-serif" w:hAnsi="Arial;sans-serif"/>
          <w:b w:val="false"/>
          <w:i/>
          <w:color w:val="000000"/>
          <w:sz w:val="18"/>
        </w:rPr>
        <w:t>AWS Data Campus Sale.</w:t>
      </w:r>
      <w:r>
        <w:rPr>
          <w:color w:val="000000"/>
        </w:rPr>
        <w:t xml:space="preserve"> </w:t>
      </w:r>
      <w:r>
        <w:rPr>
          <w:rFonts w:ascii="Arial;sans-serif" w:hAnsi="Arial;sans-serif"/>
          <w:b w:val="false"/>
          <w:color w:val="000000"/>
          <w:sz w:val="18"/>
        </w:rPr>
        <w:t>In March 2024, AWS purchased substantially all the assets related to the AWS Data Campus and certain other assets for gross proceeds of $650 million, of which $350 million were received at closing with the remaining $300 million held in escrow until August 2024. For the year ended December 31, 2024 (Successor), a $324 million gain on sale is presented as “Gain (loss) on sale of assets, net” on the Consolidated Statements of Operations. In connection with the AWS Data Campus Sale, the Company entered into the AWS PPA.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2023 Activities</w:t>
      </w:r>
    </w:p>
    <w:p>
      <w:pPr>
        <w:pStyle w:val="TextBody"/>
        <w:bidi w:val="0"/>
        <w:spacing w:lineRule="auto" w:line="288" w:before="0" w:after="180"/>
        <w:jc w:val="left"/>
        <w:rPr/>
      </w:pPr>
      <w:r>
        <w:rPr>
          <w:rFonts w:ascii="Arial;sans-serif" w:hAnsi="Arial;sans-serif"/>
          <w:b w:val="false"/>
          <w:i/>
          <w:color w:val="000000"/>
          <w:sz w:val="18"/>
        </w:rPr>
        <w:t xml:space="preserve">Western Gas Book Divestiture. </w:t>
      </w:r>
      <w:r>
        <w:rPr>
          <w:rFonts w:ascii="Arial;sans-serif" w:hAnsi="Arial;sans-serif"/>
          <w:b w:val="false"/>
          <w:color w:val="000000"/>
          <w:sz w:val="18"/>
        </w:rPr>
        <w:t>In April 2023, Talen sold certain contracts relating to the transportation of natural gas in the southwestern United States for $15 million. For the period from January 1 through May 17, 2023 (Predecessor), a $15 million gain was presented as “Gain (loss) on sale of assets, net” on the Consolidated Statements of Operations.</w:t>
      </w:r>
    </w:p>
    <w:p>
      <w:pPr>
        <w:pStyle w:val="TextBody"/>
        <w:bidi w:val="0"/>
        <w:spacing w:lineRule="auto" w:line="288" w:before="0" w:after="180"/>
        <w:jc w:val="left"/>
        <w:rPr/>
      </w:pPr>
      <w:r>
        <w:rPr>
          <w:rFonts w:ascii="Arial;sans-serif" w:hAnsi="Arial;sans-serif"/>
          <w:b w:val="false"/>
          <w:i/>
          <w:color w:val="000000"/>
          <w:sz w:val="18"/>
        </w:rPr>
        <w:t>Pennsylvania Minerals Divestiture.</w:t>
      </w:r>
      <w:r>
        <w:rPr>
          <w:color w:val="000000"/>
        </w:rPr>
        <w:t xml:space="preserve"> </w:t>
      </w:r>
      <w:r>
        <w:rPr>
          <w:rFonts w:ascii="Arial;sans-serif" w:hAnsi="Arial;sans-serif"/>
          <w:b w:val="false"/>
          <w:color w:val="000000"/>
          <w:sz w:val="18"/>
        </w:rPr>
        <w:t>In March 2023, Talen sold certain mineral interests located in Pennsylvania for $29 million, while preserving the right to certain royalty payments from existing and future producing natural gas wells. For the period from January 1 through May 17, 2023 (Predecessor), a $29 million gain was presented as “Gain (loss) on sale of assets, net”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21. Segments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Talen’s operating segments are based on the market areas in which our generation facilities operate and reflect the manner in which our Chief Executive Officer, who is the chief operating decision maker, reviews results and allocate resources. Adjusted EBITDA is the key profit metric used to measure financial performance of each segment. Total assets or other asset metrics are not considered a key metric or reviewed by the chief operating decision maker.</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PJM” is engaged in electricity generation, marketing activities, commodity risk and fuel management within the PJM RTO or ISO markets and is comprised of Susquehanna and Talen’s natural gas and coal generation facilities.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Other” represents an operating segment that includes the operating and marketing activities of Talen Montana’s proportionate share of Colstrip in the WECC market and other non-material operating and development activities. “Other” also includes the operating activities of Nautilus until Bitcoin mining operations were suspended in October 2024 and the operating activities of our Texas power generation facilities in the ERCOT market prior to their disposal in May 2024. We have determined it appropriate to aggregate results of Talen’s remaining non-reportable segments and other operating activities.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Corporate and Eliminations” represents a non-reportable segment that includes: (i) general and administrative expenses incurred by our corporate function; (ii) interest expense and other corporate activities not allocated to our operating segments; and (iii) intercompany eliminations. This grouping is presented to reconcile the reportable segments to our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11"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107</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Financial results for the segments and reconciliation to consolidated results:</w:t>
      </w:r>
    </w:p>
    <w:tbl>
      <w:tblPr>
        <w:tblW w:w="10161"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96"/>
        <w:gridCol w:w="556"/>
        <w:gridCol w:w="109"/>
        <w:gridCol w:w="109"/>
        <w:gridCol w:w="109"/>
        <w:gridCol w:w="109"/>
        <w:gridCol w:w="196"/>
        <w:gridCol w:w="421"/>
        <w:gridCol w:w="109"/>
        <w:gridCol w:w="109"/>
        <w:gridCol w:w="109"/>
        <w:gridCol w:w="109"/>
        <w:gridCol w:w="601"/>
        <w:gridCol w:w="1340"/>
        <w:gridCol w:w="339"/>
        <w:gridCol w:w="109"/>
        <w:gridCol w:w="109"/>
        <w:gridCol w:w="109"/>
        <w:gridCol w:w="196"/>
        <w:gridCol w:w="55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PJM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8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May 18 through December 31, 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January 1 through May 17, 2023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Year ended December 31, 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(a)This significant segment expense category aligns with the segment-level information that is regularly provided to the CODM.</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(b)Other segment items are primarily comprised of fuel and energy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2"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108</w:t>
                      </w:r>
                    </w:p>
                  </w:txbxContent>
                </v:textbox>
                <w10:wrap type="none"/>
              </v:rect>
            </w:pict>
          </mc:Fallback>
        </mc:AlternateContent>
      </w:r>
    </w:p>
    <w:p>
      <w:pPr>
        <w:pStyle w:val="TextBody"/>
        <w:bidi w:val="0"/>
        <w:spacing w:lineRule="auto" w:line="288" w:before="0" w:after="180"/>
        <w:jc w:val="left"/>
        <w:rPr/>
      </w:pPr>
      <w:hyperlink w:anchor="if20e1f3d5a734e3eabbb6aa8f57c7562_23089744189637">
        <w:r>
          <w:rPr>
            <w:rStyle w:val="InternetLink"/>
            <w:rFonts w:ascii="Arial;sans-serif" w:hAnsi="Arial;sans-serif"/>
            <w:b w:val="false"/>
            <w:color w:val="0000FF"/>
            <w:sz w:val="18"/>
            <w:u w:val="single"/>
          </w:rPr>
          <w:t>Item 8. Table of Contents</w:t>
        </w:r>
      </w:hyperlink>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Reconciliation of segment Adjusted EBITDA to Net Income (Loss): </w:t>
      </w:r>
    </w:p>
    <w:tbl>
      <w:tblPr>
        <w:tblW w:w="10205" w:type="dxa"/>
        <w:jc w:val="left"/>
        <w:tblInd w:w="0" w:type="dxa"/>
        <w:tblLayout w:type="fixed"/>
        <w:tblCellMar>
          <w:top w:w="28" w:type="dxa"/>
          <w:left w:w="28" w:type="dxa"/>
          <w:bottom w:w="28" w:type="dxa"/>
          <w:right w:w="28" w:type="dxa"/>
        </w:tblCellMar>
      </w:tblPr>
      <w:tblGrid>
        <w:gridCol w:w="1180"/>
        <w:gridCol w:w="703"/>
        <w:gridCol w:w="705"/>
        <w:gridCol w:w="109"/>
        <w:gridCol w:w="109"/>
        <w:gridCol w:w="109"/>
        <w:gridCol w:w="109"/>
        <w:gridCol w:w="109"/>
        <w:gridCol w:w="109"/>
        <w:gridCol w:w="109"/>
        <w:gridCol w:w="306"/>
        <w:gridCol w:w="893"/>
        <w:gridCol w:w="172"/>
        <w:gridCol w:w="109"/>
        <w:gridCol w:w="109"/>
        <w:gridCol w:w="109"/>
        <w:gridCol w:w="387"/>
        <w:gridCol w:w="863"/>
        <w:gridCol w:w="216"/>
        <w:gridCol w:w="109"/>
        <w:gridCol w:w="109"/>
        <w:gridCol w:w="109"/>
        <w:gridCol w:w="109"/>
        <w:gridCol w:w="109"/>
        <w:gridCol w:w="109"/>
        <w:gridCol w:w="323"/>
        <w:gridCol w:w="783"/>
        <w:gridCol w:w="179"/>
        <w:gridCol w:w="109"/>
        <w:gridCol w:w="109"/>
        <w:gridCol w:w="109"/>
        <w:gridCol w:w="287"/>
        <w:gridCol w:w="902"/>
        <w:gridCol w:w="235"/>
      </w:tblGrid>
      <w:tr>
        <w:trPr/>
        <w:tc>
          <w:tcPr>
            <w:tcW w:w="118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8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775</w:t>
            </w:r>
            <w:r>
              <w:rPr>
                <w:color w:val="000000"/>
              </w:rPr>
              <w:t> </w:t>
            </w:r>
          </w:p>
        </w:tc>
        <w:tc>
          <w:tcPr>
            <w:tcW w:w="1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w:t>
            </w:r>
            <w:r>
              <w:rPr>
                <w:color w:val="000000"/>
              </w:rPr>
              <w:t> </w:t>
            </w:r>
          </w:p>
        </w:tc>
        <w:tc>
          <w:tcPr>
            <w:tcW w:w="2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688</w:t>
            </w:r>
            <w:r>
              <w:rPr>
                <w:color w:val="000000"/>
              </w:rPr>
              <w:t> </w:t>
            </w:r>
          </w:p>
        </w:tc>
        <w:tc>
          <w:tcPr>
            <w:tcW w:w="17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981</w:t>
            </w:r>
            <w:r>
              <w:rPr>
                <w:color w:val="000000"/>
              </w:rPr>
              <w:t> </w:t>
            </w:r>
          </w:p>
        </w:tc>
        <w:tc>
          <w:tcPr>
            <w:tcW w:w="2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235"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asset sales,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impairments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settlements and litigation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market events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defined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restructuring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 termination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Development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35"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inventory net realizable value, obsolescence,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items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(1,293)</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3"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109</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9. CHANGES IN AND DISAGREEMENTS WITH ACCOUNTANTS ON ACCOUNTING AND FINANCIAL DISCLOSURE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7" w:name="ib4f82f200d17434a9b8b42cd0b95952c_5906"/>
      <w:bookmarkEnd w:id="7"/>
      <w:r>
        <w:rPr>
          <w:rFonts w:ascii="Arial;sans-serif" w:hAnsi="Arial;sans-serif"/>
          <w:b/>
          <w:color w:val="000000"/>
          <w:sz w:val="18"/>
        </w:rPr>
        <w:t>ITEM 9A. CONTROLS AND PROCEDURES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Disclosure Controls and Procedures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required by Rule 13a-15(b) under the Exchange Act, we have evaluated, under the supervision and with the participation of management, including our principal executive officer and principal financial officer, the effectiveness of the design and operation of our disclosure controls and procedures (as defined in Rules 13a-15(e) and 15d-15(e) under the Exchange Act) as of the end of the period covered by this Report. Our disclosure controls and procedures are designed to provide reasonable assurance that the information required to be disclosed by us in reports that we file or submit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2024 (Successor).</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Internal Control Over Financial Reporting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This Report does not include a report of management’s assessment regarding internal control over financial reporting or an attestation report of the Company’s registered public accounting firm due to a transition period established by rules of the SEC for newly public companies. These reports will be required and provided in our Annual Report on Form 10-K for the year ended December 31, 2025.</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There were no changes in our internal control over financial reporting that occurred during the year ended December 31, 2024 (Successor)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9B. OTHER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three months ended December 31, 2024, none of our directors or “officers” (as such term is defined in Rule 16(a)-1(f) under the Exchange Act) adopted or terminated a “Rule 10b5-1 trading agreement” or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9C. DISCLOSURE REGARDING FOREIGN JURISDICTIONS THAT PREVENT INSPECTIONS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10. DIRECTORS, EXECUTIVE OFFICERS, AND CORPORATE GOVERNANCE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adopted a code of ethics called the “Talen Energy Corporation Code of Business Conduct and Ethics” that applies to all of our directors, officers, and employees, including our principal executive officer, principal financial officer, principal accounting officer, and persons performing similar functions. It can be accessed under the “Governance” tab on the “Investor Relations” section of our website at https://ir.talenenergy.com. A copy will also be made available in print to any stockholder who requests it. We also intend to satisfy the disclosure requirement under Item 5.05 of Form 8-K regarding any amendment to, or waiver from, a provision of our code of ethics applicable to those individuals by posting such information on our website. We will disclose the required information within four business days, and such information will remain available on our website for at least a 12-month period. There have not been any waivers granted to any of our officers or employees to date. Information contained on or accessible from our website is not, and shall not be deemed to be, incorporated by reference into this Report or any other filings with the SEC.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other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11. EXECUTIVE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12. SECURITY OWNERSHIP OF CERTAIN BENEFICIAL OWNERS AND MANAGEMENT AND RELATED STOCKHOLDER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4"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110</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13. CERTAIN RELATIONSHIPS AND RELATED TRANSACTIONS, AND DIRECTOR INDEPENDENCE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14. PRINCIPAL ACCOUNTANT FEES AND SERVICES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15. EXHIBITS AND FINANCIALS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color w:val="000000"/>
          <w:sz w:val="18"/>
        </w:rPr>
        <w:t xml:space="preserve">(a) </w:t>
      </w:r>
      <w:r>
        <w:rPr>
          <w:rFonts w:ascii="Arial;sans-serif" w:hAnsi="Arial;sans-serif"/>
          <w:b w:val="false"/>
          <w:color w:val="000000"/>
          <w:sz w:val="18"/>
        </w:rPr>
        <w:t>The following documents are filed as a part of this Report:</w:t>
      </w:r>
    </w:p>
    <w:p>
      <w:pPr>
        <w:pStyle w:val="TextBody"/>
        <w:bidi w:val="0"/>
        <w:spacing w:lineRule="auto" w:line="288" w:before="0" w:after="180"/>
        <w:jc w:val="left"/>
        <w:rPr/>
      </w:pPr>
      <w:r>
        <w:rPr>
          <w:rFonts w:ascii="Arial;sans-serif" w:hAnsi="Arial;sans-serif"/>
          <w:b/>
          <w:color w:val="000000"/>
          <w:sz w:val="18"/>
        </w:rPr>
        <w:t xml:space="preserve">(1) Financial Statements: </w:t>
      </w:r>
      <w:r>
        <w:rPr>
          <w:rFonts w:ascii="Arial;sans-serif" w:hAnsi="Arial;sans-serif"/>
          <w:b w:val="false"/>
          <w:color w:val="000000"/>
          <w:sz w:val="18"/>
        </w:rPr>
        <w:t>The Annual Financial Statements are included with a separate index in Part II, Item 8 of this report.</w:t>
      </w:r>
    </w:p>
    <w:p>
      <w:pPr>
        <w:pStyle w:val="TextBody"/>
        <w:bidi w:val="0"/>
        <w:spacing w:lineRule="auto" w:line="288" w:before="0" w:after="180"/>
        <w:jc w:val="left"/>
        <w:rPr/>
      </w:pPr>
      <w:r>
        <w:rPr>
          <w:rFonts w:ascii="Arial;sans-serif" w:hAnsi="Arial;sans-serif"/>
          <w:b/>
          <w:color w:val="000000"/>
          <w:sz w:val="18"/>
        </w:rPr>
        <w:t>(2) Financial Statement Schedules:</w:t>
      </w:r>
      <w:r>
        <w:rPr>
          <w:color w:val="000000"/>
        </w:rPr>
        <w:t xml:space="preserve"> </w:t>
      </w:r>
      <w:r>
        <w:rPr>
          <w:rFonts w:ascii="Arial;sans-serif" w:hAnsi="Arial;sans-serif"/>
          <w:b w:val="false"/>
          <w:color w:val="000000"/>
          <w:sz w:val="18"/>
        </w:rPr>
        <w:t>Schedule I—Condensed Financial Information of Registrant for the year ended December 31, 2024 (Successor) and the period from May 18 through December 31, 2023 (Successor) is included below in subsection (c) of this Item 15. All other schedules are omitted because they are not applicable or because the required information is already contained in the Annual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(3) Exhibits:</w:t>
      </w:r>
    </w:p>
    <w:tbl>
      <w:tblPr>
        <w:tblW w:w="10205" w:type="dxa"/>
        <w:jc w:val="left"/>
        <w:tblInd w:w="0" w:type="dxa"/>
        <w:tblLayout w:type="fixed"/>
        <w:tblCellMar>
          <w:top w:w="28" w:type="dxa"/>
          <w:left w:w="28" w:type="dxa"/>
          <w:bottom w:w="28" w:type="dxa"/>
          <w:right w:w="28" w:type="dxa"/>
        </w:tblCellMar>
      </w:tblPr>
      <w:tblGrid>
        <w:gridCol w:w="257"/>
        <w:gridCol w:w="226"/>
        <w:gridCol w:w="227"/>
        <w:gridCol w:w="109"/>
        <w:gridCol w:w="109"/>
        <w:gridCol w:w="109"/>
        <w:gridCol w:w="1661"/>
        <w:gridCol w:w="1621"/>
        <w:gridCol w:w="1640"/>
        <w:gridCol w:w="109"/>
        <w:gridCol w:w="109"/>
        <w:gridCol w:w="109"/>
        <w:gridCol w:w="176"/>
        <w:gridCol w:w="176"/>
        <w:gridCol w:w="177"/>
        <w:gridCol w:w="109"/>
        <w:gridCol w:w="109"/>
        <w:gridCol w:w="109"/>
        <w:gridCol w:w="257"/>
        <w:gridCol w:w="257"/>
        <w:gridCol w:w="258"/>
        <w:gridCol w:w="109"/>
        <w:gridCol w:w="109"/>
        <w:gridCol w:w="109"/>
        <w:gridCol w:w="349"/>
        <w:gridCol w:w="216"/>
        <w:gridCol w:w="217"/>
        <w:gridCol w:w="109"/>
        <w:gridCol w:w="109"/>
        <w:gridCol w:w="109"/>
        <w:gridCol w:w="247"/>
        <w:gridCol w:w="247"/>
        <w:gridCol w:w="361"/>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Incorporated by Reference</w:t>
            </w:r>
          </w:p>
        </w:tc>
      </w:tr>
      <w:tr>
        <w:trPr/>
        <w:tc>
          <w:tcPr>
            <w:tcW w:w="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r>
      <w:tr>
        <w:trPr/>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80"/>
                  <w:sz w:val="16"/>
                  <w:u w:val="single"/>
                </w:rPr>
                <w:t>Third Amended and Restated Certificate of Incorporation of Talen Energy Corporatio</w:t>
              </w:r>
            </w:hyperlink>
            <w:hyperlink r:id="rId5">
              <w:r>
                <w:rPr>
                  <w:rStyle w:val="InternetLink"/>
                  <w:rFonts w:ascii="Arial;sans-serif" w:hAnsi="Arial;sans-serif"/>
                  <w:b w:val="false"/>
                  <w:color w:val="000080"/>
                  <w:sz w:val="16"/>
                  <w:u w:val="single"/>
                </w:rPr>
                <w:t>n.</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Second Amended and Restated Bylaws of Talen Energy Corporation</w:t>
              </w:r>
            </w:hyperlink>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w:anchor="tec-20241231ex41descriptio.htm">
              <w:r>
                <w:rPr>
                  <w:rStyle w:val="InternetLink"/>
                  <w:rFonts w:ascii="Arial;sans-serif" w:hAnsi="Arial;sans-serif"/>
                  <w:b w:val="false"/>
                  <w:color w:val="000080"/>
                  <w:sz w:val="16"/>
                  <w:u w:val="single"/>
                </w:rPr>
                <w:t>D</w:t>
              </w:r>
            </w:hyperlink>
            <w:hyperlink w:anchor="tec-20241231ex41descriptio.htm">
              <w:r>
                <w:rPr>
                  <w:rStyle w:val="InternetLink"/>
                  <w:rFonts w:ascii="Arial;sans-serif" w:hAnsi="Arial;sans-serif"/>
                  <w:b w:val="false"/>
                  <w:color w:val="000080"/>
                  <w:sz w:val="16"/>
                  <w:u w:val="single"/>
                </w:rPr>
                <w:t xml:space="preserve">escription of </w:t>
              </w:r>
            </w:hyperlink>
            <w:hyperlink w:anchor="tec-20241231ex41descriptio.htm">
              <w:r>
                <w:rPr>
                  <w:rStyle w:val="InternetLink"/>
                  <w:rFonts w:ascii="Arial;sans-serif" w:hAnsi="Arial;sans-serif"/>
                  <w:b w:val="false"/>
                  <w:color w:val="000080"/>
                  <w:sz w:val="16"/>
                  <w:u w:val="single"/>
                </w:rPr>
                <w:t>C</w:t>
              </w:r>
            </w:hyperlink>
            <w:hyperlink w:anchor="tec-20241231ex41descriptio.htm">
              <w:r>
                <w:rPr>
                  <w:rStyle w:val="InternetLink"/>
                  <w:rFonts w:ascii="Arial;sans-serif" w:hAnsi="Arial;sans-serif"/>
                  <w:b w:val="false"/>
                  <w:color w:val="000080"/>
                  <w:sz w:val="16"/>
                  <w:u w:val="single"/>
                </w:rPr>
                <w:t>apital</w:t>
              </w:r>
            </w:hyperlink>
            <w:hyperlink w:anchor="tec-20241231ex41descriptio.htm">
              <w:r>
                <w:rPr>
                  <w:rStyle w:val="InternetLink"/>
                  <w:rFonts w:ascii="Arial;sans-serif" w:hAnsi="Arial;sans-serif"/>
                  <w:b w:val="false"/>
                  <w:color w:val="000080"/>
                  <w:sz w:val="16"/>
                  <w:u w:val="single"/>
                </w:rPr>
                <w:t xml:space="preserve"> </w:t>
              </w:r>
            </w:hyperlink>
            <w:hyperlink w:anchor="tec-20241231ex41descriptio.htm">
              <w:r>
                <w:rPr>
                  <w:rStyle w:val="InternetLink"/>
                  <w:rFonts w:ascii="Arial;sans-serif" w:hAnsi="Arial;sans-serif"/>
                  <w:b w:val="false"/>
                  <w:color w:val="000080"/>
                  <w:sz w:val="16"/>
                  <w:u w:val="single"/>
                </w:rPr>
                <w:t>S</w:t>
              </w:r>
            </w:hyperlink>
            <w:hyperlink w:anchor="tec-20241231ex41descriptio.htm">
              <w:r>
                <w:rPr>
                  <w:rStyle w:val="InternetLink"/>
                  <w:rFonts w:ascii="Arial;sans-serif" w:hAnsi="Arial;sans-serif"/>
                  <w:b w:val="false"/>
                  <w:color w:val="000080"/>
                  <w:sz w:val="16"/>
                  <w:u w:val="single"/>
                </w:rPr>
                <w:t>tock.</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Stockholders Agreement, dated as of May 17, 2023, by and among Talen Energy Corporation and the parties identified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80"/>
                  <w:sz w:val="16"/>
                  <w:u w:val="single"/>
                </w:rPr>
                <w:t>Registration Rights Agreement, dated as of May 17, 2023, by and among Talen Energy Corporation and the</w:t>
              </w:r>
            </w:hyperlink>
            <w:hyperlink r:id="rId9">
              <w:r>
                <w:rPr>
                  <w:rStyle w:val="InternetLink"/>
                  <w:rFonts w:ascii="Arial;sans-serif" w:hAnsi="Arial;sans-serif"/>
                  <w:b w:val="false"/>
                  <w:color w:val="000080"/>
                  <w:sz w:val="16"/>
                  <w:u w:val="single"/>
                </w:rPr>
                <w:t xml:space="preserve"> holders party thereto.</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Indenture, dated as of May 12, 2023, between Talen Energy Supply, LLC and Wilmington Savings Fund Society, FSB,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6"/>
                  <w:u w:val="single"/>
                </w:rPr>
                <w:t>First Supplemental Indenture, dated as of May 17, 2023, by and among the subsidiary guarantors listed therein, Talen Energy Supply, LLC, the other subsidiary guarantors and Wilmington Savings Fund Society, FSB, as trustee under the Indenture.</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6"/>
                  <w:u w:val="single"/>
                </w:rPr>
                <w:t>Second Supplemental Indenture, dated as of October 6, 2023, by and among the subsidiary guarantors listed therein, Talen Energy Supply, LLC and Wilmington Savings Fund Society, FSB, as trustee under the Indenture.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w:anchor="tec-20241231ex47thirdsuppl.htm">
              <w:r>
                <w:rPr>
                  <w:rStyle w:val="InternetLink"/>
                  <w:rFonts w:ascii="Arial;sans-serif" w:hAnsi="Arial;sans-serif"/>
                  <w:b w:val="false"/>
                  <w:color w:val="000080"/>
                  <w:sz w:val="16"/>
                  <w:u w:val="single"/>
                </w:rPr>
                <w:t xml:space="preserve">Third Supplemental Indenture, dated as of </w:t>
              </w:r>
            </w:hyperlink>
            <w:hyperlink w:anchor="tec-20241231ex47thirdsuppl.htm">
              <w:r>
                <w:rPr>
                  <w:rStyle w:val="InternetLink"/>
                  <w:rFonts w:ascii="Arial;sans-serif" w:hAnsi="Arial;sans-serif"/>
                  <w:b w:val="false"/>
                  <w:color w:val="000080"/>
                  <w:sz w:val="16"/>
                  <w:u w:val="single"/>
                </w:rPr>
                <w:t>June 22, 2024</w:t>
              </w:r>
            </w:hyperlink>
            <w:hyperlink w:anchor="tec-20241231ex47thirdsuppl.htm">
              <w:r>
                <w:rPr>
                  <w:rStyle w:val="InternetLink"/>
                  <w:rFonts w:ascii="Arial;sans-serif" w:hAnsi="Arial;sans-serif"/>
                  <w:b w:val="false"/>
                  <w:color w:val="000080"/>
                  <w:sz w:val="16"/>
                  <w:u w:val="single"/>
                </w:rPr>
                <w:t>, by and among the subsidiary guarantors listed therein, Talen Energy Supply, LLC and Wilmington Savings Fund Society, FSB, as trustee under the Indenture.</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80"/>
                  <w:sz w:val="16"/>
                  <w:u w:val="single"/>
                </w:rPr>
                <w:t xml:space="preserve">Fourth Supplemental Indenture, dated as of </w:t>
              </w:r>
            </w:hyperlink>
            <w:hyperlink r:id="rId14">
              <w:r>
                <w:rPr>
                  <w:rStyle w:val="InternetLink"/>
                  <w:rFonts w:ascii="Arial;sans-serif" w:hAnsi="Arial;sans-serif"/>
                  <w:b w:val="false"/>
                  <w:color w:val="000080"/>
                  <w:sz w:val="16"/>
                  <w:u w:val="single"/>
                </w:rPr>
                <w:t>January 13, 2025</w:t>
              </w:r>
            </w:hyperlink>
            <w:hyperlink r:id="rId15">
              <w:r>
                <w:rPr>
                  <w:rStyle w:val="InternetLink"/>
                  <w:rFonts w:ascii="Arial;sans-serif" w:hAnsi="Arial;sans-serif"/>
                  <w:b w:val="false"/>
                  <w:color w:val="000080"/>
                  <w:sz w:val="16"/>
                  <w:u w:val="single"/>
                </w:rPr>
                <w:t>, by and among the subsidiary guarantors listed therein, Talen Energy Supply, LLC and Wilmington Savings Fund Society, FSB, as trustee under the Indenture.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80"/>
                  <w:sz w:val="16"/>
                  <w:u w:val="single"/>
                </w:rPr>
                <w:t xml:space="preserve">Credit Agreement, dated </w:t>
              </w:r>
            </w:hyperlink>
            <w:hyperlink r:id="rId17">
              <w:r>
                <w:rPr>
                  <w:rStyle w:val="InternetLink"/>
                  <w:rFonts w:ascii="Arial;sans-serif" w:hAnsi="Arial;sans-serif"/>
                  <w:b w:val="false"/>
                  <w:color w:val="000080"/>
                  <w:sz w:val="16"/>
                  <w:u w:val="single"/>
                </w:rPr>
                <w:t xml:space="preserve">as of </w:t>
              </w:r>
            </w:hyperlink>
            <w:hyperlink r:id="rId18">
              <w:r>
                <w:rPr>
                  <w:rStyle w:val="InternetLink"/>
                  <w:rFonts w:ascii="Arial;sans-serif" w:hAnsi="Arial;sans-serif"/>
                  <w:b w:val="false"/>
                  <w:color w:val="000080"/>
                  <w:sz w:val="16"/>
                  <w:u w:val="single"/>
                </w:rPr>
                <w:t>May 17, 2023, by and among Talen Energy Supply, LLC, the lending institutions from time to time parties thereto, Citibank, N.A., as administrative agent and collateral agent, and Citibank, N.A., BMO Capital Markets Corp., Deutsche Bank Securities Inc., Goldman Sachs Bank USA, RBC Capital Markets, LLC, MUFG Bank, Ltd., Credit Suisse Loan Funding LLC and Morgan Stanley Senior Funding, Inc., as joint lead arrangers and joint bookrunners.</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6"/>
                  <w:u w:val="single"/>
                </w:rPr>
                <w:t>Amendment No. 1 to Credit Agreement, dated as of August 9, 2023, by and among Talen Energy Supply, LLC, as borrower, the subsidiary guarantors party thereto, the persons identified on the signature pages thereto as a 2023-1 Incremental Term B Lender and Citibank N.A., as administrative agent and as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6"/>
                  <w:u w:val="single"/>
                </w:rPr>
                <w:t>Amendment No. 2 and Waiver to Credit Agreement, dated as of May 8, 2024, by and among Talen Energy Supply, LLC, as borrower, the subsidiary guarantors party thereto, the lenders party thereto and Citibank N.A., as administrative agent, collateral agent and replacement lender.</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5"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111</w:t>
                      </w:r>
                    </w:p>
                  </w:txbxContent>
                </v:textbox>
                <w10:wrap type="none"/>
              </v:rect>
            </w:pict>
          </mc:Fallback>
        </mc:AlternateContent>
      </w:r>
    </w:p>
    <w:p>
      <w:pPr>
        <w:pStyle w:val="TextBody"/>
        <w:bidi w:val="0"/>
        <w:spacing w:lineRule="auto" w:line="288" w:before="0" w:after="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tbl>
      <w:tblPr>
        <w:tblW w:w="10205" w:type="dxa"/>
        <w:jc w:val="left"/>
        <w:tblInd w:w="0" w:type="dxa"/>
        <w:tblLayout w:type="fixed"/>
        <w:tblCellMar>
          <w:top w:w="28" w:type="dxa"/>
          <w:left w:w="28" w:type="dxa"/>
          <w:bottom w:w="28" w:type="dxa"/>
          <w:right w:w="28" w:type="dxa"/>
        </w:tblCellMar>
      </w:tblPr>
      <w:tblGrid>
        <w:gridCol w:w="263"/>
        <w:gridCol w:w="231"/>
        <w:gridCol w:w="232"/>
        <w:gridCol w:w="109"/>
        <w:gridCol w:w="109"/>
        <w:gridCol w:w="109"/>
        <w:gridCol w:w="2022"/>
        <w:gridCol w:w="1309"/>
        <w:gridCol w:w="1323"/>
        <w:gridCol w:w="109"/>
        <w:gridCol w:w="109"/>
        <w:gridCol w:w="109"/>
        <w:gridCol w:w="177"/>
        <w:gridCol w:w="177"/>
        <w:gridCol w:w="178"/>
        <w:gridCol w:w="109"/>
        <w:gridCol w:w="109"/>
        <w:gridCol w:w="109"/>
        <w:gridCol w:w="263"/>
        <w:gridCol w:w="263"/>
        <w:gridCol w:w="264"/>
        <w:gridCol w:w="109"/>
        <w:gridCol w:w="109"/>
        <w:gridCol w:w="109"/>
        <w:gridCol w:w="409"/>
        <w:gridCol w:w="332"/>
        <w:gridCol w:w="240"/>
        <w:gridCol w:w="109"/>
        <w:gridCol w:w="109"/>
        <w:gridCol w:w="109"/>
        <w:gridCol w:w="257"/>
        <w:gridCol w:w="257"/>
        <w:gridCol w:w="373"/>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Incorporated by Reference</w:t>
            </w:r>
          </w:p>
        </w:tc>
      </w:tr>
      <w:tr>
        <w:trPr/>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80"/>
                  <w:sz w:val="16"/>
                  <w:u w:val="single"/>
                </w:rPr>
                <w:t xml:space="preserve">Amendment No. 3 to </w:t>
              </w:r>
            </w:hyperlink>
            <w:hyperlink r:id="rId22">
              <w:r>
                <w:rPr>
                  <w:rStyle w:val="InternetLink"/>
                  <w:rFonts w:ascii="Arial;sans-serif" w:hAnsi="Arial;sans-serif"/>
                  <w:b w:val="false"/>
                  <w:color w:val="000080"/>
                  <w:sz w:val="16"/>
                  <w:u w:val="single"/>
                </w:rPr>
                <w:t>Credit Agreement, dated as of December 13, 2024, among Talen Energy Supply, LLC, as borrower, the subsidiary guarantors party thereto, the lenders party thereto and Citibank N.A., as administrative agent and collateral agent.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13,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80"/>
                  <w:sz w:val="16"/>
                  <w:u w:val="single"/>
                </w:rPr>
                <w:t xml:space="preserve">Amendment No. 4 to </w:t>
              </w:r>
            </w:hyperlink>
            <w:hyperlink r:id="rId24">
              <w:r>
                <w:rPr>
                  <w:rStyle w:val="InternetLink"/>
                  <w:rFonts w:ascii="Arial;sans-serif" w:hAnsi="Arial;sans-serif"/>
                  <w:b w:val="false"/>
                  <w:color w:val="000080"/>
                  <w:sz w:val="16"/>
                  <w:u w:val="single"/>
                </w:rPr>
                <w:t>Credit Agreement, dated as of December 20, 2024, among Talen Energy Supply, LLC, as borrower, the subsidiary guarantors party thereto, the lenders party thereto and Citibank N.A., as administrative agent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10.6</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6"/>
                  <w:u w:val="single"/>
                </w:rPr>
                <w:t>2025 Employee Stock Purchase Plan of Talen Energy Corporation.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333-283230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November 14,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10.7</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80"/>
                  <w:sz w:val="16"/>
                  <w:u w:val="single"/>
                </w:rPr>
                <w:t>2023 Equity Incentive Plan of Talen Energy Corporation</w:t>
              </w:r>
            </w:hyperlink>
            <w:hyperlink r:id="rId27">
              <w:r>
                <w:rPr>
                  <w:rStyle w:val="InternetLink"/>
                  <w:rFonts w:ascii="Arial;sans-serif" w:hAnsi="Arial;sans-serif"/>
                  <w:b w:val="false"/>
                  <w:color w:val="000080"/>
                  <w:sz w:val="16"/>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10.8</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80"/>
                  <w:sz w:val="16"/>
                  <w:u w:val="single"/>
                </w:rPr>
                <w:t xml:space="preserve">Talen Energy Corporation Restricted Stock Unit Award Notice and Award Agreement, dated </w:t>
              </w:r>
            </w:hyperlink>
            <w:hyperlink r:id="rId29">
              <w:r>
                <w:rPr>
                  <w:rStyle w:val="InternetLink"/>
                  <w:rFonts w:ascii="Arial;sans-serif" w:hAnsi="Arial;sans-serif"/>
                  <w:b w:val="false"/>
                  <w:color w:val="000080"/>
                  <w:sz w:val="16"/>
                  <w:u w:val="single"/>
                </w:rPr>
                <w:t xml:space="preserve">as of </w:t>
              </w:r>
            </w:hyperlink>
            <w:hyperlink r:id="rId30">
              <w:r>
                <w:rPr>
                  <w:rStyle w:val="InternetLink"/>
                  <w:rFonts w:ascii="Arial;sans-serif" w:hAnsi="Arial;sans-serif"/>
                  <w:b w:val="false"/>
                  <w:color w:val="000080"/>
                  <w:sz w:val="16"/>
                  <w:u w:val="single"/>
                </w:rPr>
                <w:t>June 16, 2023, by and between Talen Energy Corporation and Mark A. McFarland.</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10.10</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10.9</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6"/>
                  <w:u w:val="single"/>
                </w:rPr>
                <w:t>2023 Talen Energy Corporation Performance-Based Restricted Stock Unit Award Notice and Award Agreement, dated as of June 16, 2023, by and between Talen Energy Corporation and Mark A. McFarland.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10.11</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10.10</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80"/>
                  <w:sz w:val="16"/>
                  <w:u w:val="single"/>
                </w:rPr>
                <w:t xml:space="preserve">2023 </w:t>
              </w:r>
            </w:hyperlink>
            <w:hyperlink r:id="rId33">
              <w:r>
                <w:rPr>
                  <w:rStyle w:val="InternetLink"/>
                  <w:rFonts w:ascii="Arial;sans-serif" w:hAnsi="Arial;sans-serif"/>
                  <w:b w:val="false"/>
                  <w:color w:val="000080"/>
                  <w:sz w:val="16"/>
                  <w:u w:val="single"/>
                </w:rPr>
                <w:t>Form of Talen Energy Corporation Restricted Stock Unit Award Notice and Award Agreement (Executive Form).</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80"/>
                  <w:sz w:val="16"/>
                  <w:u w:val="single"/>
                </w:rPr>
                <w:t xml:space="preserve">2023 </w:t>
              </w:r>
            </w:hyperlink>
            <w:hyperlink r:id="rId35">
              <w:r>
                <w:rPr>
                  <w:rStyle w:val="InternetLink"/>
                  <w:rFonts w:ascii="Arial;sans-serif" w:hAnsi="Arial;sans-serif"/>
                  <w:b w:val="false"/>
                  <w:color w:val="000080"/>
                  <w:sz w:val="16"/>
                  <w:u w:val="single"/>
                </w:rPr>
                <w:t>Form of Talen Energy Corporation Performance-Based Restricted Stock Unit Award Notice and Award Agreement (</w:t>
              </w:r>
            </w:hyperlink>
            <w:hyperlink r:id="rId36">
              <w:r>
                <w:rPr>
                  <w:rStyle w:val="InternetLink"/>
                  <w:rFonts w:ascii="Arial;sans-serif" w:hAnsi="Arial;sans-serif"/>
                  <w:b w:val="false"/>
                  <w:color w:val="000080"/>
                  <w:sz w:val="16"/>
                  <w:u w:val="single"/>
                </w:rPr>
                <w:t xml:space="preserve">Executive </w:t>
              </w:r>
            </w:hyperlink>
            <w:hyperlink r:id="rId37">
              <w:r>
                <w:rPr>
                  <w:rStyle w:val="InternetLink"/>
                  <w:rFonts w:ascii="Arial;sans-serif" w:hAnsi="Arial;sans-serif"/>
                  <w:b w:val="false"/>
                  <w:color w:val="000080"/>
                  <w:sz w:val="16"/>
                  <w:u w:val="single"/>
                </w:rPr>
                <w:t>Form).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10.13</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10.12</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80"/>
                  <w:sz w:val="16"/>
                  <w:u w:val="single"/>
                </w:rPr>
                <w:t xml:space="preserve">2023 </w:t>
              </w:r>
            </w:hyperlink>
            <w:hyperlink r:id="rId39">
              <w:r>
                <w:rPr>
                  <w:rStyle w:val="InternetLink"/>
                  <w:rFonts w:ascii="Arial;sans-serif" w:hAnsi="Arial;sans-serif"/>
                  <w:b w:val="false"/>
                  <w:color w:val="000080"/>
                  <w:sz w:val="16"/>
                  <w:u w:val="single"/>
                </w:rPr>
                <w:t>Form of Talen Energy Corporation Performance-Based Restricted Stock Unit Award Notice and Award Agreement (</w:t>
              </w:r>
            </w:hyperlink>
            <w:hyperlink r:id="rId40">
              <w:r>
                <w:rPr>
                  <w:rStyle w:val="InternetLink"/>
                  <w:rFonts w:ascii="Arial;sans-serif" w:hAnsi="Arial;sans-serif"/>
                  <w:b w:val="false"/>
                  <w:color w:val="000080"/>
                  <w:sz w:val="16"/>
                  <w:u w:val="single"/>
                </w:rPr>
                <w:t>Non-</w:t>
              </w:r>
            </w:hyperlink>
            <w:hyperlink r:id="rId41">
              <w:r>
                <w:rPr>
                  <w:rStyle w:val="InternetLink"/>
                  <w:rFonts w:ascii="Arial;sans-serif" w:hAnsi="Arial;sans-serif"/>
                  <w:b w:val="false"/>
                  <w:color w:val="000080"/>
                  <w:sz w:val="16"/>
                  <w:u w:val="single"/>
                </w:rPr>
                <w:t xml:space="preserve">Executive </w:t>
              </w:r>
            </w:hyperlink>
            <w:hyperlink r:id="rId42">
              <w:r>
                <w:rPr>
                  <w:rStyle w:val="InternetLink"/>
                  <w:rFonts w:ascii="Arial;sans-serif" w:hAnsi="Arial;sans-serif"/>
                  <w:b w:val="false"/>
                  <w:color w:val="000080"/>
                  <w:sz w:val="16"/>
                  <w:u w:val="single"/>
                </w:rPr>
                <w:t xml:space="preserve">Chair </w:t>
              </w:r>
            </w:hyperlink>
            <w:hyperlink r:id="rId43">
              <w:r>
                <w:rPr>
                  <w:rStyle w:val="InternetLink"/>
                  <w:rFonts w:ascii="Arial;sans-serif" w:hAnsi="Arial;sans-serif"/>
                  <w:b w:val="false"/>
                  <w:color w:val="000080"/>
                  <w:sz w:val="16"/>
                  <w:u w:val="single"/>
                </w:rPr>
                <w:t>Form).</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10.14</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10.13</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80"/>
                  <w:sz w:val="16"/>
                  <w:u w:val="single"/>
                </w:rPr>
                <w:t xml:space="preserve">2023 </w:t>
              </w:r>
            </w:hyperlink>
            <w:hyperlink r:id="rId45">
              <w:r>
                <w:rPr>
                  <w:rStyle w:val="InternetLink"/>
                  <w:rFonts w:ascii="Arial;sans-serif" w:hAnsi="Arial;sans-serif"/>
                  <w:b w:val="false"/>
                  <w:color w:val="000080"/>
                  <w:sz w:val="16"/>
                  <w:u w:val="single"/>
                </w:rPr>
                <w:t>Form of Talen Energy Corporation Restricted Stock Unit Award Notice and Award Agreement (Non-Employee Director Form).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10.15</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10.14*</w:t>
            </w:r>
            <w:r>
              <w:rPr>
                <w:color w:val="000000"/>
              </w:rPr>
              <w:t>†</w:t>
            </w:r>
            <w:r>
              <w:rPr>
                <w:rFonts w:ascii="Arial;sans-serif" w:hAnsi="Arial;sans-serif"/>
                <w:b w:val="false"/>
                <w:color w:val="000000"/>
                <w:sz w:val="9"/>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41231ex1014cumulusl.htm">
              <w:r>
                <w:rPr>
                  <w:rStyle w:val="InternetLink"/>
                  <w:rFonts w:ascii="Arial;sans-serif" w:hAnsi="Arial;sans-serif"/>
                  <w:b w:val="false"/>
                  <w:color w:val="000080"/>
                  <w:sz w:val="16"/>
                  <w:u w:val="single"/>
                </w:rPr>
                <w:t>C</w:t>
              </w:r>
            </w:hyperlink>
            <w:hyperlink w:anchor="tec-20241231ex1014cumulusl.htm">
              <w:r>
                <w:rPr>
                  <w:rStyle w:val="InternetLink"/>
                  <w:rFonts w:ascii="Arial;sans-serif" w:hAnsi="Arial;sans-serif"/>
                  <w:b w:val="false"/>
                  <w:color w:val="000080"/>
                  <w:sz w:val="16"/>
                  <w:u w:val="single"/>
                </w:rPr>
                <w:t>umulus Long-Term Incentive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10.15*</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41231ex1015formofcu.htm">
              <w:r>
                <w:rPr>
                  <w:rStyle w:val="InternetLink"/>
                  <w:rFonts w:ascii="Arial;sans-serif" w:hAnsi="Arial;sans-serif"/>
                  <w:b w:val="false"/>
                  <w:color w:val="000080"/>
                  <w:sz w:val="16"/>
                  <w:u w:val="single"/>
                </w:rPr>
                <w:t xml:space="preserve">Form of </w:t>
              </w:r>
            </w:hyperlink>
            <w:hyperlink w:anchor="tec-20241231ex1015formofcu.htm">
              <w:r>
                <w:rPr>
                  <w:rStyle w:val="InternetLink"/>
                  <w:rFonts w:ascii="Arial;sans-serif" w:hAnsi="Arial;sans-serif"/>
                  <w:b w:val="false"/>
                  <w:color w:val="000080"/>
                  <w:sz w:val="16"/>
                  <w:u w:val="single"/>
                </w:rPr>
                <w:t>Cumulus Long-Term Incentive Plan</w:t>
              </w:r>
            </w:hyperlink>
            <w:hyperlink w:anchor="tec-20241231ex1015formofcu.htm">
              <w:r>
                <w:rPr>
                  <w:rStyle w:val="InternetLink"/>
                  <w:rFonts w:ascii="Arial;sans-serif" w:hAnsi="Arial;sans-serif"/>
                  <w:b w:val="false"/>
                  <w:color w:val="000080"/>
                  <w:sz w:val="16"/>
                  <w:u w:val="single"/>
                </w:rPr>
                <w:t xml:space="preserve"> Award </w:t>
              </w:r>
            </w:hyperlink>
            <w:hyperlink w:anchor="tec-20241231ex1015formofcu.htm">
              <w:r>
                <w:rPr>
                  <w:rStyle w:val="InternetLink"/>
                  <w:rFonts w:ascii="Arial;sans-serif" w:hAnsi="Arial;sans-serif"/>
                  <w:b w:val="false"/>
                  <w:color w:val="000080"/>
                  <w:sz w:val="16"/>
                  <w:u w:val="single"/>
                </w:rPr>
                <w:t>Notice.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10.16*</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41231ex1016formofam.htm">
              <w:r>
                <w:rPr>
                  <w:rStyle w:val="InternetLink"/>
                  <w:rFonts w:ascii="Arial;sans-serif" w:hAnsi="Arial;sans-serif"/>
                  <w:b w:val="false"/>
                  <w:color w:val="000080"/>
                  <w:sz w:val="16"/>
                  <w:u w:val="single"/>
                </w:rPr>
                <w:t>F</w:t>
              </w:r>
            </w:hyperlink>
            <w:hyperlink w:anchor="tec-20241231ex1016formofam.htm">
              <w:r>
                <w:rPr>
                  <w:rStyle w:val="InternetLink"/>
                  <w:rFonts w:ascii="Arial;sans-serif" w:hAnsi="Arial;sans-serif"/>
                  <w:b w:val="false"/>
                  <w:color w:val="000080"/>
                  <w:sz w:val="16"/>
                  <w:u w:val="single"/>
                </w:rPr>
                <w:t>orm of Amendment to Cumulus Long-Term Incentive Plan Award Notic</w:t>
              </w:r>
            </w:hyperlink>
            <w:hyperlink w:anchor="tec-20241231ex1016formofam.htm">
              <w:r>
                <w:rPr>
                  <w:rStyle w:val="InternetLink"/>
                  <w:rFonts w:ascii="Arial;sans-serif" w:hAnsi="Arial;sans-serif"/>
                  <w:b w:val="false"/>
                  <w:color w:val="000080"/>
                  <w:sz w:val="16"/>
                  <w:u w:val="single"/>
                </w:rPr>
                <w:t>e.</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10.17</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80"/>
                  <w:sz w:val="16"/>
                  <w:u w:val="single"/>
                </w:rPr>
                <w:t>Form of Indemnification Agreement between</w:t>
              </w:r>
            </w:hyperlink>
            <w:hyperlink r:id="rId47">
              <w:r>
                <w:rPr>
                  <w:rStyle w:val="InternetLink"/>
                  <w:rFonts w:ascii="Arial;sans-serif" w:hAnsi="Arial;sans-serif"/>
                  <w:b w:val="false"/>
                  <w:color w:val="000080"/>
                  <w:sz w:val="16"/>
                  <w:u w:val="single"/>
                </w:rPr>
                <w:t xml:space="preserve"> Talen Ener</w:t>
              </w:r>
            </w:hyperlink>
            <w:hyperlink r:id="rId48">
              <w:r>
                <w:rPr>
                  <w:rStyle w:val="InternetLink"/>
                  <w:rFonts w:ascii="Arial;sans-serif" w:hAnsi="Arial;sans-serif"/>
                  <w:b w:val="false"/>
                  <w:color w:val="000080"/>
                  <w:sz w:val="16"/>
                  <w:u w:val="single"/>
                </w:rPr>
                <w:t>gy Corporation</w:t>
              </w:r>
            </w:hyperlink>
            <w:hyperlink r:id="rId49">
              <w:r>
                <w:rPr>
                  <w:rStyle w:val="InternetLink"/>
                  <w:rFonts w:ascii="Arial;sans-serif" w:hAnsi="Arial;sans-serif"/>
                  <w:b w:val="false"/>
                  <w:color w:val="000080"/>
                  <w:sz w:val="16"/>
                  <w:u w:val="single"/>
                </w:rPr>
                <w:t xml:space="preserve"> and each of its directors and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10.18</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80"/>
                  <w:sz w:val="16"/>
                  <w:u w:val="single"/>
                </w:rPr>
                <w:t xml:space="preserve">Employment Agreement, dated </w:t>
              </w:r>
            </w:hyperlink>
            <w:hyperlink r:id="rId51">
              <w:r>
                <w:rPr>
                  <w:rStyle w:val="InternetLink"/>
                  <w:rFonts w:ascii="Arial;sans-serif" w:hAnsi="Arial;sans-serif"/>
                  <w:b w:val="false"/>
                  <w:color w:val="000080"/>
                  <w:sz w:val="16"/>
                  <w:u w:val="single"/>
                </w:rPr>
                <w:t xml:space="preserve">as of </w:t>
              </w:r>
            </w:hyperlink>
            <w:hyperlink r:id="rId52">
              <w:r>
                <w:rPr>
                  <w:rStyle w:val="InternetLink"/>
                  <w:rFonts w:ascii="Arial;sans-serif" w:hAnsi="Arial;sans-serif"/>
                  <w:b w:val="false"/>
                  <w:color w:val="000080"/>
                  <w:sz w:val="16"/>
                  <w:u w:val="single"/>
                </w:rPr>
                <w:t>May 17, 2023, by and between Talen Energy Corporation and Mark A. McFarland.</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10.16</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10.19</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rial;sans-serif" w:hAnsi="Arial;sans-serif"/>
                  <w:b w:val="false"/>
                  <w:color w:val="0000FF"/>
                  <w:sz w:val="16"/>
                  <w:u w:val="single"/>
                </w:rPr>
                <w:t>Employment Agreement, effective as of July 10, 2023, by and between Talen Energy Corporation and Terry L. Nutt.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10.17</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10.20</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rial;sans-serif" w:hAnsi="Arial;sans-serif"/>
                  <w:b w:val="false"/>
                  <w:color w:val="0000FF"/>
                  <w:sz w:val="16"/>
                  <w:u w:val="single"/>
                </w:rPr>
                <w:t>Employment Agreement, dated as of June 19, 2023, by and between Talen Energy Corporation and John Wander.</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10.18</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10.21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80"/>
                  <w:sz w:val="16"/>
                  <w:u w:val="single"/>
                </w:rPr>
                <w:t xml:space="preserve">Employment Agreement, dated </w:t>
              </w:r>
            </w:hyperlink>
            <w:hyperlink r:id="rId56">
              <w:r>
                <w:rPr>
                  <w:rStyle w:val="InternetLink"/>
                  <w:rFonts w:ascii="Arial;sans-serif" w:hAnsi="Arial;sans-serif"/>
                  <w:b w:val="false"/>
                  <w:color w:val="000080"/>
                  <w:sz w:val="16"/>
                  <w:u w:val="single"/>
                </w:rPr>
                <w:t xml:space="preserve">as of </w:t>
              </w:r>
            </w:hyperlink>
            <w:hyperlink r:id="rId57">
              <w:r>
                <w:rPr>
                  <w:rStyle w:val="InternetLink"/>
                  <w:rFonts w:ascii="Arial;sans-serif" w:hAnsi="Arial;sans-serif"/>
                  <w:b w:val="false"/>
                  <w:color w:val="000080"/>
                  <w:sz w:val="16"/>
                  <w:u w:val="single"/>
                </w:rPr>
                <w:t>June 26, 2023, by and between Talen Energy Corporation and Brad Berryman.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10.20</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10.22*</w:t>
            </w:r>
            <w:r>
              <w:rPr>
                <w:color w:val="000000"/>
              </w:rPr>
              <w:t>†</w:t>
            </w:r>
            <w:r>
              <w:rPr>
                <w:rFonts w:ascii="Arial;sans-serif" w:hAnsi="Arial;sans-serif"/>
                <w:b w:val="false"/>
                <w:color w:val="000000"/>
                <w:sz w:val="9"/>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41231ex1022employme.htm">
              <w:r>
                <w:rPr>
                  <w:rStyle w:val="InternetLink"/>
                  <w:rFonts w:ascii="Arial;sans-serif" w:hAnsi="Arial;sans-serif"/>
                  <w:b w:val="false"/>
                  <w:color w:val="0000FF"/>
                  <w:sz w:val="16"/>
                  <w:u w:val="single"/>
                </w:rPr>
                <w:t>Employment Agreement, dated as of July 7, 2023, by and between Talen Energy Corporation and Cole Muller.</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42131ex1023rubricre.htm">
              <w:r>
                <w:rPr>
                  <w:rStyle w:val="InternetLink"/>
                  <w:rFonts w:ascii="Arial;sans-serif" w:hAnsi="Arial;sans-serif"/>
                  <w:b w:val="false"/>
                  <w:color w:val="0000FF"/>
                  <w:sz w:val="16"/>
                  <w:u w:val="single"/>
                </w:rPr>
                <w:t>Purchase Agreement, dated July 1, 2024, by and among Talen Energy Corporation, Rubric Capital Management, LP, Rubric Capital PWR LLC and Rubric BSR Fund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19.1*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41231ex191talenener.htm">
              <w:r>
                <w:rPr>
                  <w:rStyle w:val="InternetLink"/>
                  <w:rFonts w:ascii="Arial;sans-serif" w:hAnsi="Arial;sans-serif"/>
                  <w:b w:val="false"/>
                  <w:color w:val="000080"/>
                  <w:sz w:val="16"/>
                  <w:u w:val="single"/>
                </w:rPr>
                <w:t>Talen Energy Corporatio</w:t>
              </w:r>
            </w:hyperlink>
            <w:hyperlink w:anchor="tec-20241231ex191talenener.htm">
              <w:r>
                <w:rPr>
                  <w:rStyle w:val="InternetLink"/>
                  <w:rFonts w:ascii="Arial;sans-serif" w:hAnsi="Arial;sans-serif"/>
                  <w:b w:val="false"/>
                  <w:color w:val="000080"/>
                  <w:sz w:val="16"/>
                  <w:u w:val="single"/>
                </w:rPr>
                <w:t xml:space="preserve">n </w:t>
              </w:r>
            </w:hyperlink>
            <w:hyperlink w:anchor="tec-20241231ex191talenener.htm">
              <w:r>
                <w:rPr>
                  <w:rStyle w:val="InternetLink"/>
                  <w:rFonts w:ascii="Arial;sans-serif" w:hAnsi="Arial;sans-serif"/>
                  <w:b w:val="false"/>
                  <w:color w:val="000080"/>
                  <w:sz w:val="16"/>
                  <w:u w:val="single"/>
                </w:rPr>
                <w:t>I</w:t>
              </w:r>
            </w:hyperlink>
            <w:hyperlink w:anchor="tec-20241231ex191talenener.htm">
              <w:r>
                <w:rPr>
                  <w:rStyle w:val="InternetLink"/>
                  <w:rFonts w:ascii="Arial;sans-serif" w:hAnsi="Arial;sans-serif"/>
                  <w:b w:val="false"/>
                  <w:color w:val="000080"/>
                  <w:sz w:val="16"/>
                  <w:u w:val="single"/>
                </w:rPr>
                <w:t>n</w:t>
              </w:r>
            </w:hyperlink>
            <w:hyperlink w:anchor="tec-20241231ex191talenener.htm">
              <w:r>
                <w:rPr>
                  <w:rStyle w:val="InternetLink"/>
                  <w:rFonts w:ascii="Arial;sans-serif" w:hAnsi="Arial;sans-serif"/>
                  <w:b w:val="false"/>
                  <w:color w:val="000080"/>
                  <w:sz w:val="16"/>
                  <w:u w:val="single"/>
                </w:rPr>
                <w:t>sider Trading Poli</w:t>
              </w:r>
            </w:hyperlink>
            <w:hyperlink w:anchor="tec-20241231ex191talenener.htm">
              <w:r>
                <w:rPr>
                  <w:rStyle w:val="InternetLink"/>
                  <w:rFonts w:ascii="Arial;sans-serif" w:hAnsi="Arial;sans-serif"/>
                  <w:b w:val="false"/>
                  <w:color w:val="000080"/>
                  <w:sz w:val="16"/>
                  <w:u w:val="single"/>
                </w:rPr>
                <w:t>cy</w:t>
              </w:r>
            </w:hyperlink>
            <w:hyperlink w:anchor="tec-20241231ex191talenener.htm">
              <w:r>
                <w:rPr>
                  <w:rStyle w:val="InternetLink"/>
                  <w:rFonts w:ascii="Arial;sans-serif" w:hAnsi="Arial;sans-serif"/>
                  <w:b w:val="false"/>
                  <w:color w:val="000080"/>
                  <w:sz w:val="16"/>
                  <w:u w:val="single"/>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41231ex211listofsub.htm">
              <w:r>
                <w:rPr>
                  <w:rStyle w:val="InternetLink"/>
                  <w:rFonts w:ascii="Arial;sans-serif" w:hAnsi="Arial;sans-serif"/>
                  <w:b w:val="false"/>
                  <w:color w:val="0000FF"/>
                  <w:sz w:val="16"/>
                  <w:u w:val="single"/>
                </w:rPr>
                <w:t>List of subsidiaries of Talen Energy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41231ex231consentso.htm">
              <w:r>
                <w:rPr>
                  <w:rStyle w:val="InternetLink"/>
                  <w:rFonts w:ascii="Arial;sans-serif" w:hAnsi="Arial;sans-serif"/>
                  <w:b w:val="false"/>
                  <w:color w:val="000080"/>
                  <w:sz w:val="16"/>
                  <w:u w:val="single"/>
                </w:rPr>
                <w:t>Consents of PricewaterhouseCoopers LLC, independent registered public accounting firm</w:t>
              </w:r>
            </w:hyperlink>
            <w:hyperlink w:anchor="tec-20241231ex231consentso.htm">
              <w:r>
                <w:rPr>
                  <w:rStyle w:val="InternetLink"/>
                  <w:rFonts w:ascii="Arial;sans-serif" w:hAnsi="Arial;sans-serif"/>
                  <w:b w:val="false"/>
                  <w:color w:val="000080"/>
                  <w:sz w:val="16"/>
                  <w:u w:val="single"/>
                </w:rPr>
                <w:t>, regarding Registration Statements on Form</w:t>
              </w:r>
            </w:hyperlink>
            <w:hyperlink w:anchor="tec-20241231ex231consentso.htm">
              <w:r>
                <w:rPr>
                  <w:rStyle w:val="InternetLink"/>
                  <w:rFonts w:ascii="Arial;sans-serif" w:hAnsi="Arial;sans-serif"/>
                  <w:b w:val="false"/>
                  <w:color w:val="000080"/>
                  <w:sz w:val="16"/>
                  <w:u w:val="single"/>
                </w:rPr>
                <w:t xml:space="preserve"> S-8</w:t>
              </w:r>
            </w:hyperlink>
            <w:hyperlink w:anchor="tec-20241231ex231consentso.htm">
              <w:r>
                <w:rPr>
                  <w:rStyle w:val="InternetLink"/>
                  <w:rFonts w:ascii="Arial;sans-serif" w:hAnsi="Arial;sans-serif"/>
                  <w:b w:val="false"/>
                  <w:color w:val="000080"/>
                  <w:sz w:val="16"/>
                  <w:u w:val="single"/>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41231ex232consentso.htm">
              <w:r>
                <w:rPr>
                  <w:rStyle w:val="InternetLink"/>
                  <w:rFonts w:ascii="Arial;sans-serif" w:hAnsi="Arial;sans-serif"/>
                  <w:b w:val="false"/>
                  <w:color w:val="000080"/>
                  <w:sz w:val="16"/>
                  <w:u w:val="single"/>
                </w:rPr>
                <w:t>Consents of PricewaterhouseCoopers LLC, independent registered public accounting firm</w:t>
              </w:r>
            </w:hyperlink>
            <w:hyperlink w:anchor="tec-20241231ex232consentso.htm">
              <w:r>
                <w:rPr>
                  <w:rStyle w:val="InternetLink"/>
                  <w:rFonts w:ascii="Arial;sans-serif" w:hAnsi="Arial;sans-serif"/>
                  <w:b w:val="false"/>
                  <w:color w:val="000080"/>
                  <w:sz w:val="16"/>
                  <w:u w:val="single"/>
                </w:rPr>
                <w:t>,</w:t>
              </w:r>
            </w:hyperlink>
            <w:hyperlink w:anchor="tec-20241231ex232consentso.htm">
              <w:r>
                <w:rPr>
                  <w:rStyle w:val="InternetLink"/>
                  <w:rFonts w:ascii="Arial;sans-serif" w:hAnsi="Arial;sans-serif"/>
                  <w:b w:val="false"/>
                  <w:color w:val="000080"/>
                  <w:sz w:val="16"/>
                  <w:u w:val="single"/>
                </w:rPr>
                <w:t xml:space="preserve"> </w:t>
              </w:r>
            </w:hyperlink>
            <w:hyperlink w:anchor="tec-20241231ex232consentso.htm">
              <w:r>
                <w:rPr>
                  <w:rStyle w:val="InternetLink"/>
                  <w:rFonts w:ascii="Arial;sans-serif" w:hAnsi="Arial;sans-serif"/>
                  <w:b w:val="false"/>
                  <w:color w:val="000080"/>
                  <w:sz w:val="16"/>
                  <w:u w:val="single"/>
                </w:rPr>
                <w:t>regarding Registration Statement on F</w:t>
              </w:r>
            </w:hyperlink>
            <w:hyperlink w:anchor="tec-20241231ex232consentso.htm">
              <w:r>
                <w:rPr>
                  <w:rStyle w:val="InternetLink"/>
                  <w:rFonts w:ascii="Arial;sans-serif" w:hAnsi="Arial;sans-serif"/>
                  <w:b w:val="false"/>
                  <w:color w:val="000080"/>
                  <w:sz w:val="16"/>
                  <w:u w:val="single"/>
                </w:rPr>
                <w:t>orm</w:t>
              </w:r>
            </w:hyperlink>
            <w:hyperlink w:anchor="tec-20241231ex232consentso.htm">
              <w:r>
                <w:rPr>
                  <w:rStyle w:val="InternetLink"/>
                  <w:rFonts w:ascii="Arial;sans-serif" w:hAnsi="Arial;sans-serif"/>
                  <w:b w:val="false"/>
                  <w:color w:val="000080"/>
                  <w:sz w:val="16"/>
                  <w:u w:val="single"/>
                </w:rPr>
                <w:t xml:space="preserve"> S-1.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Power of Attorney (included on signature page hereto).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41231ex311302certif.htm">
              <w:r>
                <w:rPr>
                  <w:rStyle w:val="InternetLink"/>
                  <w:rFonts w:ascii="Arial;sans-serif" w:hAnsi="Arial;sans-serif"/>
                  <w:b w:val="false"/>
                  <w:color w:val="000080"/>
                  <w:sz w:val="16"/>
                  <w:u w:val="single"/>
                </w:rPr>
                <w:t xml:space="preserve">Certification of Chief Executive Officer (Principal Executive Officer) </w:t>
              </w:r>
            </w:hyperlink>
            <w:hyperlink w:anchor="tec-20241231ex311302certif.htm">
              <w:r>
                <w:rPr>
                  <w:rStyle w:val="InternetLink"/>
                  <w:rFonts w:ascii="Arial;sans-serif" w:hAnsi="Arial;sans-serif"/>
                  <w:b w:val="false"/>
                  <w:color w:val="000080"/>
                  <w:sz w:val="16"/>
                  <w:u w:val="single"/>
                </w:rPr>
                <w:t>p</w:t>
              </w:r>
            </w:hyperlink>
            <w:hyperlink w:anchor="tec-20241231ex311302certif.htm">
              <w:r>
                <w:rPr>
                  <w:rStyle w:val="InternetLink"/>
                  <w:rFonts w:ascii="Arial;sans-serif" w:hAnsi="Arial;sans-serif"/>
                  <w:b w:val="false"/>
                  <w:color w:val="000080"/>
                  <w:sz w:val="16"/>
                  <w:u w:val="single"/>
                </w:rPr>
                <w:t xml:space="preserve">ursuant to </w:t>
              </w:r>
            </w:hyperlink>
            <w:hyperlink w:anchor="tec-20241231ex311302certif.htm">
              <w:r>
                <w:rPr>
                  <w:rStyle w:val="InternetLink"/>
                  <w:rFonts w:ascii="Arial;sans-serif" w:hAnsi="Arial;sans-serif"/>
                  <w:b w:val="false"/>
                  <w:color w:val="000080"/>
                  <w:sz w:val="16"/>
                  <w:u w:val="single"/>
                </w:rPr>
                <w:t>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41231ex312302certif.htm">
              <w:r>
                <w:rPr>
                  <w:rStyle w:val="InternetLink"/>
                  <w:rFonts w:ascii="Arial;sans-serif" w:hAnsi="Arial;sans-serif"/>
                  <w:b w:val="false"/>
                  <w:color w:val="000080"/>
                  <w:sz w:val="16"/>
                  <w:u w:val="single"/>
                </w:rPr>
                <w:t>Certification of Chief Financial Officer (Principal Financial</w:t>
              </w:r>
            </w:hyperlink>
            <w:hyperlink w:anchor="tec-20241231ex312302certif.htm">
              <w:r>
                <w:rPr>
                  <w:rStyle w:val="InternetLink"/>
                  <w:rFonts w:ascii="Arial;sans-serif" w:hAnsi="Arial;sans-serif"/>
                  <w:b w:val="false"/>
                  <w:color w:val="000080"/>
                  <w:sz w:val="16"/>
                  <w:u w:val="single"/>
                </w:rPr>
                <w:t xml:space="preserve"> </w:t>
              </w:r>
            </w:hyperlink>
            <w:hyperlink w:anchor="tec-20241231ex312302certif.htm">
              <w:r>
                <w:rPr>
                  <w:rStyle w:val="InternetLink"/>
                  <w:rFonts w:ascii="Arial;sans-serif" w:hAnsi="Arial;sans-serif"/>
                  <w:b w:val="false"/>
                  <w:color w:val="000080"/>
                  <w:sz w:val="16"/>
                  <w:u w:val="single"/>
                </w:rPr>
                <w:t xml:space="preserve">Officer) </w:t>
              </w:r>
            </w:hyperlink>
            <w:hyperlink w:anchor="tec-20241231ex312302certif.htm">
              <w:r>
                <w:rPr>
                  <w:rStyle w:val="InternetLink"/>
                  <w:rFonts w:ascii="Arial;sans-serif" w:hAnsi="Arial;sans-serif"/>
                  <w:b w:val="false"/>
                  <w:color w:val="000080"/>
                  <w:sz w:val="16"/>
                  <w:u w:val="single"/>
                </w:rPr>
                <w:t>p</w:t>
              </w:r>
            </w:hyperlink>
            <w:hyperlink w:anchor="tec-20241231ex312302certif.htm">
              <w:r>
                <w:rPr>
                  <w:rStyle w:val="InternetLink"/>
                  <w:rFonts w:ascii="Arial;sans-serif" w:hAnsi="Arial;sans-serif"/>
                  <w:b w:val="false"/>
                  <w:color w:val="000080"/>
                  <w:sz w:val="16"/>
                  <w:u w:val="single"/>
                </w:rPr>
                <w:t>ursuant to</w:t>
              </w:r>
            </w:hyperlink>
            <w:hyperlink w:anchor="tec-20241231ex312302certif.htm">
              <w:r>
                <w:rPr>
                  <w:rStyle w:val="InternetLink"/>
                  <w:rFonts w:ascii="Arial;sans-serif" w:hAnsi="Arial;sans-serif"/>
                  <w:b w:val="false"/>
                  <w:color w:val="000080"/>
                  <w:sz w:val="16"/>
                  <w:u w:val="single"/>
                </w:rPr>
                <w:t xml:space="preserve">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41231ex321906certif.htm">
              <w:r>
                <w:rPr>
                  <w:rStyle w:val="InternetLink"/>
                  <w:rFonts w:ascii="Arial;sans-serif" w:hAnsi="Arial;sans-serif"/>
                  <w:b w:val="false"/>
                  <w:color w:val="000080"/>
                  <w:sz w:val="16"/>
                  <w:u w:val="single"/>
                </w:rPr>
                <w:t>Certification of Chief Executive Officer (Principal Executive Officer)</w:t>
              </w:r>
            </w:hyperlink>
            <w:hyperlink w:anchor="tec-20241231ex321906certif.htm">
              <w:r>
                <w:rPr>
                  <w:rStyle w:val="InternetLink"/>
                  <w:rFonts w:ascii="Arial;sans-serif" w:hAnsi="Arial;sans-serif"/>
                  <w:b w:val="false"/>
                  <w:color w:val="000080"/>
                  <w:sz w:val="16"/>
                  <w:u w:val="single"/>
                </w:rPr>
                <w:t xml:space="preserve"> and </w:t>
              </w:r>
            </w:hyperlink>
            <w:hyperlink w:anchor="tec-20241231ex321906certif.htm">
              <w:r>
                <w:rPr>
                  <w:rStyle w:val="InternetLink"/>
                  <w:rFonts w:ascii="Arial;sans-serif" w:hAnsi="Arial;sans-serif"/>
                  <w:b w:val="false"/>
                  <w:color w:val="000080"/>
                  <w:sz w:val="16"/>
                  <w:u w:val="single"/>
                </w:rPr>
                <w:t>Chief Financial Officer (Principal Financial</w:t>
              </w:r>
            </w:hyperlink>
            <w:hyperlink w:anchor="tec-20241231ex321906certif.htm">
              <w:r>
                <w:rPr>
                  <w:rStyle w:val="InternetLink"/>
                  <w:rFonts w:ascii="Arial;sans-serif" w:hAnsi="Arial;sans-serif"/>
                  <w:b w:val="false"/>
                  <w:color w:val="000080"/>
                  <w:sz w:val="16"/>
                  <w:u w:val="single"/>
                </w:rPr>
                <w:t xml:space="preserve"> </w:t>
              </w:r>
            </w:hyperlink>
            <w:hyperlink w:anchor="tec-20241231ex321906certif.htm">
              <w:r>
                <w:rPr>
                  <w:rStyle w:val="InternetLink"/>
                  <w:rFonts w:ascii="Arial;sans-serif" w:hAnsi="Arial;sans-serif"/>
                  <w:b w:val="false"/>
                  <w:color w:val="000080"/>
                  <w:sz w:val="16"/>
                  <w:u w:val="single"/>
                </w:rPr>
                <w:t>Officer)</w:t>
              </w:r>
            </w:hyperlink>
            <w:hyperlink w:anchor="tec-20241231ex321906certif.htm">
              <w:r>
                <w:rPr>
                  <w:rStyle w:val="InternetLink"/>
                  <w:rFonts w:ascii="Arial;sans-serif" w:hAnsi="Arial;sans-serif"/>
                  <w:b w:val="false"/>
                  <w:color w:val="000080"/>
                  <w:sz w:val="16"/>
                  <w:u w:val="single"/>
                </w:rPr>
                <w:t xml:space="preserve"> </w:t>
              </w:r>
            </w:hyperlink>
            <w:hyperlink w:anchor="tec-20241231ex321906certif.htm">
              <w:r>
                <w:rPr>
                  <w:rStyle w:val="InternetLink"/>
                  <w:rFonts w:ascii="Arial;sans-serif" w:hAnsi="Arial;sans-serif"/>
                  <w:b w:val="false"/>
                  <w:color w:val="000080"/>
                  <w:sz w:val="16"/>
                  <w:u w:val="single"/>
                </w:rPr>
                <w:t>p</w:t>
              </w:r>
            </w:hyperlink>
            <w:hyperlink w:anchor="tec-20241231ex321906certif.htm">
              <w:r>
                <w:rPr>
                  <w:rStyle w:val="InternetLink"/>
                  <w:rFonts w:ascii="Arial;sans-serif" w:hAnsi="Arial;sans-serif"/>
                  <w:b w:val="false"/>
                  <w:color w:val="000080"/>
                  <w:sz w:val="16"/>
                  <w:u w:val="single"/>
                </w:rPr>
                <w:t>ursuant to</w:t>
              </w:r>
            </w:hyperlink>
            <w:hyperlink w:anchor="tec-20241231ex321906certif.htm">
              <w:r>
                <w:rPr>
                  <w:rStyle w:val="InternetLink"/>
                  <w:rFonts w:ascii="Arial;sans-serif" w:hAnsi="Arial;sans-serif"/>
                  <w:b w:val="false"/>
                  <w:color w:val="000080"/>
                  <w:sz w:val="16"/>
                  <w:u w:val="single"/>
                </w:rPr>
                <w:t xml:space="preserve">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97.1*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41231ex971talenener.htm">
              <w:r>
                <w:rPr>
                  <w:rStyle w:val="InternetLink"/>
                  <w:rFonts w:ascii="Arial;sans-serif" w:hAnsi="Arial;sans-serif"/>
                  <w:b w:val="false"/>
                  <w:color w:val="000080"/>
                  <w:sz w:val="16"/>
                  <w:u w:val="single"/>
                </w:rPr>
                <w:t>T</w:t>
              </w:r>
            </w:hyperlink>
            <w:hyperlink w:anchor="tec-20241231ex971talenener.htm">
              <w:r>
                <w:rPr>
                  <w:rStyle w:val="InternetLink"/>
                  <w:rFonts w:ascii="Arial;sans-serif" w:hAnsi="Arial;sans-serif"/>
                  <w:b w:val="false"/>
                  <w:color w:val="000080"/>
                  <w:sz w:val="16"/>
                  <w:u w:val="single"/>
                </w:rPr>
                <w:t>alen Energy Corporation Clawb</w:t>
              </w:r>
            </w:hyperlink>
            <w:hyperlink w:anchor="tec-20241231ex971talenener.htm">
              <w:r>
                <w:rPr>
                  <w:rStyle w:val="InternetLink"/>
                  <w:rFonts w:ascii="Arial;sans-serif" w:hAnsi="Arial;sans-serif"/>
                  <w:b w:val="false"/>
                  <w:color w:val="000080"/>
                  <w:sz w:val="16"/>
                  <w:u w:val="single"/>
                </w:rPr>
                <w:t>ack P</w:t>
              </w:r>
            </w:hyperlink>
            <w:hyperlink w:anchor="tec-20241231ex971talenener.htm">
              <w:r>
                <w:rPr>
                  <w:rStyle w:val="InternetLink"/>
                  <w:rFonts w:ascii="Arial;sans-serif" w:hAnsi="Arial;sans-serif"/>
                  <w:b w:val="false"/>
                  <w:color w:val="000080"/>
                  <w:sz w:val="16"/>
                  <w:u w:val="single"/>
                </w:rPr>
                <w:t>olicy.</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16"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112</w:t>
                      </w:r>
                    </w:p>
                  </w:txbxContent>
                </v:textbox>
                <w10:wrap type="none"/>
              </v:rect>
            </w:pict>
          </mc:Fallback>
        </mc:AlternateContent>
      </w:r>
    </w:p>
    <w:p>
      <w:pPr>
        <w:pStyle w:val="TextBody"/>
        <w:bidi w:val="0"/>
        <w:spacing w:lineRule="auto" w:line="288" w:before="0" w:after="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tbl>
      <w:tblPr>
        <w:tblW w:w="10205" w:type="dxa"/>
        <w:jc w:val="left"/>
        <w:tblInd w:w="0" w:type="dxa"/>
        <w:tblLayout w:type="fixed"/>
        <w:tblCellMar>
          <w:top w:w="28" w:type="dxa"/>
          <w:left w:w="28" w:type="dxa"/>
          <w:bottom w:w="28" w:type="dxa"/>
          <w:right w:w="28" w:type="dxa"/>
        </w:tblCellMar>
      </w:tblPr>
      <w:tblGrid>
        <w:gridCol w:w="317"/>
        <w:gridCol w:w="278"/>
        <w:gridCol w:w="279"/>
        <w:gridCol w:w="109"/>
        <w:gridCol w:w="109"/>
        <w:gridCol w:w="109"/>
        <w:gridCol w:w="1359"/>
        <w:gridCol w:w="1359"/>
        <w:gridCol w:w="1364"/>
        <w:gridCol w:w="109"/>
        <w:gridCol w:w="109"/>
        <w:gridCol w:w="109"/>
        <w:gridCol w:w="183"/>
        <w:gridCol w:w="183"/>
        <w:gridCol w:w="185"/>
        <w:gridCol w:w="109"/>
        <w:gridCol w:w="109"/>
        <w:gridCol w:w="109"/>
        <w:gridCol w:w="314"/>
        <w:gridCol w:w="314"/>
        <w:gridCol w:w="316"/>
        <w:gridCol w:w="109"/>
        <w:gridCol w:w="109"/>
        <w:gridCol w:w="109"/>
        <w:gridCol w:w="315"/>
        <w:gridCol w:w="315"/>
        <w:gridCol w:w="316"/>
        <w:gridCol w:w="109"/>
        <w:gridCol w:w="109"/>
        <w:gridCol w:w="109"/>
        <w:gridCol w:w="339"/>
        <w:gridCol w:w="339"/>
        <w:gridCol w:w="495"/>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Incorporated by Reference</w:t>
            </w:r>
          </w:p>
        </w:tc>
      </w:tr>
      <w:tr>
        <w:trPr/>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r>
      <w:tr>
        <w:trPr/>
        <w:tc>
          <w:tcPr>
            <w:tcW w:w="8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Filed herewith.</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Furnished herewith.</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14"/>
        </w:rPr>
        <w:t>Management contract or compensatory plan or arrangement.</w:t>
      </w:r>
    </w:p>
    <w:p>
      <w:pPr>
        <w:pStyle w:val="TextBody"/>
        <w:bidi w:val="0"/>
        <w:spacing w:lineRule="auto" w:line="288" w:before="0" w:after="0"/>
        <w:ind w:left="0" w:right="0" w:hanging="360"/>
        <w:jc w:val="left"/>
        <w:rPr/>
      </w:pPr>
      <w:r>
        <w:rPr>
          <w:rFonts w:ascii="Arial;sans-serif" w:hAnsi="Arial;sans-serif"/>
          <w:b w:val="false"/>
          <w:color w:val="000000"/>
          <w:sz w:val="9"/>
        </w:rPr>
        <w:t>#    </w:t>
      </w:r>
      <w:r>
        <w:rPr>
          <w:rFonts w:ascii="Arial;sans-serif" w:hAnsi="Arial;sans-serif"/>
          <w:b w:val="false"/>
          <w:color w:val="000000"/>
          <w:sz w:val="14"/>
        </w:rPr>
        <w:t>Certain of the schedules and attachments to the exhibit have been omitted pursuant to Item 601(a)(5) of Regulation S-K. A copy of any omitted schedule or attachment will be furnished to the SEC upon request.</w:t>
      </w:r>
    </w:p>
    <w:p>
      <w:pPr>
        <w:pStyle w:val="TextBody"/>
        <w:bidi w:val="0"/>
        <w:spacing w:lineRule="auto" w:line="288" w:before="0" w:after="180"/>
        <w:ind w:left="0" w:right="0" w:hanging="360"/>
        <w:jc w:val="left"/>
        <w:rPr/>
      </w:pPr>
      <w:r>
        <w:rPr>
          <w:rFonts w:ascii="Arial;sans-serif" w:hAnsi="Arial;sans-serif"/>
          <w:b w:val="false"/>
          <w:color w:val="000000"/>
          <w:sz w:val="9"/>
        </w:rPr>
        <w:t>##    </w:t>
      </w:r>
      <w:r>
        <w:rPr>
          <w:rFonts w:ascii="Arial;sans-serif" w:hAnsi="Arial;sans-serif"/>
          <w:b w:val="false"/>
          <w:color w:val="000000"/>
          <w:sz w:val="14"/>
        </w:rPr>
        <w:t>Certain private and immaterial portions of the exhibit have been redacted pursuant to Item 601(a)(6)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 Schedule I—Condensed Financial Information of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w:t>
        <w:br/>
        <w:t>SCHEDULE I—CONDENSED FINANCIAL INFORMATION OF REGISTRANT</w:t>
        <w:br/>
        <w:t>CONDENSED UNCONSOLIDATED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1956"/>
        <w:gridCol w:w="1528"/>
        <w:gridCol w:w="1546"/>
        <w:gridCol w:w="109"/>
        <w:gridCol w:w="109"/>
        <w:gridCol w:w="109"/>
        <w:gridCol w:w="471"/>
        <w:gridCol w:w="1377"/>
        <w:gridCol w:w="265"/>
        <w:gridCol w:w="109"/>
        <w:gridCol w:w="109"/>
        <w:gridCol w:w="109"/>
        <w:gridCol w:w="576"/>
        <w:gridCol w:w="1373"/>
        <w:gridCol w:w="459"/>
      </w:tblGrid>
      <w:tr>
        <w:trPr/>
        <w:tc>
          <w:tcPr>
            <w:tcW w:w="195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of 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1,009</w:t>
            </w: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18.40 </w:t>
            </w:r>
          </w:p>
        </w:tc>
        <w:tc>
          <w:tcPr>
            <w:tcW w:w="2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45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54,254 </w:t>
            </w:r>
          </w:p>
        </w:tc>
        <w:tc>
          <w:tcPr>
            <w:tcW w:w="2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59,029 </w:t>
            </w:r>
          </w:p>
        </w:tc>
        <w:tc>
          <w:tcPr>
            <w:tcW w:w="45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56,486 </w:t>
            </w:r>
          </w:p>
        </w:tc>
        <w:tc>
          <w:tcPr>
            <w:tcW w:w="2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59,399 </w:t>
            </w:r>
          </w:p>
        </w:tc>
        <w:tc>
          <w:tcPr>
            <w:tcW w:w="4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Condensed Unconsolidated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7"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113</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w:t>
        <w:br/>
        <w:t>SCHEDULE I—CONDENSED FINANCIAL INFORMATION OF REGISTRANT</w:t>
        <w:br/>
        <w:t>CONDENSED UNCONSOLIDATED BALANCE SHEETS</w:t>
      </w:r>
    </w:p>
    <w:tbl>
      <w:tblPr>
        <w:tblW w:w="8183" w:type="dxa"/>
        <w:jc w:val="left"/>
        <w:tblInd w:w="0" w:type="dxa"/>
        <w:tblLayout w:type="fixed"/>
        <w:tblCellMar>
          <w:top w:w="28" w:type="dxa"/>
          <w:left w:w="28" w:type="dxa"/>
          <w:bottom w:w="28" w:type="dxa"/>
          <w:right w:w="28" w:type="dxa"/>
        </w:tblCellMar>
      </w:tblPr>
      <w:tblGrid>
        <w:gridCol w:w="1858"/>
        <w:gridCol w:w="1634"/>
        <w:gridCol w:w="1653"/>
        <w:gridCol w:w="109"/>
        <w:gridCol w:w="109"/>
        <w:gridCol w:w="109"/>
        <w:gridCol w:w="261"/>
        <w:gridCol w:w="762"/>
        <w:gridCol w:w="146"/>
        <w:gridCol w:w="109"/>
        <w:gridCol w:w="109"/>
        <w:gridCol w:w="109"/>
        <w:gridCol w:w="258"/>
        <w:gridCol w:w="753"/>
        <w:gridCol w:w="204"/>
      </w:tblGrid>
      <w:tr>
        <w:trPr/>
        <w:tc>
          <w:tcPr>
            <w:tcW w:w="185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514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stock ($0.001 par value, 350,000,000 shares authorized)</w:t>
            </w:r>
            <w:r>
              <w:rPr>
                <w:color w:val="000000"/>
              </w:rPr>
              <w:t xml:space="preserv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(a)Shares issued and outstanding were 45,961,910 and 59,028,843 as of December 31, 2024 (Successor) and December 31, 2023 (Successor), respectively.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Condensed Unconsolidated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w:t>
        <w:br/>
        <w:t>SCHEDULE I—CONDENSED FINANCIAL INFORMATION OF REGISTRANT</w:t>
        <w:br/>
        <w:t>NOTES TO CONDENSED UNCONSOLIDATED FINANCIAL STATEMENTS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 Basis of Presentation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Corporation is a holding company whose only material businesses and properties are held through its direct and wholly owned subsidiary, Talen Energy Supply. Certain of TES’s debt agreements include covenants that restrict the payment of dividends or other distributions to TEC, restricting in excess of 25% of TEC’s consolidated net assets. Accordingly, these condensed unconsolidated financial statements and related footnotes have been prepared in accordance with Sections 5-04 and 12-04 of Regulation S-X. These statements should be read in conjunction with the Annual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May 2023, TEC and the majority of its subsidiaries emerged from the Restructuring and adopted fresh start accounting. See Notes 2, 3, and 4 to the Annual Financial Statements for additional information regarding the Restructuring and related accounting. Unconsolidated financial results are presented for TEC for the Successor periods for the year ended December 31, 2024 and the period from May 18 through December 31, 2023. Because the results presented in the Annual Financial Statements for Predecessor periods (prior to May 18, 2023) represent the operating results TES, such results are not repeated here. TEC held no cash nor had any cash activity during the year ended December 31, 2024 and the period from May 18 through December 31, 2023; therefore, a statement of cash flows has not been included.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Internal Revenue Code, TEC and TES are each taxable entities. TEC files a consolidated U.S. federal income tax return on behalf of all its subsidiaries. The provision for income taxes and the effect of any recognition and (or) remeasurement are recognized as if: (i) TES and its subsidiaries file a consolidated income tax return; and (ii) TEC files a standalone income tax return. Additionally, the Company has elected to present accrued excise tax liabilities as a result of the repurchase of TEC common stock on the TES consolidated balance sheets. Accordingly, substantially all income taxes are recognized at TES.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 TEC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a general description of the material terms of TES’s indebtedness, see Note 13 to the Annual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agreements governing TES’s indebtedness restrict the ability of TES and the Subsidiary Guarantors to pay dividends or 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beginning June 1, 2023 (subject to compliance with either (x) a pro forma consolidated total net leverage ratio of less than or equal to 3.75 to 1.0 or (y) a fixed charge coverage ratio greater than or equal to 2.0 to 1.0), (c) equity contributions to TES, and (d) other customary “builder basket” components.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8"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114</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TEC does not have any separate indebtedness, other long-term obligations, or mandatory dividend or redemption requirements of redeemable stocks.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no cash dividends have been paid to TEC in the last three fiscal years by any other entity.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3. Commitments and Contingencies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12 to the Annual Financial Statements for commitments and contingencies of TEC.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16. FORM 10-K SUMMARY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9"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115</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center"/>
        <w:rPr>
          <w:rFonts w:ascii="Arial;sans-serif" w:hAnsi="Arial;sans-serif"/>
          <w:b/>
          <w:color w:val="000000"/>
          <w:sz w:val="18"/>
        </w:rPr>
      </w:pPr>
      <w:bookmarkStart w:id="8" w:name="i3820191e5a5e4caaab6e50f6b441fcd8_202745"/>
      <w:bookmarkEnd w:id="8"/>
      <w:r>
        <w:rPr>
          <w:rFonts w:ascii="Arial;sans-serif" w:hAnsi="Arial;sans-serif"/>
          <w:b/>
          <w:color w:val="000000"/>
          <w:sz w:val="18"/>
        </w:rPr>
        <w:t>GLOSSARY OF TERMS AND ABBREVIATIONS</w:t>
      </w:r>
    </w:p>
    <w:p>
      <w:pPr>
        <w:pStyle w:val="TextBody"/>
        <w:bidi w:val="0"/>
        <w:spacing w:lineRule="auto" w:line="288" w:before="0" w:after="180"/>
        <w:jc w:val="left"/>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pStyle w:val="TextBody"/>
        <w:bidi w:val="0"/>
        <w:spacing w:lineRule="auto" w:line="288" w:before="0" w:after="180"/>
        <w:jc w:val="left"/>
        <w:rPr/>
      </w:pPr>
      <w:r>
        <w:rPr>
          <w:rFonts w:ascii="Arial;sans-serif" w:hAnsi="Arial;sans-serif"/>
          <w:b/>
          <w:i/>
          <w:color w:val="000000"/>
          <w:sz w:val="18"/>
        </w:rPr>
        <w:t>Annual Financial Statements.</w:t>
      </w:r>
      <w:r>
        <w:rPr>
          <w:color w:val="000000"/>
        </w:rPr>
        <w:t xml:space="preserve"> </w:t>
      </w:r>
      <w:r>
        <w:rPr>
          <w:rFonts w:ascii="Arial;sans-serif" w:hAnsi="Arial;sans-serif"/>
          <w:b w:val="false"/>
          <w:color w:val="000000"/>
          <w:sz w:val="18"/>
        </w:rPr>
        <w:t>The audited Consolidated Balance Sheets of TEC as of December 31, 2024 (Successor) and December 31, 2023 (Successor); the related audited consolidated statements of operations, statements of comprehensive income, statements of cash flows, and statements of equity for the year ended December 31, 2024 (Successor), for the period from May 18, 2023 through December 31, 2023 (Successor), and for the period from January 1, 2023 through May 17, 2023 (Predecessor) and the year ended December 31, 2022 (Predecessor); and the related notes.</w:t>
      </w:r>
    </w:p>
    <w:p>
      <w:pPr>
        <w:pStyle w:val="TextBody"/>
        <w:bidi w:val="0"/>
        <w:spacing w:lineRule="auto" w:line="288" w:before="0" w:after="180"/>
        <w:jc w:val="left"/>
        <w:rPr/>
      </w:pPr>
      <w:r>
        <w:rPr>
          <w:rFonts w:ascii="Arial;sans-serif" w:hAnsi="Arial;sans-serif"/>
          <w:b/>
          <w:i/>
          <w:color w:val="000000"/>
          <w:sz w:val="18"/>
        </w:rPr>
        <w:t>AOCI.</w:t>
      </w:r>
      <w:r>
        <w:rPr>
          <w:color w:val="000000"/>
        </w:rPr>
        <w:t xml:space="preserve"> </w:t>
      </w:r>
      <w:r>
        <w:rPr>
          <w:rFonts w:ascii="Arial;sans-serif" w:hAnsi="Arial;sans-serif"/>
          <w:b w:val="false"/>
          <w:color w:val="000000"/>
          <w:sz w:val="18"/>
        </w:rPr>
        <w:t>Accumulated other comprehensive income or loss, which is a component of stockholder’s equity on the Consolidated Balance Sheets.</w:t>
      </w:r>
    </w:p>
    <w:p>
      <w:pPr>
        <w:pStyle w:val="TextBody"/>
        <w:bidi w:val="0"/>
        <w:spacing w:lineRule="auto" w:line="288" w:before="0" w:after="180"/>
        <w:jc w:val="left"/>
        <w:rPr/>
      </w:pPr>
      <w:r>
        <w:rPr>
          <w:rFonts w:ascii="Arial;sans-serif" w:hAnsi="Arial;sans-serif"/>
          <w:b/>
          <w:i/>
          <w:color w:val="000000"/>
          <w:sz w:val="18"/>
        </w:rPr>
        <w:t>ARO.</w:t>
      </w:r>
      <w:r>
        <w:rPr>
          <w:color w:val="000000"/>
        </w:rPr>
        <w:t xml:space="preserve"> </w:t>
      </w:r>
      <w:r>
        <w:rPr>
          <w:rFonts w:ascii="Arial;sans-serif" w:hAnsi="Arial;sans-serif"/>
          <w:b w:val="false"/>
          <w:color w:val="000000"/>
          <w:sz w:val="18"/>
        </w:rPr>
        <w:t>Asset retirement obligation.</w:t>
      </w:r>
    </w:p>
    <w:p>
      <w:pPr>
        <w:pStyle w:val="TextBody"/>
        <w:bidi w:val="0"/>
        <w:spacing w:lineRule="auto" w:line="288" w:before="0" w:after="180"/>
        <w:jc w:val="left"/>
        <w:rPr/>
      </w:pPr>
      <w:r>
        <w:rPr>
          <w:rFonts w:ascii="Arial;sans-serif" w:hAnsi="Arial;sans-serif"/>
          <w:b/>
          <w:i/>
          <w:color w:val="000000"/>
          <w:sz w:val="18"/>
        </w:rPr>
        <w:t>AWS.</w:t>
      </w:r>
      <w:r>
        <w:rPr>
          <w:color w:val="000000"/>
        </w:rPr>
        <w:t xml:space="preserve"> </w:t>
      </w:r>
      <w:r>
        <w:rPr>
          <w:rFonts w:ascii="Arial;sans-serif" w:hAnsi="Arial;sans-serif"/>
          <w:b w:val="false"/>
          <w:color w:val="000000"/>
          <w:sz w:val="18"/>
        </w:rPr>
        <w:t>Amazon Web Services, Inc. and its affiliates.</w:t>
      </w:r>
    </w:p>
    <w:p>
      <w:pPr>
        <w:pStyle w:val="TextBody"/>
        <w:bidi w:val="0"/>
        <w:spacing w:lineRule="auto" w:line="288" w:before="0" w:after="180"/>
        <w:jc w:val="left"/>
        <w:rPr/>
      </w:pPr>
      <w:r>
        <w:rPr>
          <w:rFonts w:ascii="Arial;sans-serif" w:hAnsi="Arial;sans-serif"/>
          <w:b/>
          <w:i/>
          <w:color w:val="000000"/>
          <w:sz w:val="18"/>
        </w:rPr>
        <w:t>AWS Data Campus.</w:t>
      </w:r>
      <w:r>
        <w:rPr>
          <w:color w:val="000000"/>
        </w:rPr>
        <w:t xml:space="preserve"> </w:t>
      </w:r>
      <w:r>
        <w:rPr>
          <w:rFonts w:ascii="Arial;sans-serif" w:hAnsi="Arial;sans-serif"/>
          <w:b w:val="false"/>
          <w:color w:val="000000"/>
          <w:sz w:val="18"/>
        </w:rPr>
        <w:t>The zero-carbon data center campus initially developed by a subsidiary of Cumulus Digital adjacent to Susquehanna. See Note 20 for information on the AWS Data Campus Sale.</w:t>
      </w:r>
    </w:p>
    <w:p>
      <w:pPr>
        <w:pStyle w:val="TextBody"/>
        <w:bidi w:val="0"/>
        <w:spacing w:lineRule="auto" w:line="288" w:before="0" w:after="180"/>
        <w:jc w:val="left"/>
        <w:rPr/>
      </w:pPr>
      <w:r>
        <w:rPr>
          <w:rFonts w:ascii="Arial;sans-serif" w:hAnsi="Arial;sans-serif"/>
          <w:b/>
          <w:i/>
          <w:color w:val="000000"/>
          <w:sz w:val="18"/>
        </w:rPr>
        <w:t>AWS Data Campus Sale.</w:t>
      </w:r>
      <w:r>
        <w:rPr>
          <w:color w:val="000000"/>
        </w:rPr>
        <w:t xml:space="preserve"> </w:t>
      </w:r>
      <w:r>
        <w:rPr>
          <w:rFonts w:ascii="Arial;sans-serif" w:hAnsi="Arial;sans-serif"/>
          <w:b w:val="false"/>
          <w:color w:val="000000"/>
          <w:sz w:val="18"/>
        </w:rPr>
        <w:t>The Company’s sale of the AWS Data Campus to AWS in March 2024 to AWS for gross proceeds of $650 million. See Note 20 for additional information.</w:t>
      </w:r>
    </w:p>
    <w:p>
      <w:pPr>
        <w:pStyle w:val="TextBody"/>
        <w:bidi w:val="0"/>
        <w:spacing w:lineRule="auto" w:line="288" w:before="0" w:after="180"/>
        <w:jc w:val="left"/>
        <w:rPr/>
      </w:pPr>
      <w:r>
        <w:rPr>
          <w:rFonts w:ascii="Arial;sans-serif" w:hAnsi="Arial;sans-serif"/>
          <w:b/>
          <w:i/>
          <w:color w:val="000000"/>
          <w:sz w:val="18"/>
        </w:rPr>
        <w:t>AWS PPA.</w:t>
      </w:r>
      <w:r>
        <w:rPr>
          <w:color w:val="000000"/>
        </w:rPr>
        <w:t xml:space="preserve"> </w:t>
      </w:r>
      <w:r>
        <w:rPr>
          <w:rFonts w:ascii="Arial;sans-serif" w:hAnsi="Arial;sans-serif"/>
          <w:b w:val="false"/>
          <w:color w:val="000000"/>
          <w:sz w:val="18"/>
        </w:rPr>
        <w:t>The March 2024 power purchase agreement between the Company and AWS pursuant to which (i) the Company agreed to supply up to 960 MW of long-term, carbon-free power to the AWS Data Campus from Susquehanna; (ii) the parties agreed to fixed-price power commitments that increase in 120 MW increments over several years; and (iii) AWS, under certain conditions, has the option to cap their commitments at 480 MW.</w:t>
      </w:r>
    </w:p>
    <w:p>
      <w:pPr>
        <w:pStyle w:val="TextBody"/>
        <w:bidi w:val="0"/>
        <w:spacing w:lineRule="auto" w:line="288" w:before="0" w:after="180"/>
        <w:jc w:val="left"/>
        <w:rPr/>
      </w:pPr>
      <w:r>
        <w:rPr>
          <w:rFonts w:ascii="Arial;sans-serif" w:hAnsi="Arial;sans-serif"/>
          <w:b/>
          <w:i/>
          <w:color w:val="000000"/>
          <w:sz w:val="18"/>
        </w:rPr>
        <w:t>Bilateral LCF.</w:t>
      </w:r>
      <w:r>
        <w:rPr>
          <w:color w:val="000000"/>
        </w:rPr>
        <w:t xml:space="preserve"> </w:t>
      </w:r>
      <w:r>
        <w:rPr>
          <w:rFonts w:ascii="Arial;sans-serif" w:hAnsi="Arial;sans-serif"/>
          <w:b w:val="false"/>
          <w:color w:val="000000"/>
          <w:sz w:val="18"/>
        </w:rPr>
        <w:t>The $75 million senior secured bilateral LC facility provided by Barclays Bank PLC. The Bilateral LCF was terminated in December 2024.</w:t>
      </w:r>
    </w:p>
    <w:p>
      <w:pPr>
        <w:pStyle w:val="TextBody"/>
        <w:bidi w:val="0"/>
        <w:spacing w:lineRule="auto" w:line="288" w:before="0" w:after="180"/>
        <w:jc w:val="left"/>
        <w:rPr/>
      </w:pPr>
      <w:r>
        <w:rPr>
          <w:rFonts w:ascii="Arial;sans-serif" w:hAnsi="Arial;sans-serif"/>
          <w:b/>
          <w:i/>
          <w:color w:val="000000"/>
          <w:sz w:val="18"/>
        </w:rPr>
        <w:t>Board of Directors.</w:t>
      </w:r>
      <w:r>
        <w:rPr>
          <w:color w:val="000000"/>
        </w:rPr>
        <w:t xml:space="preserve"> </w:t>
      </w:r>
      <w:r>
        <w:rPr>
          <w:rFonts w:ascii="Arial;sans-serif" w:hAnsi="Arial;sans-serif"/>
          <w:b w:val="false"/>
          <w:color w:val="000000"/>
          <w:sz w:val="18"/>
        </w:rPr>
        <w:t>The board of directors of Talen Energy Corporation.</w:t>
      </w:r>
    </w:p>
    <w:p>
      <w:pPr>
        <w:pStyle w:val="TextBody"/>
        <w:bidi w:val="0"/>
        <w:spacing w:lineRule="auto" w:line="288" w:before="0" w:after="180"/>
        <w:jc w:val="left"/>
        <w:rPr/>
      </w:pPr>
      <w:r>
        <w:rPr>
          <w:rFonts w:ascii="Arial;sans-serif" w:hAnsi="Arial;sans-serif"/>
          <w:b/>
          <w:i/>
          <w:color w:val="000000"/>
          <w:sz w:val="18"/>
        </w:rPr>
        <w:t>Brandon Shores.</w:t>
      </w:r>
      <w:r>
        <w:rPr>
          <w:color w:val="000000"/>
        </w:rPr>
        <w:t xml:space="preserve"> </w:t>
      </w:r>
      <w:r>
        <w:rPr>
          <w:rFonts w:ascii="Arial;sans-serif" w:hAnsi="Arial;sans-serif"/>
          <w:b w:val="false"/>
          <w:color w:val="000000"/>
          <w:sz w:val="18"/>
        </w:rPr>
        <w:t>A Talen-owned and operated generation facility in Curtis Bay, Maryland.</w:t>
      </w:r>
    </w:p>
    <w:p>
      <w:pPr>
        <w:pStyle w:val="TextBody"/>
        <w:bidi w:val="0"/>
        <w:spacing w:lineRule="auto" w:line="288" w:before="0" w:after="180"/>
        <w:jc w:val="left"/>
        <w:rPr/>
      </w:pPr>
      <w:r>
        <w:rPr>
          <w:rFonts w:ascii="Arial;sans-serif" w:hAnsi="Arial;sans-serif"/>
          <w:b/>
          <w:i/>
          <w:color w:val="000000"/>
          <w:sz w:val="18"/>
        </w:rPr>
        <w:t>Brunner Island.</w:t>
      </w:r>
      <w:r>
        <w:rPr>
          <w:color w:val="000000"/>
        </w:rPr>
        <w:t xml:space="preserve"> </w:t>
      </w:r>
      <w:r>
        <w:rPr>
          <w:rFonts w:ascii="Arial;sans-serif" w:hAnsi="Arial;sans-serif"/>
          <w:b w:val="false"/>
          <w:color w:val="000000"/>
          <w:sz w:val="18"/>
        </w:rPr>
        <w:t>A Talen-owned and operated generation facility in York Haven, Pennsylvania.</w:t>
      </w:r>
    </w:p>
    <w:p>
      <w:pPr>
        <w:pStyle w:val="TextBody"/>
        <w:bidi w:val="0"/>
        <w:spacing w:lineRule="auto" w:line="288" w:before="0" w:after="180"/>
        <w:jc w:val="left"/>
        <w:rPr/>
      </w:pPr>
      <w:r>
        <w:rPr>
          <w:rFonts w:ascii="Arial;sans-serif" w:hAnsi="Arial;sans-serif"/>
          <w:b/>
          <w:i/>
          <w:color w:val="000000"/>
          <w:sz w:val="18"/>
        </w:rPr>
        <w:t>Capacity Performance.</w:t>
      </w:r>
      <w:r>
        <w:rPr>
          <w:color w:val="000000"/>
        </w:rPr>
        <w:t xml:space="preserve"> </w:t>
      </w:r>
      <w:r>
        <w:rPr>
          <w:rFonts w:ascii="Arial;sans-serif" w:hAnsi="Arial;sans-serif"/>
          <w:b w:val="false"/>
          <w:color w:val="000000"/>
          <w:sz w:val="18"/>
        </w:rPr>
        <w:t>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pStyle w:val="TextBody"/>
        <w:bidi w:val="0"/>
        <w:spacing w:lineRule="auto" w:line="288" w:before="0" w:after="180"/>
        <w:jc w:val="left"/>
        <w:rPr/>
      </w:pPr>
      <w:r>
        <w:rPr>
          <w:rFonts w:ascii="Arial;sans-serif" w:hAnsi="Arial;sans-serif"/>
          <w:b/>
          <w:i/>
          <w:color w:val="000000"/>
          <w:sz w:val="18"/>
        </w:rPr>
        <w:t>CCR.</w:t>
      </w:r>
      <w:r>
        <w:rPr>
          <w:color w:val="000000"/>
        </w:rPr>
        <w:t xml:space="preserve"> </w:t>
      </w:r>
      <w:r>
        <w:rPr>
          <w:rFonts w:ascii="Arial;sans-serif" w:hAnsi="Arial;sans-serif"/>
          <w:b w:val="false"/>
          <w:color w:val="000000"/>
          <w:sz w:val="18"/>
        </w:rPr>
        <w:t>Coal Combustion Residuals, including but not limited to fly ash, bottom ash, and gypsum, that are produced from coal-fired electric generation facilities.</w:t>
      </w:r>
    </w:p>
    <w:p>
      <w:pPr>
        <w:pStyle w:val="TextBody"/>
        <w:bidi w:val="0"/>
        <w:spacing w:lineRule="auto" w:line="288" w:before="0" w:after="180"/>
        <w:jc w:val="left"/>
        <w:rPr/>
      </w:pPr>
      <w:r>
        <w:rPr>
          <w:rFonts w:ascii="Arial;sans-serif" w:hAnsi="Arial;sans-serif"/>
          <w:b/>
          <w:i/>
          <w:color w:val="000000"/>
          <w:sz w:val="18"/>
        </w:rPr>
        <w:t>Colstrip.</w:t>
      </w:r>
      <w:r>
        <w:rPr>
          <w:color w:val="000000"/>
        </w:rPr>
        <w:t xml:space="preserve"> </w:t>
      </w:r>
      <w:r>
        <w:rPr>
          <w:rFonts w:ascii="Arial;sans-serif" w:hAnsi="Arial;sans-serif"/>
          <w:b w:val="false"/>
          <w:color w:val="000000"/>
          <w:sz w:val="18"/>
        </w:rPr>
        <w:t>A generation facility comprised of four coal-fired generation units located in Colstrip, Montana. Talen Montana operates Colstrip, owns an undivided interest in Colstrip Unit 3, and has an economic interest in Colstrip Unit 4. Colstrip Units 1 and 2 were permanently retired in January 2020. See Note 10 to the Annual Financial Statements for additional information on jointly owned facilities and Talen Montana’s ownership interests in Colstrip.</w:t>
      </w:r>
    </w:p>
    <w:p>
      <w:pPr>
        <w:pStyle w:val="TextBody"/>
        <w:bidi w:val="0"/>
        <w:spacing w:lineRule="auto" w:line="288" w:before="0" w:after="180"/>
        <w:jc w:val="left"/>
        <w:rPr/>
      </w:pPr>
      <w:r>
        <w:rPr>
          <w:rFonts w:ascii="Arial;sans-serif" w:hAnsi="Arial;sans-serif"/>
          <w:b/>
          <w:i/>
          <w:color w:val="000000"/>
          <w:sz w:val="18"/>
        </w:rPr>
        <w:t>Credit Agreement.</w:t>
      </w:r>
      <w:r>
        <w:rPr>
          <w:color w:val="000000"/>
        </w:rPr>
        <w:t xml:space="preserve"> </w:t>
      </w:r>
      <w:r>
        <w:rPr>
          <w:rFonts w:ascii="Arial;sans-serif" w:hAnsi="Arial;sans-serif"/>
          <w:b w:val="false"/>
          <w:color w:val="000000"/>
          <w:sz w:val="18"/>
        </w:rPr>
        <w:t>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TLB-1, TLB-2, and LCF, as the same may be amended, amended and restated, supplemented, or otherwise modified from time-to-time.</w:t>
      </w:r>
    </w:p>
    <w:p>
      <w:pPr>
        <w:pStyle w:val="TextBody"/>
        <w:bidi w:val="0"/>
        <w:spacing w:lineRule="auto" w:line="288" w:before="0" w:after="180"/>
        <w:jc w:val="left"/>
        <w:rPr/>
      </w:pPr>
      <w:r>
        <w:rPr>
          <w:rFonts w:ascii="Arial;sans-serif" w:hAnsi="Arial;sans-serif"/>
          <w:b/>
          <w:i/>
          <w:color w:val="000000"/>
          <w:sz w:val="18"/>
        </w:rPr>
        <w:t>Credit Facilities.</w:t>
      </w:r>
      <w:r>
        <w:rPr>
          <w:color w:val="000000"/>
        </w:rPr>
        <w:t xml:space="preserve"> </w:t>
      </w:r>
      <w:r>
        <w:rPr>
          <w:rFonts w:ascii="Arial;sans-serif" w:hAnsi="Arial;sans-serif"/>
          <w:b w:val="false"/>
          <w:color w:val="000000"/>
          <w:sz w:val="18"/>
        </w:rPr>
        <w:t>Collectively, the RCF, TLB-1, TLB-2, and LCF,</w:t>
      </w:r>
    </w:p>
    <w:p>
      <w:pPr>
        <w:pStyle w:val="TextBody"/>
        <w:bidi w:val="0"/>
        <w:spacing w:lineRule="auto" w:line="288" w:before="0" w:after="180"/>
        <w:jc w:val="left"/>
        <w:rPr/>
      </w:pPr>
      <w:r>
        <w:rPr>
          <w:rFonts w:ascii="Arial;sans-serif" w:hAnsi="Arial;sans-serif"/>
          <w:b/>
          <w:i/>
          <w:color w:val="000000"/>
          <w:sz w:val="18"/>
        </w:rPr>
        <w:t>Cumulus Digital.</w:t>
      </w:r>
      <w:r>
        <w:rPr>
          <w:color w:val="000000"/>
        </w:rPr>
        <w:t xml:space="preserve"> </w:t>
      </w:r>
      <w:r>
        <w:rPr>
          <w:rFonts w:ascii="Arial;sans-serif" w:hAnsi="Arial;sans-serif"/>
          <w:b w:val="false"/>
          <w:color w:val="000000"/>
          <w:sz w:val="18"/>
        </w:rPr>
        <w:t>Cumulus Digital Holdings LLC, a subsidiary of TES that, through its subsidiaries, (i) initially developed the AWS Data Campus; and (ii) holds the Company’s interest in Nautilus.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20"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116</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left"/>
        <w:rPr/>
      </w:pPr>
      <w:r>
        <w:rPr>
          <w:rFonts w:ascii="Arial;sans-serif" w:hAnsi="Arial;sans-serif"/>
          <w:b/>
          <w:i/>
          <w:color w:val="000000"/>
          <w:sz w:val="18"/>
        </w:rPr>
        <w:t xml:space="preserve">Cumulus Digital TLF. </w:t>
      </w:r>
      <w:r>
        <w:rPr>
          <w:rFonts w:ascii="Arial;sans-serif" w:hAnsi="Arial;sans-serif"/>
          <w:b w:val="false"/>
          <w:color w:val="000000"/>
          <w:sz w:val="18"/>
        </w:rPr>
        <w:t>The term loan facility under which a subsidiary of Cumulus Digital borrowed $175 million to support the development of Nautilus and the AWS Data Campus. The Cumulus Digital TLF was repaid in full and terminated in March 2024.</w:t>
      </w:r>
    </w:p>
    <w:p>
      <w:pPr>
        <w:pStyle w:val="TextBody"/>
        <w:bidi w:val="0"/>
        <w:spacing w:lineRule="auto" w:line="288" w:before="0" w:after="180"/>
        <w:jc w:val="left"/>
        <w:rPr/>
      </w:pPr>
      <w:r>
        <w:rPr>
          <w:rFonts w:ascii="Arial;sans-serif" w:hAnsi="Arial;sans-serif"/>
          <w:b/>
          <w:i/>
          <w:color w:val="000000"/>
          <w:sz w:val="18"/>
        </w:rPr>
        <w:t>Emergence.</w:t>
      </w:r>
      <w:r>
        <w:rPr>
          <w:color w:val="000000"/>
        </w:rPr>
        <w:t xml:space="preserve"> </w:t>
      </w:r>
      <w:r>
        <w:rPr>
          <w:rFonts w:ascii="Arial;sans-serif" w:hAnsi="Arial;sans-serif"/>
          <w:b w:val="false"/>
          <w:color w:val="000000"/>
          <w:sz w:val="18"/>
        </w:rPr>
        <w:t>May 17, 2023, the date that the Plan of Reorganization became effective in accordance with the terms thereof and TEC, TES, and the other debtors emerged from the Restructuring.</w:t>
      </w:r>
    </w:p>
    <w:p>
      <w:pPr>
        <w:pStyle w:val="TextBody"/>
        <w:bidi w:val="0"/>
        <w:spacing w:lineRule="auto" w:line="288" w:before="0" w:after="180"/>
        <w:jc w:val="left"/>
        <w:rPr/>
      </w:pPr>
      <w:r>
        <w:rPr>
          <w:rFonts w:ascii="Arial;sans-serif" w:hAnsi="Arial;sans-serif"/>
          <w:b/>
          <w:i/>
          <w:color w:val="000000"/>
          <w:sz w:val="18"/>
        </w:rPr>
        <w:t>EPA.</w:t>
      </w:r>
      <w:r>
        <w:rPr>
          <w:color w:val="000000"/>
        </w:rPr>
        <w:t xml:space="preserve"> </w:t>
      </w:r>
      <w:r>
        <w:rPr>
          <w:rFonts w:ascii="Arial;sans-serif" w:hAnsi="Arial;sans-serif"/>
          <w:b w:val="false"/>
          <w:color w:val="000000"/>
          <w:sz w:val="18"/>
        </w:rPr>
        <w:t>U.S. Environmental Protection Agency.</w:t>
      </w:r>
    </w:p>
    <w:p>
      <w:pPr>
        <w:pStyle w:val="TextBody"/>
        <w:bidi w:val="0"/>
        <w:spacing w:lineRule="auto" w:line="288" w:before="0" w:after="180"/>
        <w:jc w:val="left"/>
        <w:rPr/>
      </w:pPr>
      <w:r>
        <w:rPr>
          <w:rFonts w:ascii="Arial;sans-serif" w:hAnsi="Arial;sans-serif"/>
          <w:b/>
          <w:i/>
          <w:color w:val="000000"/>
          <w:sz w:val="18"/>
        </w:rPr>
        <w:t>EPA CCR Rule.</w:t>
      </w:r>
      <w:r>
        <w:rPr>
          <w:color w:val="000000"/>
        </w:rPr>
        <w:t xml:space="preserve"> </w:t>
      </w:r>
      <w:r>
        <w:rPr>
          <w:rFonts w:ascii="Arial;sans-serif" w:hAnsi="Arial;sans-serif"/>
          <w:b w:val="false"/>
          <w:color w:val="000000"/>
          <w:sz w:val="18"/>
        </w:rPr>
        <w:t>The national regulatory standards required by the EPA for the management of CCRs in landfills and surface impoundments.</w:t>
      </w:r>
    </w:p>
    <w:p>
      <w:pPr>
        <w:pStyle w:val="TextBody"/>
        <w:bidi w:val="0"/>
        <w:spacing w:lineRule="auto" w:line="288" w:before="0" w:after="180"/>
        <w:jc w:val="left"/>
        <w:rPr/>
      </w:pPr>
      <w:r>
        <w:rPr>
          <w:rFonts w:ascii="Arial;sans-serif" w:hAnsi="Arial;sans-serif"/>
          <w:b/>
          <w:i/>
          <w:color w:val="000000"/>
          <w:sz w:val="18"/>
        </w:rPr>
        <w:t>EPA CSAPR.</w:t>
      </w:r>
      <w:r>
        <w:rPr>
          <w:color w:val="000000"/>
        </w:rPr>
        <w:t xml:space="preserve"> </w:t>
      </w:r>
      <w:r>
        <w:rPr>
          <w:rFonts w:ascii="Arial;sans-serif" w:hAnsi="Arial;sans-serif"/>
          <w:b w:val="false"/>
          <w:color w:val="000000"/>
          <w:sz w:val="18"/>
        </w:rPr>
        <w:t>The Cross-State Air Pollution Rule, a federal program that aims to reduce power plant emissions that cross state lines and contribute to 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pStyle w:val="TextBody"/>
        <w:bidi w:val="0"/>
        <w:spacing w:lineRule="auto" w:line="288" w:before="0" w:after="180"/>
        <w:jc w:val="left"/>
        <w:rPr/>
      </w:pPr>
      <w:r>
        <w:rPr>
          <w:rFonts w:ascii="Arial;sans-serif" w:hAnsi="Arial;sans-serif"/>
          <w:b/>
          <w:i/>
          <w:color w:val="000000"/>
          <w:sz w:val="18"/>
        </w:rPr>
        <w:t>EPA ELG Rule.</w:t>
      </w:r>
      <w:r>
        <w:rPr>
          <w:color w:val="000000"/>
        </w:rPr>
        <w:t xml:space="preserve"> </w:t>
      </w:r>
      <w:r>
        <w:rPr>
          <w:rFonts w:ascii="Arial;sans-serif" w:hAnsi="Arial;sans-serif"/>
          <w:b w:val="false"/>
          <w:color w:val="000000"/>
          <w:sz w:val="18"/>
        </w:rPr>
        <w:t>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pStyle w:val="TextBody"/>
        <w:bidi w:val="0"/>
        <w:spacing w:lineRule="auto" w:line="288" w:before="0" w:after="180"/>
        <w:jc w:val="left"/>
        <w:rPr/>
      </w:pPr>
      <w:r>
        <w:rPr>
          <w:rFonts w:ascii="Arial;sans-serif" w:hAnsi="Arial;sans-serif"/>
          <w:b/>
          <w:i/>
          <w:color w:val="000000"/>
          <w:sz w:val="18"/>
        </w:rPr>
        <w:t>EPA GHG Rule.</w:t>
      </w:r>
      <w:r>
        <w:rPr>
          <w:color w:val="000000"/>
        </w:rPr>
        <w:t xml:space="preserve"> </w:t>
      </w:r>
      <w:r>
        <w:rPr>
          <w:rFonts w:ascii="Arial;sans-serif" w:hAnsi="Arial;sans-serif"/>
          <w:b w:val="false"/>
          <w:color w:val="000000"/>
          <w:sz w:val="18"/>
        </w:rPr>
        <w:t>An EPA rule that establishes carbon dioxide limits for new electric generating units and GHG guidelines for certain existing electric generating units.</w:t>
      </w:r>
    </w:p>
    <w:p>
      <w:pPr>
        <w:pStyle w:val="TextBody"/>
        <w:bidi w:val="0"/>
        <w:spacing w:lineRule="auto" w:line="288" w:before="0" w:after="180"/>
        <w:jc w:val="left"/>
        <w:rPr/>
      </w:pPr>
      <w:r>
        <w:rPr>
          <w:rFonts w:ascii="Arial;sans-serif" w:hAnsi="Arial;sans-serif"/>
          <w:b/>
          <w:i/>
          <w:color w:val="000000"/>
          <w:sz w:val="18"/>
        </w:rPr>
        <w:t>EPA MATS Rule.</w:t>
      </w:r>
      <w:r>
        <w:rPr>
          <w:color w:val="000000"/>
        </w:rPr>
        <w:t xml:space="preserve"> </w:t>
      </w:r>
      <w:r>
        <w:rPr>
          <w:rFonts w:ascii="Arial;sans-serif" w:hAnsi="Arial;sans-serif"/>
          <w:b w:val="false"/>
          <w:color w:val="000000"/>
          <w:sz w:val="18"/>
        </w:rPr>
        <w:t>The Mercury and Air Toxics Standards, EPA technology-based emissions standards for mercury and other hazardous air pollutants emitted by generation units with a capacity of more than 25 MWs.</w:t>
      </w:r>
    </w:p>
    <w:p>
      <w:pPr>
        <w:pStyle w:val="TextBody"/>
        <w:bidi w:val="0"/>
        <w:spacing w:lineRule="auto" w:line="288" w:before="0" w:after="180"/>
        <w:jc w:val="left"/>
        <w:rPr/>
      </w:pPr>
      <w:r>
        <w:rPr>
          <w:rFonts w:ascii="Arial;sans-serif" w:hAnsi="Arial;sans-serif"/>
          <w:b/>
          <w:i/>
          <w:color w:val="000000"/>
          <w:sz w:val="18"/>
        </w:rPr>
        <w:t>EPS</w:t>
      </w:r>
      <w:r>
        <w:rPr>
          <w:rFonts w:ascii="Arial;sans-serif" w:hAnsi="Arial;sans-serif"/>
          <w:b w:val="false"/>
          <w:color w:val="000000"/>
          <w:sz w:val="18"/>
        </w:rPr>
        <w:t>. Earnings per share.</w:t>
      </w:r>
    </w:p>
    <w:p>
      <w:pPr>
        <w:pStyle w:val="TextBody"/>
        <w:bidi w:val="0"/>
        <w:spacing w:lineRule="auto" w:line="288" w:before="0" w:after="180"/>
        <w:jc w:val="left"/>
        <w:rPr/>
      </w:pPr>
      <w:r>
        <w:rPr>
          <w:rFonts w:ascii="Arial;sans-serif" w:hAnsi="Arial;sans-serif"/>
          <w:b/>
          <w:i/>
          <w:color w:val="000000"/>
          <w:sz w:val="18"/>
        </w:rPr>
        <w:t xml:space="preserve">ERCOT. </w:t>
      </w:r>
      <w:r>
        <w:rPr>
          <w:rFonts w:ascii="Arial;sans-serif" w:hAnsi="Arial;sans-serif"/>
          <w:b w:val="false"/>
          <w:color w:val="333333"/>
          <w:sz w:val="18"/>
        </w:rPr>
        <w:t>The Electric Reliability Council of Texas, operator of the electricity transmission network and electricity energy market in most of Texas</w:t>
      </w:r>
      <w:r>
        <w:rPr>
          <w:rFonts w:ascii="Arial;sans-serif" w:hAnsi="Arial;sans-serif"/>
          <w:b w:val="false"/>
          <w:color w:val="000000"/>
          <w:sz w:val="18"/>
        </w:rPr>
        <w:t>.</w:t>
      </w:r>
    </w:p>
    <w:p>
      <w:pPr>
        <w:pStyle w:val="TextBody"/>
        <w:bidi w:val="0"/>
        <w:spacing w:lineRule="auto" w:line="288" w:before="0" w:after="180"/>
        <w:jc w:val="left"/>
        <w:rPr/>
      </w:pPr>
      <w:r>
        <w:rPr>
          <w:rFonts w:ascii="Arial;sans-serif" w:hAnsi="Arial;sans-serif"/>
          <w:b/>
          <w:i/>
          <w:color w:val="000000"/>
          <w:sz w:val="18"/>
        </w:rPr>
        <w:t>ERCOT Sale.</w:t>
      </w:r>
      <w:r>
        <w:rPr>
          <w:color w:val="000000"/>
        </w:rPr>
        <w:t xml:space="preserve"> </w:t>
      </w:r>
      <w:r>
        <w:rPr>
          <w:rFonts w:ascii="Arial;sans-serif" w:hAnsi="Arial;sans-serif"/>
          <w:b w:val="false"/>
          <w:color w:val="000000"/>
          <w:sz w:val="18"/>
        </w:rPr>
        <w:t>The sale of our Texas fleet to CPS Energy in May 2024.</w:t>
      </w:r>
    </w:p>
    <w:p>
      <w:pPr>
        <w:pStyle w:val="TextBody"/>
        <w:bidi w:val="0"/>
        <w:spacing w:lineRule="auto" w:line="288" w:before="0" w:after="180"/>
        <w:jc w:val="left"/>
        <w:rPr/>
      </w:pPr>
      <w:r>
        <w:rPr>
          <w:rFonts w:ascii="Arial;sans-serif" w:hAnsi="Arial;sans-serif"/>
          <w:b/>
          <w:i/>
          <w:color w:val="000000"/>
          <w:sz w:val="18"/>
        </w:rPr>
        <w:t>Exchange Act.</w:t>
      </w:r>
      <w:r>
        <w:rPr>
          <w:color w:val="000000"/>
        </w:rPr>
        <w:t xml:space="preserve"> </w:t>
      </w:r>
      <w:r>
        <w:rPr>
          <w:rFonts w:ascii="Arial;sans-serif" w:hAnsi="Arial;sans-serif"/>
          <w:b w:val="false"/>
          <w:color w:val="000000"/>
          <w:sz w:val="18"/>
        </w:rPr>
        <w:t>The Securities Exchange Act of 1934, as amended.</w:t>
      </w:r>
    </w:p>
    <w:p>
      <w:pPr>
        <w:pStyle w:val="TextBody"/>
        <w:bidi w:val="0"/>
        <w:spacing w:lineRule="auto" w:line="288" w:before="0" w:after="180"/>
        <w:jc w:val="left"/>
        <w:rPr/>
      </w:pPr>
      <w:r>
        <w:rPr>
          <w:rFonts w:ascii="Arial;sans-serif" w:hAnsi="Arial;sans-serif"/>
          <w:b/>
          <w:i/>
          <w:color w:val="000000"/>
          <w:sz w:val="18"/>
        </w:rPr>
        <w:t xml:space="preserve">FERC. </w:t>
      </w:r>
      <w:r>
        <w:rPr>
          <w:rFonts w:ascii="Arial;sans-serif" w:hAnsi="Arial;sans-serif"/>
          <w:b w:val="false"/>
          <w:color w:val="000000"/>
          <w:sz w:val="18"/>
        </w:rPr>
        <w:t>U.S. Federal Energy Regulatory Commission.</w:t>
      </w:r>
    </w:p>
    <w:p>
      <w:pPr>
        <w:pStyle w:val="TextBody"/>
        <w:bidi w:val="0"/>
        <w:spacing w:lineRule="auto" w:line="288" w:before="0" w:after="180"/>
        <w:jc w:val="left"/>
        <w:rPr/>
      </w:pPr>
      <w:r>
        <w:rPr>
          <w:rFonts w:ascii="Arial;sans-serif" w:hAnsi="Arial;sans-serif"/>
          <w:b/>
          <w:i/>
          <w:color w:val="000000"/>
          <w:sz w:val="18"/>
        </w:rPr>
        <w:t>GAAP.</w:t>
      </w:r>
      <w:r>
        <w:rPr>
          <w:color w:val="000000"/>
        </w:rPr>
        <w:t xml:space="preserve"> </w:t>
      </w:r>
      <w:r>
        <w:rPr>
          <w:rFonts w:ascii="Arial;sans-serif" w:hAnsi="Arial;sans-serif"/>
          <w:b w:val="false"/>
          <w:color w:val="000000"/>
          <w:sz w:val="18"/>
        </w:rPr>
        <w:t>Generally Accepted Accounting Principles in the United States.</w:t>
      </w:r>
    </w:p>
    <w:p>
      <w:pPr>
        <w:pStyle w:val="TextBody"/>
        <w:bidi w:val="0"/>
        <w:spacing w:lineRule="auto" w:line="288" w:before="0" w:after="180"/>
        <w:jc w:val="left"/>
        <w:rPr/>
      </w:pPr>
      <w:r>
        <w:rPr>
          <w:rFonts w:ascii="Arial;sans-serif" w:hAnsi="Arial;sans-serif"/>
          <w:b/>
          <w:i/>
          <w:color w:val="000000"/>
          <w:sz w:val="18"/>
        </w:rPr>
        <w:t>GW.</w:t>
      </w:r>
      <w:r>
        <w:rPr>
          <w:color w:val="000000"/>
        </w:rPr>
        <w:t xml:space="preserve"> </w:t>
      </w:r>
      <w:r>
        <w:rPr>
          <w:rFonts w:ascii="Arial;sans-serif" w:hAnsi="Arial;sans-serif"/>
          <w:b w:val="false"/>
          <w:color w:val="000000"/>
          <w:sz w:val="18"/>
        </w:rPr>
        <w:t>Gigawatt.</w:t>
      </w:r>
    </w:p>
    <w:p>
      <w:pPr>
        <w:pStyle w:val="TextBody"/>
        <w:bidi w:val="0"/>
        <w:spacing w:lineRule="auto" w:line="288" w:before="0" w:after="180"/>
        <w:jc w:val="left"/>
        <w:rPr/>
      </w:pPr>
      <w:r>
        <w:rPr>
          <w:rFonts w:ascii="Arial;sans-serif" w:hAnsi="Arial;sans-serif"/>
          <w:b/>
          <w:i/>
          <w:color w:val="000000"/>
          <w:sz w:val="18"/>
        </w:rPr>
        <w:t>GWh.</w:t>
      </w:r>
      <w:r>
        <w:rPr>
          <w:color w:val="000000"/>
        </w:rPr>
        <w:t xml:space="preserve"> </w:t>
      </w:r>
      <w:r>
        <w:rPr>
          <w:rFonts w:ascii="Arial;sans-serif" w:hAnsi="Arial;sans-serif"/>
          <w:b w:val="false"/>
          <w:color w:val="000000"/>
          <w:sz w:val="18"/>
        </w:rPr>
        <w:t>Gigawatt-hour.</w:t>
      </w:r>
    </w:p>
    <w:p>
      <w:pPr>
        <w:pStyle w:val="TextBody"/>
        <w:bidi w:val="0"/>
        <w:spacing w:lineRule="auto" w:line="288" w:before="0" w:after="180"/>
        <w:jc w:val="left"/>
        <w:rPr/>
      </w:pPr>
      <w:r>
        <w:rPr>
          <w:rFonts w:ascii="Arial;sans-serif" w:hAnsi="Arial;sans-serif"/>
          <w:b/>
          <w:i/>
          <w:color w:val="000000"/>
          <w:sz w:val="18"/>
        </w:rPr>
        <w:t>H.A. Wagner.</w:t>
      </w:r>
      <w:r>
        <w:rPr>
          <w:color w:val="000000"/>
        </w:rPr>
        <w:t xml:space="preserve"> </w:t>
      </w:r>
      <w:r>
        <w:rPr>
          <w:rFonts w:ascii="Arial;sans-serif" w:hAnsi="Arial;sans-serif"/>
          <w:b w:val="false"/>
          <w:color w:val="000000"/>
          <w:sz w:val="18"/>
        </w:rPr>
        <w:t>A Talen-owned and operated generation facility in Curtis Bay, Maryland.</w:t>
      </w:r>
    </w:p>
    <w:p>
      <w:pPr>
        <w:pStyle w:val="TextBody"/>
        <w:bidi w:val="0"/>
        <w:spacing w:lineRule="auto" w:line="288" w:before="0" w:after="180"/>
        <w:jc w:val="left"/>
        <w:rPr/>
      </w:pPr>
      <w:r>
        <w:rPr>
          <w:rFonts w:ascii="Arial;sans-serif" w:hAnsi="Arial;sans-serif"/>
          <w:b/>
          <w:i/>
          <w:color w:val="000000"/>
          <w:sz w:val="18"/>
        </w:rPr>
        <w:t>Indenture.</w:t>
      </w:r>
      <w:r>
        <w:rPr>
          <w:color w:val="000000"/>
        </w:rPr>
        <w:t xml:space="preserve"> </w:t>
      </w:r>
      <w:r>
        <w:rPr>
          <w:rFonts w:ascii="Arial;sans-serif" w:hAnsi="Arial;sans-serif"/>
          <w:b w:val="false"/>
          <w:color w:val="000000"/>
          <w:sz w:val="18"/>
        </w:rPr>
        <w:t>The Indenture, dated as of May 12, 2023, as supplemented by the First Supplemental Indenture, dated as of May 17, 2023, the Second Supplemental Indenture, dated as of October 6, 2023, the Third Supplemental Indenture, dated as of June 22, 2024, and the Fourth Supplemental Indenture, dated as of January 13, 2025, each between TES, the Subsidiary Guarantors and Wilmington Savings Fund Society, FSB, as trustee, which governs the Secured Notes, as the same may be further amended, amended and restated, supplemented or otherwise modified from time-to-time.</w:t>
      </w:r>
    </w:p>
    <w:p>
      <w:pPr>
        <w:pStyle w:val="TextBody"/>
        <w:bidi w:val="0"/>
        <w:spacing w:lineRule="auto" w:line="288" w:before="0" w:after="180"/>
        <w:jc w:val="left"/>
        <w:rPr/>
      </w:pPr>
      <w:r>
        <w:rPr>
          <w:rFonts w:ascii="Arial;sans-serif" w:hAnsi="Arial;sans-serif"/>
          <w:b/>
          <w:i/>
          <w:color w:val="000000"/>
          <w:sz w:val="18"/>
        </w:rPr>
        <w:t>Inflation Reduction Act.</w:t>
      </w:r>
      <w:r>
        <w:rPr>
          <w:color w:val="000000"/>
        </w:rPr>
        <w:t xml:space="preserve"> </w:t>
      </w:r>
      <w:r>
        <w:rPr>
          <w:rFonts w:ascii="Arial;sans-serif" w:hAnsi="Arial;sans-serif"/>
          <w:b w:val="false"/>
          <w:color w:val="000000"/>
          <w:sz w:val="18"/>
        </w:rPr>
        <w:t>The Inflation Reduction Act of 2022, which was signed into law in August 2022. Among the Inflation Reduction Act’s provisions are: (i) amendments to the Internal Revenue Code of 1986 to create a nuclear production tax credit program; (ii) the creation, extension and modification of tax credit programs for certain clean energy projects, such as solar, wind, and battery storage; and (iii) adjustments to corporate tax rates.</w:t>
      </w:r>
    </w:p>
    <w:p>
      <w:pPr>
        <w:pStyle w:val="TextBody"/>
        <w:bidi w:val="0"/>
        <w:spacing w:lineRule="auto" w:line="288" w:before="0" w:after="180"/>
        <w:jc w:val="left"/>
        <w:rPr/>
      </w:pPr>
      <w:r>
        <w:rPr>
          <w:rFonts w:ascii="Arial;sans-serif" w:hAnsi="Arial;sans-serif"/>
          <w:b/>
          <w:i/>
          <w:color w:val="000000"/>
          <w:sz w:val="18"/>
        </w:rPr>
        <w:t>ISA.</w:t>
      </w:r>
      <w:r>
        <w:rPr>
          <w:color w:val="000000"/>
        </w:rPr>
        <w:t xml:space="preserve"> </w:t>
      </w:r>
      <w:r>
        <w:rPr>
          <w:rFonts w:ascii="Arial;sans-serif" w:hAnsi="Arial;sans-serif"/>
          <w:b w:val="false"/>
          <w:color w:val="000000"/>
          <w:sz w:val="18"/>
        </w:rPr>
        <w:t>Interconnection Service Agreement.</w:t>
      </w:r>
    </w:p>
    <w:p>
      <w:pPr>
        <w:pStyle w:val="TextBody"/>
        <w:bidi w:val="0"/>
        <w:spacing w:lineRule="auto" w:line="288" w:before="0" w:after="180"/>
        <w:jc w:val="left"/>
        <w:rPr/>
      </w:pPr>
      <w:r>
        <w:rPr>
          <w:rFonts w:ascii="Arial;sans-serif" w:hAnsi="Arial;sans-serif"/>
          <w:b/>
          <w:i/>
          <w:color w:val="000000"/>
          <w:sz w:val="18"/>
        </w:rPr>
        <w:t>ISO.</w:t>
      </w:r>
      <w:r>
        <w:rPr>
          <w:color w:val="000000"/>
        </w:rPr>
        <w:t xml:space="preserve"> </w:t>
      </w:r>
      <w:r>
        <w:rPr>
          <w:rFonts w:ascii="Arial;sans-serif" w:hAnsi="Arial;sans-serif"/>
          <w:b w:val="false"/>
          <w:color w:val="000000"/>
          <w:sz w:val="18"/>
        </w:rPr>
        <w:t>Independent System Operator.</w:t>
      </w:r>
    </w:p>
    <w:p>
      <w:pPr>
        <w:pStyle w:val="TextBody"/>
        <w:bidi w:val="0"/>
        <w:spacing w:lineRule="auto" w:line="288" w:before="0" w:after="180"/>
        <w:jc w:val="left"/>
        <w:rPr/>
      </w:pPr>
      <w:r>
        <w:rPr>
          <w:rFonts w:ascii="Arial;sans-serif" w:hAnsi="Arial;sans-serif"/>
          <w:b/>
          <w:i/>
          <w:color w:val="000000"/>
          <w:sz w:val="18"/>
        </w:rPr>
        <w:t>ISO-NE.</w:t>
      </w:r>
      <w:r>
        <w:rPr>
          <w:color w:val="000000"/>
        </w:rPr>
        <w:t xml:space="preserve"> </w:t>
      </w:r>
      <w:r>
        <w:rPr>
          <w:rFonts w:ascii="Arial;sans-serif" w:hAnsi="Arial;sans-serif"/>
          <w:b w:val="false"/>
          <w:color w:val="000000"/>
          <w:sz w:val="18"/>
        </w:rPr>
        <w:t>ISO New England, a non-profit regional transmission organization serving Connecticut, Maine, Massachusetts, New Hampshire, Rhode Island, and Vermont.</w:t>
      </w:r>
    </w:p>
    <w:p>
      <w:pPr>
        <w:pStyle w:val="TextBody"/>
        <w:bidi w:val="0"/>
        <w:spacing w:lineRule="auto" w:line="288" w:before="0" w:after="180"/>
        <w:jc w:val="left"/>
        <w:rPr/>
      </w:pPr>
      <w:r>
        <w:rPr>
          <w:rFonts w:ascii="Arial;sans-serif" w:hAnsi="Arial;sans-serif"/>
          <w:b/>
          <w:i/>
          <w:color w:val="000000"/>
          <w:sz w:val="18"/>
        </w:rPr>
        <w:t>LC.</w:t>
      </w:r>
      <w:r>
        <w:rPr>
          <w:color w:val="000000"/>
        </w:rPr>
        <w:t xml:space="preserve"> </w:t>
      </w:r>
      <w:r>
        <w:rPr>
          <w:rFonts w:ascii="Arial;sans-serif" w:hAnsi="Arial;sans-serif"/>
          <w:b w:val="false"/>
          <w:color w:val="000000"/>
          <w:sz w:val="18"/>
        </w:rPr>
        <w:t>Letter of credit.</w:t>
      </w:r>
    </w:p>
    <w:p>
      <w:pPr>
        <w:pStyle w:val="TextBody"/>
        <w:bidi w:val="0"/>
        <w:spacing w:lineRule="auto" w:line="288" w:before="0" w:after="180"/>
        <w:jc w:val="left"/>
        <w:rPr/>
      </w:pPr>
      <w:r>
        <w:rPr>
          <w:rFonts w:ascii="Arial;sans-serif" w:hAnsi="Arial;sans-serif"/>
          <w:b/>
          <w:i/>
          <w:color w:val="000000"/>
          <w:sz w:val="18"/>
        </w:rPr>
        <w:t>LCF.</w:t>
      </w:r>
      <w:r>
        <w:rPr>
          <w:color w:val="000000"/>
        </w:rPr>
        <w:t xml:space="preserve"> </w:t>
      </w:r>
      <w:r>
        <w:rPr>
          <w:rFonts w:ascii="Arial;sans-serif" w:hAnsi="Arial;sans-serif"/>
          <w:b w:val="false"/>
          <w:color w:val="000000"/>
          <w:sz w:val="18"/>
        </w:rPr>
        <w:t>The $900 million stand-alone letter of credit facility established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21"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117</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left"/>
        <w:rPr/>
      </w:pPr>
      <w:r>
        <w:rPr>
          <w:rFonts w:ascii="Arial;sans-serif" w:hAnsi="Arial;sans-serif"/>
          <w:b/>
          <w:i/>
          <w:color w:val="000000"/>
          <w:sz w:val="18"/>
        </w:rPr>
        <w:t>LMBE-MC TLB.</w:t>
      </w:r>
      <w:r>
        <w:rPr>
          <w:color w:val="000000"/>
        </w:rPr>
        <w:t xml:space="preserve"> </w:t>
      </w:r>
      <w:r>
        <w:rPr>
          <w:rFonts w:ascii="Arial;sans-serif" w:hAnsi="Arial;sans-serif"/>
          <w:b w:val="false"/>
          <w:color w:val="000000"/>
          <w:sz w:val="18"/>
        </w:rPr>
        <w:t>The term loan B facility under which certain subsidiaries holding the Lower Mt. Bethel and Martins Creek facilities borro</w:t>
      </w:r>
      <w:r>
        <w:rPr>
          <w:rFonts w:ascii="Arial;sans-serif" w:hAnsi="Arial;sans-serif"/>
          <w:b w:val="false"/>
          <w:color w:val="000000"/>
          <w:sz w:val="18"/>
          <w:shd w:fill="FFFFFF" w:val="clear"/>
        </w:rPr>
        <w:t>wed $290 million fr</w:t>
      </w:r>
      <w:r>
        <w:rPr>
          <w:rFonts w:ascii="Arial;sans-serif" w:hAnsi="Arial;sans-serif"/>
          <w:b w:val="false"/>
          <w:color w:val="000000"/>
          <w:sz w:val="18"/>
        </w:rPr>
        <w:t>om affiliates of MUFG. The LMBE-MC TLB was repaid in full and terminated in August 2023.</w:t>
      </w:r>
    </w:p>
    <w:p>
      <w:pPr>
        <w:pStyle w:val="TextBody"/>
        <w:bidi w:val="0"/>
        <w:spacing w:lineRule="auto" w:line="288" w:before="0" w:after="180"/>
        <w:jc w:val="left"/>
        <w:rPr/>
      </w:pPr>
      <w:r>
        <w:rPr>
          <w:rFonts w:ascii="Arial;sans-serif" w:hAnsi="Arial;sans-serif"/>
          <w:b/>
          <w:i/>
          <w:color w:val="000000"/>
          <w:sz w:val="18"/>
        </w:rPr>
        <w:t>Lower Mt. Bethel.</w:t>
      </w:r>
      <w:r>
        <w:rPr>
          <w:color w:val="000000"/>
        </w:rPr>
        <w:t xml:space="preserve"> </w:t>
      </w:r>
      <w:r>
        <w:rPr>
          <w:rFonts w:ascii="Arial;sans-serif" w:hAnsi="Arial;sans-serif"/>
          <w:b w:val="false"/>
          <w:color w:val="000000"/>
          <w:sz w:val="18"/>
        </w:rPr>
        <w:t>A Talen-owned and operated generation facility in Bangor, Pennsylvania.</w:t>
      </w:r>
    </w:p>
    <w:p>
      <w:pPr>
        <w:pStyle w:val="TextBody"/>
        <w:bidi w:val="0"/>
        <w:spacing w:lineRule="auto" w:line="288" w:before="0" w:after="180"/>
        <w:jc w:val="left"/>
        <w:rPr/>
      </w:pPr>
      <w:r>
        <w:rPr>
          <w:rFonts w:ascii="Arial;sans-serif" w:hAnsi="Arial;sans-serif"/>
          <w:b/>
          <w:i/>
          <w:color w:val="000000"/>
          <w:sz w:val="18"/>
        </w:rPr>
        <w:t>Martins Creek.</w:t>
      </w:r>
      <w:r>
        <w:rPr>
          <w:color w:val="000000"/>
        </w:rPr>
        <w:t xml:space="preserve"> </w:t>
      </w:r>
      <w:r>
        <w:rPr>
          <w:rFonts w:ascii="Arial;sans-serif" w:hAnsi="Arial;sans-serif"/>
          <w:b w:val="false"/>
          <w:color w:val="000000"/>
          <w:sz w:val="18"/>
        </w:rPr>
        <w:t>A Talen-owned and operated generation facility in Bangor, Pennsylvania.</w:t>
      </w:r>
    </w:p>
    <w:p>
      <w:pPr>
        <w:pStyle w:val="TextBody"/>
        <w:bidi w:val="0"/>
        <w:spacing w:lineRule="auto" w:line="288" w:before="0" w:after="180"/>
        <w:jc w:val="left"/>
        <w:rPr/>
      </w:pPr>
      <w:r>
        <w:rPr>
          <w:rFonts w:ascii="Arial;sans-serif" w:hAnsi="Arial;sans-serif"/>
          <w:b/>
          <w:i/>
          <w:color w:val="000000"/>
          <w:sz w:val="18"/>
        </w:rPr>
        <w:t>MMBtu.</w:t>
      </w:r>
      <w:r>
        <w:rPr>
          <w:color w:val="000000"/>
        </w:rPr>
        <w:t xml:space="preserve"> </w:t>
      </w:r>
      <w:r>
        <w:rPr>
          <w:rFonts w:ascii="Arial;sans-serif" w:hAnsi="Arial;sans-serif"/>
          <w:b w:val="false"/>
          <w:color w:val="000000"/>
          <w:sz w:val="18"/>
        </w:rPr>
        <w:t>One million British Thermal Units.</w:t>
      </w:r>
    </w:p>
    <w:p>
      <w:pPr>
        <w:pStyle w:val="TextBody"/>
        <w:bidi w:val="0"/>
        <w:spacing w:lineRule="auto" w:line="288" w:before="0" w:after="180"/>
        <w:jc w:val="left"/>
        <w:rPr/>
      </w:pPr>
      <w:r>
        <w:rPr>
          <w:rFonts w:ascii="Arial;sans-serif" w:hAnsi="Arial;sans-serif"/>
          <w:b/>
          <w:i/>
          <w:color w:val="000000"/>
          <w:sz w:val="18"/>
        </w:rPr>
        <w:t>Montour.</w:t>
      </w:r>
      <w:r>
        <w:rPr>
          <w:color w:val="000000"/>
        </w:rPr>
        <w:t xml:space="preserve"> </w:t>
      </w:r>
      <w:r>
        <w:rPr>
          <w:rFonts w:ascii="Arial;sans-serif" w:hAnsi="Arial;sans-serif"/>
          <w:b w:val="false"/>
          <w:color w:val="000000"/>
          <w:sz w:val="18"/>
        </w:rPr>
        <w:t>A Talen-owned and operated generation facility in Washingtonville, Pennsylvania.</w:t>
      </w:r>
    </w:p>
    <w:p>
      <w:pPr>
        <w:pStyle w:val="TextBody"/>
        <w:bidi w:val="0"/>
        <w:spacing w:lineRule="auto" w:line="288" w:before="0" w:after="180"/>
        <w:jc w:val="left"/>
        <w:rPr/>
      </w:pPr>
      <w:r>
        <w:rPr>
          <w:rFonts w:ascii="Arial;sans-serif" w:hAnsi="Arial;sans-serif"/>
          <w:b/>
          <w:i/>
          <w:color w:val="000000"/>
          <w:sz w:val="18"/>
        </w:rPr>
        <w:t>MW.</w:t>
      </w:r>
      <w:r>
        <w:rPr>
          <w:color w:val="000000"/>
        </w:rPr>
        <w:t xml:space="preserve"> </w:t>
      </w:r>
      <w:r>
        <w:rPr>
          <w:rFonts w:ascii="Arial;sans-serif" w:hAnsi="Arial;sans-serif"/>
          <w:b w:val="false"/>
          <w:color w:val="000000"/>
          <w:sz w:val="18"/>
        </w:rPr>
        <w:t>Megawatt.</w:t>
      </w:r>
    </w:p>
    <w:p>
      <w:pPr>
        <w:pStyle w:val="TextBody"/>
        <w:bidi w:val="0"/>
        <w:spacing w:lineRule="auto" w:line="288" w:before="0" w:after="180"/>
        <w:jc w:val="left"/>
        <w:rPr/>
      </w:pPr>
      <w:r>
        <w:rPr>
          <w:rFonts w:ascii="Arial;sans-serif" w:hAnsi="Arial;sans-serif"/>
          <w:b/>
          <w:i/>
          <w:color w:val="000000"/>
          <w:sz w:val="18"/>
        </w:rPr>
        <w:t>MWh.</w:t>
      </w:r>
      <w:r>
        <w:rPr>
          <w:color w:val="000000"/>
        </w:rPr>
        <w:t xml:space="preserve"> </w:t>
      </w:r>
      <w:r>
        <w:rPr>
          <w:rFonts w:ascii="Arial;sans-serif" w:hAnsi="Arial;sans-serif"/>
          <w:b w:val="false"/>
          <w:color w:val="000000"/>
          <w:sz w:val="18"/>
        </w:rPr>
        <w:t>Megawatt-hour.</w:t>
      </w:r>
    </w:p>
    <w:p>
      <w:pPr>
        <w:pStyle w:val="TextBody"/>
        <w:bidi w:val="0"/>
        <w:spacing w:lineRule="auto" w:line="288" w:before="0" w:after="180"/>
        <w:jc w:val="left"/>
        <w:rPr/>
      </w:pPr>
      <w:r>
        <w:rPr>
          <w:rFonts w:ascii="Arial;sans-serif" w:hAnsi="Arial;sans-serif"/>
          <w:b/>
          <w:i/>
          <w:color w:val="000000"/>
          <w:sz w:val="18"/>
        </w:rPr>
        <w:t>Nautilus.</w:t>
      </w:r>
      <w:r>
        <w:rPr>
          <w:color w:val="000000"/>
        </w:rPr>
        <w:t xml:space="preserve"> </w:t>
      </w:r>
      <w:r>
        <w:rPr>
          <w:rFonts w:ascii="Arial;sans-serif" w:hAnsi="Arial;sans-serif"/>
          <w:b w:val="false"/>
          <w:color w:val="000000"/>
          <w:sz w:val="18"/>
        </w:rPr>
        <w:t>Nautilus Cryptomine LLC, a cryptocurrency project that was previously a joint venture between the Company and TeraWulf. The Company purchased TeraWulf’s interest in October 2024 and now owns 100% of Nautilus. See Note 18 for additional information.</w:t>
      </w:r>
    </w:p>
    <w:p>
      <w:pPr>
        <w:pStyle w:val="TextBody"/>
        <w:bidi w:val="0"/>
        <w:spacing w:lineRule="auto" w:line="288" w:before="0" w:after="180"/>
        <w:jc w:val="left"/>
        <w:rPr/>
      </w:pPr>
      <w:r>
        <w:rPr>
          <w:rFonts w:ascii="Arial;sans-serif" w:hAnsi="Arial;sans-serif"/>
          <w:b/>
          <w:i/>
          <w:color w:val="000000"/>
          <w:sz w:val="18"/>
        </w:rPr>
        <w:t>NAV.</w:t>
      </w:r>
      <w:r>
        <w:rPr>
          <w:color w:val="000000"/>
        </w:rPr>
        <w:t xml:space="preserve"> </w:t>
      </w:r>
      <w:r>
        <w:rPr>
          <w:rFonts w:ascii="Arial;sans-serif" w:hAnsi="Arial;sans-serif"/>
          <w:b w:val="false"/>
          <w:color w:val="000000"/>
          <w:sz w:val="18"/>
        </w:rPr>
        <w:t>Net asset value.</w:t>
      </w:r>
    </w:p>
    <w:p>
      <w:pPr>
        <w:pStyle w:val="TextBody"/>
        <w:bidi w:val="0"/>
        <w:spacing w:lineRule="auto" w:line="288" w:before="0" w:after="180"/>
        <w:jc w:val="left"/>
        <w:rPr/>
      </w:pPr>
      <w:r>
        <w:rPr>
          <w:rFonts w:ascii="Arial;sans-serif" w:hAnsi="Arial;sans-serif"/>
          <w:b/>
          <w:i/>
          <w:color w:val="000000"/>
          <w:sz w:val="18"/>
        </w:rPr>
        <w:t>NDT.</w:t>
      </w:r>
      <w:r>
        <w:rPr>
          <w:color w:val="000000"/>
        </w:rPr>
        <w:t xml:space="preserve"> </w:t>
      </w:r>
      <w:r>
        <w:rPr>
          <w:rFonts w:ascii="Arial;sans-serif" w:hAnsi="Arial;sans-serif"/>
          <w:b w:val="false"/>
          <w:color w:val="000000"/>
          <w:sz w:val="18"/>
        </w:rPr>
        <w:t>Nuclear facility decommissioning trust that is expected to fund Talen’s proportional costs associated with the future decommissioning activities of Susquehanna.</w:t>
      </w:r>
    </w:p>
    <w:p>
      <w:pPr>
        <w:pStyle w:val="TextBody"/>
        <w:bidi w:val="0"/>
        <w:spacing w:lineRule="auto" w:line="288" w:before="0" w:after="180"/>
        <w:jc w:val="left"/>
        <w:rPr/>
      </w:pPr>
      <w:r>
        <w:rPr>
          <w:rFonts w:ascii="Arial;sans-serif" w:hAnsi="Arial;sans-serif"/>
          <w:b/>
          <w:i/>
          <w:color w:val="000000"/>
          <w:sz w:val="18"/>
        </w:rPr>
        <w:t>NERC.</w:t>
      </w:r>
      <w:r>
        <w:rPr>
          <w:color w:val="000000"/>
        </w:rPr>
        <w:t xml:space="preserve"> </w:t>
      </w:r>
      <w:r>
        <w:rPr>
          <w:rFonts w:ascii="Arial;sans-serif" w:hAnsi="Arial;sans-serif"/>
          <w:b w:val="false"/>
          <w:color w:val="000000"/>
          <w:sz w:val="18"/>
        </w:rPr>
        <w:t>North American Electric Reliability Corporation.</w:t>
      </w:r>
    </w:p>
    <w:p>
      <w:pPr>
        <w:pStyle w:val="TextBody"/>
        <w:bidi w:val="0"/>
        <w:spacing w:lineRule="auto" w:line="288" w:before="0" w:after="180"/>
        <w:jc w:val="left"/>
        <w:rPr/>
      </w:pPr>
      <w:r>
        <w:rPr>
          <w:rFonts w:ascii="Arial;sans-serif" w:hAnsi="Arial;sans-serif"/>
          <w:b/>
          <w:i/>
          <w:color w:val="000000"/>
          <w:sz w:val="18"/>
        </w:rPr>
        <w:t>NRC.</w:t>
      </w:r>
      <w:r>
        <w:rPr>
          <w:color w:val="000000"/>
        </w:rPr>
        <w:t xml:space="preserve"> </w:t>
      </w:r>
      <w:r>
        <w:rPr>
          <w:rFonts w:ascii="Arial;sans-serif" w:hAnsi="Arial;sans-serif"/>
          <w:b w:val="false"/>
          <w:color w:val="000000"/>
          <w:sz w:val="18"/>
        </w:rPr>
        <w:t>U.S. Nuclear Regulatory Commission.</w:t>
      </w:r>
    </w:p>
    <w:p>
      <w:pPr>
        <w:pStyle w:val="TextBody"/>
        <w:bidi w:val="0"/>
        <w:spacing w:lineRule="auto" w:line="288" w:before="0" w:after="180"/>
        <w:jc w:val="left"/>
        <w:rPr/>
      </w:pPr>
      <w:r>
        <w:rPr>
          <w:rFonts w:ascii="Arial;sans-serif" w:hAnsi="Arial;sans-serif"/>
          <w:b/>
          <w:i/>
          <w:color w:val="000000"/>
          <w:sz w:val="18"/>
        </w:rPr>
        <w:t>Nuclear PTC.</w:t>
      </w:r>
      <w:r>
        <w:rPr>
          <w:color w:val="000000"/>
        </w:rPr>
        <w:t xml:space="preserve"> </w:t>
      </w:r>
      <w:r>
        <w:rPr>
          <w:rFonts w:ascii="Arial;sans-serif" w:hAnsi="Arial;sans-serif"/>
          <w:b w:val="false"/>
          <w:color w:val="000000"/>
          <w:sz w:val="18"/>
        </w:rPr>
        <w:t>The nuclear production tax credit under the Inflation Reduction Act.</w:t>
      </w:r>
    </w:p>
    <w:p>
      <w:pPr>
        <w:pStyle w:val="TextBody"/>
        <w:bidi w:val="0"/>
        <w:spacing w:lineRule="auto" w:line="288" w:before="0" w:after="180"/>
        <w:jc w:val="left"/>
        <w:rPr/>
      </w:pPr>
      <w:r>
        <w:rPr>
          <w:rFonts w:ascii="Arial;sans-serif" w:hAnsi="Arial;sans-serif"/>
          <w:b/>
          <w:i/>
          <w:color w:val="000000"/>
          <w:sz w:val="18"/>
        </w:rPr>
        <w:t>PEDFA Bonds.</w:t>
      </w:r>
      <w:r>
        <w:rPr>
          <w:color w:val="000000"/>
        </w:rPr>
        <w:t xml:space="preserve"> </w:t>
      </w:r>
      <w:r>
        <w:rPr>
          <w:rFonts w:ascii="Arial;sans-serif" w:hAnsi="Arial;sans-serif"/>
          <w:b w:val="false"/>
          <w:color w:val="000000"/>
          <w:sz w:val="18"/>
        </w:rPr>
        <w:t>The following series of Pennsylvania Economic Development Financing Authority (“PEDFA”) Exempt Facilities Revenue Refunding Bonds: Series 2009A, due December 2038 (“PEDFA 2009A Bonds”); Series 2009B, due December 2038 (“PEDFA 2009B Bonds”); and Series 2009C, due December 2037 (“PEDFA 2009C Bonds”). The PEDFA 2009A Bonds were extinguished in the Restructuring; the PEDFA 2009B Bonds and PEDFA 2009C Bonds remain outstanding and are guaranteed by certain of the Subsidiary Guarantors.</w:t>
      </w:r>
    </w:p>
    <w:p>
      <w:pPr>
        <w:pStyle w:val="TextBody"/>
        <w:bidi w:val="0"/>
        <w:spacing w:lineRule="auto" w:line="288" w:before="0" w:after="180"/>
        <w:jc w:val="left"/>
        <w:rPr/>
      </w:pPr>
      <w:r>
        <w:rPr>
          <w:rFonts w:ascii="Arial;sans-serif" w:hAnsi="Arial;sans-serif"/>
          <w:b/>
          <w:i/>
          <w:color w:val="000000"/>
          <w:sz w:val="18"/>
        </w:rPr>
        <w:t>PJM.</w:t>
      </w:r>
      <w:r>
        <w:rPr>
          <w:color w:val="000000"/>
        </w:rPr>
        <w:t xml:space="preserve"> </w:t>
      </w:r>
      <w:r>
        <w:rPr>
          <w:rFonts w:ascii="Arial;sans-serif" w:hAnsi="Arial;sans-serif"/>
          <w:b w:val="false"/>
          <w:color w:val="000000"/>
          <w:sz w:val="18"/>
        </w:rPr>
        <w:t>PJM Interconnection, L.L.C., the RTO that coordinates the movement of wholesale electricity in all or parts of Pennsylvania, New Jersey, Maryland, 10 other states, and the District of Columbia.</w:t>
      </w:r>
    </w:p>
    <w:p>
      <w:pPr>
        <w:pStyle w:val="TextBody"/>
        <w:bidi w:val="0"/>
        <w:spacing w:lineRule="auto" w:line="288" w:before="0" w:after="180"/>
        <w:jc w:val="left"/>
        <w:rPr/>
      </w:pPr>
      <w:r>
        <w:rPr>
          <w:rFonts w:ascii="Arial;sans-serif" w:hAnsi="Arial;sans-serif"/>
          <w:b/>
          <w:i/>
          <w:color w:val="000000"/>
          <w:sz w:val="18"/>
        </w:rPr>
        <w:t>PJM BRA (or “BRA”).</w:t>
      </w:r>
      <w:r>
        <w:rPr>
          <w:color w:val="000000"/>
        </w:rPr>
        <w:t xml:space="preserve"> </w:t>
      </w:r>
      <w:r>
        <w:rPr>
          <w:rFonts w:ascii="Arial;sans-serif" w:hAnsi="Arial;sans-serif"/>
          <w:b w:val="false"/>
          <w:color w:val="000000"/>
          <w:sz w:val="18"/>
        </w:rPr>
        <w:t>PJM Base Residual Auction, a component of PJM’s capacity market intended to secure power supply resources from market participants in 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pStyle w:val="TextBody"/>
        <w:bidi w:val="0"/>
        <w:spacing w:lineRule="auto" w:line="288" w:before="0" w:after="180"/>
        <w:jc w:val="left"/>
        <w:rPr/>
      </w:pPr>
      <w:r>
        <w:rPr>
          <w:rFonts w:ascii="Arial;sans-serif" w:hAnsi="Arial;sans-serif"/>
          <w:b/>
          <w:i/>
          <w:color w:val="000000"/>
          <w:sz w:val="18"/>
        </w:rPr>
        <w:t>PJM Capacity Year.</w:t>
      </w:r>
      <w:r>
        <w:rPr>
          <w:color w:val="000000"/>
        </w:rPr>
        <w:t xml:space="preserve"> </w:t>
      </w:r>
      <w:r>
        <w:rPr>
          <w:rFonts w:ascii="Arial;sans-serif" w:hAnsi="Arial;sans-serif"/>
          <w:b w:val="false"/>
          <w:color w:val="000000"/>
          <w:sz w:val="18"/>
        </w:rPr>
        <w:t>PJM capacity revenues for each delivery year covering the period from June 1 to May 31.</w:t>
      </w:r>
    </w:p>
    <w:p>
      <w:pPr>
        <w:pStyle w:val="TextBody"/>
        <w:bidi w:val="0"/>
        <w:spacing w:lineRule="auto" w:line="288" w:before="0" w:after="180"/>
        <w:jc w:val="left"/>
        <w:rPr/>
      </w:pPr>
      <w:r>
        <w:rPr>
          <w:rFonts w:ascii="Arial;sans-serif" w:hAnsi="Arial;sans-serif"/>
          <w:b/>
          <w:i/>
          <w:color w:val="000000"/>
          <w:sz w:val="18"/>
        </w:rPr>
        <w:t>Plan of Reorganization.</w:t>
      </w:r>
      <w:r>
        <w:rPr>
          <w:color w:val="000000"/>
        </w:rPr>
        <w:t xml:space="preserve"> </w:t>
      </w:r>
      <w:r>
        <w:rPr>
          <w:rFonts w:ascii="Arial;sans-serif" w:hAnsi="Arial;sans-serif"/>
          <w:b w:val="false"/>
          <w:color w:val="000000"/>
          <w:sz w:val="18"/>
        </w:rPr>
        <w:t>The Joint Chapter 11 Plan of Reorganization of Talen Energy Supply, LLC and Its Affiliated Debtors (Docket No. 1206), as subsequently amended, supplemented, or otherwise modified, and any exhibits or schedules thereto.</w:t>
      </w:r>
    </w:p>
    <w:p>
      <w:pPr>
        <w:pStyle w:val="TextBody"/>
        <w:bidi w:val="0"/>
        <w:spacing w:lineRule="auto" w:line="288" w:before="0" w:after="180"/>
        <w:jc w:val="left"/>
        <w:rPr/>
      </w:pPr>
      <w:r>
        <w:rPr>
          <w:rFonts w:ascii="Arial;sans-serif" w:hAnsi="Arial;sans-serif"/>
          <w:b/>
          <w:i/>
          <w:color w:val="000000"/>
          <w:sz w:val="18"/>
        </w:rPr>
        <w:t>PP&amp;E.</w:t>
      </w:r>
      <w:r>
        <w:rPr>
          <w:color w:val="000000"/>
        </w:rPr>
        <w:t xml:space="preserve"> </w:t>
      </w:r>
      <w:r>
        <w:rPr>
          <w:rFonts w:ascii="Arial;sans-serif" w:hAnsi="Arial;sans-serif"/>
          <w:b w:val="false"/>
          <w:color w:val="000000"/>
          <w:sz w:val="18"/>
        </w:rPr>
        <w:t>Property, plant and equipment.</w:t>
      </w:r>
    </w:p>
    <w:p>
      <w:pPr>
        <w:pStyle w:val="TextBody"/>
        <w:bidi w:val="0"/>
        <w:spacing w:lineRule="auto" w:line="288" w:before="0" w:after="180"/>
        <w:jc w:val="left"/>
        <w:rPr/>
      </w:pPr>
      <w:r>
        <w:rPr>
          <w:rFonts w:ascii="Arial;sans-serif" w:hAnsi="Arial;sans-serif"/>
          <w:b/>
          <w:i/>
          <w:color w:val="000000"/>
          <w:sz w:val="18"/>
        </w:rPr>
        <w:t>Predecessor.</w:t>
      </w:r>
      <w:r>
        <w:rPr>
          <w:color w:val="000000"/>
        </w:rPr>
        <w:t xml:space="preserve"> </w:t>
      </w:r>
      <w:r>
        <w:rPr>
          <w:rFonts w:ascii="Arial;sans-serif" w:hAnsi="Arial;sans-serif"/>
          <w:b w:val="false"/>
          <w:color w:val="000000"/>
          <w:sz w:val="18"/>
        </w:rPr>
        <w:t>Relates to the financial position or results of operations of Talen Energy Supply for periods prior to Emergence, or May 17, 2023.</w:t>
      </w:r>
    </w:p>
    <w:p>
      <w:pPr>
        <w:pStyle w:val="TextBody"/>
        <w:bidi w:val="0"/>
        <w:spacing w:lineRule="auto" w:line="288" w:before="0" w:after="180"/>
        <w:jc w:val="left"/>
        <w:rPr/>
      </w:pPr>
      <w:r>
        <w:rPr>
          <w:rFonts w:ascii="Arial;sans-serif" w:hAnsi="Arial;sans-serif"/>
          <w:b/>
          <w:i/>
          <w:color w:val="000000"/>
          <w:sz w:val="18"/>
        </w:rPr>
        <w:t>RCF.</w:t>
      </w:r>
      <w:r>
        <w:rPr>
          <w:color w:val="000000"/>
        </w:rPr>
        <w:t xml:space="preserve"> </w:t>
      </w:r>
      <w:r>
        <w:rPr>
          <w:rFonts w:ascii="Arial;sans-serif" w:hAnsi="Arial;sans-serif"/>
          <w:b w:val="false"/>
          <w:color w:val="000000"/>
          <w:sz w:val="18"/>
        </w:rPr>
        <w:t>The senior secured revolving credit facility that provides $700 million in aggregate revolving loan and LC commitments under the Credit Agreement.</w:t>
      </w:r>
    </w:p>
    <w:p>
      <w:pPr>
        <w:pStyle w:val="TextBody"/>
        <w:bidi w:val="0"/>
        <w:spacing w:lineRule="auto" w:line="288" w:before="0" w:after="180"/>
        <w:jc w:val="left"/>
        <w:rPr/>
      </w:pPr>
      <w:r>
        <w:rPr>
          <w:rFonts w:ascii="Arial;sans-serif" w:hAnsi="Arial;sans-serif"/>
          <w:b/>
          <w:i/>
          <w:color w:val="000000"/>
          <w:sz w:val="18"/>
        </w:rPr>
        <w:t>Restructuring.</w:t>
      </w:r>
      <w:r>
        <w:rPr>
          <w:color w:val="000000"/>
        </w:rPr>
        <w:t xml:space="preserve"> </w:t>
      </w:r>
      <w:r>
        <w:rPr>
          <w:rFonts w:ascii="Arial;sans-serif" w:hAnsi="Arial;sans-serif"/>
          <w:b w:val="false"/>
          <w:color w:val="000000"/>
          <w:sz w:val="18"/>
        </w:rPr>
        <w:t>The voluntary cases commenced by TEC, TES, and the other debtors under Chapter 11 of the U.S Bankruptcy Code, together with the related financial restructuring of the existing debt, existing equity interests, and certain other obligations pursuant to the Plan of Reorganization.</w:t>
      </w:r>
    </w:p>
    <w:p>
      <w:pPr>
        <w:pStyle w:val="TextBody"/>
        <w:bidi w:val="0"/>
        <w:spacing w:lineRule="auto" w:line="288" w:before="0" w:after="180"/>
        <w:jc w:val="left"/>
        <w:rPr/>
      </w:pPr>
      <w:r>
        <w:rPr>
          <w:rFonts w:ascii="Arial;sans-serif" w:hAnsi="Arial;sans-serif"/>
          <w:b/>
          <w:i/>
          <w:color w:val="000000"/>
          <w:sz w:val="18"/>
        </w:rPr>
        <w:t>RGGI.</w:t>
      </w:r>
      <w:r>
        <w:rPr>
          <w:color w:val="000000"/>
        </w:rPr>
        <w:t xml:space="preserve"> </w:t>
      </w:r>
      <w:r>
        <w:rPr>
          <w:rFonts w:ascii="Arial;sans-serif" w:hAnsi="Arial;sans-serif"/>
          <w:b w:val="false"/>
          <w:color w:val="000000"/>
          <w:sz w:val="18"/>
        </w:rPr>
        <w:t>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pStyle w:val="TextBody"/>
        <w:bidi w:val="0"/>
        <w:spacing w:lineRule="auto" w:line="288" w:before="0" w:after="180"/>
        <w:jc w:val="left"/>
        <w:rPr/>
      </w:pPr>
      <w:r>
        <w:rPr>
          <w:rFonts w:ascii="Arial;sans-serif" w:hAnsi="Arial;sans-serif"/>
          <w:b/>
          <w:i/>
          <w:color w:val="000000"/>
          <w:sz w:val="18"/>
        </w:rPr>
        <w:t>RMR.</w:t>
      </w:r>
      <w:r>
        <w:rPr>
          <w:color w:val="000000"/>
        </w:rPr>
        <w:t xml:space="preserve"> </w:t>
      </w:r>
      <w:r>
        <w:rPr>
          <w:rFonts w:ascii="Arial;sans-serif" w:hAnsi="Arial;sans-serif"/>
          <w:b w:val="false"/>
          <w:color w:val="000000"/>
          <w:sz w:val="18"/>
        </w:rPr>
        <w:t>A generation unit that is otherwise slated to be retired but agrees with PJM to remain operational beyond its requested deactivation date as a reliability-must-run resource to mitigate reliability concerns until necessary upgrades can be established.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2"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118</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left"/>
        <w:rPr/>
      </w:pPr>
      <w:r>
        <w:rPr>
          <w:rFonts w:ascii="Arial;sans-serif" w:hAnsi="Arial;sans-serif"/>
          <w:b/>
          <w:i/>
          <w:color w:val="000000"/>
          <w:sz w:val="18"/>
        </w:rPr>
        <w:t>RTO.</w:t>
      </w:r>
      <w:r>
        <w:rPr>
          <w:color w:val="000000"/>
        </w:rPr>
        <w:t xml:space="preserve"> </w:t>
      </w:r>
      <w:r>
        <w:rPr>
          <w:rFonts w:ascii="Arial;sans-serif" w:hAnsi="Arial;sans-serif"/>
          <w:b w:val="false"/>
          <w:color w:val="000000"/>
          <w:sz w:val="18"/>
        </w:rPr>
        <w:t>Regional Transmission Organization.</w:t>
      </w:r>
    </w:p>
    <w:p>
      <w:pPr>
        <w:pStyle w:val="TextBody"/>
        <w:bidi w:val="0"/>
        <w:spacing w:lineRule="auto" w:line="288" w:before="0" w:after="180"/>
        <w:jc w:val="left"/>
        <w:rPr/>
      </w:pPr>
      <w:r>
        <w:rPr>
          <w:rFonts w:ascii="Arial;sans-serif" w:hAnsi="Arial;sans-serif"/>
          <w:b/>
          <w:i/>
          <w:color w:val="000000"/>
          <w:sz w:val="18"/>
        </w:rPr>
        <w:t>Secured ISDAs.</w:t>
      </w:r>
      <w:r>
        <w:rPr>
          <w:color w:val="000000"/>
        </w:rPr>
        <w:t xml:space="preserve"> </w:t>
      </w:r>
      <w:r>
        <w:rPr>
          <w:rFonts w:ascii="Arial;sans-serif" w:hAnsi="Arial;sans-serif"/>
          <w:b w:val="false"/>
          <w:color w:val="000000"/>
          <w:sz w:val="18"/>
        </w:rPr>
        <w:t>Certain bilateral secured International Swaps and Derivatives Association (“ISDA”) agreements and Base Contracts for Sale and Purchase of Natural Gas as published by the North American Energy Standards Board (“NAESB”) of Talen Energy Marketing.</w:t>
      </w:r>
    </w:p>
    <w:p>
      <w:pPr>
        <w:pStyle w:val="TextBody"/>
        <w:bidi w:val="0"/>
        <w:spacing w:lineRule="auto" w:line="288" w:before="0" w:after="180"/>
        <w:jc w:val="left"/>
        <w:rPr/>
      </w:pPr>
      <w:r>
        <w:rPr>
          <w:rFonts w:ascii="Arial;sans-serif" w:hAnsi="Arial;sans-serif"/>
          <w:b/>
          <w:i/>
          <w:color w:val="000000"/>
          <w:sz w:val="18"/>
        </w:rPr>
        <w:t>SNF.</w:t>
      </w:r>
      <w:r>
        <w:rPr>
          <w:color w:val="000000"/>
        </w:rPr>
        <w:t xml:space="preserve"> </w:t>
      </w:r>
      <w:r>
        <w:rPr>
          <w:rFonts w:ascii="Arial;sans-serif" w:hAnsi="Arial;sans-serif"/>
          <w:b w:val="false"/>
          <w:color w:val="000000"/>
          <w:sz w:val="18"/>
        </w:rPr>
        <w:t>Spent nuclear fuel.</w:t>
      </w:r>
    </w:p>
    <w:p>
      <w:pPr>
        <w:pStyle w:val="TextBody"/>
        <w:bidi w:val="0"/>
        <w:spacing w:lineRule="auto" w:line="288" w:before="0" w:after="180"/>
        <w:jc w:val="left"/>
        <w:rPr/>
      </w:pPr>
      <w:r>
        <w:rPr>
          <w:rFonts w:ascii="Arial;sans-serif" w:hAnsi="Arial;sans-serif"/>
          <w:b/>
          <w:i/>
          <w:color w:val="000000"/>
          <w:sz w:val="18"/>
        </w:rPr>
        <w:t xml:space="preserve">SOFR. </w:t>
      </w:r>
      <w:r>
        <w:rPr>
          <w:rFonts w:ascii="Arial;sans-serif" w:hAnsi="Arial;sans-serif"/>
          <w:b w:val="false"/>
          <w:color w:val="000000"/>
          <w:sz w:val="18"/>
        </w:rPr>
        <w:t>Secured Overnight Financing Rate, a broad measure of the cost of borrowing cash overnight collateralized by U.S. Treasury securities.</w:t>
      </w:r>
    </w:p>
    <w:p>
      <w:pPr>
        <w:pStyle w:val="TextBody"/>
        <w:bidi w:val="0"/>
        <w:spacing w:lineRule="auto" w:line="288" w:before="0" w:after="180"/>
        <w:jc w:val="left"/>
        <w:rPr/>
      </w:pPr>
      <w:r>
        <w:rPr>
          <w:rFonts w:ascii="Arial;sans-serif" w:hAnsi="Arial;sans-serif"/>
          <w:b/>
          <w:i/>
          <w:color w:val="000000"/>
          <w:sz w:val="18"/>
        </w:rPr>
        <w:t>Secured Notes</w:t>
      </w:r>
      <w:r>
        <w:rPr>
          <w:rFonts w:ascii="Arial;sans-serif" w:hAnsi="Arial;sans-serif"/>
          <w:b w:val="false"/>
          <w:color w:val="000000"/>
          <w:sz w:val="18"/>
        </w:rPr>
        <w:t>. The 8.625% Senior Secured Notes, due 2030, issued by Talen Energy Supply.</w:t>
      </w:r>
    </w:p>
    <w:p>
      <w:pPr>
        <w:pStyle w:val="TextBody"/>
        <w:bidi w:val="0"/>
        <w:spacing w:lineRule="auto" w:line="288" w:before="0" w:after="180"/>
        <w:jc w:val="left"/>
        <w:rPr/>
      </w:pPr>
      <w:r>
        <w:rPr>
          <w:rFonts w:ascii="Arial;sans-serif" w:hAnsi="Arial;sans-serif"/>
          <w:b/>
          <w:i/>
          <w:color w:val="000000"/>
          <w:sz w:val="18"/>
        </w:rPr>
        <w:t>SRP.</w:t>
      </w:r>
      <w:r>
        <w:rPr>
          <w:color w:val="000000"/>
        </w:rPr>
        <w:t xml:space="preserve"> </w:t>
      </w:r>
      <w:r>
        <w:rPr>
          <w:rFonts w:ascii="Arial;sans-serif" w:hAnsi="Arial;sans-serif"/>
          <w:b w:val="false"/>
          <w:color w:val="000000"/>
          <w:sz w:val="18"/>
        </w:rPr>
        <w:t>The share repurchase program, under which the Board of Directors has authorized the Company to repurchase shares of TEC’s outstanding common stock.</w:t>
      </w:r>
    </w:p>
    <w:p>
      <w:pPr>
        <w:pStyle w:val="TextBody"/>
        <w:bidi w:val="0"/>
        <w:spacing w:lineRule="auto" w:line="288" w:before="0" w:after="180"/>
        <w:jc w:val="left"/>
        <w:rPr/>
      </w:pPr>
      <w:r>
        <w:rPr>
          <w:rFonts w:ascii="Arial;sans-serif" w:hAnsi="Arial;sans-serif"/>
          <w:b/>
          <w:i/>
          <w:color w:val="000000"/>
          <w:sz w:val="18"/>
        </w:rPr>
        <w:t>Subsidiary Guarantors.</w:t>
      </w:r>
      <w:r>
        <w:rPr>
          <w:color w:val="000000"/>
        </w:rPr>
        <w:t xml:space="preserve"> </w:t>
      </w:r>
      <w:r>
        <w:rPr>
          <w:rFonts w:ascii="Arial;sans-serif" w:hAnsi="Arial;sans-serif"/>
          <w:b w:val="false"/>
          <w:color w:val="000000"/>
          <w:sz w:val="18"/>
        </w:rPr>
        <w:t>The subsidiaries of TES that guarantee: (i) the obligations of TES under the Credit Facilities and the Secured Notes; and (ii) the obligations of Talen Energy Marketing under the Secured ISDAs.</w:t>
      </w:r>
    </w:p>
    <w:p>
      <w:pPr>
        <w:pStyle w:val="TextBody"/>
        <w:bidi w:val="0"/>
        <w:spacing w:lineRule="auto" w:line="288" w:before="0" w:after="180"/>
        <w:jc w:val="left"/>
        <w:rPr/>
      </w:pPr>
      <w:r>
        <w:rPr>
          <w:rFonts w:ascii="Arial;sans-serif" w:hAnsi="Arial;sans-serif"/>
          <w:b/>
          <w:i/>
          <w:color w:val="000000"/>
          <w:sz w:val="18"/>
        </w:rPr>
        <w:t>Successor.</w:t>
      </w:r>
      <w:r>
        <w:rPr>
          <w:color w:val="000000"/>
        </w:rPr>
        <w:t xml:space="preserve"> </w:t>
      </w:r>
      <w:r>
        <w:rPr>
          <w:rFonts w:ascii="Arial;sans-serif" w:hAnsi="Arial;sans-serif"/>
          <w:b w:val="false"/>
          <w:color w:val="000000"/>
          <w:sz w:val="18"/>
        </w:rPr>
        <w:t xml:space="preserve">Relates to the financial position or results of operations of Talen Energy Corporation for periods after Emergence, or May 18, 2023. </w:t>
      </w:r>
    </w:p>
    <w:p>
      <w:pPr>
        <w:pStyle w:val="TextBody"/>
        <w:bidi w:val="0"/>
        <w:spacing w:lineRule="auto" w:line="288" w:before="0" w:after="180"/>
        <w:jc w:val="left"/>
        <w:rPr/>
      </w:pPr>
      <w:r>
        <w:rPr>
          <w:rFonts w:ascii="Arial;sans-serif" w:hAnsi="Arial;sans-serif"/>
          <w:b/>
          <w:i/>
          <w:color w:val="000000"/>
          <w:sz w:val="18"/>
        </w:rPr>
        <w:t>Susquehanna.</w:t>
      </w:r>
      <w:r>
        <w:rPr>
          <w:color w:val="000000"/>
        </w:rPr>
        <w:t xml:space="preserve"> </w:t>
      </w:r>
      <w:r>
        <w:rPr>
          <w:rFonts w:ascii="Arial;sans-serif" w:hAnsi="Arial;sans-serif"/>
          <w:b w:val="false"/>
          <w:color w:val="000000"/>
          <w:sz w:val="18"/>
        </w:rPr>
        <w:t>A nuclear-powered generation facility located near Berwick, Pennsylvania. A subsidiary of Talen Energy Supply operates and owns a 90% undivided interest in Susquehanna.</w:t>
      </w:r>
    </w:p>
    <w:p>
      <w:pPr>
        <w:pStyle w:val="TextBody"/>
        <w:bidi w:val="0"/>
        <w:spacing w:lineRule="auto" w:line="288" w:before="0" w:after="180"/>
        <w:jc w:val="left"/>
        <w:rPr/>
      </w:pPr>
      <w:r>
        <w:rPr>
          <w:rFonts w:ascii="Arial;sans-serif" w:hAnsi="Arial;sans-serif"/>
          <w:b/>
          <w:i/>
          <w:color w:val="000000"/>
          <w:sz w:val="18"/>
        </w:rPr>
        <w:t>Talen (or the “Company,” “we,” “us,” or “our”).</w:t>
      </w:r>
      <w:r>
        <w:rPr>
          <w:color w:val="000000"/>
        </w:rPr>
        <w:t xml:space="preserve"> </w:t>
      </w:r>
      <w:r>
        <w:rPr>
          <w:rFonts w:ascii="Arial;sans-serif" w:hAnsi="Arial;sans-serif"/>
          <w:b w:val="false"/>
          <w:color w:val="000000"/>
          <w:sz w:val="18"/>
        </w:rPr>
        <w:t>(i) for periods after May 17, 2023, Talen Energy Corporation and its consolidated subsidiaries, unless the context clearly indicates otherwise; and (ii) for periods on or before May 17, 2023, Talen Energy Supply and its consolidated subsidiaries, unless the context clearly indicates otherwise.</w:t>
      </w:r>
    </w:p>
    <w:p>
      <w:pPr>
        <w:pStyle w:val="TextBody"/>
        <w:bidi w:val="0"/>
        <w:spacing w:lineRule="auto" w:line="288" w:before="0" w:after="180"/>
        <w:jc w:val="left"/>
        <w:rPr/>
      </w:pPr>
      <w:r>
        <w:rPr>
          <w:rFonts w:ascii="Arial;sans-serif" w:hAnsi="Arial;sans-serif"/>
          <w:b/>
          <w:i/>
          <w:color w:val="000000"/>
          <w:sz w:val="18"/>
        </w:rPr>
        <w:t>Talen Energy Corporation (or “TEC”).</w:t>
      </w:r>
      <w:r>
        <w:rPr>
          <w:color w:val="000000"/>
        </w:rPr>
        <w:t xml:space="preserve"> </w:t>
      </w:r>
      <w:r>
        <w:rPr>
          <w:rFonts w:ascii="Arial;sans-serif" w:hAnsi="Arial;sans-serif"/>
          <w:b w:val="false"/>
          <w:color w:val="000000"/>
          <w:sz w:val="18"/>
        </w:rPr>
        <w:t>Talen Energy Corporation, the parent company of Talen Energy Supply and its consolidated subsidiaries.</w:t>
      </w:r>
    </w:p>
    <w:p>
      <w:pPr>
        <w:pStyle w:val="TextBody"/>
        <w:bidi w:val="0"/>
        <w:spacing w:lineRule="auto" w:line="288" w:before="0" w:after="180"/>
        <w:jc w:val="left"/>
        <w:rPr/>
      </w:pPr>
      <w:r>
        <w:rPr>
          <w:rFonts w:ascii="Arial;sans-serif" w:hAnsi="Arial;sans-serif"/>
          <w:b/>
          <w:i/>
          <w:color w:val="000000"/>
          <w:sz w:val="18"/>
        </w:rPr>
        <w:t>Talen Energy Marketing.</w:t>
      </w:r>
      <w:r>
        <w:rPr>
          <w:color w:val="000000"/>
        </w:rPr>
        <w:t xml:space="preserve"> </w:t>
      </w:r>
      <w:r>
        <w:rPr>
          <w:rFonts w:ascii="Arial;sans-serif" w:hAnsi="Arial;sans-serif"/>
          <w:b w:val="false"/>
          <w:color w:val="000000"/>
          <w:sz w:val="18"/>
        </w:rPr>
        <w:t>Talen Energy Marketing, LLC, a direct subsidiary of Talen Energy Supply that provides energy management services to Talen-owned and operated generation facilities and engages in wholesale commodity marketing activities.</w:t>
      </w:r>
    </w:p>
    <w:p>
      <w:pPr>
        <w:pStyle w:val="TextBody"/>
        <w:bidi w:val="0"/>
        <w:spacing w:lineRule="auto" w:line="288" w:before="0" w:after="180"/>
        <w:jc w:val="left"/>
        <w:rPr/>
      </w:pPr>
      <w:r>
        <w:rPr>
          <w:rFonts w:ascii="Arial;sans-serif" w:hAnsi="Arial;sans-serif"/>
          <w:b/>
          <w:i/>
          <w:color w:val="000000"/>
          <w:sz w:val="18"/>
        </w:rPr>
        <w:t>Talen Energy Supply (or “TES”).</w:t>
      </w:r>
      <w:r>
        <w:rPr>
          <w:color w:val="000000"/>
        </w:rPr>
        <w:t xml:space="preserve"> </w:t>
      </w:r>
      <w:r>
        <w:rPr>
          <w:rFonts w:ascii="Arial;sans-serif" w:hAnsi="Arial;sans-serif"/>
          <w:b w:val="false"/>
          <w:color w:val="000000"/>
          <w:sz w:val="18"/>
        </w:rPr>
        <w:t>Talen Energy Supply, LLC, a direct subsidiary of Talen Energy Corporation that, thorough subsidiaries, indirectly holds all of Talen’s assets and operations.</w:t>
      </w:r>
    </w:p>
    <w:p>
      <w:pPr>
        <w:pStyle w:val="TextBody"/>
        <w:bidi w:val="0"/>
        <w:spacing w:lineRule="auto" w:line="288" w:before="0" w:after="180"/>
        <w:jc w:val="left"/>
        <w:rPr/>
      </w:pPr>
      <w:r>
        <w:rPr>
          <w:rFonts w:ascii="Arial;sans-serif" w:hAnsi="Arial;sans-serif"/>
          <w:b/>
          <w:i/>
          <w:color w:val="000000"/>
          <w:sz w:val="18"/>
        </w:rPr>
        <w:t>Talen Montana.</w:t>
      </w:r>
      <w:r>
        <w:rPr>
          <w:color w:val="000000"/>
        </w:rPr>
        <w:t xml:space="preserve"> </w:t>
      </w:r>
      <w:r>
        <w:rPr>
          <w:rFonts w:ascii="Arial;sans-serif" w:hAnsi="Arial;sans-serif"/>
          <w:b w:val="false"/>
          <w:color w:val="000000"/>
          <w:sz w:val="18"/>
        </w:rPr>
        <w:t>Talen Montana, LLC, a Talen subsidiary that operates Colstrip, owns an undivided interest in Colstrip Unit 3, and is party to a contractual economic sharing agreement for Colstrip Units 3 and 4.</w:t>
      </w:r>
    </w:p>
    <w:p>
      <w:pPr>
        <w:pStyle w:val="TextBody"/>
        <w:bidi w:val="0"/>
        <w:spacing w:lineRule="auto" w:line="288" w:before="0" w:after="180"/>
        <w:jc w:val="left"/>
        <w:rPr/>
      </w:pPr>
      <w:r>
        <w:rPr>
          <w:rFonts w:ascii="Arial;sans-serif" w:hAnsi="Arial;sans-serif"/>
          <w:b/>
          <w:i/>
          <w:color w:val="000000"/>
          <w:sz w:val="18"/>
        </w:rPr>
        <w:t>TeraWulf.</w:t>
      </w:r>
      <w:r>
        <w:rPr>
          <w:color w:val="000000"/>
        </w:rPr>
        <w:t xml:space="preserve"> </w:t>
      </w:r>
      <w:r>
        <w:rPr>
          <w:rFonts w:ascii="Arial;sans-serif" w:hAnsi="Arial;sans-serif"/>
          <w:b w:val="false"/>
          <w:color w:val="000000"/>
          <w:sz w:val="18"/>
        </w:rPr>
        <w:t>TeraWulf (Thales) LLC, a wholly owned subsidiary of TeraWulf Inc. and an unaffiliated third party.</w:t>
      </w:r>
    </w:p>
    <w:p>
      <w:pPr>
        <w:pStyle w:val="TextBody"/>
        <w:bidi w:val="0"/>
        <w:spacing w:lineRule="auto" w:line="288" w:before="0" w:after="180"/>
        <w:jc w:val="left"/>
        <w:rPr/>
      </w:pPr>
      <w:r>
        <w:rPr>
          <w:rFonts w:ascii="Arial;sans-serif" w:hAnsi="Arial;sans-serif"/>
          <w:b/>
          <w:i/>
          <w:color w:val="000000"/>
          <w:sz w:val="18"/>
        </w:rPr>
        <w:t>TERP.</w:t>
      </w:r>
      <w:r>
        <w:rPr>
          <w:color w:val="000000"/>
        </w:rPr>
        <w:t xml:space="preserve"> </w:t>
      </w:r>
      <w:r>
        <w:rPr>
          <w:rFonts w:ascii="Arial;sans-serif" w:hAnsi="Arial;sans-serif"/>
          <w:b w:val="false"/>
          <w:color w:val="000000"/>
          <w:sz w:val="18"/>
        </w:rPr>
        <w:t>The Talen Energy Retirement Plan, Talen’s principal defined-benefit pension plan.</w:t>
      </w:r>
    </w:p>
    <w:p>
      <w:pPr>
        <w:pStyle w:val="TextBody"/>
        <w:bidi w:val="0"/>
        <w:spacing w:lineRule="auto" w:line="288" w:before="0" w:after="180"/>
        <w:jc w:val="left"/>
        <w:rPr/>
      </w:pPr>
      <w:r>
        <w:rPr>
          <w:rFonts w:ascii="Arial;sans-serif" w:hAnsi="Arial;sans-serif"/>
          <w:b/>
          <w:i/>
          <w:color w:val="000000"/>
          <w:sz w:val="18"/>
        </w:rPr>
        <w:t>TLB-1.</w:t>
      </w:r>
      <w:r>
        <w:rPr>
          <w:color w:val="000000"/>
        </w:rPr>
        <w:t xml:space="preserve"> </w:t>
      </w:r>
      <w:r>
        <w:rPr>
          <w:rFonts w:ascii="Arial;sans-serif" w:hAnsi="Arial;sans-serif"/>
          <w:b w:val="false"/>
          <w:color w:val="000000"/>
          <w:sz w:val="18"/>
        </w:rPr>
        <w:t>The $580 million (subsequently increased to $870) million senior secured term loan B facility, due May 2030, under the Credit Agreement.</w:t>
      </w:r>
    </w:p>
    <w:p>
      <w:pPr>
        <w:pStyle w:val="TextBody"/>
        <w:bidi w:val="0"/>
        <w:spacing w:lineRule="auto" w:line="288" w:before="0" w:after="180"/>
        <w:jc w:val="left"/>
        <w:rPr/>
      </w:pPr>
      <w:r>
        <w:rPr>
          <w:rFonts w:ascii="Arial;sans-serif" w:hAnsi="Arial;sans-serif"/>
          <w:b/>
          <w:i/>
          <w:color w:val="000000"/>
          <w:sz w:val="18"/>
        </w:rPr>
        <w:t>TLB-2.</w:t>
      </w:r>
      <w:r>
        <w:rPr>
          <w:color w:val="000000"/>
        </w:rPr>
        <w:t xml:space="preserve"> </w:t>
      </w:r>
      <w:r>
        <w:rPr>
          <w:rFonts w:ascii="Arial;sans-serif" w:hAnsi="Arial;sans-serif"/>
          <w:b w:val="false"/>
          <w:color w:val="000000"/>
          <w:sz w:val="18"/>
        </w:rPr>
        <w:t>The $850 million senior secured term loan B facility, due December 2031, under the Credit Agreement.</w:t>
      </w:r>
    </w:p>
    <w:p>
      <w:pPr>
        <w:pStyle w:val="TextBody"/>
        <w:bidi w:val="0"/>
        <w:spacing w:lineRule="auto" w:line="288" w:before="0" w:after="180"/>
        <w:jc w:val="left"/>
        <w:rPr/>
      </w:pPr>
      <w:r>
        <w:rPr>
          <w:rFonts w:ascii="Arial;sans-serif" w:hAnsi="Arial;sans-serif"/>
          <w:b/>
          <w:i/>
          <w:color w:val="000000"/>
          <w:sz w:val="18"/>
        </w:rPr>
        <w:t>TLC.</w:t>
      </w:r>
      <w:r>
        <w:rPr>
          <w:color w:val="000000"/>
        </w:rPr>
        <w:t xml:space="preserve"> </w:t>
      </w:r>
      <w:r>
        <w:rPr>
          <w:rFonts w:ascii="Arial;sans-serif" w:hAnsi="Arial;sans-serif"/>
          <w:b w:val="false"/>
          <w:color w:val="000000"/>
          <w:sz w:val="18"/>
        </w:rPr>
        <w:t>The $470 million senior secured term loan C facility under the Credit Agreement, the proceeds of which were used to cash collateralize TLC LCF. The TLC was repaid in full and terminated in December 2024.</w:t>
      </w:r>
    </w:p>
    <w:p>
      <w:pPr>
        <w:pStyle w:val="TextBody"/>
        <w:bidi w:val="0"/>
        <w:spacing w:lineRule="auto" w:line="288" w:before="0" w:after="180"/>
        <w:jc w:val="left"/>
        <w:rPr/>
      </w:pPr>
      <w:r>
        <w:rPr>
          <w:rFonts w:ascii="Arial;sans-serif" w:hAnsi="Arial;sans-serif"/>
          <w:b/>
          <w:i/>
          <w:color w:val="000000"/>
          <w:sz w:val="18"/>
        </w:rPr>
        <w:t>TLC LCF.</w:t>
      </w:r>
      <w:r>
        <w:rPr>
          <w:color w:val="000000"/>
        </w:rPr>
        <w:t xml:space="preserve"> </w:t>
      </w:r>
      <w:r>
        <w:rPr>
          <w:rFonts w:ascii="Arial;sans-serif" w:hAnsi="Arial;sans-serif"/>
          <w:b w:val="false"/>
          <w:color w:val="000000"/>
          <w:sz w:val="18"/>
        </w:rPr>
        <w:t>The $470 million cash collateralized LC facility under the Credit Agreement. The TLC LCF was terminated in December 2024.</w:t>
      </w:r>
    </w:p>
    <w:p>
      <w:pPr>
        <w:pStyle w:val="TextBody"/>
        <w:bidi w:val="0"/>
        <w:spacing w:lineRule="auto" w:line="288" w:before="0" w:after="180"/>
        <w:jc w:val="left"/>
        <w:rPr/>
      </w:pPr>
      <w:r>
        <w:rPr>
          <w:rFonts w:ascii="Arial;sans-serif" w:hAnsi="Arial;sans-serif"/>
          <w:b/>
          <w:i/>
          <w:color w:val="000000"/>
          <w:sz w:val="18"/>
        </w:rPr>
        <w:t>WECC.</w:t>
      </w:r>
      <w:r>
        <w:rPr>
          <w:color w:val="000000"/>
        </w:rPr>
        <w:t xml:space="preserve"> </w:t>
      </w:r>
      <w:r>
        <w:rPr>
          <w:rFonts w:ascii="Arial;sans-serif" w:hAnsi="Arial;sans-serif"/>
          <w:b w:val="false"/>
          <w:color w:val="000000"/>
          <w:sz w:val="18"/>
        </w:rPr>
        <w:t>The Western Electricity Coordinating Council, a non-profit corporation that assures a reliable and secure bulk electric system in the Western Interconnection, covering all or parts of Montana, 13 other U.S. States, Canada, and Mexico.</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23"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119</w:t>
                      </w:r>
                    </w:p>
                  </w:txbxContent>
                </v:textbox>
                <w10:wrap type="none"/>
              </v:rect>
            </w:pict>
          </mc:Fallback>
        </mc:AlternateContent>
      </w:r>
    </w:p>
    <w:p>
      <w:pPr>
        <w:pStyle w:val="TextBody"/>
        <w:bidi w:val="0"/>
        <w:spacing w:lineRule="auto" w:line="288" w:before="0" w:after="180"/>
        <w:jc w:val="left"/>
        <w:rPr/>
      </w:pPr>
      <w:hyperlink w:anchor="if20e1f3d5a734e3eabbb6aa8f57c7562_23089744189580">
        <w:r>
          <w:rPr>
            <w:rStyle w:val="InternetLink"/>
          </w:rPr>
          <w:t>Form 10-</w:t>
        </w:r>
      </w:hyperlink>
      <w:hyperlink w:anchor="if20e1f3d5a734e3eabbb6aa8f57c7562_23089744189580">
        <w:r>
          <w:rPr>
            <w:rStyle w:val="InternetLink"/>
          </w:rPr>
          <w:t>K Table of Contents</w:t>
        </w:r>
      </w:hyperlink>
    </w:p>
    <w:p>
      <w:pPr>
        <w:pStyle w:val="TextBody"/>
        <w:bidi w:val="0"/>
        <w:spacing w:lineRule="auto" w:line="288" w:before="0" w:after="180"/>
        <w:jc w:val="center"/>
        <w:rPr>
          <w:rFonts w:ascii="Arial;sans-serif" w:hAnsi="Arial;sans-serif"/>
          <w:b/>
          <w:color w:val="000000"/>
          <w:sz w:val="18"/>
        </w:rPr>
      </w:pPr>
      <w:bookmarkStart w:id="9" w:name="iba4783cda89847ebb0ba13ce4a04ebf7_611"/>
      <w:bookmarkEnd w:id="9"/>
      <w:r>
        <w:rPr>
          <w:rFonts w:ascii="Arial;sans-serif" w:hAnsi="Arial;sans-serif"/>
          <w:b/>
          <w:color w:val="000000"/>
          <w:sz w:val="18"/>
        </w:rPr>
        <w:t>SIGNATURES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 on February 27, 2025.</w:t>
      </w:r>
    </w:p>
    <w:tbl>
      <w:tblPr>
        <w:tblW w:w="4197" w:type="dxa"/>
        <w:jc w:val="right"/>
        <w:tblInd w:w="0" w:type="dxa"/>
        <w:tblLayout w:type="fixed"/>
        <w:tblCellMar>
          <w:top w:w="28" w:type="dxa"/>
          <w:left w:w="28" w:type="dxa"/>
          <w:bottom w:w="28" w:type="dxa"/>
          <w:right w:w="28" w:type="dxa"/>
        </w:tblCellMar>
      </w:tblPr>
      <w:tblGrid>
        <w:gridCol w:w="478"/>
        <w:gridCol w:w="420"/>
        <w:gridCol w:w="420"/>
        <w:gridCol w:w="838"/>
        <w:gridCol w:w="838"/>
        <w:gridCol w:w="1203"/>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41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TALEN ENERGY CORPORATION</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 Mark A. McFarland</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McFarland</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bl>
    <w:p>
      <w:pPr>
        <w:pStyle w:val="TextBody"/>
        <w:bidi w:val="0"/>
        <w:spacing w:lineRule="auto" w:line="288" w:before="0" w:after="180"/>
        <w:ind w:left="0" w:right="0" w:hanging="360"/>
        <w:jc w:val="center"/>
        <w:rPr>
          <w:rFonts w:ascii="Arial;sans-serif" w:hAnsi="Arial;sans-serif"/>
          <w:b/>
          <w:color w:val="000000"/>
          <w:sz w:val="18"/>
        </w:rPr>
      </w:pPr>
      <w:r>
        <w:rPr>
          <w:rFonts w:ascii="Arial;sans-serif" w:hAnsi="Arial;sans-serif"/>
          <w:b/>
          <w:color w:val="000000"/>
          <w:sz w:val="18"/>
        </w:rPr>
        <w:t>POWER OF ATTORNEY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KNOW ALL BY THESE PRESENTS, that each person whose signature appears below hereby constitutes and appoints Mark A. McFarland and Terry L. Nutt and each of them, as his or her true and lawful agents, proxies, and attorneys-in-fact, with full power of substitution and re-substitution, for him or her and in his or her name, place, and stead, in any and all capacities, to act on, sign, and file with the Securities and Exchange Commission any and all documents relating to this Report, including any amendments, exhibits, and supplements hereto and other documents in connection herewith or therewith, granting to each of them full power and authority to take any and all actions which may be necessary or appropriate to be done, as fully for all intents and purposes as he might or could do in person, hereby approving, ratifying and confirming that each that such agent, proxy, and attorney-in-fact or any of his substitutes may lawfully do or cause to be done by virtue hereof.</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by the following persons on behalf of the registrant and in the capacities indicated on February 27, 2025.</w:t>
      </w:r>
    </w:p>
    <w:tbl>
      <w:tblPr>
        <w:tblW w:w="8682" w:type="dxa"/>
        <w:jc w:val="left"/>
        <w:tblInd w:w="0" w:type="dxa"/>
        <w:tblLayout w:type="fixed"/>
        <w:tblCellMar>
          <w:top w:w="28" w:type="dxa"/>
          <w:left w:w="28" w:type="dxa"/>
          <w:bottom w:w="28" w:type="dxa"/>
          <w:right w:w="28" w:type="dxa"/>
        </w:tblCellMar>
      </w:tblPr>
      <w:tblGrid>
        <w:gridCol w:w="966"/>
        <w:gridCol w:w="847"/>
        <w:gridCol w:w="857"/>
        <w:gridCol w:w="109"/>
        <w:gridCol w:w="109"/>
        <w:gridCol w:w="109"/>
        <w:gridCol w:w="1662"/>
        <w:gridCol w:w="1662"/>
        <w:gridCol w:w="2361"/>
      </w:tblGrid>
      <w:tr>
        <w:trPr/>
        <w:tc>
          <w:tcPr>
            <w:tcW w:w="9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Mark A. McFarland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President, Chief Executive Officer, and Director (Principal Executive Officer)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 A. McFarland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Terry L. Nutt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Chief Financial Officer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(Principal Financial Officer) </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Terry L. Nutt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Tony Plagens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Chief Accounting Officer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Accounting Officer)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Tony Plagens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Stephen Schaefer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Chairperson of the Board and 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Stephen Schaefer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Gizman Abbas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Gizman Abbas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Anthony Horton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Anthony Horton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Karen Hyde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Karen Hyde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Joseph Nigro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Joseph Nigro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Christine Benson Schwartzstein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Christine Benson Schwartzstein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4.1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4"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9.9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120</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DESCRIPTION OF CAPITAL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General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is a summary of the rights of our capital stock and certain provisions of our Third Amended and Restated Certificate of Incorporation (the “Charter”), Second Amended and Restated Bylaws (the “Bylaws”), Registration Rights Agreement (as defined below), Stockholders Agreement (as defined below), and relevant provisions of the Delaware General Corporation Law (the “DGCL”). While we believe the following description covers the material terms of our capital stock, it may not contain all information that is important to investors. The following description is not complete and is subject, and qualified in its entirety by reference, to the Charter, Bylaws, Registration Rights Agreement, and Stockholders Agreement, copies of which have been filed as exhibits to our Annual Report on Form 10-K, as well as the relevant provisions of the DGCL. Investors are urged to read the Charter, Bylaws, Registration Rights Agreement, and Stockholders Agreement in their entirety.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used in this Description of Capital Stock, unless otherwise expressly stated or the context otherwise requires, the terms “we,” “our,” and “us” refer to Talen Energy Corporation and not to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Authorized Capital Stock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Charter authorizes us to issue up to 400,000,000 shares of capital stock, consisting of (i) 350,000,000 shares of our common stock, par value $0.001 per share (our “common stock”), and (ii) 50,000,000 shares of preferred stock, par value $0.01 per share (our “preferred stock”). As of February 27, 2025, there were 45,961,910 shares of our common stock outstanding held by three stockholders of record, and no shares of preferred stock were issued and outstanding. Pursuant to our Charter, our Board of Directors (the “Board”) has the authority, without stockholder approval, except as required by the listing standards of the Nasdaq Global Select Market (“Nasdaq”), to issue additional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Common Stock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All issued and outstanding shares of our common stock are duly authorized, validly issued, fully paid, and non-assessable. All authorized but unissued shares of our common stock are available for issuance by our Board without any further stockholder action, except as required by the listing standards of Nasdaq.</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rights, preferences, and privileges of holders of common stock are subject to and may be adversely affected by the rights of the holders of shares of any series of preferred stock that we may designate and issue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Voting Rights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All shares of our common stock have identical rights and privileges. Holders of our common stock are entitled to vote on all matters submitted to a vote of our stockholders, including the election of directors. On all matters to be voted on by the holders of our common stock, the holders will be entitled to one vote for each share of our common stock held of record and will have no cumulative voting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Dividend Rights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Subject to limitations under applicable Delaware law, preferences that may apply to any outstanding shares of our preferred stock, and/or contractual restrictions, holders of our common stock are entitled to receive dividends or other distributions ratably, when, as, and if declared by our Board. The ability of our Board to declare dividends with respect to our common stock, however, will be subject to such limitations, preferences, and restrictions and the availability of sufficient funds under the DGCL to pay such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Right to Receive Liquidation Distributions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event of our voluntary or involuntary liquidation, dissolution, or winding up, after payment or provision for payment of our then-existing debts and other liabilities, and subject to the rights of the holders of preferred stock in respect thereof, our remaining assets will be distributed ratably to the holders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Other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Holders of our common stock do not have preemptive, subscription, redemption, or conversion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5" name="Frame1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Registration Rights Agreement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party to a Registration Rights Agreement, dated as of May 17, 2023 (the “Registration Rights Agreement”), with certain holders of our common stock (the “Registration Rights Holders”) that, among other things, grants the Registration Rights Holders and certain of their permitted transferees customary registration rights on Registrable Securities (as defined below), including customary demand offering, shelf registration, and piggyback rights. Registrable Securities include shares of our common stock initially issued to a Registration Rights Holder until such time as such shares (i) have been registered and disposed of pursuant to an effective registration statement under Securities Act of 1933, as amended (the “Securities Act”); (ii) have been sold in applicable transactions under Rule 144 or Rule 145 under the Securities Act and the transferee thereof reasonably notifies us that it did not receive “restricted securities” as defined in Rule 144; (iii) are no longer held by a Registration Rights Holder representing at least 3% of the aggregate voting power of our common stock; or (iv) cease to be outstanding. The Registration Rights Agreement will terminate (i) as to any Registration Rights Holder, when it no longer holds any Registrable Securities and (ii) at such time as there are no Registrable Securities held by any Registration Rights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Stockholders Agreement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party to a Stockholders Agreement, dated as of May 17, 2023 (the “Stockholders Agreement”), with certain holders of our common stock (the “Applicable Holders”) that, among other things, grants the Applicable Holders certain limited information rights, drag-along rights, and tag-along rights. Previously, the Stockholders Agreement also gave certain Applicable Holders rights to require us to pursue an initial public offering and consent to certain key elements of its structure, but those rights ceased to apply when such Applicable Holders ceased to collectively own at least 20% of our outstanding common stock. The Stockholders Agreement will terminate automatically upon the effectiveness of a registration statement in connection with an underwritten public offering of our common stock. The Stockholders Agreement can also be terminated upon the written consent of us and Applicable Holders beneficially owning at least two-thirds of our outstanding common stock; provided that the Stockholders Agreement may not be terminated with respect to any Applicable Holder without such Applicable Holder’s consent if such termination would adversely affect such Applicable 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Anti-Takeover Effects of Delaware Law and Our Charter and Bylaws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Some provisions of Delaware law and our Charter and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Preferred Stock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Subject to limitations under applicable Delaware law, our Board has the authority, without further action by our stockholders, to issue up to 50,000,000 shares of preferred stock with rights and preferences, including voting rights, designated from time to time by our Board. The existence of authorized but unissued shares of preferred stock enables our Board to discourage or render more difficult an attempt to obtain control of us by means of a merger, tender offer, proxy contest, or other means.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Removal of Directors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Charter provides that members of our Board may be removed from office, with or without cause, by an affirmative vote of the holders of at least a majority of the outstanding shares of our capital stock entitled to vote thereon.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Section 203 of the DGCL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our Charter, we have elected not to be governed by Section 203 of the DGCL (“Section 203”), as permitted under and pursuant to subsection (b)(3) of Section 203. Section 203 prohibits a publicly held Delaware corporation from engaging in a business combination, such as a merger, with a person or group owning 15% or more of the corporation’s outstanding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currently not subject to any anti-takeover effects of Section 203, although no assurance can be given that we will not elect to be governed by Section 203 of the DGCL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6" name="Frame1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Board Vacancies and Board Size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Charter and Bylaws provide that any vacant directorships, including newly created directorships, may only be filled by a majority of the directors then in office, even if less than a quorum, or by a sole remaining director. The number of directors constituting the full Board is set by a resolution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Special Stockholder Meetings</w:t>
      </w:r>
    </w:p>
    <w:p>
      <w:pPr>
        <w:pStyle w:val="TextBody"/>
        <w:bidi w:val="0"/>
        <w:spacing w:lineRule="auto" w:line="288" w:before="0" w:after="180"/>
        <w:jc w:val="left"/>
        <w:rPr/>
      </w:pPr>
      <w:r>
        <w:rPr>
          <w:rFonts w:ascii="Arial;sans-serif" w:hAnsi="Arial;sans-serif"/>
          <w:b w:val="false"/>
          <w:color w:val="000000"/>
          <w:sz w:val="18"/>
        </w:rPr>
        <w:t>Except as required by the DGCL or the terms of any class or series of preferred stock issued in the future, special meetings of our stockholders may be called only by (a) the Chair of the Board, (b) the Board pursuant to a resolution adopted by a majority of a quorum of the Board, or (c) the Board upon the delivery of a written request complying with the procedures outlined in our Bylaws by the holders of at least 15% of the voting power of the then outstanding shares of capital stock entitled to vote on the matters to be submitted to stockholders at such meeting.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Requirements for Advance Notification of Stockholder Nominations and Proposals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Stockholders must provide timely notice when seeking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bring business before an annual meeting of stockholders;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bring business before a special meeting of stockholders (if contemplated and permitted by the notice of a special meeting); or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nominate candidates for election to the Board at an annual meeting of stockholders or at a special meeting of stockholders called for the purpose of electing one or more directors to the Board.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To be timely, a stockholder’s notice generally must be received by our Corporate Secretary at our principal executive offices: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in the case of an annual meeting: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not later than the close of business on the 90th day nor earlier than the close of business on the 120th day prior to the first anniversary of the date of the immediately preceding year’s annual meeting, or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if the annual meeting is called for a date that is more than 30 days before or more than 60 days after the first anniversary of the date of the immediately preceding year’s annual meeting, or if no annual meeting was held in the immediately preceding year, not earlier than the opening of business on the 120th day prior to such annual meeting and not later than the earlier of (A) the close of business on the later of the 90th day prior to the annual meeting and (B) the 10th day following the day on which we first make public announcement of the date of the annual meeting; or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in the case of a special meeting, not earlier than the opening of business on the 120th day and not later than the close of business on the later of the 90th day prior to the special meeting and the 10th day following the day on which public announcement is first made of the date of the special meeting and the nominees proposed by the Board.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Charter and Bylaws also specify requirements as to the form and content of a stockholder’s notice. These provisions may preclude stockholders from bringing matters before or proposing director nominees to an annual meeting or a special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Stockholders Not Entitled to Cumulative Voting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DGCL provides that stockholders are not entitled to cumulate votes in the election of directors unless a corporation’s certificate of incorporation provides otherwise. Our Charter does not provide for cumulative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Amendment of Bylaws Provision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Bylaws may be amended, altered, or repealed, or new bylaws made, by vote of (a) a majority of the directors present at a meeting at which a quorum of the Board is present or (b) the holders of a majority of the voting power of all outstanding shares of our capital stock entitled to thereon, voting together as a single class.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Exclusive Forum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Charter provides that, unless we consent to the selection of an alternative forum, the sole and exclusive forum for: (a) any derivative action or proceeding brought on our behalf; (b) any action asserting a claim of breach of a fiduciary duty owed by any of our current or former directors, officers, other employees, or stockholders to us or to our stockholders; (c) any action asserting a claim arising pursuant to the DGCL, our Charter, or our Bylaws, or as to which the DGCL confers jurisdiction on the Court of Chancery of the State of Delaware; or (d) any action asserting a claim governed by the internal affairs doctrine shall be the Court of Chancery of the State of Delaware (or, if the Court of Chancery does not have, or declines to accept, jurisdiction, another state or federal court located within the State of Delaware that does have jurisdiction).</w:t>
      </w:r>
    </w:p>
    <w:p>
      <w:pPr>
        <w:pStyle w:val="TextBody"/>
        <w:bidi w:val="0"/>
        <w:spacing w:before="0" w:after="18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7" name="Frame1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Charter further provides that, unless we consent in writing to the selection of an alternative forum, the federal district courts of the United States of America are the sole and exclusive forum for the resolution of any complaint asserting a cause of action arising under the Securities Act against us or any of our directors or officers, except to the extent such jurisdiction is contrary to law.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 Additionally, we cannot be certain that a court will decide that these provisions are either applicable or enforceable, and if a court were to find the choice of forum provisions contained in our Charter to be inapplicable or unenforceable in an action, we may incur additional costs associated with resolving such action in other jurisdictions, which could harm our business, operating results, and financial condition.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Section 27 of the Securities Exchange Act of 1934, as amended (the “Exchange Act”) creates exclusive federal jurisdiction over all suits brought to enforce any duty or liability created by the Exchange Act or the rules and regulations thereunder. As a result, the exclusive forum provision in our Charter will not apply to suits brought to enforce any duty or liability created by the Exchange Act or any other claim for which the federal courts have exclusive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Transfer Restrictions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Due to regulatory authorization requirements imposed by federal law and implemented by the Federal Energy Regulatory Commission, our Charter requires prior written consent of our Board in any case where an acquisition or other transfer of voting securities would cause the holdings of the transferee, together with those of its “affiliates” (as such term is defined in 18 C.F.R. §35.36(a)(9)), directly or indirectly, to either (i) equal or exceed 10% of our outstanding voting securities or (ii) equal or exceed 10% of the outstanding voting securities in any public utility subsidiary of ours, after accounting for both our voting securities and the voting securities of the public utility subsidiary held other than indirectly as a result of holding our voting securities. This restriction also applies to the ability of any existing 10% holder to acquire additional shares of our common stock, but does not apply to certain secondary market purchases or sales of our common stock made by third-party investors on Nasdaq that are outside of our control, do not directly involve us, and are made without prior notice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Authorized but Unissued Shares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Delaware law does not require stockholder approval for any issuance of authorized shares. Pursuant to our Charter, our Board has the authority, without stockholder approval, except as required by the listing standards of Nasdaq, to issue authorized but unissued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Limitations on Liability and Indemnification of Directors and Officers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permitted by Section 145 of the DGCL, our Bylaws provide that: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we shall indemnify our directors and executive officers to the fullest extent permitted by the DGCL, subject to limited exceptions, and that we may indemnify other officers, employees, or agents;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we shall advance expenses to our directors and executive officers in connection with a legal proceeding to the fullest extent permitted by the DGCL, subject to limited exceptions;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rights provided in our Bylaws are not exclusive.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Transfer Agent and Registrar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transfer agent and registrar for our common stock is Equiniti Trust Company, LLC. The transfer agent and registrar’s address is 48 Wall Street, Floor 23, New York, New York 10005.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Exchange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common stock is currently listed on Nasdaq under the symbol “TLN.”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4.7</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28" name="Frame1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3.1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SUPPLEMENTAL INDENTURE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THIS THIRD SUPPLEMENTAL INDENTURE (this “</w:t>
      </w:r>
      <w:r>
        <w:rPr>
          <w:rFonts w:ascii="Times New Roman;sans-serif" w:hAnsi="Times New Roman;sans-serif"/>
          <w:b w:val="false"/>
          <w:i/>
          <w:color w:val="000000"/>
          <w:sz w:val="22"/>
        </w:rPr>
        <w:t>Supplemental Indenture</w:t>
      </w:r>
      <w:r>
        <w:rPr>
          <w:color w:val="000000"/>
        </w:rPr>
        <w:t>”</w:t>
      </w:r>
      <w:r>
        <w:rPr>
          <w:rFonts w:ascii="Times New Roman;sans-serif" w:hAnsi="Times New Roman;sans-serif"/>
          <w:b w:val="false"/>
          <w:color w:val="000000"/>
          <w:sz w:val="22"/>
        </w:rPr>
        <w:t xml:space="preserve">), dated as of July 22, 2024, among the subsidiary guarantor listed on </w:t>
      </w:r>
      <w:r>
        <w:rPr>
          <w:rFonts w:ascii="Times New Roman;sans-serif" w:hAnsi="Times New Roman;sans-serif"/>
          <w:b w:val="false"/>
          <w:color w:val="000000"/>
          <w:sz w:val="22"/>
          <w:u w:val="single"/>
        </w:rPr>
        <w:t>Schedule I</w:t>
      </w:r>
      <w:r>
        <w:rPr>
          <w:color w:val="000000"/>
        </w:rPr>
        <w:t xml:space="preserve"> </w:t>
      </w:r>
      <w:r>
        <w:rPr>
          <w:rFonts w:ascii="Times New Roman;sans-serif" w:hAnsi="Times New Roman;sans-serif"/>
          <w:b w:val="false"/>
          <w:color w:val="000000"/>
          <w:sz w:val="22"/>
        </w:rPr>
        <w:t>hereto (the “</w:t>
      </w:r>
      <w:r>
        <w:rPr>
          <w:rFonts w:ascii="Times New Roman;sans-serif" w:hAnsi="Times New Roman;sans-serif"/>
          <w:b w:val="false"/>
          <w:i/>
          <w:color w:val="000000"/>
          <w:sz w:val="22"/>
        </w:rPr>
        <w:t>Guaranteeing Subsidiary</w:t>
      </w:r>
      <w:r>
        <w:rPr>
          <w:color w:val="000000"/>
        </w:rPr>
        <w:t>”</w:t>
      </w:r>
      <w:r>
        <w:rPr>
          <w:rFonts w:ascii="Times New Roman;sans-serif" w:hAnsi="Times New Roman;sans-serif"/>
          <w:b w:val="false"/>
          <w:color w:val="000000"/>
          <w:sz w:val="22"/>
        </w:rPr>
        <w:t>), Talen Energy Supply, LLC, a Delaware limited liability company (the “</w:t>
      </w:r>
      <w:r>
        <w:rPr>
          <w:rFonts w:ascii="Times New Roman;sans-serif" w:hAnsi="Times New Roman;sans-serif"/>
          <w:b w:val="false"/>
          <w:i/>
          <w:color w:val="000000"/>
          <w:sz w:val="22"/>
        </w:rPr>
        <w:t>Issuer</w:t>
      </w:r>
      <w:r>
        <w:rPr>
          <w:color w:val="000000"/>
        </w:rPr>
        <w:t>”</w:t>
      </w:r>
      <w:r>
        <w:rPr>
          <w:rFonts w:ascii="Times New Roman;sans-serif" w:hAnsi="Times New Roman;sans-serif"/>
          <w:b w:val="false"/>
          <w:color w:val="000000"/>
          <w:sz w:val="22"/>
        </w:rPr>
        <w:t>), and Wilmington Savings Fund Society, FSB, as trustee under the Indenture (the “</w:t>
      </w:r>
      <w:r>
        <w:rPr>
          <w:rFonts w:ascii="Times New Roman;sans-serif" w:hAnsi="Times New Roman;sans-serif"/>
          <w:b w:val="false"/>
          <w:i/>
          <w:color w:val="000000"/>
          <w:sz w:val="22"/>
        </w:rPr>
        <w:t>Trustee</w:t>
      </w:r>
      <w:r>
        <w:rPr>
          <w:color w:val="000000"/>
        </w:rPr>
        <w:t>”</w:t>
      </w:r>
      <w:r>
        <w:rPr>
          <w:rFonts w:ascii="Times New Roman;sans-serif" w:hAnsi="Times New Roman;sans-serif"/>
          <w:b w:val="false"/>
          <w:color w:val="000000"/>
          <w:sz w:val="22"/>
        </w:rPr>
        <w:t>).</w:t>
      </w:r>
    </w:p>
    <w:p>
      <w:pPr>
        <w:pStyle w:val="TextBody"/>
        <w:bidi w:val="0"/>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WHEREAS, the Issuer has heretofore executed and delivered to the Trustee (i) the indenture, dated as of May 12, 2023 (the “</w:t>
      </w:r>
      <w:r>
        <w:rPr>
          <w:rFonts w:ascii="Times New Roman;sans-serif" w:hAnsi="Times New Roman;sans-serif"/>
          <w:b w:val="false"/>
          <w:i/>
          <w:color w:val="000000"/>
          <w:sz w:val="22"/>
        </w:rPr>
        <w:t>Original</w:t>
      </w:r>
      <w:r>
        <w:rPr>
          <w:color w:val="000000"/>
        </w:rPr>
        <w:t xml:space="preserve"> </w:t>
      </w:r>
      <w:r>
        <w:rPr>
          <w:rFonts w:ascii="Times New Roman;sans-serif" w:hAnsi="Times New Roman;sans-serif"/>
          <w:b w:val="false"/>
          <w:i/>
          <w:color w:val="000000"/>
          <w:sz w:val="22"/>
        </w:rPr>
        <w:t>Indenture</w:t>
      </w:r>
      <w:r>
        <w:rPr>
          <w:color w:val="000000"/>
        </w:rPr>
        <w:t>”</w:t>
      </w:r>
      <w:r>
        <w:rPr>
          <w:rFonts w:ascii="Times New Roman;sans-serif" w:hAnsi="Times New Roman;sans-serif"/>
          <w:b w:val="false"/>
          <w:color w:val="000000"/>
          <w:sz w:val="22"/>
        </w:rPr>
        <w:t>), between the Issuer and the Trustee, providing for the original issuance of an aggregate principal amount of $1,200,000,000 of 8.625% Senior Secured Notes due 2030 (the “</w:t>
      </w:r>
      <w:r>
        <w:rPr>
          <w:rFonts w:ascii="Times New Roman;sans-serif" w:hAnsi="Times New Roman;sans-serif"/>
          <w:b w:val="false"/>
          <w:i/>
          <w:color w:val="000000"/>
          <w:sz w:val="22"/>
        </w:rPr>
        <w:t>Initial Notes</w:t>
      </w:r>
      <w:r>
        <w:rPr>
          <w:color w:val="000000"/>
        </w:rPr>
        <w:t>”</w:t>
      </w:r>
      <w:r>
        <w:rPr>
          <w:rFonts w:ascii="Times New Roman;sans-serif" w:hAnsi="Times New Roman;sans-serif"/>
          <w:b w:val="false"/>
          <w:color w:val="000000"/>
          <w:sz w:val="22"/>
        </w:rPr>
        <w:t>) and, subject to the terms of the Indenture, future issuances of 8.625% Senior Secured Notes due 2030 (each such issuance, the “</w:t>
      </w:r>
      <w:r>
        <w:rPr>
          <w:rFonts w:ascii="Times New Roman;sans-serif" w:hAnsi="Times New Roman;sans-serif"/>
          <w:b w:val="false"/>
          <w:i/>
          <w:color w:val="000000"/>
          <w:sz w:val="22"/>
        </w:rPr>
        <w:t>Additional Notes</w:t>
      </w:r>
      <w:r>
        <w:rPr>
          <w:rFonts w:ascii="Times New Roman;sans-serif" w:hAnsi="Times New Roman;sans-serif"/>
          <w:b w:val="false"/>
          <w:color w:val="000000"/>
          <w:sz w:val="22"/>
        </w:rPr>
        <w:t>,” and together with the Initial Notes, the “</w:t>
      </w:r>
      <w:r>
        <w:rPr>
          <w:rFonts w:ascii="Times New Roman;sans-serif" w:hAnsi="Times New Roman;sans-serif"/>
          <w:b w:val="false"/>
          <w:i/>
          <w:color w:val="000000"/>
          <w:sz w:val="22"/>
        </w:rPr>
        <w:t>Notes</w:t>
      </w:r>
      <w:r>
        <w:rPr>
          <w:color w:val="000000"/>
        </w:rPr>
        <w:t>”</w:t>
      </w:r>
      <w:r>
        <w:rPr>
          <w:rFonts w:ascii="Times New Roman;sans-serif" w:hAnsi="Times New Roman;sans-serif"/>
          <w:b w:val="false"/>
          <w:color w:val="000000"/>
          <w:sz w:val="22"/>
        </w:rPr>
        <w:t xml:space="preserve">), (ii) a supplemental indenture to the Original Indenture, among the Issuer, the existing Subsidiary Guarantors listed on </w:t>
      </w:r>
      <w:r>
        <w:rPr>
          <w:rFonts w:ascii="Times New Roman;sans-serif" w:hAnsi="Times New Roman;sans-serif"/>
          <w:b w:val="false"/>
          <w:color w:val="000000"/>
          <w:sz w:val="22"/>
          <w:u w:val="single"/>
        </w:rPr>
        <w:t>Schedule II.A.</w:t>
      </w:r>
      <w:r>
        <w:rPr>
          <w:color w:val="000000"/>
        </w:rPr>
        <w:t xml:space="preserve"> </w:t>
      </w:r>
      <w:r>
        <w:rPr>
          <w:rFonts w:ascii="Times New Roman;sans-serif" w:hAnsi="Times New Roman;sans-serif"/>
          <w:b w:val="false"/>
          <w:color w:val="000000"/>
          <w:sz w:val="22"/>
        </w:rPr>
        <w:t>hereto and the Trustee (the “</w:t>
      </w:r>
      <w:r>
        <w:rPr>
          <w:rFonts w:ascii="Times New Roman;sans-serif" w:hAnsi="Times New Roman;sans-serif"/>
          <w:b w:val="false"/>
          <w:i/>
          <w:color w:val="000000"/>
          <w:sz w:val="22"/>
        </w:rPr>
        <w:t>First Supplemental Indenture</w:t>
      </w:r>
      <w:r>
        <w:rPr>
          <w:color w:val="000000"/>
        </w:rPr>
        <w:t>”</w:t>
      </w:r>
      <w:r>
        <w:rPr>
          <w:rFonts w:ascii="Times New Roman;sans-serif" w:hAnsi="Times New Roman;sans-serif"/>
          <w:b w:val="false"/>
          <w:color w:val="000000"/>
          <w:sz w:val="22"/>
        </w:rPr>
        <w:t xml:space="preserve">) and (iii) a supplemental indenture to the Original Indenture, among the Issuer, the existing Subsidiary Guarantors listed on </w:t>
      </w:r>
      <w:r>
        <w:rPr>
          <w:rFonts w:ascii="Times New Roman;sans-serif" w:hAnsi="Times New Roman;sans-serif"/>
          <w:b w:val="false"/>
          <w:color w:val="000000"/>
          <w:sz w:val="22"/>
          <w:u w:val="single"/>
        </w:rPr>
        <w:t>Schedule II.B.</w:t>
      </w:r>
      <w:r>
        <w:rPr>
          <w:color w:val="000000"/>
        </w:rPr>
        <w:t xml:space="preserve"> </w:t>
      </w:r>
      <w:r>
        <w:rPr>
          <w:rFonts w:ascii="Times New Roman;sans-serif" w:hAnsi="Times New Roman;sans-serif"/>
          <w:b w:val="false"/>
          <w:color w:val="000000"/>
          <w:sz w:val="22"/>
        </w:rPr>
        <w:t>hereto and the Trustee (the “</w:t>
      </w:r>
      <w:r>
        <w:rPr>
          <w:rFonts w:ascii="Times New Roman;sans-serif" w:hAnsi="Times New Roman;sans-serif"/>
          <w:b w:val="false"/>
          <w:i/>
          <w:color w:val="000000"/>
          <w:sz w:val="22"/>
        </w:rPr>
        <w:t>Second Supplemental Indenture</w:t>
      </w:r>
      <w:r>
        <w:rPr>
          <w:color w:val="000000"/>
        </w:rPr>
        <w:t xml:space="preserve">” </w:t>
      </w:r>
      <w:r>
        <w:rPr>
          <w:rFonts w:ascii="Times New Roman;sans-serif" w:hAnsi="Times New Roman;sans-serif"/>
          <w:b w:val="false"/>
          <w:color w:val="000000"/>
          <w:sz w:val="22"/>
        </w:rPr>
        <w:t>and, together with the Original Indenture and the First Supplemental Indenture, the “</w:t>
      </w:r>
      <w:r>
        <w:rPr>
          <w:rFonts w:ascii="Times New Roman;sans-serif" w:hAnsi="Times New Roman;sans-serif"/>
          <w:b w:val="false"/>
          <w:i/>
          <w:color w:val="000000"/>
          <w:sz w:val="22"/>
        </w:rPr>
        <w:t>Indenture</w:t>
      </w:r>
      <w:r>
        <w:rPr>
          <w:color w:val="000000"/>
        </w:rPr>
        <w:t>”</w:t>
      </w:r>
      <w:r>
        <w:rPr>
          <w:rFonts w:ascii="Times New Roman;sans-serif" w:hAnsi="Times New Roman;sans-serif"/>
          <w:b w:val="false"/>
          <w:color w:val="000000"/>
          <w:sz w:val="22"/>
        </w:rPr>
        <w: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(the “</w:t>
      </w:r>
      <w:r>
        <w:rPr>
          <w:rFonts w:ascii="Times New Roman;sans-serif" w:hAnsi="Times New Roman;sans-serif"/>
          <w:b w:val="false"/>
          <w:i/>
          <w:color w:val="000000"/>
          <w:sz w:val="22"/>
        </w:rPr>
        <w:t>Subsidiary Guarantee</w:t>
      </w:r>
      <w:r>
        <w:rPr>
          <w:color w:val="000000"/>
        </w:rPr>
        <w:t>”</w:t>
      </w:r>
      <w:r>
        <w:rPr>
          <w:rFonts w:ascii="Times New Roman;sans-serif" w:hAnsi="Times New Roman;sans-serif"/>
          <w:b w:val="false"/>
          <w:color w:val="000000"/>
          <w:sz w:val="22"/>
        </w:rPr>
        <w:t>); and</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 xml:space="preserve">WHEREAS, pursuant to </w:t>
      </w:r>
      <w:r>
        <w:rPr>
          <w:rFonts w:ascii="Times New Roman;sans-serif" w:hAnsi="Times New Roman;sans-serif"/>
          <w:b w:val="false"/>
          <w:color w:val="000000"/>
          <w:sz w:val="22"/>
          <w:u w:val="single"/>
        </w:rPr>
        <w:t>Sections 4.08</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9.01</w:t>
      </w:r>
      <w:r>
        <w:rPr>
          <w:color w:val="000000"/>
        </w:rPr>
        <w:t xml:space="preserve"> </w:t>
      </w:r>
      <w:r>
        <w:rPr>
          <w:rFonts w:ascii="Times New Roman;sans-serif" w:hAnsi="Times New Roman;sans-serif"/>
          <w:b w:val="false"/>
          <w:color w:val="000000"/>
          <w:sz w:val="22"/>
        </w:rPr>
        <w:t>of the Indenture, the Trustee, the Issuer and the Guaranteeing Subsidiary are authorized and required to execute and deliver this Supplemental Indenture.</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good and valuable consideration, the receipt of which is hereby acknowledged, the Guaranteeing Subsidiary, the Trustee and the Issuer mutually covenant and agree for the equal and ratable benefit of the Holders as follows:</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i/>
          <w:color w:val="000000"/>
          <w:sz w:val="22"/>
        </w:rPr>
        <w:t>Capitalized Terms.</w:t>
      </w:r>
      <w:r>
        <w:rPr>
          <w:color w:val="000000"/>
        </w:rPr>
        <w:t xml:space="preserve"> </w:t>
      </w:r>
      <w:r>
        <w:rPr>
          <w:rFonts w:ascii="Times New Roman;sans-serif" w:hAnsi="Times New Roman;sans-serif"/>
          <w:b w:val="false"/>
          <w:color w:val="000000"/>
          <w:sz w:val="22"/>
        </w:rPr>
        <w:t>Unless otherwise defined in this Supplemental Indenture, capitalized terms used herein without definition shall have the meanings assigned to them in the Indenture.</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i/>
          <w:color w:val="000000"/>
          <w:sz w:val="22"/>
        </w:rPr>
        <w:t>Agreement to be Bound; Guarantee</w:t>
      </w:r>
      <w:r>
        <w:rPr>
          <w:rFonts w:ascii="Times New Roman;sans-serif" w:hAnsi="Times New Roman;sans-serif"/>
          <w:b w:val="false"/>
          <w:color w:val="000000"/>
          <w:sz w:val="22"/>
        </w:rPr>
        <w:t xml:space="preserve">. The Guaranteeing Subsidiary hereby becomes a party to the Indenture as a Subsidiary Guarantor and as such will have all of the rights and be subject to all of the Obligations and agreements of a Subsidiary Guarantor under the Indenture. The Guaranteeing Subsidiary hereby agrees to be bound by all of the provisions of the Indenture applicable to a Subsidiary Guarantor and to perform all of the Obligations and agreements of a Subsidiary Guarantor under the Indenture. In furtherance of the foregoing, the Guaranteeing Subsidiary shall be deemed a Subsidiary Guarantor for purposes of </w:t>
      </w:r>
      <w:r>
        <w:rPr>
          <w:rFonts w:ascii="Times New Roman;sans-serif" w:hAnsi="Times New Roman;sans-serif"/>
          <w:b w:val="false"/>
          <w:color w:val="000000"/>
          <w:sz w:val="22"/>
          <w:u w:val="single"/>
        </w:rPr>
        <w:t>Article 11</w:t>
      </w:r>
      <w:r>
        <w:rPr>
          <w:color w:val="000000"/>
        </w:rPr>
        <w:t xml:space="preserve"> </w:t>
      </w:r>
      <w:r>
        <w:rPr>
          <w:rFonts w:ascii="Times New Roman;sans-serif" w:hAnsi="Times New Roman;sans-serif"/>
          <w:b w:val="false"/>
          <w:color w:val="000000"/>
          <w:sz w:val="22"/>
        </w:rPr>
        <w:t xml:space="preserve">of the Indenture, including, without limitation, </w:t>
      </w:r>
      <w:r>
        <w:rPr>
          <w:rFonts w:ascii="Times New Roman;sans-serif" w:hAnsi="Times New Roman;sans-serif"/>
          <w:b w:val="false"/>
          <w:color w:val="000000"/>
          <w:sz w:val="22"/>
          <w:u w:val="single"/>
        </w:rPr>
        <w:t>Section 11.02</w:t>
      </w:r>
      <w:r>
        <w:rPr>
          <w:color w:val="000000"/>
        </w:rPr>
        <w:t xml:space="preserve"> </w:t>
      </w:r>
      <w:r>
        <w:rPr>
          <w:rFonts w:ascii="Times New Roman;sans-serif" w:hAnsi="Times New Roman;sans-serif"/>
          <w:b w:val="false"/>
          <w:color w:val="000000"/>
          <w:sz w:val="22"/>
        </w:rPr>
        <w:t>thereof.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i/>
          <w:color w:val="000000"/>
          <w:sz w:val="22"/>
        </w:rPr>
        <w:t>NEW YORK LAW TO GOVERN.</w:t>
      </w:r>
      <w:r>
        <w:rPr>
          <w:color w:val="000000"/>
        </w:rPr>
        <w:t xml:space="preserve"> </w:t>
      </w:r>
      <w:r>
        <w:rPr>
          <w:rFonts w:ascii="Times New Roman;sans-serif" w:hAnsi="Times New Roman;sans-serif"/>
          <w:b w:val="false"/>
          <w:color w:val="000000"/>
          <w:sz w:val="22"/>
        </w:rPr>
        <w:t>THIS SUPPLEMENTAL INDENTURE SHALL BE GOVERNED BY AND CONSTRUED IN ACCORDANCE WITH THE LAWS OF THE STATE OF NEW YORK.</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i/>
          <w:color w:val="000000"/>
          <w:sz w:val="22"/>
        </w:rPr>
        <w:t>Counterparts.</w:t>
      </w:r>
      <w:r>
        <w:rPr>
          <w:color w:val="000000"/>
        </w:rPr>
        <w:t xml:space="preserve"> </w:t>
      </w:r>
      <w:r>
        <w:rPr>
          <w:rFonts w:ascii="Times New Roman;sans-serif" w:hAnsi="Times New Roman;sans-serif"/>
          <w:b w:val="false"/>
          <w:color w:val="000000"/>
          <w:sz w:val="22"/>
        </w:rPr>
        <w:t>The parties may sign any number of copies of this Supplemental Indenture. Each signed copy shall be an original, but all of them together represent the same agreement.</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i/>
          <w:color w:val="000000"/>
          <w:sz w:val="22"/>
        </w:rPr>
        <w:t>Effect of Headings.</w:t>
      </w:r>
      <w:r>
        <w:rPr>
          <w:color w:val="000000"/>
        </w:rPr>
        <w:t xml:space="preserve"> </w:t>
      </w:r>
      <w:r>
        <w:rPr>
          <w:rFonts w:ascii="Times New Roman;sans-serif" w:hAnsi="Times New Roman;sans-serif"/>
          <w:b w:val="false"/>
          <w:color w:val="000000"/>
          <w:sz w:val="22"/>
        </w:rPr>
        <w:t>The Section headings herein are for convenience only and shall not affect the construction hereof.</w: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i/>
          <w:color w:val="000000"/>
          <w:sz w:val="22"/>
        </w:rPr>
        <w:t>The Trustee.</w:t>
      </w:r>
      <w:r>
        <w:rPr>
          <w:color w:val="000000"/>
        </w:rPr>
        <w:t xml:space="preserve"> </w:t>
      </w:r>
      <w:r>
        <w:rPr>
          <w:rFonts w:ascii="Times New Roman;sans-serif" w:hAnsi="Times New Roman;sans-serif"/>
          <w:b w:val="false"/>
          <w:color w:val="000000"/>
          <w:sz w:val="22"/>
        </w:rPr>
        <w:t>The Trustee shall not be responsible in any manner whatsoever for or in respect of the validity or sufficiency of this Supplemental Indenture or for or in respect of the recitals contained herein, all of which recitals are made solely by the Guaranteeing Subsidiary and the Issuer.</w:t>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03910"/>
                <wp:effectExtent l="0" t="0" r="0" b="0"/>
                <wp:wrapNone/>
                <wp:docPr id="129" name="Frame12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i/>
          <w:color w:val="000000"/>
          <w:sz w:val="22"/>
        </w:rPr>
        <w:t>Ratification of Indenture; Supplemental Indenture Part of Indenture.</w:t>
      </w:r>
      <w:r>
        <w:rPr>
          <w:color w:val="000000"/>
        </w:rPr>
        <w:t xml:space="preserve"> </w:t>
      </w:r>
      <w:r>
        <w:rPr>
          <w:rFonts w:ascii="Times New Roman;sans-serif" w:hAnsi="Times New Roman;sans-serif"/>
          <w:b w:val="false"/>
          <w:color w:val="000000"/>
          <w:sz w:val="22"/>
        </w:rPr>
        <w:t>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bidi w:val="0"/>
        <w:spacing w:lineRule="auto" w:line="288" w:before="0" w:after="20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8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03910"/>
                <wp:effectExtent l="0" t="0" r="0" b="0"/>
                <wp:wrapNone/>
                <wp:docPr id="130" name="Frame12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before="0" w:after="0"/>
                              <w:jc w:val="center"/>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ind w:left="0" w:right="0" w:firstLine="7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Supplemental Indenture to be duly executed and attested, all as of the date first above written.</w:t>
      </w:r>
    </w:p>
    <w:tbl>
      <w:tblPr>
        <w:tblW w:w="6078" w:type="dxa"/>
        <w:jc w:val="left"/>
        <w:tblInd w:w="0" w:type="dxa"/>
        <w:tblLayout w:type="fixed"/>
        <w:tblCellMar>
          <w:top w:w="28" w:type="dxa"/>
          <w:left w:w="28" w:type="dxa"/>
          <w:bottom w:w="28" w:type="dxa"/>
          <w:right w:w="28" w:type="dxa"/>
        </w:tblCellMar>
      </w:tblPr>
      <w:tblGrid>
        <w:gridCol w:w="124"/>
        <w:gridCol w:w="109"/>
        <w:gridCol w:w="109"/>
        <w:gridCol w:w="782"/>
        <w:gridCol w:w="782"/>
        <w:gridCol w:w="782"/>
        <w:gridCol w:w="990"/>
        <w:gridCol w:w="990"/>
        <w:gridCol w:w="14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THE RIVERLANDS RECREATION AREA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Sergio Castro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Sergio Castro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TALEN ENERGY SUPPLY,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Sergio Castro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Sergio Castro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 and Treasurer</w:t>
            </w:r>
          </w:p>
        </w:tc>
      </w:tr>
    </w:tbl>
    <w:p>
      <w:pPr>
        <w:pStyle w:val="TextBody"/>
        <w:bidi w:val="0"/>
        <w:spacing w:before="0" w:after="6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21055"/>
                <wp:effectExtent l="0" t="0" r="0" b="0"/>
                <wp:wrapNone/>
                <wp:docPr id="131" name="Frame129"/>
                <a:graphic xmlns:a="http://schemas.openxmlformats.org/drawingml/2006/main">
                  <a:graphicData uri="http://schemas.microsoft.com/office/word/2010/wordprocessingShape">
                    <wps:wsp>
                      <wps:cNvSpPr txBox="1"/>
                      <wps:spPr>
                        <a:xfrm>
                          <a:off x="0" y="0"/>
                          <a:ext cx="6480175" cy="8210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Supplemental Indenture</w:t>
                            </w:r>
                            <w:r>
                              <w:rPr>
                                <w:rFonts w:ascii="Times New Roman;sans-serif" w:hAnsi="Times New Roman;sans-serif"/>
                                <w:b w:val="false"/>
                                <w:color w:val="000000"/>
                                <w:sz w:val="22"/>
                              </w:rPr>
                              <w:t>]</w:t>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Supplemental Indenture</w:t>
                      </w:r>
                      <w:r>
                        <w:rPr>
                          <w:rFonts w:ascii="Times New Roman;sans-serif" w:hAnsi="Times New Roman;sans-serif"/>
                          <w:b w:val="false"/>
                          <w:color w:val="000000"/>
                          <w:sz w:val="22"/>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360"/>
        <w:ind w:left="0" w:right="0" w:firstLine="740"/>
        <w:jc w:val="both"/>
        <w:rPr/>
      </w:pPr>
      <w:r>
        <w:rPr/>
      </w:r>
    </w:p>
    <w:tbl>
      <w:tblPr>
        <w:tblW w:w="5456" w:type="dxa"/>
        <w:jc w:val="left"/>
        <w:tblInd w:w="0" w:type="dxa"/>
        <w:tblLayout w:type="fixed"/>
        <w:tblCellMar>
          <w:top w:w="28" w:type="dxa"/>
          <w:left w:w="28" w:type="dxa"/>
          <w:bottom w:w="28" w:type="dxa"/>
          <w:right w:w="28" w:type="dxa"/>
        </w:tblCellMar>
      </w:tblPr>
      <w:tblGrid>
        <w:gridCol w:w="124"/>
        <w:gridCol w:w="109"/>
        <w:gridCol w:w="109"/>
        <w:gridCol w:w="795"/>
        <w:gridCol w:w="795"/>
        <w:gridCol w:w="795"/>
        <w:gridCol w:w="795"/>
        <w:gridCol w:w="795"/>
        <w:gridCol w:w="11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WILMINGTON SAVINGS FUND SOCIETY, FSB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Anita Woolery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Anita Woolery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r>
    </w:tbl>
    <w:p>
      <w:pPr>
        <w:pStyle w:val="TextBody"/>
        <w:bidi w:val="0"/>
        <w:spacing w:before="0" w:after="6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21055"/>
                <wp:effectExtent l="0" t="0" r="0" b="0"/>
                <wp:wrapNone/>
                <wp:docPr id="132" name="Frame130"/>
                <a:graphic xmlns:a="http://schemas.openxmlformats.org/drawingml/2006/main">
                  <a:graphicData uri="http://schemas.microsoft.com/office/word/2010/wordprocessingShape">
                    <wps:wsp>
                      <wps:cNvSpPr txBox="1"/>
                      <wps:spPr>
                        <a:xfrm>
                          <a:off x="0" y="0"/>
                          <a:ext cx="6480175" cy="82105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Supplemental Indenture</w:t>
                            </w:r>
                            <w:r>
                              <w:rPr>
                                <w:rFonts w:ascii="Times New Roman;sans-serif" w:hAnsi="Times New Roman;sans-serif"/>
                                <w:b w:val="false"/>
                                <w:color w:val="000000"/>
                                <w:sz w:val="22"/>
                              </w:rPr>
                              <w:t>]</w:t>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Supplemental Indenture</w:t>
                      </w:r>
                      <w:r>
                        <w:rPr>
                          <w:rFonts w:ascii="Times New Roman;sans-serif" w:hAnsi="Times New Roman;sans-serif"/>
                          <w:b w:val="false"/>
                          <w:color w:val="000000"/>
                          <w:sz w:val="22"/>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I</w: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Guaranteeing Subsidiary</w:t>
      </w:r>
    </w:p>
    <w:tbl>
      <w:tblPr>
        <w:tblW w:w="3645" w:type="dxa"/>
        <w:jc w:val="left"/>
        <w:tblInd w:w="0" w:type="dxa"/>
        <w:tblLayout w:type="fixed"/>
        <w:tblCellMar>
          <w:top w:w="28" w:type="dxa"/>
          <w:left w:w="28" w:type="dxa"/>
          <w:bottom w:w="28" w:type="dxa"/>
          <w:right w:w="28" w:type="dxa"/>
        </w:tblCellMar>
      </w:tblPr>
      <w:tblGrid>
        <w:gridCol w:w="1167"/>
        <w:gridCol w:w="1024"/>
        <w:gridCol w:w="1454"/>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The Riverlands Recreation Area LLC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87400"/>
                <wp:effectExtent l="0" t="0" r="0" b="0"/>
                <wp:wrapNone/>
                <wp:docPr id="133" name="Frame131"/>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before="0" w:after="0"/>
                              <w:jc w:val="center"/>
                              <w:rPr/>
                            </w:pPr>
                            <w:r>
                              <w:rPr/>
                            </w:r>
                            <w:r>
                              <w:br w:type="page"/>
                            </w:r>
                          </w:p>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I-1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I-1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Schedule II</w: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Existing Subsidiary Guarantors</w:t>
      </w:r>
    </w:p>
    <w:p>
      <w:pPr>
        <w:pStyle w:val="TextBody"/>
        <w:bidi w:val="0"/>
        <w:spacing w:lineRule="auto" w:line="288" w:before="0" w:after="18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A.</w:t>
      </w:r>
    </w:p>
    <w:tbl>
      <w:tblPr>
        <w:tblW w:w="4755" w:type="dxa"/>
        <w:jc w:val="left"/>
        <w:tblInd w:w="0" w:type="dxa"/>
        <w:tblLayout w:type="fixed"/>
        <w:tblCellMar>
          <w:top w:w="28" w:type="dxa"/>
          <w:left w:w="28" w:type="dxa"/>
          <w:bottom w:w="28" w:type="dxa"/>
          <w:right w:w="28" w:type="dxa"/>
        </w:tblCellMar>
      </w:tblPr>
      <w:tblGrid>
        <w:gridCol w:w="1522"/>
        <w:gridCol w:w="1332"/>
        <w:gridCol w:w="1901"/>
      </w:tblGrid>
      <w:tr>
        <w:trPr/>
        <w:tc>
          <w:tcPr>
            <w:tcW w:w="1522"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Barney Davis,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BDW Corp.</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Bell Bend,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Brandon Shores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Brunner Island Services,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Brunner Island,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Camden Plant Holding,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Colstrip Comm Serv,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Dartmouth Plant Holding,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Dartmouth Power Associates Limited Partnership</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Dartmouth Power Generation,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Dartmouth Power Holding Company,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Elmwood Energy Holdings,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Elmwood Park Power,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Fort Armistead Road – Lot 15 Landfill,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H.A. Wagner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Holtwood,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Lady Jane Collieries, Inc.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Laredo,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Liberty View Power,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Lower Mount Bethel Energy,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Martins Creek,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MC OpCo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MEG Generating Company,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Montana Growth Holdings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Montour Services,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Montour,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Morris Energy Management Company,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Morris Energy Operations Company, LLC</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Newark Bay Cogeneration Partnership, L.P.</w:t>
            </w:r>
          </w:p>
        </w:tc>
      </w:tr>
      <w:tr>
        <w:trPr/>
        <w:tc>
          <w:tcPr>
            <w:tcW w:w="475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Newark Bay Holding Company, L.L.C.</w:t>
            </w:r>
          </w:p>
        </w:tc>
      </w:tr>
      <w:tr>
        <w:trPr/>
        <w:tc>
          <w:tcPr>
            <w:tcW w:w="475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NorthEast Gas Generation Holdings, LLC</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87400"/>
                <wp:effectExtent l="0" t="0" r="0" b="0"/>
                <wp:wrapNone/>
                <wp:docPr id="134" name="Frame132"/>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before="0" w:after="0"/>
                              <w:jc w:val="center"/>
                              <w:rPr/>
                            </w:pPr>
                            <w:r>
                              <w:rPr/>
                            </w:r>
                            <w:r>
                              <w:br w:type="page"/>
                            </w:r>
                          </w:p>
                          <w:tbl>
                            <w:tblPr>
                              <w:tblW w:w="2078" w:type="dxa"/>
                              <w:jc w:val="left"/>
                              <w:tblInd w:w="0" w:type="dxa"/>
                              <w:tblLayout w:type="fixed"/>
                              <w:tblCellMar>
                                <w:top w:w="28" w:type="dxa"/>
                                <w:left w:w="28" w:type="dxa"/>
                                <w:bottom w:w="28" w:type="dxa"/>
                                <w:right w:w="28" w:type="dxa"/>
                              </w:tblCellMar>
                            </w:tblPr>
                            <w:tblGrid>
                              <w:gridCol w:w="124"/>
                              <w:gridCol w:w="109"/>
                              <w:gridCol w:w="109"/>
                              <w:gridCol w:w="454"/>
                              <w:gridCol w:w="454"/>
                              <w:gridCol w:w="4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II-1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bl>
                      <w:tblPr>
                        <w:tblW w:w="2078" w:type="dxa"/>
                        <w:jc w:val="left"/>
                        <w:tblInd w:w="0" w:type="dxa"/>
                        <w:tblLayout w:type="fixed"/>
                        <w:tblCellMar>
                          <w:top w:w="28" w:type="dxa"/>
                          <w:left w:w="28" w:type="dxa"/>
                          <w:bottom w:w="28" w:type="dxa"/>
                          <w:right w:w="28" w:type="dxa"/>
                        </w:tblCellMar>
                      </w:tblPr>
                      <w:tblGrid>
                        <w:gridCol w:w="124"/>
                        <w:gridCol w:w="109"/>
                        <w:gridCol w:w="109"/>
                        <w:gridCol w:w="454"/>
                        <w:gridCol w:w="454"/>
                        <w:gridCol w:w="4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II-1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4125" w:type="dxa"/>
        <w:jc w:val="left"/>
        <w:tblInd w:w="0" w:type="dxa"/>
        <w:tblLayout w:type="fixed"/>
        <w:tblCellMar>
          <w:top w:w="28" w:type="dxa"/>
          <w:left w:w="28" w:type="dxa"/>
          <w:bottom w:w="28" w:type="dxa"/>
          <w:right w:w="28" w:type="dxa"/>
        </w:tblCellMar>
      </w:tblPr>
      <w:tblGrid>
        <w:gridCol w:w="1321"/>
        <w:gridCol w:w="1161"/>
        <w:gridCol w:w="1643"/>
      </w:tblGrid>
      <w:tr>
        <w:trPr/>
        <w:tc>
          <w:tcPr>
            <w:tcW w:w="132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Nueces Bay,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Pedricktown Cogeneration Company LP</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Pedricktown Investment Company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Pedricktown Management Company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Pennsylvania Mines,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Raven Lot 15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Raven Power Finance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Raven Power Fort Smallwood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Raven Power Generation Holdings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Raven Power Group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Raven Power Property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Raven FS Property Holdings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Realty Company of Pennsylvania</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RMGL Holdings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Sapphire Power Finance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Sapphire Power Generation Holdings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Sapphire Power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Sapphire Power Marketing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Susquehanna Nuclear,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Energy Marketing,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Energy Retail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Energy Services Group,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Energy Services Holdings,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Energy Services Northeast, Inc.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Generation,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II Growth Holdings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II Growth Parent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Land Holdings,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Montana Holdings,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Montana,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NE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Nuclear Development,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Receivables Funding,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Texas Group, LLC</w:t>
            </w:r>
          </w:p>
        </w:tc>
      </w:tr>
      <w:tr>
        <w:trPr/>
        <w:tc>
          <w:tcPr>
            <w:tcW w:w="412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Texas Property, LLC</w:t>
            </w:r>
          </w:p>
        </w:tc>
      </w:tr>
      <w:tr>
        <w:trPr/>
        <w:tc>
          <w:tcPr>
            <w:tcW w:w="412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Texas, LLC</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87400"/>
                <wp:effectExtent l="0" t="0" r="0" b="0"/>
                <wp:wrapNone/>
                <wp:docPr id="135" name="Frame133"/>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before="0" w:after="0"/>
                              <w:jc w:val="center"/>
                              <w:rPr/>
                            </w:pPr>
                            <w:r>
                              <w:rPr/>
                            </w:r>
                            <w:r>
                              <w:br w:type="page"/>
                            </w:r>
                          </w:p>
                          <w:tbl>
                            <w:tblPr>
                              <w:tblW w:w="2078" w:type="dxa"/>
                              <w:jc w:val="left"/>
                              <w:tblInd w:w="0" w:type="dxa"/>
                              <w:tblLayout w:type="fixed"/>
                              <w:tblCellMar>
                                <w:top w:w="28" w:type="dxa"/>
                                <w:left w:w="28" w:type="dxa"/>
                                <w:bottom w:w="28" w:type="dxa"/>
                                <w:right w:w="28" w:type="dxa"/>
                              </w:tblCellMar>
                            </w:tblPr>
                            <w:tblGrid>
                              <w:gridCol w:w="124"/>
                              <w:gridCol w:w="109"/>
                              <w:gridCol w:w="109"/>
                              <w:gridCol w:w="454"/>
                              <w:gridCol w:w="454"/>
                              <w:gridCol w:w="4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II-2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bl>
                      <w:tblPr>
                        <w:tblW w:w="2078" w:type="dxa"/>
                        <w:jc w:val="left"/>
                        <w:tblInd w:w="0" w:type="dxa"/>
                        <w:tblLayout w:type="fixed"/>
                        <w:tblCellMar>
                          <w:top w:w="28" w:type="dxa"/>
                          <w:left w:w="28" w:type="dxa"/>
                          <w:bottom w:w="28" w:type="dxa"/>
                          <w:right w:w="28" w:type="dxa"/>
                        </w:tblCellMar>
                      </w:tblPr>
                      <w:tblGrid>
                        <w:gridCol w:w="124"/>
                        <w:gridCol w:w="109"/>
                        <w:gridCol w:w="109"/>
                        <w:gridCol w:w="454"/>
                        <w:gridCol w:w="454"/>
                        <w:gridCol w:w="4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II-2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tbl>
      <w:tblPr>
        <w:tblW w:w="3195" w:type="dxa"/>
        <w:jc w:val="left"/>
        <w:tblInd w:w="0" w:type="dxa"/>
        <w:tblLayout w:type="fixed"/>
        <w:tblCellMar>
          <w:top w:w="28" w:type="dxa"/>
          <w:left w:w="28" w:type="dxa"/>
          <w:bottom w:w="28" w:type="dxa"/>
          <w:right w:w="28" w:type="dxa"/>
        </w:tblCellMar>
      </w:tblPr>
      <w:tblGrid>
        <w:gridCol w:w="1021"/>
        <w:gridCol w:w="897"/>
        <w:gridCol w:w="1277"/>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Treasure State, LLC</w:t>
            </w:r>
          </w:p>
        </w:tc>
      </w:tr>
      <w:tr>
        <w:trPr/>
        <w:tc>
          <w:tcPr>
            <w:tcW w:w="3195"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York Generation Company LLC</w:t>
            </w:r>
          </w:p>
        </w:tc>
      </w:tr>
      <w:tr>
        <w:trPr/>
        <w:tc>
          <w:tcPr>
            <w:tcW w:w="3195"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York Plant Holding, LLC</w:t>
            </w:r>
          </w:p>
        </w:tc>
      </w:tr>
    </w:tbl>
    <w:p>
      <w:pPr>
        <w:pStyle w:val="TextBody"/>
        <w:bidi w:val="0"/>
        <w:spacing w:before="0" w:after="180"/>
        <w:jc w:val="both"/>
        <w:rPr/>
      </w:pPr>
      <w:r>
        <w:rPr/>
      </w:r>
    </w:p>
    <w:p>
      <w:pPr>
        <w:pStyle w:val="TextBody"/>
        <w:bidi w:val="0"/>
        <w:spacing w:lineRule="auto" w:line="288" w:before="0" w:after="18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B.</w:t>
      </w:r>
    </w:p>
    <w:tbl>
      <w:tblPr>
        <w:tblW w:w="2940" w:type="dxa"/>
        <w:jc w:val="left"/>
        <w:tblInd w:w="0" w:type="dxa"/>
        <w:tblLayout w:type="fixed"/>
        <w:tblCellMar>
          <w:top w:w="28" w:type="dxa"/>
          <w:left w:w="28" w:type="dxa"/>
          <w:bottom w:w="28" w:type="dxa"/>
          <w:right w:w="28" w:type="dxa"/>
        </w:tblCellMar>
      </w:tblPr>
      <w:tblGrid>
        <w:gridCol w:w="941"/>
        <w:gridCol w:w="827"/>
        <w:gridCol w:w="1172"/>
      </w:tblGrid>
      <w:tr>
        <w:trPr/>
        <w:tc>
          <w:tcPr>
            <w:tcW w:w="9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LMBE Project Company LLC</w:t>
            </w:r>
          </w:p>
        </w:tc>
      </w:tr>
      <w:tr>
        <w:trPr/>
        <w:tc>
          <w:tcPr>
            <w:tcW w:w="294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LMBE-MC HoldCo I LLC</w:t>
            </w:r>
          </w:p>
        </w:tc>
      </w:tr>
      <w:tr>
        <w:trPr/>
        <w:tc>
          <w:tcPr>
            <w:tcW w:w="294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LMBE-MC HoldCo II LLC</w:t>
            </w:r>
          </w:p>
        </w:tc>
      </w:tr>
      <w:tr>
        <w:trPr/>
        <w:tc>
          <w:tcPr>
            <w:tcW w:w="294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MC Project Company LLC</w:t>
            </w:r>
          </w:p>
        </w:tc>
      </w:tr>
      <w:tr>
        <w:trPr/>
        <w:tc>
          <w:tcPr>
            <w:tcW w:w="294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Conemaugh LLC</w:t>
            </w:r>
          </w:p>
        </w:tc>
      </w:tr>
      <w:tr>
        <w:trPr/>
        <w:tc>
          <w:tcPr>
            <w:tcW w:w="2940"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Keycon Holdings LLC</w:t>
            </w:r>
          </w:p>
        </w:tc>
      </w:tr>
      <w:tr>
        <w:trPr/>
        <w:tc>
          <w:tcPr>
            <w:tcW w:w="2940"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88" w:before="40" w:after="40"/>
              <w:jc w:val="both"/>
              <w:rPr>
                <w:rFonts w:ascii="Times New Roman;sans-serif" w:hAnsi="Times New Roman;sans-serif"/>
                <w:b w:val="false"/>
                <w:color w:val="000000"/>
                <w:sz w:val="22"/>
              </w:rPr>
            </w:pPr>
            <w:r>
              <w:rPr>
                <w:rFonts w:ascii="Times New Roman;sans-serif" w:hAnsi="Times New Roman;sans-serif"/>
                <w:b w:val="false"/>
                <w:color w:val="000000"/>
                <w:sz w:val="22"/>
              </w:rPr>
              <w:t>Talen Keystone LLC</w:t>
            </w:r>
          </w:p>
        </w:tc>
      </w:tr>
    </w:tbl>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10.14</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87400"/>
                <wp:effectExtent l="0" t="0" r="0" b="0"/>
                <wp:wrapNone/>
                <wp:docPr id="136" name="Frame134"/>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before="0" w:after="0"/>
                              <w:jc w:val="center"/>
                              <w:rPr/>
                            </w:pPr>
                            <w:r>
                              <w:rPr/>
                            </w:r>
                          </w:p>
                          <w:tbl>
                            <w:tblPr>
                              <w:tblW w:w="2078" w:type="dxa"/>
                              <w:jc w:val="left"/>
                              <w:tblInd w:w="0" w:type="dxa"/>
                              <w:tblLayout w:type="fixed"/>
                              <w:tblCellMar>
                                <w:top w:w="28" w:type="dxa"/>
                                <w:left w:w="28" w:type="dxa"/>
                                <w:bottom w:w="28" w:type="dxa"/>
                                <w:right w:w="28" w:type="dxa"/>
                              </w:tblCellMar>
                            </w:tblPr>
                            <w:tblGrid>
                              <w:gridCol w:w="124"/>
                              <w:gridCol w:w="109"/>
                              <w:gridCol w:w="109"/>
                              <w:gridCol w:w="454"/>
                              <w:gridCol w:w="454"/>
                              <w:gridCol w:w="4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II-3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433pt;mso-position-horizontal:left;mso-position-horizontal-relative:text">
                <v:textbox>
                  <w:txbxContent>
                    <w:p>
                      <w:pPr>
                        <w:pStyle w:val="TextBody"/>
                        <w:bidi w:val="0"/>
                        <w:spacing w:before="0" w:after="0"/>
                        <w:jc w:val="center"/>
                        <w:rPr/>
                      </w:pPr>
                      <w:r>
                        <w:rPr/>
                      </w:r>
                    </w:p>
                    <w:tbl>
                      <w:tblPr>
                        <w:tblW w:w="2078" w:type="dxa"/>
                        <w:jc w:val="left"/>
                        <w:tblInd w:w="0" w:type="dxa"/>
                        <w:tblLayout w:type="fixed"/>
                        <w:tblCellMar>
                          <w:top w:w="28" w:type="dxa"/>
                          <w:left w:w="28" w:type="dxa"/>
                          <w:bottom w:w="28" w:type="dxa"/>
                          <w:right w:w="28" w:type="dxa"/>
                        </w:tblCellMar>
                      </w:tblPr>
                      <w:tblGrid>
                        <w:gridCol w:w="124"/>
                        <w:gridCol w:w="109"/>
                        <w:gridCol w:w="109"/>
                        <w:gridCol w:w="454"/>
                        <w:gridCol w:w="454"/>
                        <w:gridCol w:w="4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Schedule II-3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CUMULUS LONG-TERM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lineRule="auto" w:line="288" w:before="0" w:after="240"/>
        <w:jc w:val="both"/>
        <w:rPr/>
      </w:pPr>
      <w:r>
        <w:rPr>
          <w:rFonts w:ascii="Times New Roman;sans-serif" w:hAnsi="Times New Roman;sans-serif"/>
          <w:b w:val="false"/>
          <w:color w:val="000000"/>
          <w:sz w:val="24"/>
        </w:rPr>
        <w:t>The purpose of the Cumulus Long-Term Incentive Plan (this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adopted as of August 11,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to further the growth and success of Cumulus Data LLC, a Delaware limited liability company limited (“</w:t>
      </w:r>
      <w:r>
        <w:rPr>
          <w:rFonts w:ascii="Times New Roman;sans-serif" w:hAnsi="Times New Roman;sans-serif"/>
          <w:b w:val="false"/>
          <w:color w:val="000000"/>
          <w:sz w:val="24"/>
          <w:u w:val="single"/>
        </w:rPr>
        <w:t>Cumulus</w:t>
      </w:r>
      <w:r>
        <w:rPr>
          <w:color w:val="000000"/>
        </w:rPr>
        <w:t>”</w:t>
      </w:r>
      <w:r>
        <w:rPr>
          <w:rFonts w:ascii="Times New Roman;sans-serif" w:hAnsi="Times New Roman;sans-serif"/>
          <w:b w:val="false"/>
          <w:color w:val="000000"/>
          <w:sz w:val="24"/>
        </w:rPr>
        <w:t>), and indirectly as its parent, Talen Energy Corporation,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the interests of their members by enabling the Company and Cumulus to reward the employees, officers, and other service providers with certain cash bonus payments to incentivize and reward outstanding performance by such individuals with respect to the development and monetization of Cumulus and its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DEFINITIONS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4"/>
        </w:rPr>
        <w:t xml:space="preserve">2.1 </w:t>
      </w:r>
      <w:r>
        <w:rPr>
          <w:rFonts w:ascii="Times New Roman;sans-serif" w:hAnsi="Times New Roman;sans-serif"/>
          <w:b w:val="false"/>
          <w:color w:val="000000"/>
          <w:sz w:val="24"/>
          <w:u w:val="single"/>
        </w:rPr>
        <w:t>Certain Definitions</w:t>
      </w:r>
      <w:r>
        <w:rPr>
          <w:rFonts w:ascii="Times New Roman;sans-serif" w:hAnsi="Times New Roman;sans-serif"/>
          <w:b w:val="false"/>
          <w:color w:val="000000"/>
          <w:sz w:val="24"/>
        </w:rPr>
        <w:t>. As used in this Plan, the following terms shall have the meanings set forth below:</w:t>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as to any specified Person, any other Person controlling, controlled by, or under common control with such first Person and, in the case of a Person that is a partnership or a limited liability company, any partner or member of such Person. For the purposes of this definition, “control” means the possession of the power to direct or cause the direction of the management and policies of such Person, whether through the ownership of voting securities, by contract, or otherwise.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Award</w:t>
      </w:r>
      <w:r>
        <w:rPr>
          <w:color w:val="000000"/>
        </w:rPr>
        <w:t xml:space="preserve">” </w:t>
      </w:r>
      <w:r>
        <w:rPr>
          <w:rFonts w:ascii="Times New Roman;sans-serif" w:hAnsi="Times New Roman;sans-serif"/>
          <w:b w:val="false"/>
          <w:color w:val="000000"/>
          <w:sz w:val="24"/>
        </w:rPr>
        <w:t xml:space="preserve">means a grant of Bonus Unit(s) under this Plan pursuant to which a Participant may receive a portion of the Bonus Pool. Awards under this Plan shall be granted pursuant to a written Award notice, a form of which is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Bonus Amount</w:t>
      </w:r>
      <w:r>
        <w:rPr>
          <w:color w:val="000000"/>
        </w:rPr>
        <w:t xml:space="preserve">” </w:t>
      </w:r>
      <w:r>
        <w:rPr>
          <w:rFonts w:ascii="Times New Roman;sans-serif" w:hAnsi="Times New Roman;sans-serif"/>
          <w:b w:val="false"/>
          <w:color w:val="000000"/>
          <w:sz w:val="24"/>
        </w:rPr>
        <w:t xml:space="preserve">means, with respect to a particular Participant, the amount payable to such Participant under this Plan on a Payment Milestone associated with a Bonus Event, which amount shall be determined as (a) the Bonus Pool for such Payment Milestone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(b) a fraction, the numerator of which is the number of Bonus Units held by such Participant, and the denominator of which is the Unit Reserve.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Bonus Pool</w:t>
      </w:r>
      <w:r>
        <w:rPr>
          <w:color w:val="000000"/>
        </w:rPr>
        <w:t xml:space="preserve">” </w:t>
      </w:r>
      <w:r>
        <w:rPr>
          <w:rFonts w:ascii="Times New Roman;sans-serif" w:hAnsi="Times New Roman;sans-serif"/>
          <w:b w:val="false"/>
          <w:color w:val="000000"/>
          <w:sz w:val="24"/>
        </w:rPr>
        <w:t xml:space="preserve">means the aggregate bonus pool amounts determined in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of this Plan, which will be separately calculated for each separate Bonus Event and associated Payment Milestones.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Bonus Unit</w:t>
      </w:r>
      <w:r>
        <w:rPr>
          <w:color w:val="000000"/>
        </w:rPr>
        <w:t xml:space="preserve">” </w:t>
      </w:r>
      <w:r>
        <w:rPr>
          <w:rFonts w:ascii="Times New Roman;sans-serif" w:hAnsi="Times New Roman;sans-serif"/>
          <w:b w:val="false"/>
          <w:color w:val="000000"/>
          <w:sz w:val="24"/>
        </w:rPr>
        <w:t>means a notional unit of measurement that entitles a Participant to receive a payment in cash in accordance with the terms of this Plan. Any Bonus Unit that is forfeited may be, but need not be, reallocated by the Committee in its sole discretion.</w:t>
      </w:r>
    </w:p>
    <w:p>
      <w:pPr>
        <w:pStyle w:val="TextBody"/>
        <w:bidi w:val="0"/>
        <w:spacing w:before="0" w:after="0"/>
        <w:jc w:val="both"/>
        <w:rPr/>
      </w:pPr>
      <w:r>
        <w:rPr/>
      </w:r>
    </w:p>
    <w:p>
      <w:pPr>
        <w:pStyle w:val="TextBody"/>
        <w:bidi w:val="0"/>
        <w:spacing w:lineRule="auto" w:line="268"/>
        <w:jc w:val="both"/>
        <w:rPr/>
      </w:pPr>
      <w:r>
        <w:rPr>
          <w:color w:val="000000"/>
        </w:rPr>
        <w:t>“</w:t>
      </w:r>
      <w:r>
        <w:rPr>
          <w:rFonts w:ascii="Times New Roman;sans-serif" w:hAnsi="Times New Roman;sans-serif"/>
          <w:b w:val="false"/>
          <w:color w:val="000000"/>
          <w:sz w:val="24"/>
          <w:u w:val="single"/>
        </w:rPr>
        <w:t>Bonus Event</w:t>
      </w:r>
      <w:r>
        <w:rPr>
          <w:color w:val="000000"/>
        </w:rPr>
        <w:t xml:space="preserve">” </w:t>
      </w:r>
      <w:r>
        <w:rPr>
          <w:rFonts w:ascii="Times New Roman;sans-serif" w:hAnsi="Times New Roman;sans-serif"/>
          <w:b w:val="false"/>
          <w:color w:val="000000"/>
          <w:sz w:val="24"/>
        </w:rPr>
        <w:t>means any of a JV Transaction, Lease Transaction, or a Sale Transaction.</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1445"/>
                <wp:effectExtent l="0" t="0" r="0" b="0"/>
                <wp:wrapNone/>
                <wp:docPr id="137" name="Frame1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unless otherwise determined by the Committee in the applicable Award notice, with respect to a Participant’s termination of employment or service, the following: (a) if there is no employment, consulting, severance, change in control, or similar agreement in effect between a Company Entity and the Participant at the time of termination (or if there is such an agreement but it does not define “cause” (or words of like import)), termination due to a Participant’s: (i) commission of, indictment for, or plea of guilty or no contest to, a felony (or state law equivalent) or a crime involving dishonesty or moral turpitude or the commission of any other act involving willful malfeasance or breach of fiduciary duty with respect to any Company Entity; (ii) substantial and repeated failure to perform the Participant’s duties or to follow any lawful directive from any Company Entity; (iii) conduct that brings or is reasonably likely to bring any Company Entity negative publicity or into public disgrace, embarrassment, or disrepute; (iv) fraud, theft, embezzlement, gross negligence or willful misconduct with respect to any Company Entity; (v) violation of any Company Entity’s written policies or codes of conduct, including written policies related to discrimination, harassment, retaliation, performance of illegal or unethical activities, or ethical misconduct; or (vi) breach of any agreement with any Company Entity, including, without limitation, any non-competition, non-solicitation, no-hire, or confidentiality covenant between the Participant and any Company Entity; or (b) if there is an employment, consulting, severance, change in control, or similar agreement in effect between a Company Entity and the Participant at the time of termination of employment or service that defines “cause” (or words of like import), “cause” as defined under such agreement.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and the Treasury Regulations and other official guidance promulgated thereunder.</w:t>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Coin Business</w:t>
      </w:r>
      <w:r>
        <w:rPr>
          <w:color w:val="000000"/>
        </w:rPr>
        <w:t xml:space="preserve">” </w:t>
      </w:r>
      <w:r>
        <w:rPr>
          <w:rFonts w:ascii="Times New Roman;sans-serif" w:hAnsi="Times New Roman;sans-serif"/>
          <w:b w:val="false"/>
          <w:color w:val="000000"/>
          <w:sz w:val="24"/>
        </w:rPr>
        <w:t>means the business and assets directly and indirectly owned and operated by Cumulus Coin Holdings, LLC and its Subsidiaries.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means the Compensation Committee of the Board.</w:t>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Company Entities</w:t>
      </w:r>
      <w:r>
        <w:rPr>
          <w:color w:val="000000"/>
        </w:rPr>
        <w:t xml:space="preserve">” </w:t>
      </w:r>
      <w:r>
        <w:rPr>
          <w:rFonts w:ascii="Times New Roman;sans-serif" w:hAnsi="Times New Roman;sans-serif"/>
          <w:b w:val="false"/>
          <w:color w:val="000000"/>
          <w:sz w:val="24"/>
        </w:rPr>
        <w:t>means, collectively, the Company, its Subsidiaries and Affiliates.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Lease Transaction</w:t>
      </w:r>
      <w:r>
        <w:rPr>
          <w:color w:val="000000"/>
        </w:rPr>
        <w:t xml:space="preserve">” </w:t>
      </w:r>
      <w:r>
        <w:rPr>
          <w:rFonts w:ascii="Times New Roman;sans-serif" w:hAnsi="Times New Roman;sans-serif"/>
          <w:b w:val="false"/>
          <w:color w:val="000000"/>
          <w:sz w:val="24"/>
        </w:rPr>
        <w:t>means a long-term lease or sale of one or more powered shell buildings on the existing campus owned by Cumulus.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JV Transaction</w:t>
      </w:r>
      <w:r>
        <w:rPr>
          <w:color w:val="000000"/>
        </w:rPr>
        <w:t xml:space="preserve">” </w:t>
      </w:r>
      <w:r>
        <w:rPr>
          <w:rFonts w:ascii="Times New Roman;sans-serif" w:hAnsi="Times New Roman;sans-serif"/>
          <w:b w:val="false"/>
          <w:color w:val="000000"/>
          <w:sz w:val="24"/>
        </w:rPr>
        <w:t>means the formation of a partnership or contractual joint venture arrangement with a third party with respect to the ownership and/or operations of Cumulus or its assets.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Modified Cap</w:t>
      </w:r>
      <w:r>
        <w:rPr>
          <w:color w:val="000000"/>
        </w:rPr>
        <w:t xml:space="preserve">” </w:t>
      </w:r>
      <w:r>
        <w:rPr>
          <w:rFonts w:ascii="Times New Roman;sans-serif" w:hAnsi="Times New Roman;sans-serif"/>
          <w:b w:val="false"/>
          <w:color w:val="000000"/>
          <w:sz w:val="24"/>
        </w:rPr>
        <w:t>means the value set forth in the Award notice with respect to each Participant, above which the provisions set forth in Section 4.4 will apply.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 xml:space="preserve">means any employee or other service provider of any Company Entity providing services in respect of Cumulus who is selected to participate in, and granted an Award under, this Plan in accordance with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of this Plan.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Payment Milestone</w:t>
      </w:r>
      <w:r>
        <w:rPr>
          <w:color w:val="000000"/>
        </w:rPr>
        <w:t xml:space="preserve">” </w:t>
      </w:r>
      <w:r>
        <w:rPr>
          <w:rFonts w:ascii="Times New Roman;sans-serif" w:hAnsi="Times New Roman;sans-serif"/>
          <w:b w:val="false"/>
          <w:color w:val="000000"/>
          <w:sz w:val="24"/>
        </w:rPr>
        <w:t xml:space="preserve">means an event specified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associated with a Bonus Event which results in the calculation of a Bonus Pool and payment of a Bonus Amount, in each case, measured during the Plan Term.</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1445"/>
                <wp:effectExtent l="0" t="0" r="0" b="0"/>
                <wp:wrapNone/>
                <wp:docPr id="138" name="Frame1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a partnership, a corporation, a limited liability company, an association, a joint stock company, a trust, a joint venture, an unincorporated organization, and a government or any branch, department, agency, political subdivision, or official thereof.</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Plan Term</w:t>
      </w:r>
      <w:r>
        <w:rPr>
          <w:color w:val="000000"/>
        </w:rPr>
        <w:t xml:space="preserve">” </w:t>
      </w:r>
      <w:r>
        <w:rPr>
          <w:rFonts w:ascii="Times New Roman;sans-serif" w:hAnsi="Times New Roman;sans-serif"/>
          <w:b w:val="false"/>
          <w:color w:val="000000"/>
          <w:sz w:val="24"/>
        </w:rPr>
        <w:t>means the period from the Effective Date through December 31, 2025.</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Restrictive Covenant Agreement</w:t>
      </w:r>
      <w:r>
        <w:rPr>
          <w:color w:val="000000"/>
        </w:rPr>
        <w:t xml:space="preserve">” </w:t>
      </w:r>
      <w:r>
        <w:rPr>
          <w:rFonts w:ascii="Times New Roman;sans-serif" w:hAnsi="Times New Roman;sans-serif"/>
          <w:b w:val="false"/>
          <w:color w:val="000000"/>
          <w:sz w:val="24"/>
        </w:rPr>
        <w:t>means any nondisclosure, noncompetition, nonsolicitation, nondisparagement, or other similar restrictive covenants agreed to by the Participant for the benefit of the Company Entities and/or Cumulus, including any such restrictions entered into in connection with the grant of Awards hereunder.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Sale Transaction</w:t>
      </w:r>
      <w:r>
        <w:rPr>
          <w:color w:val="000000"/>
        </w:rPr>
        <w:t xml:space="preserve">” </w:t>
      </w:r>
      <w:r>
        <w:rPr>
          <w:rFonts w:ascii="Times New Roman;sans-serif" w:hAnsi="Times New Roman;sans-serif"/>
          <w:b w:val="false"/>
          <w:color w:val="000000"/>
          <w:sz w:val="24"/>
        </w:rPr>
        <w:t>means a sale to a third party of all or substantially all of the membership interests in, or assets of, Cumulus, including indirectly through a sale of all of the membership interests in, or assets of, Cumulus Digital Holdings, LLC or a designated Subsidiary thereof.</w:t>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any corporation, partnership, limited liability company, or other entity in which a Person owns, directly or indirectly, stock or other equity securities or interests possessing 50% or more of the total combined voting power of such entity.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Unit Reserve</w:t>
      </w:r>
      <w:r>
        <w:rPr>
          <w:color w:val="000000"/>
        </w:rPr>
        <w:t xml:space="preserve">” </w:t>
      </w:r>
      <w:r>
        <w:rPr>
          <w:rFonts w:ascii="Times New Roman;sans-serif" w:hAnsi="Times New Roman;sans-serif"/>
          <w:b w:val="false"/>
          <w:color w:val="000000"/>
          <w:sz w:val="24"/>
        </w:rPr>
        <w:t>means 1,000 Bonus Units.</w:t>
      </w:r>
      <w:r>
        <w:rPr>
          <w:rFonts w:ascii="Times New Roman;sans-serif" w:hAnsi="Times New Roman;sans-serif"/>
          <w:b w:val="false"/>
          <w:color w:val="000000"/>
          <w:sz w:val="24"/>
          <w:u w:val="single"/>
        </w:rPr>
        <w:t>Certain Definitions</w:t>
      </w:r>
      <w:r>
        <w:rPr>
          <w:rFonts w:ascii="Times New Roman;sans-serif" w:hAnsi="Times New Roman;sans-serif"/>
          <w:b w:val="false"/>
          <w:color w:val="000000"/>
          <w:sz w:val="24"/>
        </w:rPr>
        <w:t>. As used in this Plan, the following terms shall have the meanings set forth below:</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as to any specified Person, any other Person controlling, controlled by, or under common control with such first Person and, in the case of a Person that is a partnership or a limited liability company, any partner or member of such Person. For the purposes of this definition, “control” means the possession of the power to direct or cause the direction of the management and policies of such Person, whether through the ownership of voting securities, by contract, or otherwise.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Award</w:t>
      </w:r>
      <w:r>
        <w:rPr>
          <w:color w:val="000000"/>
        </w:rPr>
        <w:t xml:space="preserve">” </w:t>
      </w:r>
      <w:r>
        <w:rPr>
          <w:rFonts w:ascii="Times New Roman;sans-serif" w:hAnsi="Times New Roman;sans-serif"/>
          <w:b w:val="false"/>
          <w:color w:val="000000"/>
          <w:sz w:val="24"/>
        </w:rPr>
        <w:t xml:space="preserve">means a grant of Bonus Unit(s) under this Plan pursuant to which a Participant may receive a portion of the Bonus Pool. Awards under this Plan shall be granted pursuant to a written Award notice, a form of which is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Bonus Amount</w:t>
      </w:r>
      <w:r>
        <w:rPr>
          <w:color w:val="000000"/>
        </w:rPr>
        <w:t xml:space="preserve">” </w:t>
      </w:r>
      <w:r>
        <w:rPr>
          <w:rFonts w:ascii="Times New Roman;sans-serif" w:hAnsi="Times New Roman;sans-serif"/>
          <w:b w:val="false"/>
          <w:color w:val="000000"/>
          <w:sz w:val="24"/>
        </w:rPr>
        <w:t xml:space="preserve">means, with respect to a particular Participant, the amount payable to such Participant under this Plan on a Payment Milestone associated with a Bonus Event, which amount shall be determined as (a) the Bonus Pool for such Payment Milestone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(b) a fraction, the numerator of which is the number of Bonus Units held by such Participant, and the denominator of which is the Unit Reserve.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Bonus Pool</w:t>
      </w:r>
      <w:r>
        <w:rPr>
          <w:color w:val="000000"/>
        </w:rPr>
        <w:t xml:space="preserve">” </w:t>
      </w:r>
      <w:r>
        <w:rPr>
          <w:rFonts w:ascii="Times New Roman;sans-serif" w:hAnsi="Times New Roman;sans-serif"/>
          <w:b w:val="false"/>
          <w:color w:val="000000"/>
          <w:sz w:val="24"/>
        </w:rPr>
        <w:t xml:space="preserve">means the aggregate bonus pool amounts determined in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of this Plan, which will be separately calculated for each separate Bonus Event and associated Payment Milestones.</w:t>
      </w:r>
    </w:p>
    <w:p>
      <w:pPr>
        <w:pStyle w:val="TextBody"/>
        <w:bidi w:val="0"/>
        <w:spacing w:before="0" w:after="0"/>
        <w:jc w:val="both"/>
        <w:rPr/>
      </w:pPr>
      <w:r>
        <w:rPr/>
      </w:r>
    </w:p>
    <w:p>
      <w:pPr>
        <w:pStyle w:val="TextBody"/>
        <w:bidi w:val="0"/>
        <w:spacing w:lineRule="auto" w:line="268"/>
        <w:jc w:val="both"/>
        <w:rPr/>
      </w:pPr>
      <w:r>
        <w:rPr>
          <w:color w:val="000000"/>
        </w:rPr>
        <w:t>“</w:t>
      </w:r>
      <w:r>
        <w:rPr>
          <w:rFonts w:ascii="Times New Roman;sans-serif" w:hAnsi="Times New Roman;sans-serif"/>
          <w:b w:val="false"/>
          <w:color w:val="000000"/>
          <w:sz w:val="24"/>
          <w:u w:val="single"/>
        </w:rPr>
        <w:t>Bonus Unit</w:t>
      </w:r>
      <w:r>
        <w:rPr>
          <w:color w:val="000000"/>
        </w:rPr>
        <w:t xml:space="preserve">” </w:t>
      </w:r>
      <w:r>
        <w:rPr>
          <w:rFonts w:ascii="Times New Roman;sans-serif" w:hAnsi="Times New Roman;sans-serif"/>
          <w:b w:val="false"/>
          <w:color w:val="000000"/>
          <w:sz w:val="24"/>
        </w:rPr>
        <w:t>means a notional unit of measurement that entitles a Participant to receive a payment in cash in accordance with the terms of this Plan. Any Bonus Unit that is forfeited may be, but need not be, reallocated by the Committee in its sole discretion.</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1445"/>
                <wp:effectExtent l="0" t="0" r="0" b="0"/>
                <wp:wrapNone/>
                <wp:docPr id="139" name="Frame1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Bonus Event</w:t>
      </w:r>
      <w:r>
        <w:rPr>
          <w:color w:val="000000"/>
        </w:rPr>
        <w:t xml:space="preserve">” </w:t>
      </w:r>
      <w:r>
        <w:rPr>
          <w:rFonts w:ascii="Times New Roman;sans-serif" w:hAnsi="Times New Roman;sans-serif"/>
          <w:b w:val="false"/>
          <w:color w:val="000000"/>
          <w:sz w:val="24"/>
        </w:rPr>
        <w:t>means any of a JV Transaction, Lease Transaction, or a Sale Transaction.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unless otherwise determined by the Committee in the applicable Award notice, with respect to a Participant’s termination of employment or service, the following: (a) if there is no employment, consulting, severance, change in control, or similar agreement in effect between a Company Entity and the Participant at the time of termination (or if there is such an agreement but it does not define “cause” (or words of like import)), termination due to a Participant’s: (i) commission of, indictment for, or plea of guilty or no contest to, a felony (or state law equivalent) or a crime involving dishonesty or moral turpitude or the commission of any other act involving willful malfeasance or breach of fiduciary duty with respect to any Company Entity; (ii) substantial and repeated failure to perform the Participant’s duties or to follow any lawful directive from any Company Entity; (iii) conduct that brings or is reasonably likely to bring any Company Entity negative publicity or into public disgrace, embarrassment, or disrepute; (iv) fraud, theft, embezzlement, gross negligence or willful misconduct with respect to any Company Entity; (v) violation of any Company Entity’s written policies or codes of conduct, including written policies related to discrimination, harassment, retaliation, performance of illegal or unethical activities, or ethical misconduct; or (vi) breach of any agreement with any Company Entity, including, without limitation, any non-competition, non-solicitation, no-hire, or confidentiality covenant between the Participant and any Company Entity; or (b) if there is an employment, consulting, severance, change in control, or similar agreement in effect between a Company Entity and the Participant at the time of termination of employment or service that defines “cause” (or words of like import), “cause” as defined under such agreement.</w:t>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and the Treasury Regulations and other official guidance promulgated thereunder.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Coin Business</w:t>
      </w:r>
      <w:r>
        <w:rPr>
          <w:color w:val="000000"/>
        </w:rPr>
        <w:t xml:space="preserve">” </w:t>
      </w:r>
      <w:r>
        <w:rPr>
          <w:rFonts w:ascii="Times New Roman;sans-serif" w:hAnsi="Times New Roman;sans-serif"/>
          <w:b w:val="false"/>
          <w:color w:val="000000"/>
          <w:sz w:val="24"/>
        </w:rPr>
        <w:t>means the business and assets directly and indirectly owned and operated by Cumulus Coin Holdings, LLC and its Subsidiaries.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 xml:space="preserve">means the Compensation Committee of the Board.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Company Entities</w:t>
      </w:r>
      <w:r>
        <w:rPr>
          <w:color w:val="000000"/>
        </w:rPr>
        <w:t xml:space="preserve">” </w:t>
      </w:r>
      <w:r>
        <w:rPr>
          <w:rFonts w:ascii="Times New Roman;sans-serif" w:hAnsi="Times New Roman;sans-serif"/>
          <w:b w:val="false"/>
          <w:color w:val="000000"/>
          <w:sz w:val="24"/>
        </w:rPr>
        <w:t>means, collectively, the Company, its Subsidiaries and Affiliates.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Lease Transaction</w:t>
      </w:r>
      <w:r>
        <w:rPr>
          <w:color w:val="000000"/>
        </w:rPr>
        <w:t xml:space="preserve">” </w:t>
      </w:r>
      <w:r>
        <w:rPr>
          <w:rFonts w:ascii="Times New Roman;sans-serif" w:hAnsi="Times New Roman;sans-serif"/>
          <w:b w:val="false"/>
          <w:color w:val="000000"/>
          <w:sz w:val="24"/>
        </w:rPr>
        <w:t>means a long-term lease or sale of one or more powered shell buildings on the existing campus owned by Cumulus.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JV Transaction</w:t>
      </w:r>
      <w:r>
        <w:rPr>
          <w:color w:val="000000"/>
        </w:rPr>
        <w:t xml:space="preserve">” </w:t>
      </w:r>
      <w:r>
        <w:rPr>
          <w:rFonts w:ascii="Times New Roman;sans-serif" w:hAnsi="Times New Roman;sans-serif"/>
          <w:b w:val="false"/>
          <w:color w:val="000000"/>
          <w:sz w:val="24"/>
        </w:rPr>
        <w:t>means the formation of a partnership or contractual joint venture arrangement with a third party with respect to the ownership and/or operations of Cumulus or its assets.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Modified Cap</w:t>
      </w:r>
      <w:r>
        <w:rPr>
          <w:color w:val="000000"/>
        </w:rPr>
        <w:t xml:space="preserve">” </w:t>
      </w:r>
      <w:r>
        <w:rPr>
          <w:rFonts w:ascii="Times New Roman;sans-serif" w:hAnsi="Times New Roman;sans-serif"/>
          <w:b w:val="false"/>
          <w:color w:val="000000"/>
          <w:sz w:val="24"/>
        </w:rPr>
        <w:t>means the value set forth in the Award notice with respect to each Participant, above which the provisions set forth in Section 4.4 will apply.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 xml:space="preserve">means any employee or other service provider of any Company Entity providing services in respect of Cumulus who is selected to participate in, and granted an Award under, this Plan in accordance with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of this Plan.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1445"/>
                <wp:effectExtent l="0" t="0" r="0" b="0"/>
                <wp:wrapNone/>
                <wp:docPr id="140" name="Frame1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Payment Milestone</w:t>
      </w:r>
      <w:r>
        <w:rPr>
          <w:color w:val="000000"/>
        </w:rPr>
        <w:t xml:space="preserve">” </w:t>
      </w:r>
      <w:r>
        <w:rPr>
          <w:rFonts w:ascii="Times New Roman;sans-serif" w:hAnsi="Times New Roman;sans-serif"/>
          <w:b w:val="false"/>
          <w:color w:val="000000"/>
          <w:sz w:val="24"/>
        </w:rPr>
        <w:t xml:space="preserve">means an event specified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associated with a Bonus Event which results in the calculation of a Bonus Pool and payment of a Bonus Amount, in each case, measured during the Plan Term.</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a partnership, a corporation, a limited liability company, an association, a joint stock company, a trust, a joint venture, an unincorporated organization, and a government or any branch, department, agency, political subdivision, or official thereof.</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Plan Term</w:t>
      </w:r>
      <w:r>
        <w:rPr>
          <w:color w:val="000000"/>
        </w:rPr>
        <w:t xml:space="preserve">” </w:t>
      </w:r>
      <w:r>
        <w:rPr>
          <w:rFonts w:ascii="Times New Roman;sans-serif" w:hAnsi="Times New Roman;sans-serif"/>
          <w:b w:val="false"/>
          <w:color w:val="000000"/>
          <w:sz w:val="24"/>
        </w:rPr>
        <w:t>means the period from the Effective Date through December 31, 2025.</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Restrictive Covenant Agreement</w:t>
      </w:r>
      <w:r>
        <w:rPr>
          <w:color w:val="000000"/>
        </w:rPr>
        <w:t xml:space="preserve">” </w:t>
      </w:r>
      <w:r>
        <w:rPr>
          <w:rFonts w:ascii="Times New Roman;sans-serif" w:hAnsi="Times New Roman;sans-serif"/>
          <w:b w:val="false"/>
          <w:color w:val="000000"/>
          <w:sz w:val="24"/>
        </w:rPr>
        <w:t>means any nondisclosure, noncompetition, nonsolicitation, nondisparagement, or other similar restrictive covenants agreed to by the Participant for the benefit of the Company Entities and/or Cumulus, including any such restrictions entered into in connection with the grant of Awards hereunder.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Sale Transaction</w:t>
      </w:r>
      <w:r>
        <w:rPr>
          <w:color w:val="000000"/>
        </w:rPr>
        <w:t xml:space="preserve">” </w:t>
      </w:r>
      <w:r>
        <w:rPr>
          <w:rFonts w:ascii="Times New Roman;sans-serif" w:hAnsi="Times New Roman;sans-serif"/>
          <w:b w:val="false"/>
          <w:color w:val="000000"/>
          <w:sz w:val="24"/>
        </w:rPr>
        <w:t>means a sale to a third party of all or substantially all of the membership interests in, or assets of, Cumulus, including indirectly through a sale of all of the membership interests in, or assets of, Cumulus Digital Holdings, LLC or a designated Subsidiary thereof.</w:t>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any corporation, partnership, limited liability company, or other entity in which a Person owns, directly or indirectly, stock or other equity securities or interests possessing 50% or more of the total combined voting power of such entity.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ans-serif" w:hAnsi="Times New Roman;sans-serif"/>
          <w:b w:val="false"/>
          <w:color w:val="000000"/>
          <w:sz w:val="24"/>
          <w:u w:val="single"/>
        </w:rPr>
        <w:t>Unit Reserve</w:t>
      </w:r>
      <w:r>
        <w:rPr>
          <w:color w:val="000000"/>
        </w:rPr>
        <w:t xml:space="preserve">” </w:t>
      </w:r>
      <w:r>
        <w:rPr>
          <w:rFonts w:ascii="Times New Roman;sans-serif" w:hAnsi="Times New Roman;sans-serif"/>
          <w:b w:val="false"/>
          <w:color w:val="000000"/>
          <w:sz w:val="24"/>
        </w:rPr>
        <w:t>means 1,000 Bonus Units.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III</w:t>
        <w:br/>
        <w:t>ADMINISTRATION OF THIS PLAN</w:t>
      </w:r>
    </w:p>
    <w:p>
      <w:pPr>
        <w:pStyle w:val="TextBody"/>
        <w:bidi w:val="0"/>
        <w:spacing w:lineRule="auto" w:line="268" w:before="0" w:after="0"/>
        <w:jc w:val="both"/>
        <w:rPr/>
      </w:pPr>
      <w:r>
        <w:rPr>
          <w:rFonts w:ascii="Times New Roman;sans-serif" w:hAnsi="Times New Roman;sans-serif"/>
          <w:b w:val="false"/>
          <w:color w:val="000000"/>
          <w:sz w:val="24"/>
        </w:rPr>
        <w:t xml:space="preserve">3.1 </w:t>
      </w:r>
      <w:r>
        <w:rPr>
          <w:rFonts w:ascii="Times New Roman;sans-serif" w:hAnsi="Times New Roman;sans-serif"/>
          <w:b w:val="false"/>
          <w:color w:val="000000"/>
          <w:sz w:val="24"/>
          <w:u w:val="single"/>
        </w:rPr>
        <w:t>Committee</w:t>
      </w:r>
      <w:r>
        <w:rPr>
          <w:rFonts w:ascii="Times New Roman;sans-serif" w:hAnsi="Times New Roman;sans-serif"/>
          <w:b w:val="false"/>
          <w:color w:val="000000"/>
          <w:sz w:val="24"/>
        </w:rPr>
        <w:t>. This Plan shall be administered by the Committee.</w:t>
      </w:r>
    </w:p>
    <w:p>
      <w:pPr>
        <w:pStyle w:val="TextBody"/>
        <w:bidi w:val="0"/>
        <w:spacing w:before="0" w:after="0"/>
        <w:jc w:val="both"/>
        <w:rPr/>
      </w:pPr>
      <w:r>
        <w:rPr/>
      </w:r>
    </w:p>
    <w:p>
      <w:pPr>
        <w:pStyle w:val="TextBody"/>
        <w:bidi w:val="0"/>
        <w:spacing w:lineRule="auto" w:line="268" w:before="0" w:after="240"/>
        <w:ind w:left="0" w:right="0" w:firstLine="720"/>
        <w:jc w:val="both"/>
        <w:rPr/>
      </w:pPr>
      <w:r>
        <w:rPr>
          <w:rFonts w:ascii="Times New Roman;sans-serif" w:hAnsi="Times New Roman;sans-serif"/>
          <w:b w:val="false"/>
          <w:color w:val="000000"/>
          <w:sz w:val="24"/>
        </w:rPr>
        <w:t xml:space="preserve">3.2 </w:t>
      </w:r>
      <w:r>
        <w:rPr>
          <w:rFonts w:ascii="Times New Roman;sans-serif" w:hAnsi="Times New Roman;sans-serif"/>
          <w:b w:val="false"/>
          <w:color w:val="000000"/>
          <w:sz w:val="24"/>
          <w:u w:val="single"/>
        </w:rPr>
        <w:t>Procedures</w:t>
      </w:r>
      <w:r>
        <w:rPr>
          <w:rFonts w:ascii="Times New Roman;sans-serif" w:hAnsi="Times New Roman;sans-serif"/>
          <w:b w:val="false"/>
          <w:color w:val="000000"/>
          <w:sz w:val="24"/>
        </w:rPr>
        <w:t>. The Committee shall adopt such rules and regulations as it shall deem appropriate concerning the holding of meetings and the administration of this Plan. The Committee may, to the extent permissible by applicable law and its charter, delegate any of its authority hereunder to any Persons as it deems appropriate.</w:t>
      </w:r>
    </w:p>
    <w:p>
      <w:pPr>
        <w:pStyle w:val="TextBody"/>
        <w:bidi w:val="0"/>
        <w:spacing w:lineRule="auto" w:line="268" w:before="0" w:after="240"/>
        <w:ind w:left="0" w:right="0" w:firstLine="720"/>
        <w:jc w:val="both"/>
        <w:rPr/>
      </w:pPr>
      <w:r>
        <w:rPr>
          <w:rFonts w:ascii="Times New Roman;sans-serif" w:hAnsi="Times New Roman;sans-serif"/>
          <w:b w:val="false"/>
          <w:color w:val="000000"/>
          <w:sz w:val="24"/>
        </w:rPr>
        <w:t xml:space="preserve">3.3 </w:t>
      </w:r>
      <w:r>
        <w:rPr>
          <w:rFonts w:ascii="Times New Roman;sans-serif" w:hAnsi="Times New Roman;sans-serif"/>
          <w:b w:val="false"/>
          <w:color w:val="000000"/>
          <w:sz w:val="24"/>
          <w:u w:val="single"/>
        </w:rPr>
        <w:t>Interpretation; Powers of Committee</w:t>
      </w:r>
      <w:r>
        <w:rPr>
          <w:rFonts w:ascii="Times New Roman;sans-serif" w:hAnsi="Times New Roman;sans-serif"/>
          <w:b w:val="false"/>
          <w:color w:val="000000"/>
          <w:sz w:val="24"/>
        </w:rPr>
        <w:t>. The Committee shall have the responsibility, in its sole discretion, to control, operate, construe, interpret, manage, and administer this Plan and shall have all the discretionary authority that may be necessary or helpful to enable it to discharge its responsibilities with respect to this Plan. The Committee is empowered to correct any defect, supply any omission, or reconcile any inconsistency in this Plan or in any Award in the manner and to the extent the Committee shall deem it desirable to carry it into effect. Determinations made by the Committee under this Plan need not be uniform and may be made selectively among eligible individuals under this Plan, whether or not such individuals are similarly situated. All determinations and interpretations made by the Committee shall be final, binding, and conclusive on all Participants and their heirs, successors, and legal representatives.</w:t>
      </w:r>
    </w:p>
    <w:p>
      <w:pPr>
        <w:pStyle w:val="TextBody"/>
        <w:bidi w:val="0"/>
        <w:spacing w:lineRule="auto" w:line="268" w:before="0" w:after="240"/>
        <w:ind w:left="0" w:right="0" w:firstLine="720"/>
        <w:jc w:val="both"/>
        <w:rPr/>
      </w:pPr>
      <w:r>
        <w:rPr>
          <w:rFonts w:ascii="Times New Roman;sans-serif" w:hAnsi="Times New Roman;sans-serif"/>
          <w:b w:val="false"/>
          <w:color w:val="000000"/>
          <w:sz w:val="24"/>
        </w:rPr>
        <w:t xml:space="preserve">3.4 </w:t>
      </w:r>
      <w:r>
        <w:rPr>
          <w:rFonts w:ascii="Times New Roman;sans-serif" w:hAnsi="Times New Roman;sans-serif"/>
          <w:b w:val="false"/>
          <w:color w:val="000000"/>
          <w:sz w:val="24"/>
          <w:u w:val="single"/>
        </w:rPr>
        <w:t>Participation</w:t>
      </w:r>
      <w:r>
        <w:rPr>
          <w:rFonts w:ascii="Times New Roman;sans-serif" w:hAnsi="Times New Roman;sans-serif"/>
          <w:b w:val="false"/>
          <w:color w:val="000000"/>
          <w:sz w:val="24"/>
        </w:rPr>
        <w:t>. The Committee shall determine the Participants to whom Awards under this Plan shall be granted.</w:t>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1445"/>
                <wp:effectExtent l="0" t="0" r="0" b="0"/>
                <wp:wrapNone/>
                <wp:docPr id="141" name="Frame1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IV</w:t>
        <w:br/>
        <w:t>GRANT AND PAYMENT OF AWARDS</w:t>
      </w:r>
    </w:p>
    <w:p>
      <w:pPr>
        <w:pStyle w:val="TextBody"/>
        <w:bidi w:val="0"/>
        <w:spacing w:lineRule="auto" w:line="268" w:before="0" w:after="240"/>
        <w:ind w:left="0" w:right="0" w:firstLine="720"/>
        <w:jc w:val="both"/>
        <w:rPr/>
      </w:pPr>
      <w:r>
        <w:rPr>
          <w:rFonts w:ascii="Times New Roman;sans-serif" w:hAnsi="Times New Roman;sans-serif"/>
          <w:b w:val="false"/>
          <w:color w:val="000000"/>
          <w:sz w:val="24"/>
        </w:rPr>
        <w:t xml:space="preserve">4.1 </w:t>
      </w:r>
      <w:r>
        <w:rPr>
          <w:rFonts w:ascii="Times New Roman;sans-serif" w:hAnsi="Times New Roman;sans-serif"/>
          <w:b w:val="false"/>
          <w:color w:val="000000"/>
          <w:sz w:val="24"/>
          <w:u w:val="single"/>
        </w:rPr>
        <w:t>Grant of Awards</w:t>
      </w:r>
      <w:r>
        <w:rPr>
          <w:rFonts w:ascii="Times New Roman;sans-serif" w:hAnsi="Times New Roman;sans-serif"/>
          <w:b w:val="false"/>
          <w:color w:val="000000"/>
          <w:sz w:val="24"/>
        </w:rPr>
        <w:t>.</w:t>
      </w:r>
    </w:p>
    <w:p>
      <w:pPr>
        <w:pStyle w:val="TextBody"/>
        <w:bidi w:val="0"/>
        <w:spacing w:lineRule="auto" w:line="268" w:before="0" w:after="180"/>
        <w:ind w:left="0" w:right="0" w:firstLine="900"/>
        <w:jc w:val="both"/>
        <w:rPr>
          <w:rFonts w:ascii="Times New Roman;sans-serif" w:hAnsi="Times New Roman;sans-serif"/>
          <w:b w:val="false"/>
          <w:color w:val="000000"/>
          <w:sz w:val="24"/>
        </w:rPr>
      </w:pPr>
      <w:r>
        <w:rPr>
          <w:rFonts w:ascii="Times New Roman;sans-serif" w:hAnsi="Times New Roman;sans-serif"/>
          <w:b w:val="false"/>
          <w:color w:val="000000"/>
          <w:sz w:val="24"/>
        </w:rPr>
        <w:t>(a)Awards granted under this Plan shall contain the total number of Bonus Units granted with respect to such Award. The Committee shall determine the total number of Bonus Units granted for each Award in its discretion.</w:t>
      </w:r>
    </w:p>
    <w:p>
      <w:pPr>
        <w:pStyle w:val="TextBody"/>
        <w:bidi w:val="0"/>
        <w:spacing w:lineRule="auto" w:line="268" w:before="0" w:after="180"/>
        <w:ind w:left="0" w:right="0" w:firstLine="900"/>
        <w:jc w:val="both"/>
        <w:rPr>
          <w:rFonts w:ascii="Times New Roman;sans-serif" w:hAnsi="Times New Roman;sans-serif"/>
          <w:b w:val="false"/>
          <w:color w:val="000000"/>
          <w:sz w:val="24"/>
        </w:rPr>
      </w:pPr>
      <w:r>
        <w:rPr>
          <w:rFonts w:ascii="Times New Roman;sans-serif" w:hAnsi="Times New Roman;sans-serif"/>
          <w:b w:val="false"/>
          <w:color w:val="000000"/>
          <w:sz w:val="24"/>
        </w:rPr>
        <w:t>(b)An Award granted hereunder generally provides for payment of Bonus Amounts to a Participant with respect to any Bonus Event that occurs during the Plan Term, subject to, except as expressly provided below, the Participant remaining employed with, or providing services to, a Company Entity through occurrence of the Bonus Event and associated Payment Milestone. The Bonus Amount for each Bonus Year shall be based on the number of Bonus Units held by the Participant as of the end of such Bonus Year and the Bonus Pool for such Bonus Year.</w: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4.2 </w:t>
      </w:r>
      <w:r>
        <w:rPr>
          <w:rFonts w:ascii="Times New Roman;sans-serif" w:hAnsi="Times New Roman;sans-serif"/>
          <w:b w:val="false"/>
          <w:color w:val="000000"/>
          <w:sz w:val="24"/>
          <w:u w:val="single"/>
        </w:rPr>
        <w:t>Determination of Bonus Pool</w:t>
      </w:r>
      <w:r>
        <w:rPr>
          <w:rFonts w:ascii="Times New Roman;sans-serif" w:hAnsi="Times New Roman;sans-serif"/>
          <w:b w:val="false"/>
          <w:color w:val="000000"/>
          <w:sz w:val="24"/>
        </w:rPr>
        <w:t xml:space="preserve">. The Bonus Pool shall be determined by the Committee with respect to each Bonus Event and associated Payment Milestones in its sole discretion, based on the principles described in the attached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Bonus Pools may be payable in connection with a contemplated JV Transaction, Lease Transaction, Sale Transaction or a combination of such transactions, depending on the nature of the actual transaction or transactions entered into by the Company and Cumulus. While the formulations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reflect the current intention of the Company with respect to the Plan, the Committee reserves the right to modify the calculation of the Bonus Pool associated with any Bonus Event or Payment Milestone to the extent necessary to achieve the purposes of this Plan, and to create new Bonus Events or Payment Milestones, as reasonably determined by the Committee in good faith.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4.3 </w:t>
      </w:r>
      <w:r>
        <w:rPr>
          <w:rFonts w:ascii="Times New Roman;sans-serif" w:hAnsi="Times New Roman;sans-serif"/>
          <w:b w:val="false"/>
          <w:color w:val="000000"/>
          <w:sz w:val="24"/>
          <w:u w:val="single"/>
        </w:rPr>
        <w:t>Determination of Bonus Amount</w:t>
      </w:r>
      <w:r>
        <w:rPr>
          <w:rFonts w:ascii="Times New Roman;sans-serif" w:hAnsi="Times New Roman;sans-serif"/>
          <w:b w:val="false"/>
          <w:color w:val="000000"/>
          <w:sz w:val="24"/>
        </w:rPr>
        <w:t>. In connection with each Payment Milestone associated with a Bonus Event, the Committee shall determine the Bonus Amounts payable to each Participant who holds Bonus Units as of the relevant Payment Milestone, in accordance with the terms and conditions of this Plan. All such determinations shall be final, conclusive, and binding on the Company Entities, all Participants, and any other interested parties.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4.4 </w:t>
      </w:r>
      <w:r>
        <w:rPr>
          <w:rFonts w:ascii="Times New Roman;sans-serif" w:hAnsi="Times New Roman;sans-serif"/>
          <w:b w:val="false"/>
          <w:color w:val="000000"/>
          <w:sz w:val="24"/>
          <w:u w:val="single"/>
        </w:rPr>
        <w:t>Modified Cap on Bonus Pool.</w:t>
      </w:r>
      <w:r>
        <w:rPr>
          <w:color w:val="000000"/>
        </w:rPr>
        <w:t xml:space="preserve"> </w:t>
      </w:r>
      <w:r>
        <w:rPr>
          <w:rFonts w:ascii="Times New Roman;sans-serif" w:hAnsi="Times New Roman;sans-serif"/>
          <w:b w:val="false"/>
          <w:color w:val="000000"/>
          <w:sz w:val="24"/>
        </w:rPr>
        <w:t xml:space="preserve">In the event that the aggregate Bonus Amounts otherwise payable during the Plan Term in respect of any Award hereunder would exceed the Participant’s Modified Cap, any incremental Bonus Amount above the Modified Cap will be calculated by multiplying the amount otherwise payable by 20%.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4.5 </w:t>
      </w:r>
      <w:r>
        <w:rPr>
          <w:rFonts w:ascii="Times New Roman;sans-serif" w:hAnsi="Times New Roman;sans-serif"/>
          <w:b w:val="false"/>
          <w:color w:val="000000"/>
          <w:sz w:val="24"/>
          <w:u w:val="single"/>
        </w:rPr>
        <w:t>Conditions to Payment of Bonus Amount.</w:t>
      </w:r>
      <w:r>
        <w:rPr>
          <w:color w:val="000000"/>
        </w:rPr>
        <w:t xml:space="preserve"> </w:t>
      </w:r>
      <w:r>
        <w:rPr>
          <w:rFonts w:ascii="Times New Roman;sans-serif" w:hAnsi="Times New Roman;sans-serif"/>
          <w:b w:val="false"/>
          <w:color w:val="000000"/>
          <w:sz w:val="24"/>
        </w:rPr>
        <w:t xml:space="preserve">In addition to the condition set forth in </w:t>
      </w:r>
      <w:r>
        <w:rPr>
          <w:rFonts w:ascii="Times New Roman;sans-serif" w:hAnsi="Times New Roman;sans-serif"/>
          <w:b w:val="false"/>
          <w:color w:val="000000"/>
          <w:sz w:val="24"/>
          <w:u w:val="single"/>
        </w:rPr>
        <w:t>Section 4.1(b)</w:t>
      </w:r>
      <w:r>
        <w:rPr>
          <w:rFonts w:ascii="Times New Roman;sans-serif" w:hAnsi="Times New Roman;sans-serif"/>
          <w:b w:val="false"/>
          <w:color w:val="000000"/>
          <w:sz w:val="24"/>
        </w:rPr>
        <w:t>, payment of any Bonus Amount in respect of any Award hereunder shall be conditioned upon (a) the Participant’s compliance at all times with all applicable Restrictive Covenant Agreements and (b) the Participant maintaining strict confidentiality of this Plan and the Award without disclosure to any Person other than immediate family members, legal advisors, or personal tax or financial advisors.</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ans-serif" w:hAnsi="Times New Roman;sans-serif"/>
          <w:b w:val="false"/>
          <w:color w:val="000000"/>
          <w:sz w:val="24"/>
        </w:rPr>
        <w:t xml:space="preserve">4.6 </w:t>
      </w:r>
      <w:r>
        <w:rPr>
          <w:rFonts w:ascii="Times New Roman;sans-serif" w:hAnsi="Times New Roman;sans-serif"/>
          <w:b w:val="false"/>
          <w:color w:val="000000"/>
          <w:sz w:val="24"/>
          <w:u w:val="single"/>
        </w:rPr>
        <w:t>Time and Form of Payment of Bonus Amount.</w:t>
      </w:r>
      <w:r>
        <w:rPr>
          <w:color w:val="000000"/>
        </w:rPr>
        <w:t xml:space="preserve"> </w:t>
      </w:r>
      <w:r>
        <w:rPr>
          <w:rFonts w:ascii="Times New Roman;sans-serif" w:hAnsi="Times New Roman;sans-serif"/>
          <w:b w:val="false"/>
          <w:color w:val="000000"/>
          <w:sz w:val="24"/>
        </w:rPr>
        <w:t xml:space="preserve">Subject to the provisions of this </w:t>
      </w:r>
      <w:r>
        <w:rPr>
          <w:rFonts w:ascii="Times New Roman;sans-serif" w:hAnsi="Times New Roman;sans-serif"/>
          <w:b w:val="false"/>
          <w:color w:val="000000"/>
          <w:sz w:val="24"/>
          <w:u w:val="single"/>
        </w:rPr>
        <w:t>Article IV</w:t>
      </w:r>
      <w:r>
        <w:rPr>
          <w:rFonts w:ascii="Times New Roman;sans-serif" w:hAnsi="Times New Roman;sans-serif"/>
          <w:b w:val="false"/>
          <w:color w:val="000000"/>
          <w:sz w:val="24"/>
        </w:rPr>
        <w:t xml:space="preserve">, the Bonus Amount that becomes payable in respect of any Payment Milestone </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1445"/>
                <wp:effectExtent l="0" t="0" r="0" b="0"/>
                <wp:wrapNone/>
                <wp:docPr id="142" name="Frame1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hereunder shall be paid to the Participant within 30 days following the occurrence of the applicable Payment Milestone in a single lump sum payment.</w:t>
      </w:r>
    </w:p>
    <w:p>
      <w:pPr>
        <w:pStyle w:val="TextBody"/>
        <w:bidi w:val="0"/>
        <w:spacing w:before="0" w:after="0"/>
        <w:ind w:left="0" w:right="0" w:firstLine="720"/>
        <w:jc w:val="both"/>
        <w:rPr/>
      </w:pPr>
      <w:r>
        <w:rPr/>
      </w:r>
    </w:p>
    <w:p>
      <w:pPr>
        <w:pStyle w:val="TextBody"/>
        <w:bidi w:val="0"/>
        <w:spacing w:lineRule="auto" w:line="268" w:before="0" w:after="240"/>
        <w:ind w:left="0" w:right="0" w:firstLine="720"/>
        <w:jc w:val="left"/>
        <w:rPr/>
      </w:pPr>
      <w:r>
        <w:rPr>
          <w:rFonts w:ascii="Times New Roman;sans-serif" w:hAnsi="Times New Roman;sans-serif"/>
          <w:b w:val="false"/>
          <w:color w:val="000000"/>
          <w:sz w:val="24"/>
        </w:rPr>
        <w:t xml:space="preserve">4.7 </w:t>
      </w:r>
      <w:r>
        <w:rPr>
          <w:rFonts w:ascii="Times New Roman;sans-serif" w:hAnsi="Times New Roman;sans-serif"/>
          <w:b w:val="false"/>
          <w:color w:val="000000"/>
          <w:sz w:val="24"/>
          <w:u w:val="single"/>
        </w:rPr>
        <w:t>Termination and Forfeiture of Award.</w:t>
      </w:r>
      <w:r>
        <w:rPr>
          <w:color w:val="000000"/>
        </w:rPr>
        <w:t xml:space="preserve"> </w:t>
      </w:r>
      <w:r>
        <w:rPr>
          <w:rFonts w:ascii="Times New Roman;sans-serif" w:hAnsi="Times New Roman;sans-serif"/>
          <w:b w:val="false"/>
          <w:color w:val="000000"/>
          <w:sz w:val="24"/>
        </w:rPr>
        <w:t xml:space="preserve">Except as expressly set forth below, if the Participant’s employment or service with the Company Entities is terminated by any Company Entity for any reason or any of the other conditions to payment in </w:t>
      </w:r>
      <w:r>
        <w:rPr>
          <w:rFonts w:ascii="Times New Roman;sans-serif" w:hAnsi="Times New Roman;sans-serif"/>
          <w:b w:val="false"/>
          <w:color w:val="000000"/>
          <w:sz w:val="24"/>
          <w:u w:val="single"/>
        </w:rPr>
        <w:t>Section 4.5</w:t>
      </w:r>
      <w:r>
        <w:rPr>
          <w:color w:val="000000"/>
        </w:rPr>
        <w:t xml:space="preserve"> </w:t>
      </w:r>
      <w:r>
        <w:rPr>
          <w:rFonts w:ascii="Times New Roman;sans-serif" w:hAnsi="Times New Roman;sans-serif"/>
          <w:b w:val="false"/>
          <w:color w:val="000000"/>
          <w:sz w:val="24"/>
        </w:rPr>
        <w:t>are not satisfied (or are otherwise violated), then the Award and the Bonus Units subject thereto shall immediately terminate and be forfeited and no Bonus Amounts shall thereafter be paid to the Participant. Notwithstanding the foregoing, in the event (x) a Participant’s position with the Company is eliminated in connection with any Bonus Event by the Company for reasons other than Cause and the Participant is not offered employment with any Company Entity following the elimination of such position and (y) such Participant executes, without revoking, a general waiver and release of claims in the form prescribed by the Committee, the Participant will be entitled to payment of any Bonus Amounts calculated with respect to any Bonus Pools created for any subsequent Payment Milestones during the Plan Term associated with such Bonus Event occurring prior to such termination (or any previously completed Bonus Event that prompted such termination). The Committee is not obligated to reallocate any portion of a forfeited or unpaid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ARTICLE V</w:t>
        <w:br/>
        <w:t>MISCELLANEOUS</w: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5.1 </w:t>
      </w:r>
      <w:r>
        <w:rPr>
          <w:rFonts w:ascii="Times New Roman;sans-serif" w:hAnsi="Times New Roman;sans-serif"/>
          <w:b w:val="false"/>
          <w:color w:val="000000"/>
          <w:sz w:val="24"/>
          <w:u w:val="single"/>
        </w:rPr>
        <w:t>Successors.</w:t>
      </w:r>
      <w:r>
        <w:rPr>
          <w:color w:val="000000"/>
        </w:rPr>
        <w:t xml:space="preserve"> </w:t>
      </w:r>
      <w:r>
        <w:rPr>
          <w:rFonts w:ascii="Times New Roman;sans-serif" w:hAnsi="Times New Roman;sans-serif"/>
          <w:b w:val="false"/>
          <w:color w:val="000000"/>
          <w:sz w:val="24"/>
        </w:rPr>
        <w:t>For purposes of this Plan, the Company shall include any successors or assigns, whether direct or indirect and whether by purchase, merger, consolidation, or otherwise, to all or substantially all of the business or assets of the Company, and such successors and assigns shall perform the Company’s obligations under this Plan in the same manner and to the same extent that the Company would be required to perform if no such succession or assignment had taken place. Without limiting the foregoing, the Company may transfer sponsorship of this Plan and the associated responsibility to pay any amounts due with respect to any Awards under the Plan to Cumulus or any Subsidiary or Affiliate thereof. The term “Company” as used in this Plan means the Company, as hereinbefore defined, and any successor or assignee to the business or assets thereof that by reason hereof becomes bound by the terms and provisions of this Plan.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5.2 </w:t>
      </w:r>
      <w:r>
        <w:rPr>
          <w:rFonts w:ascii="Times New Roman;sans-serif" w:hAnsi="Times New Roman;sans-serif"/>
          <w:b w:val="false"/>
          <w:color w:val="000000"/>
          <w:sz w:val="24"/>
          <w:u w:val="single"/>
        </w:rPr>
        <w:t>Non-Transferability</w:t>
      </w:r>
      <w:r>
        <w:rPr>
          <w:rFonts w:ascii="Times New Roman;sans-serif" w:hAnsi="Times New Roman;sans-serif"/>
          <w:b w:val="false"/>
          <w:color w:val="000000"/>
          <w:sz w:val="24"/>
        </w:rPr>
        <w:t xml:space="preserve">. No Award or right to receive payment under this Plan may be assignable or otherwise transferrable by the Participant other than by the laws of descent or distribution. Any transfer or attempted transfer of an Award or a right to receive payment under this Plan contrary to this </w:t>
      </w:r>
      <w:r>
        <w:rPr>
          <w:rFonts w:ascii="Times New Roman;sans-serif" w:hAnsi="Times New Roman;sans-serif"/>
          <w:b w:val="false"/>
          <w:color w:val="000000"/>
          <w:sz w:val="24"/>
          <w:u w:val="single"/>
        </w:rPr>
        <w:t>Section 5.2</w:t>
      </w:r>
      <w:r>
        <w:rPr>
          <w:color w:val="000000"/>
        </w:rPr>
        <w:t xml:space="preserve"> </w:t>
      </w:r>
      <w:r>
        <w:rPr>
          <w:rFonts w:ascii="Times New Roman;sans-serif" w:hAnsi="Times New Roman;sans-serif"/>
          <w:b w:val="false"/>
          <w:color w:val="000000"/>
          <w:sz w:val="24"/>
        </w:rPr>
        <w:t>shall be void.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5.3 </w:t>
      </w:r>
      <w:r>
        <w:rPr>
          <w:rFonts w:ascii="Times New Roman;sans-serif" w:hAnsi="Times New Roman;sans-serif"/>
          <w:b w:val="false"/>
          <w:color w:val="000000"/>
          <w:sz w:val="24"/>
          <w:u w:val="single"/>
        </w:rPr>
        <w:t>Withholding Taxes</w:t>
      </w:r>
      <w:r>
        <w:rPr>
          <w:rFonts w:ascii="Times New Roman;sans-serif" w:hAnsi="Times New Roman;sans-serif"/>
          <w:b w:val="false"/>
          <w:color w:val="000000"/>
          <w:sz w:val="24"/>
        </w:rPr>
        <w:t>. Upon any payment of any Award, the Company or its applicable Subsidiary shall have the right to deduct from any amount payable to the Participant in cash in respect of the Award the amount of any taxes that the Company Entity may be required to withhold with respect to such settlement. No Company Entity shall have any liability for any tax imposed on a Participant as a result of amounts paid or payable to such Participant under this Plan.</w:t>
      </w:r>
    </w:p>
    <w:p>
      <w:pPr>
        <w:pStyle w:val="TextBody"/>
        <w:bidi w:val="0"/>
        <w:spacing w:before="0" w:after="0"/>
        <w:ind w:left="0" w:right="0" w:firstLine="720"/>
        <w:jc w:val="both"/>
        <w:rPr/>
      </w:pPr>
      <w:r>
        <w:rPr/>
      </w:r>
    </w:p>
    <w:p>
      <w:pPr>
        <w:pStyle w:val="TextBody"/>
        <w:bidi w:val="0"/>
        <w:spacing w:lineRule="auto" w:line="276"/>
        <w:ind w:left="0" w:right="0" w:firstLine="720"/>
        <w:jc w:val="left"/>
        <w:rPr/>
      </w:pPr>
      <w:r>
        <w:rPr>
          <w:rFonts w:ascii="Times New Roman;sans-serif" w:hAnsi="Times New Roman;sans-serif"/>
          <w:b w:val="false"/>
          <w:color w:val="000000"/>
          <w:sz w:val="24"/>
        </w:rPr>
        <w:t xml:space="preserve">5.4 </w:t>
      </w:r>
      <w:r>
        <w:rPr>
          <w:rFonts w:ascii="Times New Roman;sans-serif" w:hAnsi="Times New Roman;sans-serif"/>
          <w:b w:val="false"/>
          <w:color w:val="000000"/>
          <w:sz w:val="24"/>
          <w:u w:val="single"/>
        </w:rPr>
        <w:t>Amendment or Termination of this Plan</w:t>
      </w:r>
      <w:r>
        <w:rPr>
          <w:rFonts w:ascii="Times New Roman;sans-serif" w:hAnsi="Times New Roman;sans-serif"/>
          <w:b w:val="false"/>
          <w:color w:val="000000"/>
          <w:sz w:val="24"/>
        </w:rPr>
        <w:t xml:space="preserve">. This Plan may be amended to the extent not materially detrimental to the Participants with respect to any Bonus Event that has already occurred by action of the Board at any time without Participant consent. The Board may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445"/>
                <wp:effectExtent l="0" t="0" r="0" b="0"/>
                <wp:wrapNone/>
                <wp:docPr id="143" name="Frame1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76" w:before="0" w:after="0"/>
        <w:jc w:val="left"/>
        <w:rPr/>
      </w:pPr>
      <w:r>
        <w:rPr>
          <w:rFonts w:ascii="Times New Roman;sans-serif" w:hAnsi="Times New Roman;sans-serif"/>
          <w:b w:val="false"/>
          <w:color w:val="000000"/>
          <w:sz w:val="24"/>
        </w:rPr>
        <w:t xml:space="preserve">terminate this Plan at any time without Participant consent </w:t>
      </w:r>
      <w:r>
        <w:rPr>
          <w:rFonts w:ascii="Times New Roman;sans-serif" w:hAnsi="Times New Roman;sans-serif"/>
          <w:b w:val="false"/>
          <w:color w:val="000000"/>
          <w:sz w:val="24"/>
          <w:u w:val="single"/>
        </w:rPr>
        <w:t xml:space="preserve">Amendment or Termination of this Plan </w:t>
      </w:r>
      <w:r>
        <w:rPr>
          <w:rFonts w:ascii="Times New Roman;sans-serif" w:hAnsi="Times New Roman;sans-serif"/>
          <w:b w:val="false"/>
          <w:color w:val="000000"/>
          <w:sz w:val="24"/>
        </w:rPr>
        <w:t>Amendment or Termination of this Plan. This Plan may be amended to the extent not materially detrimental to the Participants with respect to any Bonus Event that has already occurred by action of the Board at any time without Participant consent. The Board may terminate this Plan at any time without Participant consent, provided that if such termination occurs prior to the end of a Plan Term, each Participant who holds outstanding Bonus Units as of such termination shall be entitled to payment of any Bonus Amounts payable with respect to any subsequent Payment Milestones occurring during the Plan Term associated with any Bonus Event that has occurred as of the date of such termination, at such time as otherwise called for pursuant to this Plan. The Plan will terminate automatically as of the end of the Plan Term, and only Bonus Amounts payable in respect of Payment Milestones occurring before the end of the Plan will be payable following the Plan Term.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5.5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Whenever possible, each provision of this Plan shall be interpreted in such manner as to be effective and valid under applicable law, but if any provision of this Plan is held to be invalid, illegal, or unenforceable in any respect under any applicable law or rule in any jurisdiction, such invalidity, illegality, or unenforceability shall not affect any other provision or any other jurisdiction, but this Plan shall be reformed, construed, and enforced in such jurisdiction as if such invalid, illegal, or unenforceable provision had never been contained herein.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5.6 </w:t>
      </w:r>
      <w:r>
        <w:rPr>
          <w:rFonts w:ascii="Times New Roman;sans-serif" w:hAnsi="Times New Roman;sans-serif"/>
          <w:b w:val="false"/>
          <w:color w:val="000000"/>
          <w:sz w:val="24"/>
          <w:u w:val="single"/>
        </w:rPr>
        <w:t>Titles and Headings</w:t>
      </w:r>
      <w:r>
        <w:rPr>
          <w:rFonts w:ascii="Times New Roman;sans-serif" w:hAnsi="Times New Roman;sans-serif"/>
          <w:b w:val="false"/>
          <w:color w:val="000000"/>
          <w:sz w:val="24"/>
        </w:rPr>
        <w:t>. The headings and titles used in this Plan are for reference purposes only and shall not affect in any way the meaning or interpretation of this Plan.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5.7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All questions concerning the construction, interpretation, and validity of this Plan, any Award, and any other instruments evidencing the Awards granted hereunder shall be governed by, and construed and enforced in accordance with, the laws of the State of Texas, without giving effect to any choice or conflict of law provision or rule (whether of the State of Texas or any other jurisdiction) that would cause the application of the laws of any jurisdiction other than the state of Texas. In furtherance of the foregoing, the laws of the State of Texas shall control the interpretation and construction of this Plan, even if under such jurisdiction’s choice of law or conflict of law analysis, the substantive law of some other jurisdiction would ordinarily apply.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5.8 </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No member of the Committee or Board, nor any Person to whom administrative or ministerial duties have been delegated, shall be personally liable for any action, interpretation, or determination made with respect to this Plan or the Awards granted hereunder, and each member of the Committee or Board or such Person shall be fully indemnified and protected by the Company with respect to any liability such member may incur with respect to any such action, interpretation, or determination, to the extent permitted by applicable law and to the extent provided in the Company’s governing documents, as amended from time to time, or under any agreement between any such Committee or Board member and the Company.</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445"/>
                <wp:effectExtent l="0" t="0" r="0" b="0"/>
                <wp:wrapNone/>
                <wp:docPr id="144" name="Frame1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5.9 </w:t>
      </w:r>
      <w:r>
        <w:rPr>
          <w:rFonts w:ascii="Times New Roman;sans-serif" w:hAnsi="Times New Roman;sans-serif"/>
          <w:b w:val="false"/>
          <w:color w:val="000000"/>
          <w:sz w:val="24"/>
          <w:u w:val="single"/>
        </w:rPr>
        <w:t>No Right to Continued Service</w:t>
      </w:r>
      <w:r>
        <w:rPr>
          <w:rFonts w:ascii="Times New Roman;sans-serif" w:hAnsi="Times New Roman;sans-serif"/>
          <w:b w:val="false"/>
          <w:color w:val="000000"/>
          <w:sz w:val="24"/>
        </w:rPr>
        <w:t>. Nothing in this Plan shall interfere with or limit in any way any right of any Company Entity to terminate any Participant’s employment or service at any time and for any reason (or no reason), nor confer upon any Participant any right to continued service with any Company Entity for any period of time or to continue such Participant’s present (or any other) rate of compensation. No Participant who is granted an Award under this Plan shall have any right to a grant of future Awards under this Plan. By accepting any payment under this Plan, each Participant and each Person claiming under or through such Participant shall be conclusively deemed to have indicated such Person’s acceptance and ratification of, and consent to, any action taken under this Plan by the Company or the Committee.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5.10 </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Awards under this Plan are special incentives and shall not be taken into account in computing the amount of salary or compensation for purposes of determining any bonus, incentive, pension, retirement, death, or other benefit under any employee benefit plan of any Company Entity, unless such plan or agreement expressly provides otherwise.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5.11 </w:t>
      </w:r>
      <w:r>
        <w:rPr>
          <w:rFonts w:ascii="Times New Roman;sans-serif" w:hAnsi="Times New Roman;sans-serif"/>
          <w:b w:val="false"/>
          <w:color w:val="000000"/>
          <w:sz w:val="24"/>
          <w:u w:val="single"/>
        </w:rPr>
        <w:t>No Right to an Award or Grant; Unfunded Plan</w:t>
      </w:r>
      <w:r>
        <w:rPr>
          <w:rFonts w:ascii="Times New Roman;sans-serif" w:hAnsi="Times New Roman;sans-serif"/>
          <w:b w:val="false"/>
          <w:color w:val="000000"/>
          <w:sz w:val="24"/>
        </w:rPr>
        <w:t>. Neither the adoption of this Plan nor any action of the Board or the Committee shall be deemed to give any Person any right to receive an Award under this Plan, except as may be evidenced by an Award notice duly executed on behalf of the Company, and then only to the extent of and on the terms and conditions expressly set forth in the Award notice. To the extent that any Person acquires a right to receive payments under this Plan, such right shall be no greater than the right of an unsecured general creditor. All payments to be made hereunder shall be paid from general assets. This Plan is not intended to be subject to the Employee Retirement Income Security Act of 1974, as amended.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5.12 </w:t>
      </w:r>
      <w:r>
        <w:rPr>
          <w:rFonts w:ascii="Times New Roman;sans-serif" w:hAnsi="Times New Roman;sans-serif"/>
          <w:b w:val="false"/>
          <w:color w:val="000000"/>
          <w:sz w:val="24"/>
          <w:u w:val="single"/>
        </w:rPr>
        <w:t>Section 409A and 457A of the Code</w:t>
      </w:r>
      <w:r>
        <w:rPr>
          <w:rFonts w:ascii="Times New Roman;sans-serif" w:hAnsi="Times New Roman;sans-serif"/>
          <w:b w:val="false"/>
          <w:color w:val="000000"/>
          <w:sz w:val="24"/>
        </w:rPr>
        <w:t>. This Plan is intended to be exempt from Sections 409A and 457A of the Code and shall be so construed. Should any provision of this Plan be found not to be exempt from Section 409A or 457A of the Code, to the extent possible such provision shall be modified and given effect (retroactively if necessary), in the sole discretion of the Committee, and without the consent of the Participant, in such manner as the Committee determines to be necessary or appropriate to be exempt from or to comply with Section 409A or 457A of the Code. Each payment shall be treated as a separate payment for purposes of Section 409A and 457A of the Code. In no event may a Participant, directly or indirectly, determine the taxable year in which a payment with respect to an Award shall be paid. The Company does not guarantee any particular tax treatment of the Awards granted under this Plan and in no event whatsoever shall any Company Entity be liable for any additional tax, interest, or penalty that may be imposed by Section 409A or 457A of the Code.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10.15</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445"/>
                <wp:effectExtent l="0" t="0" r="0" b="0"/>
                <wp:wrapNone/>
                <wp:docPr id="145" name="Frame1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3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240"/>
        <w:jc w:val="center"/>
        <w:rPr/>
      </w:pPr>
      <w:r>
        <w:rPr>
          <w:rFonts w:ascii="Times New Roman;sans-serif" w:hAnsi="Times New Roman;sans-serif"/>
          <w:b/>
          <w:color w:val="000000"/>
          <w:sz w:val="24"/>
        </w:rPr>
        <w:t xml:space="preserve">CUMULUS LONG-TERM INCENTIVE PLAN </w:t>
        <w:br/>
      </w:r>
      <w:r>
        <w:rPr>
          <w:rFonts w:ascii="Times New Roman;sans-serif" w:hAnsi="Times New Roman;sans-serif"/>
          <w:b w:val="false"/>
          <w:color w:val="000000"/>
          <w:sz w:val="24"/>
        </w:rPr>
        <w:t>AWARD NOTICE</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[E-mail]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[First Name]:</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val="false"/>
          <w:color w:val="000000"/>
          <w:sz w:val="24"/>
        </w:rPr>
        <w:t>On behalf of the Talen Energy Supply, LLC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 am happy to inform you that you have been granted an award (the “</w:t>
      </w:r>
      <w:r>
        <w:rPr>
          <w:rFonts w:ascii="Times New Roman;sans-serif" w:hAnsi="Times New Roman;sans-serif"/>
          <w:b w:val="false"/>
          <w:color w:val="000000"/>
          <w:sz w:val="24"/>
          <w:u w:val="single"/>
        </w:rPr>
        <w:t>Award</w:t>
      </w:r>
      <w:r>
        <w:rPr>
          <w:color w:val="000000"/>
        </w:rPr>
        <w:t>”</w:t>
      </w:r>
      <w:r>
        <w:rPr>
          <w:rFonts w:ascii="Times New Roman;sans-serif" w:hAnsi="Times New Roman;sans-serif"/>
          <w:b w:val="false"/>
          <w:color w:val="000000"/>
          <w:sz w:val="24"/>
        </w:rPr>
        <w:t>) under the Cumulus Long-Term Incentive Plan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effective as of [●]. Capitalized terms that are not defined in this Award notice have the meanings given to them in the Plan. This Award notice and the Award are subject in all respects to the terms and conditions of the Plan, which is incorporated herein by reference.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Your Award consists of [●] Bonus Units under the Plan. The Modified Cap for purposes of your Award is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Plan and this Award notice contain the entire understanding between you, the Company, and its Affiliates with respect to the subject matter hereof, and supersede any and all prior agreements between you, the Company, and any other Company Entity with respect thereto.</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Please confirm your agreement to the foregoing by executing this Award notice as indicated below.</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Talen Energy Supply, LLC</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______________________________________</w:t>
        <w:br/>
        <w:t xml:space="preserve">Name: </w:t>
        <w:br/>
        <w:t>Title:</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Acknowledged and agreed: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 hereby acknowledge that I have received and reviewed a copy of the Plan and this Award notice, and the Award and my participation in the Plan are subject in all respects to the terms and conditions of the Award and the Plan. I understand and agree to the terms and conditions of the Plan and this Award notice.</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w:t>
        <w:br/>
        <w:t>[Participant]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10.16</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Award Notice</w:t>
                            </w:r>
                            <w:r>
                              <w:rPr>
                                <w:rFonts w:ascii="Times New Roman;sans-serif" w:hAnsi="Times New Roman;sans-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Award Notice</w:t>
                      </w:r>
                      <w:r>
                        <w:rPr>
                          <w:rFonts w:ascii="Times New Roman;sans-serif" w:hAnsi="Times New Roman;sans-serif"/>
                          <w:b w:val="false"/>
                          <w:color w:val="000000"/>
                          <w:sz w:val="24"/>
                        </w:rPr>
                        <w:t>]</w:t>
                      </w:r>
                    </w:p>
                  </w:txbxContent>
                </v:textbox>
                <w10:wrap type="none"/>
              </v:rect>
            </w:pict>
          </mc:Fallback>
        </mc:AlternateContent>
      </w:r>
    </w:p>
    <w:p>
      <w:pPr>
        <w:pStyle w:val="TextBody"/>
        <w:bidi w:val="0"/>
        <w:spacing w:before="0" w:after="0"/>
        <w:jc w:val="left"/>
        <w:rPr/>
      </w:pPr>
      <w:r>
        <w:rPr/>
      </w:r>
    </w:p>
    <w:p>
      <w:pPr>
        <w:pStyle w:val="TextBody"/>
        <w:bidi w:val="0"/>
        <w:spacing w:before="72" w:after="283"/>
        <w:jc w:val="left"/>
        <w:rPr/>
      </w:pPr>
      <w:r>
        <w:rPr/>
      </w:r>
    </w:p>
    <w:p>
      <w:pPr>
        <w:pStyle w:val="TextBody"/>
        <w:bidi w:val="0"/>
        <w:spacing w:lineRule="auto" w:line="63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lineRule="auto" w:line="63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88" w:before="3"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Dear</w:t>
      </w:r>
      <w:r>
        <w:rPr>
          <w:color w:val="000000"/>
        </w:rPr>
        <w:t xml:space="preserve"> </w:t>
      </w:r>
      <w:r>
        <w:rPr>
          <w:rFonts w:ascii="Times New Roman;sans-serif" w:hAnsi="Times New Roman;sans-serif"/>
          <w:b w:val="false"/>
          <w:color w:val="000000"/>
          <w:sz w:val="24"/>
        </w:rPr>
        <w:t>[NAME]:</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Reference</w:t>
      </w:r>
      <w:r>
        <w:rPr>
          <w:color w:val="000000"/>
        </w:rPr>
        <w:t xml:space="preserve"> </w:t>
      </w:r>
      <w:r>
        <w:rPr>
          <w:rFonts w:ascii="Times New Roman;sans-serif" w:hAnsi="Times New Roman;sans-serif"/>
          <w:b w:val="false"/>
          <w:color w:val="000000"/>
          <w:sz w:val="24"/>
        </w:rPr>
        <w:t>is</w:t>
      </w:r>
      <w:r>
        <w:rPr>
          <w:color w:val="000000"/>
        </w:rPr>
        <w:t xml:space="preserve"> </w:t>
      </w:r>
      <w:r>
        <w:rPr>
          <w:rFonts w:ascii="Times New Roman;sans-serif" w:hAnsi="Times New Roman;sans-serif"/>
          <w:b w:val="false"/>
          <w:color w:val="000000"/>
          <w:sz w:val="24"/>
        </w:rPr>
        <w:t>made</w:t>
      </w:r>
      <w:r>
        <w:rPr>
          <w:color w:val="000000"/>
        </w:rPr>
        <w:t xml:space="preserve"> </w:t>
      </w:r>
      <w:r>
        <w:rPr>
          <w:rFonts w:ascii="Times New Roman;sans-serif" w:hAnsi="Times New Roman;sans-serif"/>
          <w:b w:val="false"/>
          <w:color w:val="000000"/>
          <w:sz w:val="24"/>
        </w:rPr>
        <w:t>to</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Cumulus</w:t>
      </w:r>
      <w:r>
        <w:rPr>
          <w:color w:val="000000"/>
        </w:rPr>
        <w:t xml:space="preserve"> </w:t>
      </w:r>
      <w:r>
        <w:rPr>
          <w:rFonts w:ascii="Times New Roman;sans-serif" w:hAnsi="Times New Roman;sans-serif"/>
          <w:b w:val="false"/>
          <w:color w:val="000000"/>
          <w:sz w:val="24"/>
        </w:rPr>
        <w:t>Long-Term</w:t>
      </w:r>
      <w:r>
        <w:rPr>
          <w:color w:val="000000"/>
        </w:rPr>
        <w:t xml:space="preserve"> </w:t>
      </w:r>
      <w:r>
        <w:rPr>
          <w:rFonts w:ascii="Times New Roman;sans-serif" w:hAnsi="Times New Roman;sans-serif"/>
          <w:b w:val="false"/>
          <w:color w:val="000000"/>
          <w:sz w:val="24"/>
        </w:rPr>
        <w:t>Incentive</w:t>
      </w:r>
      <w:r>
        <w:rPr>
          <w:color w:val="000000"/>
        </w:rPr>
        <w:t xml:space="preserve"> </w:t>
      </w:r>
      <w:r>
        <w:rPr>
          <w:rFonts w:ascii="Times New Roman;sans-serif" w:hAnsi="Times New Roman;sans-serif"/>
          <w:b w:val="false"/>
          <w:color w:val="000000"/>
          <w:sz w:val="24"/>
        </w:rPr>
        <w:t>Plan</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and</w:t>
      </w:r>
      <w:r>
        <w:rPr>
          <w:color w:val="000000"/>
        </w:rPr>
        <w:t xml:space="preserve"> </w:t>
      </w:r>
      <w:r>
        <w:rPr>
          <w:rFonts w:ascii="Times New Roman;sans-serif" w:hAnsi="Times New Roman;sans-serif"/>
          <w:b w:val="false"/>
          <w:color w:val="000000"/>
          <w:sz w:val="24"/>
        </w:rPr>
        <w:t>that</w:t>
      </w:r>
      <w:r>
        <w:rPr>
          <w:color w:val="000000"/>
        </w:rPr>
        <w:t xml:space="preserve"> </w:t>
      </w:r>
      <w:r>
        <w:rPr>
          <w:rFonts w:ascii="Times New Roman;sans-serif" w:hAnsi="Times New Roman;sans-serif"/>
          <w:b w:val="false"/>
          <w:color w:val="000000"/>
          <w:sz w:val="24"/>
        </w:rPr>
        <w:t>certain</w:t>
      </w:r>
      <w:r>
        <w:rPr>
          <w:color w:val="000000"/>
        </w:rPr>
        <w:t xml:space="preserve"> </w:t>
      </w:r>
      <w:r>
        <w:rPr>
          <w:rFonts w:ascii="Times New Roman;sans-serif" w:hAnsi="Times New Roman;sans-serif"/>
          <w:b w:val="false"/>
          <w:color w:val="000000"/>
          <w:sz w:val="24"/>
        </w:rPr>
        <w:t>Award Notice, dated [●] (the “</w:t>
      </w:r>
      <w:r>
        <w:rPr>
          <w:rFonts w:ascii="Times New Roman;sans-serif" w:hAnsi="Times New Roman;sans-serif"/>
          <w:b w:val="false"/>
          <w:color w:val="000000"/>
          <w:sz w:val="24"/>
          <w:u w:val="single"/>
        </w:rPr>
        <w:t>Award Notice</w:t>
      </w:r>
      <w:r>
        <w:rPr>
          <w:color w:val="000000"/>
        </w:rPr>
        <w:t>”</w:t>
      </w:r>
      <w:r>
        <w:rPr>
          <w:rFonts w:ascii="Times New Roman;sans-serif" w:hAnsi="Times New Roman;sans-serif"/>
          <w:b w:val="false"/>
          <w:color w:val="000000"/>
          <w:sz w:val="24"/>
        </w:rPr>
        <w:t>), by and between you and Talen Energy Supply,</w:t>
      </w:r>
      <w:r>
        <w:rPr>
          <w:color w:val="000000"/>
        </w:rPr>
        <w:t xml:space="preserve"> </w:t>
      </w:r>
      <w:r>
        <w:rPr>
          <w:rFonts w:ascii="Times New Roman;sans-serif" w:hAnsi="Times New Roman;sans-serif"/>
          <w:b w:val="false"/>
          <w:color w:val="000000"/>
          <w:sz w:val="24"/>
        </w:rPr>
        <w:t>LLC</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Capitalized</w:t>
      </w:r>
      <w:r>
        <w:rPr>
          <w:color w:val="000000"/>
        </w:rPr>
        <w:t xml:space="preserve"> </w:t>
      </w:r>
      <w:r>
        <w:rPr>
          <w:rFonts w:ascii="Times New Roman;sans-serif" w:hAnsi="Times New Roman;sans-serif"/>
          <w:b w:val="false"/>
          <w:color w:val="000000"/>
          <w:sz w:val="24"/>
        </w:rPr>
        <w:t>terms</w:t>
      </w:r>
      <w:r>
        <w:rPr>
          <w:color w:val="000000"/>
        </w:rPr>
        <w:t xml:space="preserve"> </w:t>
      </w:r>
      <w:r>
        <w:rPr>
          <w:rFonts w:ascii="Times New Roman;sans-serif" w:hAnsi="Times New Roman;sans-serif"/>
          <w:b w:val="false"/>
          <w:color w:val="000000"/>
          <w:sz w:val="24"/>
        </w:rPr>
        <w:t>that</w:t>
      </w:r>
      <w:r>
        <w:rPr>
          <w:color w:val="000000"/>
        </w:rPr>
        <w:t xml:space="preserve"> </w:t>
      </w:r>
      <w:r>
        <w:rPr>
          <w:rFonts w:ascii="Times New Roman;sans-serif" w:hAnsi="Times New Roman;sans-serif"/>
          <w:b w:val="false"/>
          <w:color w:val="000000"/>
          <w:sz w:val="24"/>
        </w:rPr>
        <w:t>are</w:t>
      </w:r>
      <w:r>
        <w:rPr>
          <w:color w:val="000000"/>
        </w:rPr>
        <w:t xml:space="preserve"> </w:t>
      </w:r>
      <w:r>
        <w:rPr>
          <w:rFonts w:ascii="Times New Roman;sans-serif" w:hAnsi="Times New Roman;sans-serif"/>
          <w:b w:val="false"/>
          <w:color w:val="000000"/>
          <w:sz w:val="24"/>
        </w:rPr>
        <w:t>not</w:t>
      </w:r>
      <w:r>
        <w:rPr>
          <w:color w:val="000000"/>
        </w:rPr>
        <w:t xml:space="preserve"> </w:t>
      </w:r>
      <w:r>
        <w:rPr>
          <w:rFonts w:ascii="Times New Roman;sans-serif" w:hAnsi="Times New Roman;sans-serif"/>
          <w:b w:val="false"/>
          <w:color w:val="000000"/>
          <w:sz w:val="24"/>
        </w:rPr>
        <w:t>defined</w:t>
      </w:r>
      <w:r>
        <w:rPr>
          <w:color w:val="000000"/>
        </w:rPr>
        <w:t xml:space="preserve"> </w:t>
      </w:r>
      <w:r>
        <w:rPr>
          <w:rFonts w:ascii="Times New Roman;sans-serif" w:hAnsi="Times New Roman;sans-serif"/>
          <w:b w:val="false"/>
          <w:color w:val="000000"/>
          <w:sz w:val="24"/>
        </w:rPr>
        <w:t>in</w:t>
      </w:r>
      <w:r>
        <w:rPr>
          <w:color w:val="000000"/>
        </w:rPr>
        <w:t xml:space="preserve"> </w:t>
      </w:r>
      <w:r>
        <w:rPr>
          <w:rFonts w:ascii="Times New Roman;sans-serif" w:hAnsi="Times New Roman;sans-serif"/>
          <w:b w:val="false"/>
          <w:color w:val="000000"/>
          <w:sz w:val="24"/>
        </w:rPr>
        <w:t>this</w:t>
      </w:r>
      <w:r>
        <w:rPr>
          <w:color w:val="000000"/>
        </w:rPr>
        <w:t xml:space="preserve"> </w:t>
      </w:r>
      <w:r>
        <w:rPr>
          <w:rFonts w:ascii="Times New Roman;sans-serif" w:hAnsi="Times New Roman;sans-serif"/>
          <w:b w:val="false"/>
          <w:color w:val="000000"/>
          <w:sz w:val="24"/>
        </w:rPr>
        <w:t>letter</w:t>
      </w:r>
      <w:r>
        <w:rPr>
          <w:color w:val="000000"/>
        </w:rPr>
        <w:t xml:space="preserve"> </w:t>
      </w:r>
      <w:r>
        <w:rPr>
          <w:rFonts w:ascii="Times New Roman;sans-serif" w:hAnsi="Times New Roman;sans-serif"/>
          <w:b w:val="false"/>
          <w:color w:val="000000"/>
          <w:sz w:val="24"/>
        </w:rPr>
        <w:t>agreement</w:t>
      </w:r>
      <w:r>
        <w:rPr>
          <w:color w:val="000000"/>
        </w:rPr>
        <w:t xml:space="preserve"> </w:t>
      </w:r>
      <w:r>
        <w:rPr>
          <w:rFonts w:ascii="Times New Roman;sans-serif" w:hAnsi="Times New Roman;sans-serif"/>
          <w:b w:val="false"/>
          <w:color w:val="000000"/>
          <w:sz w:val="24"/>
        </w:rPr>
        <w:t>have the meanings given to them in the Plan.</w:t>
      </w:r>
    </w:p>
    <w:p>
      <w:pPr>
        <w:pStyle w:val="TextBody"/>
        <w:bidi w:val="0"/>
        <w:spacing w:lineRule="auto" w:line="288" w:before="240" w:after="283"/>
        <w:jc w:val="both"/>
        <w:rPr/>
      </w:pPr>
      <w:r>
        <w:rPr>
          <w:rFonts w:ascii="Times New Roman;sans-serif" w:hAnsi="Times New Roman;sans-serif"/>
          <w:b w:val="false"/>
          <w:color w:val="000000"/>
          <w:sz w:val="24"/>
        </w:rPr>
        <w:t>As you may know, on March 1, 2024, Cumulus Data LLC and Cumulus Real Estate Holdings (collectively,</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u w:val="single"/>
        </w:rPr>
        <w:t>Cumulus</w:t>
      </w:r>
      <w:r>
        <w:rPr>
          <w:color w:val="000000"/>
          <w:u w:val="single"/>
        </w:rPr>
        <w:t xml:space="preserve"> </w:t>
      </w:r>
      <w:r>
        <w:rPr>
          <w:rFonts w:ascii="Times New Roman;sans-serif" w:hAnsi="Times New Roman;sans-serif"/>
          <w:b w:val="false"/>
          <w:color w:val="000000"/>
          <w:sz w:val="24"/>
          <w:u w:val="single"/>
        </w:rPr>
        <w:t>Entities</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entered</w:t>
      </w:r>
      <w:r>
        <w:rPr>
          <w:color w:val="000000"/>
        </w:rPr>
        <w:t xml:space="preserve"> </w:t>
      </w:r>
      <w:r>
        <w:rPr>
          <w:rFonts w:ascii="Times New Roman;sans-serif" w:hAnsi="Times New Roman;sans-serif"/>
          <w:b w:val="false"/>
          <w:color w:val="000000"/>
          <w:sz w:val="24"/>
        </w:rPr>
        <w:t>into</w:t>
      </w:r>
      <w:r>
        <w:rPr>
          <w:color w:val="000000"/>
        </w:rPr>
        <w:t xml:space="preserve"> </w:t>
      </w: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purchase</w:t>
      </w:r>
      <w:r>
        <w:rPr>
          <w:color w:val="000000"/>
        </w:rPr>
        <w:t xml:space="preserve"> </w:t>
      </w:r>
      <w:r>
        <w:rPr>
          <w:rFonts w:ascii="Times New Roman;sans-serif" w:hAnsi="Times New Roman;sans-serif"/>
          <w:b w:val="false"/>
          <w:color w:val="000000"/>
          <w:sz w:val="24"/>
        </w:rPr>
        <w:t>agreement</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u w:val="single"/>
        </w:rPr>
        <w:t>Cumulus</w:t>
      </w:r>
      <w:r>
        <w:rPr>
          <w:color w:val="000000"/>
          <w:u w:val="single"/>
        </w:rPr>
        <w:t xml:space="preserve"> </w:t>
      </w:r>
      <w:r>
        <w:rPr>
          <w:rFonts w:ascii="Times New Roman;sans-serif" w:hAnsi="Times New Roman;sans-serif"/>
          <w:b w:val="false"/>
          <w:color w:val="000000"/>
          <w:sz w:val="24"/>
          <w:u w:val="single"/>
        </w:rPr>
        <w:t>Purchase</w:t>
      </w:r>
      <w:r>
        <w:rPr>
          <w:color w:val="000000"/>
        </w:rPr>
        <w:t xml:space="preserv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pursuant to which the Cumulus Entities sold certain property to Amazon Data Services, Inc. (“</w:t>
      </w:r>
      <w:r>
        <w:rPr>
          <w:rFonts w:ascii="Times New Roman;sans-serif" w:hAnsi="Times New Roman;sans-serif"/>
          <w:b w:val="false"/>
          <w:color w:val="000000"/>
          <w:sz w:val="24"/>
          <w:u w:val="single"/>
        </w:rPr>
        <w:t>Amazon Data</w:t>
      </w:r>
      <w:r>
        <w:rPr>
          <w:color w:val="000000"/>
        </w:rPr>
        <w:t>”</w:t>
      </w:r>
      <w:r>
        <w:rPr>
          <w:rFonts w:ascii="Times New Roman;sans-serif" w:hAnsi="Times New Roman;sans-serif"/>
          <w:b w:val="false"/>
          <w:color w:val="000000"/>
          <w:sz w:val="24"/>
        </w:rPr>
        <w:t>). Contemporaneously therewith, Susquehanna Nuclear LLC entered into the Amazon Power Purchase Agreement and the Amazon Environmental Attribute Purchase</w:t>
      </w:r>
      <w:r>
        <w:rPr>
          <w:color w:val="000000"/>
        </w:rPr>
        <w:t xml:space="preserve"> </w:t>
      </w:r>
      <w:r>
        <w:rPr>
          <w:rFonts w:ascii="Times New Roman;sans-serif" w:hAnsi="Times New Roman;sans-serif"/>
          <w:b w:val="false"/>
          <w:color w:val="000000"/>
          <w:sz w:val="24"/>
        </w:rPr>
        <w:t>Agreement</w:t>
      </w:r>
      <w:r>
        <w:rPr>
          <w:color w:val="000000"/>
        </w:rPr>
        <w:t xml:space="preserve"> </w:t>
      </w:r>
      <w:r>
        <w:rPr>
          <w:rFonts w:ascii="Times New Roman;sans-serif" w:hAnsi="Times New Roman;sans-serif"/>
          <w:b w:val="false"/>
          <w:color w:val="000000"/>
          <w:sz w:val="24"/>
        </w:rPr>
        <w:t>with</w:t>
      </w:r>
      <w:r>
        <w:rPr>
          <w:color w:val="000000"/>
        </w:rPr>
        <w:t xml:space="preserve"> </w:t>
      </w:r>
      <w:r>
        <w:rPr>
          <w:rFonts w:ascii="Times New Roman;sans-serif" w:hAnsi="Times New Roman;sans-serif"/>
          <w:b w:val="false"/>
          <w:color w:val="000000"/>
          <w:sz w:val="24"/>
        </w:rPr>
        <w:t>Amazon</w:t>
      </w:r>
      <w:r>
        <w:rPr>
          <w:color w:val="000000"/>
        </w:rPr>
        <w:t xml:space="preserve"> </w:t>
      </w:r>
      <w:r>
        <w:rPr>
          <w:rFonts w:ascii="Times New Roman;sans-serif" w:hAnsi="Times New Roman;sans-serif"/>
          <w:b w:val="false"/>
          <w:color w:val="000000"/>
          <w:sz w:val="24"/>
        </w:rPr>
        <w:t>Energy</w:t>
      </w:r>
      <w:r>
        <w:rPr>
          <w:color w:val="000000"/>
        </w:rPr>
        <w:t xml:space="preserve"> </w:t>
      </w:r>
      <w:r>
        <w:rPr>
          <w:rFonts w:ascii="Times New Roman;sans-serif" w:hAnsi="Times New Roman;sans-serif"/>
          <w:b w:val="false"/>
          <w:color w:val="000000"/>
          <w:sz w:val="24"/>
        </w:rPr>
        <w:t>LLC</w:t>
      </w:r>
      <w:r>
        <w:rPr>
          <w:color w:val="000000"/>
        </w:rPr>
        <w:t xml:space="preserve"> </w:t>
      </w:r>
      <w:r>
        <w:rPr>
          <w:rFonts w:ascii="Times New Roman;sans-serif" w:hAnsi="Times New Roman;sans-serif"/>
          <w:b w:val="false"/>
          <w:color w:val="000000"/>
          <w:sz w:val="24"/>
        </w:rPr>
        <w:t>(together</w:t>
      </w:r>
      <w:r>
        <w:rPr>
          <w:color w:val="000000"/>
        </w:rPr>
        <w:t xml:space="preserve"> </w:t>
      </w:r>
      <w:r>
        <w:rPr>
          <w:rFonts w:ascii="Times New Roman;sans-serif" w:hAnsi="Times New Roman;sans-serif"/>
          <w:b w:val="false"/>
          <w:color w:val="000000"/>
          <w:sz w:val="24"/>
        </w:rPr>
        <w:t>with</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Cumulus</w:t>
      </w:r>
      <w:r>
        <w:rPr>
          <w:color w:val="000000"/>
        </w:rPr>
        <w:t xml:space="preserve"> </w:t>
      </w:r>
      <w:r>
        <w:rPr>
          <w:rFonts w:ascii="Times New Roman;sans-serif" w:hAnsi="Times New Roman;sans-serif"/>
          <w:b w:val="false"/>
          <w:color w:val="000000"/>
          <w:sz w:val="24"/>
        </w:rPr>
        <w:t>Purchase</w:t>
      </w:r>
      <w:r>
        <w:rPr>
          <w:color w:val="000000"/>
        </w:rPr>
        <w:t xml:space="preserve"> </w:t>
      </w:r>
      <w:r>
        <w:rPr>
          <w:rFonts w:ascii="Times New Roman;sans-serif" w:hAnsi="Times New Roman;sans-serif"/>
          <w:b w:val="false"/>
          <w:color w:val="000000"/>
          <w:sz w:val="24"/>
        </w:rPr>
        <w:t>Agreement, the “</w:t>
      </w:r>
      <w:r>
        <w:rPr>
          <w:rFonts w:ascii="Times New Roman;sans-serif" w:hAnsi="Times New Roman;sans-serif"/>
          <w:b w:val="false"/>
          <w:color w:val="000000"/>
          <w:sz w:val="24"/>
          <w:u w:val="single"/>
        </w:rPr>
        <w:t>Purchase Agreements</w:t>
      </w:r>
      <w:r>
        <w:rPr>
          <w:color w:val="000000"/>
        </w:rPr>
        <w:t xml:space="preserve">” </w:t>
      </w:r>
      <w:r>
        <w:rPr>
          <w:rFonts w:ascii="Times New Roman;sans-serif" w:hAnsi="Times New Roman;sans-serif"/>
          <w:b w:val="false"/>
          <w:color w:val="000000"/>
          <w:sz w:val="24"/>
        </w:rPr>
        <w:t>and the transactions contemplated by the Purchase Agreements, collectively, the “</w:t>
      </w:r>
      <w:r>
        <w:rPr>
          <w:rFonts w:ascii="Times New Roman;sans-serif" w:hAnsi="Times New Roman;sans-serif"/>
          <w:b w:val="false"/>
          <w:color w:val="000000"/>
          <w:sz w:val="24"/>
          <w:u w:val="single"/>
        </w:rPr>
        <w:t>Transactions</w:t>
      </w:r>
      <w:r>
        <w:rPr>
          <w:color w:val="000000"/>
        </w:rPr>
        <w:t>”</w:t>
      </w:r>
      <w:r>
        <w:rPr>
          <w:rFonts w:ascii="Times New Roman;sans-serif" w:hAnsi="Times New Roman;sans-serif"/>
          <w:b w:val="false"/>
          <w:color w:val="000000"/>
          <w:sz w:val="24"/>
        </w:rPr>
        <w:t>).</w:t>
      </w:r>
    </w:p>
    <w:p>
      <w:pPr>
        <w:pStyle w:val="TextBody"/>
        <w:bidi w:val="0"/>
        <w:spacing w:lineRule="auto" w:line="288" w:before="241" w:after="283"/>
        <w:jc w:val="both"/>
        <w:rPr/>
      </w:pP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Transactions</w:t>
      </w:r>
      <w:r>
        <w:rPr>
          <w:color w:val="000000"/>
        </w:rPr>
        <w:t xml:space="preserve"> </w:t>
      </w:r>
      <w:r>
        <w:rPr>
          <w:rFonts w:ascii="Times New Roman;sans-serif" w:hAnsi="Times New Roman;sans-serif"/>
          <w:b w:val="false"/>
          <w:color w:val="000000"/>
          <w:sz w:val="24"/>
        </w:rPr>
        <w:t>constitute</w:t>
      </w:r>
      <w:r>
        <w:rPr>
          <w:color w:val="000000"/>
        </w:rPr>
        <w:t xml:space="preserve"> </w:t>
      </w: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Sale</w:t>
      </w:r>
      <w:r>
        <w:rPr>
          <w:color w:val="000000"/>
        </w:rPr>
        <w:t xml:space="preserve"> </w:t>
      </w:r>
      <w:r>
        <w:rPr>
          <w:rFonts w:ascii="Times New Roman;sans-serif" w:hAnsi="Times New Roman;sans-serif"/>
          <w:b w:val="false"/>
          <w:color w:val="000000"/>
          <w:sz w:val="24"/>
        </w:rPr>
        <w:t>Transaction</w:t>
      </w:r>
      <w:r>
        <w:rPr>
          <w:color w:val="000000"/>
        </w:rPr>
        <w:t xml:space="preserve"> </w:t>
      </w:r>
      <w:r>
        <w:rPr>
          <w:rFonts w:ascii="Times New Roman;sans-serif" w:hAnsi="Times New Roman;sans-serif"/>
          <w:b w:val="false"/>
          <w:color w:val="000000"/>
          <w:sz w:val="24"/>
        </w:rPr>
        <w:t>under</w:t>
      </w:r>
      <w:r>
        <w:rPr>
          <w:color w:val="000000"/>
        </w:rPr>
        <w:t xml:space="preserve"> </w:t>
      </w:r>
      <w:r>
        <w:rPr>
          <w:rFonts w:ascii="Times New Roman;sans-serif" w:hAnsi="Times New Roman;sans-serif"/>
          <w:b w:val="false"/>
          <w:color w:val="000000"/>
          <w:sz w:val="24"/>
        </w:rPr>
        <w:t>terms</w:t>
      </w:r>
      <w:r>
        <w:rPr>
          <w:color w:val="000000"/>
        </w:rPr>
        <w:t xml:space="preserve"> </w:t>
      </w:r>
      <w:r>
        <w:rPr>
          <w:rFonts w:ascii="Times New Roman;sans-serif" w:hAnsi="Times New Roman;sans-serif"/>
          <w:b w:val="false"/>
          <w:color w:val="000000"/>
          <w:sz w:val="24"/>
        </w:rPr>
        <w:t>of</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Plan.</w:t>
      </w:r>
      <w:r>
        <w:rPr>
          <w:color w:val="000000"/>
        </w:rPr>
        <w:t xml:space="preserve"> </w:t>
      </w:r>
      <w:r>
        <w:rPr>
          <w:rFonts w:ascii="Times New Roman;sans-serif" w:hAnsi="Times New Roman;sans-serif"/>
          <w:b w:val="false"/>
          <w:color w:val="000000"/>
          <w:sz w:val="24"/>
        </w:rPr>
        <w:t>As</w:t>
      </w:r>
      <w:r>
        <w:rPr>
          <w:color w:val="000000"/>
        </w:rPr>
        <w:t xml:space="preserve"> </w:t>
      </w: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result,</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Committee, in accordance with Section 4.3 of the Plan, has determined that you are eligible to receive the following amounts (each, a “</w:t>
      </w:r>
      <w:r>
        <w:rPr>
          <w:rFonts w:ascii="Times New Roman;sans-serif" w:hAnsi="Times New Roman;sans-serif"/>
          <w:b w:val="false"/>
          <w:color w:val="000000"/>
          <w:sz w:val="24"/>
          <w:u w:val="single"/>
        </w:rPr>
        <w:t>Payment</w:t>
      </w:r>
      <w:r>
        <w:rPr>
          <w:color w:val="000000"/>
        </w:rPr>
        <w:t>”</w:t>
      </w:r>
      <w:r>
        <w:rPr>
          <w:rFonts w:ascii="Times New Roman;sans-serif" w:hAnsi="Times New Roman;sans-serif"/>
          <w:b w:val="false"/>
          <w:color w:val="000000"/>
          <w:sz w:val="24"/>
        </w:rPr>
        <w:t>) in connection with certain milestones under the terms of the Purchase Agreements, each of which shall be a Payment Milestone under the Plan:</w:t>
      </w:r>
    </w:p>
    <w:p>
      <w:pPr>
        <w:pStyle w:val="TextBody"/>
        <w:bidi w:val="0"/>
        <w:spacing w:lineRule="auto" w:line="288" w:before="240" w:after="283"/>
        <w:ind w:left="0" w:right="0" w:hanging="360"/>
        <w:jc w:val="both"/>
        <w:rPr/>
      </w:pPr>
      <w:r>
        <w:rPr>
          <w:rFonts w:ascii="Times New Roman;sans-serif" w:hAnsi="Times New Roman;sans-serif"/>
          <w:b w:val="false"/>
          <w:color w:val="000000"/>
          <w:sz w:val="24"/>
        </w:rPr>
        <w:t>1.</w:t>
      </w:r>
      <w:r>
        <w:rPr>
          <w:rFonts w:ascii="Times New Roman;sans-serif" w:hAnsi="Times New Roman;sans-serif"/>
          <w:b/>
          <w:color w:val="000000"/>
          <w:sz w:val="24"/>
        </w:rPr>
        <w:t>First Milestone Payment</w:t>
      </w:r>
      <w:r>
        <w:rPr>
          <w:rFonts w:ascii="Times New Roman;sans-serif" w:hAnsi="Times New Roman;sans-serif"/>
          <w:b w:val="false"/>
          <w:color w:val="000000"/>
          <w:sz w:val="24"/>
        </w:rPr>
        <w:t>: $[●] upon the receipt by the Cumulus Entities of the initial payment of the purchase price under the Cumulus Purchase Agreement at Closing (as defined in the Cumulus Purchase Agreement), which occurred on March 1, 2024.</w:t>
      </w:r>
    </w:p>
    <w:p>
      <w:pPr>
        <w:pStyle w:val="TextBody"/>
        <w:bidi w:val="0"/>
        <w:spacing w:lineRule="auto" w:line="288" w:before="240" w:after="283"/>
        <w:ind w:left="0" w:right="0" w:hanging="360"/>
        <w:jc w:val="both"/>
        <w:rPr/>
      </w:pPr>
      <w:r>
        <w:rPr>
          <w:rFonts w:ascii="Times New Roman;sans-serif" w:hAnsi="Times New Roman;sans-serif"/>
          <w:b w:val="false"/>
          <w:color w:val="000000"/>
          <w:sz w:val="24"/>
        </w:rPr>
        <w:t>2.</w:t>
      </w:r>
      <w:r>
        <w:rPr>
          <w:rFonts w:ascii="Times New Roman;sans-serif" w:hAnsi="Times New Roman;sans-serif"/>
          <w:b/>
          <w:color w:val="000000"/>
          <w:sz w:val="24"/>
        </w:rPr>
        <w:t>Second Milestone Payment</w:t>
      </w:r>
      <w:r>
        <w:rPr>
          <w:rFonts w:ascii="Times New Roman;sans-serif" w:hAnsi="Times New Roman;sans-serif"/>
          <w:b w:val="false"/>
          <w:color w:val="000000"/>
          <w:sz w:val="24"/>
        </w:rPr>
        <w:t>: $[●] upon receipt by the Cumulus Entities of the distribution from the Rezoning Requirement Escrow Account (the “</w:t>
      </w:r>
      <w:r>
        <w:rPr>
          <w:rFonts w:ascii="Times New Roman;sans-serif" w:hAnsi="Times New Roman;sans-serif"/>
          <w:b w:val="false"/>
          <w:color w:val="000000"/>
          <w:sz w:val="24"/>
          <w:u w:val="single"/>
        </w:rPr>
        <w:t>Escrow Account</w:t>
      </w:r>
      <w:r>
        <w:rPr>
          <w:color w:val="000000"/>
        </w:rPr>
        <w:t>”</w:t>
      </w:r>
      <w:r>
        <w:rPr>
          <w:rFonts w:ascii="Times New Roman;sans-serif" w:hAnsi="Times New Roman;sans-serif"/>
          <w:b w:val="false"/>
          <w:color w:val="000000"/>
          <w:sz w:val="24"/>
        </w:rPr>
        <w:t>) associated with the zoning approvals that meet the 540 MW Requirement, as defined in Schedule 1 of the Cumulus Purchase Agreement.</w:t>
      </w:r>
    </w:p>
    <w:p>
      <w:pPr>
        <w:pStyle w:val="TextBody"/>
        <w:bidi w:val="0"/>
        <w:spacing w:lineRule="auto" w:line="288" w:before="241" w:after="283"/>
        <w:ind w:left="0" w:right="0" w:hanging="360"/>
        <w:jc w:val="both"/>
        <w:rPr/>
      </w:pPr>
      <w:r>
        <w:rPr>
          <w:rFonts w:ascii="Times New Roman;sans-serif" w:hAnsi="Times New Roman;sans-serif"/>
          <w:b w:val="false"/>
          <w:color w:val="000000"/>
          <w:sz w:val="24"/>
        </w:rPr>
        <w:t>3.</w:t>
      </w:r>
      <w:r>
        <w:rPr>
          <w:rFonts w:ascii="Times New Roman;sans-serif" w:hAnsi="Times New Roman;sans-serif"/>
          <w:b/>
          <w:color w:val="000000"/>
          <w:sz w:val="24"/>
        </w:rPr>
        <w:t>Third Milestone Payment</w:t>
      </w:r>
      <w:r>
        <w:rPr>
          <w:rFonts w:ascii="Times New Roman;sans-serif" w:hAnsi="Times New Roman;sans-serif"/>
          <w:b w:val="false"/>
          <w:color w:val="000000"/>
          <w:sz w:val="24"/>
        </w:rPr>
        <w:t>: $[●] upon receipt by the Cumulus Entities of the distribution from the Escrow Account associated with the zoning approvals that meet the 960 MW Requirement, as defined in Schedule 1 of the Cumulus Purchase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ans-serif" w:hAnsi="Times New Roman;sans-serif"/>
          <w:b w:val="false"/>
          <w:color w:val="000000"/>
          <w:sz w:val="24"/>
        </w:rPr>
        <w:t>4.</w:t>
      </w:r>
      <w:r>
        <w:rPr>
          <w:rFonts w:ascii="Times New Roman;sans-serif" w:hAnsi="Times New Roman;sans-serif"/>
          <w:b/>
          <w:color w:val="000000"/>
          <w:sz w:val="24"/>
        </w:rPr>
        <w:t>Fourth Milestone Payment</w:t>
      </w:r>
      <w:r>
        <w:rPr>
          <w:rFonts w:ascii="Times New Roman;sans-serif" w:hAnsi="Times New Roman;sans-serif"/>
          <w:b w:val="false"/>
          <w:color w:val="000000"/>
          <w:sz w:val="24"/>
        </w:rPr>
        <w:t>: $[●] upon the earlier of i) Start of Operations, defined as the date that the end user, Amazon Web Services, commences power consumption following fulfillment by Cumulus of a binding customer contract or ii) the date on which the first tranche of minimum commitments are triggered under the Power Purchase Agreement between AWS and Susquehanna Steam Electric Station.</w:t>
      </w:r>
    </w:p>
    <w:p>
      <w:pPr>
        <w:pStyle w:val="TextBody"/>
        <w:bidi w:val="0"/>
        <w:spacing w:lineRule="auto" w:line="288" w:before="240" w:after="283"/>
        <w:jc w:val="both"/>
        <w:rPr/>
      </w:pPr>
      <w:r>
        <w:rPr>
          <w:rFonts w:ascii="Times New Roman;sans-serif" w:hAnsi="Times New Roman;sans-serif"/>
          <w:b w:val="false"/>
          <w:color w:val="000000"/>
          <w:sz w:val="24"/>
        </w:rPr>
        <w:t>Each of the Payments remain subject to the terms and conditions (including, without limitation, the</w:t>
      </w:r>
      <w:r>
        <w:rPr>
          <w:color w:val="000000"/>
        </w:rPr>
        <w:t xml:space="preserve"> </w:t>
      </w:r>
      <w:r>
        <w:rPr>
          <w:rFonts w:ascii="Times New Roman;sans-serif" w:hAnsi="Times New Roman;sans-serif"/>
          <w:b w:val="false"/>
          <w:color w:val="000000"/>
          <w:sz w:val="24"/>
        </w:rPr>
        <w:t>termination</w:t>
      </w:r>
      <w:r>
        <w:rPr>
          <w:color w:val="000000"/>
        </w:rPr>
        <w:t xml:space="preserve"> </w:t>
      </w:r>
      <w:r>
        <w:rPr>
          <w:rFonts w:ascii="Times New Roman;sans-serif" w:hAnsi="Times New Roman;sans-serif"/>
          <w:b w:val="false"/>
          <w:color w:val="000000"/>
          <w:sz w:val="24"/>
        </w:rPr>
        <w:t>and</w:t>
      </w:r>
      <w:r>
        <w:rPr>
          <w:color w:val="000000"/>
        </w:rPr>
        <w:t xml:space="preserve"> </w:t>
      </w:r>
      <w:r>
        <w:rPr>
          <w:rFonts w:ascii="Times New Roman;sans-serif" w:hAnsi="Times New Roman;sans-serif"/>
          <w:b w:val="false"/>
          <w:color w:val="000000"/>
          <w:sz w:val="24"/>
        </w:rPr>
        <w:t>forfeiture</w:t>
      </w:r>
      <w:r>
        <w:rPr>
          <w:color w:val="000000"/>
        </w:rPr>
        <w:t xml:space="preserve"> </w:t>
      </w:r>
      <w:r>
        <w:rPr>
          <w:rFonts w:ascii="Times New Roman;sans-serif" w:hAnsi="Times New Roman;sans-serif"/>
          <w:b w:val="false"/>
          <w:color w:val="000000"/>
          <w:sz w:val="24"/>
        </w:rPr>
        <w:t>provisions)</w:t>
      </w:r>
      <w:r>
        <w:rPr>
          <w:color w:val="000000"/>
        </w:rPr>
        <w:t xml:space="preserve"> </w:t>
      </w:r>
      <w:r>
        <w:rPr>
          <w:rFonts w:ascii="Times New Roman;sans-serif" w:hAnsi="Times New Roman;sans-serif"/>
          <w:b w:val="false"/>
          <w:color w:val="000000"/>
          <w:sz w:val="24"/>
        </w:rPr>
        <w:t>of</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Plan,</w:t>
      </w:r>
      <w:r>
        <w:rPr>
          <w:color w:val="000000"/>
        </w:rPr>
        <w:t xml:space="preserve"> </w:t>
      </w:r>
      <w:r>
        <w:rPr>
          <w:rFonts w:ascii="Times New Roman;sans-serif" w:hAnsi="Times New Roman;sans-serif"/>
          <w:b w:val="false"/>
          <w:color w:val="000000"/>
          <w:sz w:val="24"/>
        </w:rPr>
        <w:t>and</w:t>
      </w:r>
      <w:r>
        <w:rPr>
          <w:color w:val="000000"/>
        </w:rPr>
        <w:t xml:space="preserve"> </w:t>
      </w:r>
      <w:r>
        <w:rPr>
          <w:rFonts w:ascii="Times New Roman;sans-serif" w:hAnsi="Times New Roman;sans-serif"/>
          <w:b w:val="false"/>
          <w:color w:val="000000"/>
          <w:sz w:val="24"/>
        </w:rPr>
        <w:t>are</w:t>
      </w:r>
      <w:r>
        <w:rPr>
          <w:color w:val="000000"/>
        </w:rPr>
        <w:t xml:space="preserve"> </w:t>
      </w:r>
      <w:r>
        <w:rPr>
          <w:rFonts w:ascii="Times New Roman;sans-serif" w:hAnsi="Times New Roman;sans-serif"/>
          <w:b w:val="false"/>
          <w:color w:val="000000"/>
          <w:sz w:val="24"/>
        </w:rPr>
        <w:t>subject</w:t>
      </w:r>
      <w:r>
        <w:rPr>
          <w:color w:val="000000"/>
        </w:rPr>
        <w:t xml:space="preserve"> </w:t>
      </w:r>
      <w:r>
        <w:rPr>
          <w:rFonts w:ascii="Times New Roman;sans-serif" w:hAnsi="Times New Roman;sans-serif"/>
          <w:b w:val="false"/>
          <w:color w:val="000000"/>
          <w:sz w:val="24"/>
        </w:rPr>
        <w:t>to</w:t>
      </w:r>
      <w:r>
        <w:rPr>
          <w:color w:val="000000"/>
        </w:rPr>
        <w:t xml:space="preserve"> </w:t>
      </w:r>
      <w:r>
        <w:rPr>
          <w:rFonts w:ascii="Times New Roman;sans-serif" w:hAnsi="Times New Roman;sans-serif"/>
          <w:b w:val="false"/>
          <w:color w:val="000000"/>
          <w:sz w:val="24"/>
        </w:rPr>
        <w:t>adjustment</w:t>
      </w:r>
      <w:r>
        <w:rPr>
          <w:color w:val="000000"/>
        </w:rPr>
        <w:t xml:space="preserve"> </w:t>
      </w:r>
      <w:r>
        <w:rPr>
          <w:rFonts w:ascii="Times New Roman;sans-serif" w:hAnsi="Times New Roman;sans-serif"/>
          <w:b w:val="false"/>
          <w:color w:val="000000"/>
          <w:sz w:val="24"/>
        </w:rPr>
        <w:t>by</w:t>
      </w:r>
      <w:r>
        <w:rPr>
          <w:color w:val="000000"/>
        </w:rPr>
        <w:t xml:space="preserve"> </w:t>
      </w:r>
      <w:r>
        <w:rPr>
          <w:rFonts w:ascii="Times New Roman;sans-serif" w:hAnsi="Times New Roman;sans-serif"/>
          <w:b w:val="false"/>
          <w:color w:val="000000"/>
          <w:sz w:val="24"/>
        </w:rPr>
        <w:t>the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Committee in accordance with the terms of the Plan, the Award Notice and the Purchase Agreements. Each Payment, to the extent earned, will be paid in a lump sum (less applicable withholding taxes) via payroll within 30 days following the occurrence of the applicable Payment Milestone. You acknowledge and agree that the Payments set forth above constitute your entire right and interest to any payments under the Plan and that, upon receipt of the Payments, you will have no further right to additional amounts or future payments under the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Plan, the Award Notice, and this letter agreement contain the entire understanding between you, the Company, and its Affiliates with respect to the subject matter hereof, and supersede any and all prior agreements between you, the Company, and any other Company Entity with respect thereto.</w:t>
      </w:r>
    </w:p>
    <w:p>
      <w:pPr>
        <w:pStyle w:val="TextBody"/>
        <w:bidi w:val="0"/>
        <w:spacing w:before="241" w:after="283"/>
        <w:jc w:val="left"/>
        <w:rPr/>
      </w:pPr>
      <w:r>
        <w:rPr/>
      </w:r>
    </w:p>
    <w:p>
      <w:pPr>
        <w:pStyle w:val="TextBody"/>
        <w:bidi w:val="0"/>
        <w:spacing w:lineRule="auto" w:line="288" w:before="0" w:after="0"/>
        <w:jc w:val="center"/>
        <w:rPr/>
      </w:pPr>
      <w:r>
        <w:rPr>
          <w:rFonts w:ascii="Times New Roman;sans-serif" w:hAnsi="Times New Roman;sans-serif"/>
          <w:b w:val="false"/>
          <w:color w:val="000000"/>
          <w:sz w:val="24"/>
        </w:rPr>
        <w:t>*</w:t>
      </w:r>
      <w:r>
        <w:rPr>
          <w:color w:val="000000"/>
        </w:rPr>
        <w:t>    </w:t>
      </w:r>
      <w:r>
        <w:rPr>
          <w:rFonts w:ascii="Times New Roman;sans-serif" w:hAnsi="Times New Roman;sans-serif"/>
          <w:b w:val="false"/>
          <w:color w:val="000000"/>
          <w:sz w:val="24"/>
        </w:rPr>
        <w:t>*</w:t>
      </w:r>
      <w:r>
        <w:rPr>
          <w:color w:val="000000"/>
        </w:rPr>
        <w:t>    </w:t>
      </w:r>
      <w:r>
        <w:rPr>
          <w:rFonts w:ascii="Times New Roman;sans-serif" w:hAnsi="Times New Roman;sans-serif"/>
          <w:b w:val="false"/>
          <w:color w:val="000000"/>
          <w:sz w:val="24"/>
        </w:rPr>
        <w:t>*</w:t>
      </w:r>
      <w:r>
        <w:rPr>
          <w:color w:val="000000"/>
        </w:rPr>
        <w:t>    </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4"/>
        </w:rPr>
        <w:t>Please confirm your agreement to the foregoing by executing this letter agreement as indicated</w:t>
      </w:r>
      <w:r>
        <w:rPr>
          <w:color w:val="000000"/>
        </w:rPr>
        <w:t xml:space="preserve"> </w:t>
      </w:r>
      <w:r>
        <w:rPr>
          <w:rFonts w:ascii="Times New Roman;sans-serif" w:hAnsi="Times New Roman;sans-serif"/>
          <w:b w:val="false"/>
          <w:color w:val="000000"/>
          <w:sz w:val="24"/>
        </w:rPr>
        <w:t>below.</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88" w:before="0" w:after="0"/>
        <w:jc w:val="left"/>
        <w:rPr/>
      </w:pPr>
      <w:r>
        <w:rPr>
          <w:rFonts w:ascii="Times New Roman;sans-serif" w:hAnsi="Times New Roman;sans-serif"/>
          <w:b/>
          <w:color w:val="000000"/>
          <w:sz w:val="24"/>
        </w:rPr>
        <w:t>Talen</w:t>
      </w:r>
      <w:r>
        <w:rPr>
          <w:color w:val="000000"/>
        </w:rPr>
        <w:t xml:space="preserve"> </w:t>
      </w:r>
      <w:r>
        <w:rPr>
          <w:rFonts w:ascii="Times New Roman;sans-serif" w:hAnsi="Times New Roman;sans-serif"/>
          <w:b/>
          <w:color w:val="000000"/>
          <w:sz w:val="24"/>
        </w:rPr>
        <w:t>Energy</w:t>
      </w:r>
      <w:r>
        <w:rPr>
          <w:color w:val="000000"/>
        </w:rPr>
        <w:t xml:space="preserve"> </w:t>
      </w:r>
      <w:r>
        <w:rPr>
          <w:rFonts w:ascii="Times New Roman;sans-serif" w:hAnsi="Times New Roman;sans-serif"/>
          <w:b/>
          <w:color w:val="000000"/>
          <w:sz w:val="24"/>
        </w:rPr>
        <w:t>Supply,</w:t>
      </w:r>
      <w:r>
        <w:rPr>
          <w:color w:val="000000"/>
        </w:rPr>
        <w:t xml:space="preserve"> </w:t>
      </w:r>
      <w:r>
        <w:rPr>
          <w:rFonts w:ascii="Times New Roman;sans-serif" w:hAnsi="Times New Roman;sans-serif"/>
          <w:b/>
          <w:color w:val="000000"/>
          <w:sz w:val="24"/>
        </w:rPr>
        <w:t>LLC</w:t>
      </w:r>
    </w:p>
    <w:p>
      <w:pPr>
        <w:pStyle w:val="TextBody"/>
        <w:bidi w:val="0"/>
        <w:spacing w:before="0" w:after="0"/>
        <w:jc w:val="left"/>
        <w:rPr/>
      </w:pPr>
      <w:r>
        <w:rPr/>
      </w:r>
    </w:p>
    <w:p>
      <w:pPr>
        <w:pStyle w:val="TextBody"/>
        <w:bidi w:val="0"/>
        <w:spacing w:before="271"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By:</w:t>
      </w:r>
    </w:p>
    <w:p>
      <w:pPr>
        <w:pStyle w:val="TextBody"/>
        <w:bidi w:val="0"/>
        <w:spacing w:lineRule="auto" w:line="288" w:before="0" w:after="0"/>
        <w:jc w:val="left"/>
        <w:rPr/>
      </w:pPr>
      <w:r>
        <w:rPr>
          <w:rFonts w:ascii="Times New Roman;sans-serif" w:hAnsi="Times New Roman;sans-serif"/>
          <w:b w:val="false"/>
          <w:color w:val="000000"/>
          <w:sz w:val="24"/>
        </w:rPr>
        <w:t>Name:</w:t>
      </w:r>
      <w:r>
        <w:rPr>
          <w:color w:val="000000"/>
        </w:rPr>
        <w:t xml:space="preserve"> </w:t>
      </w:r>
      <w:r>
        <w:rPr>
          <w:rFonts w:ascii="Times New Roman;sans-serif" w:hAnsi="Times New Roman;sans-serif"/>
          <w:b w:val="false"/>
          <w:color w:val="000000"/>
          <w:sz w:val="24"/>
        </w:rPr>
        <w:t>[NAME]</w:t>
      </w:r>
    </w:p>
    <w:p>
      <w:pPr>
        <w:pStyle w:val="TextBody"/>
        <w:bidi w:val="0"/>
        <w:spacing w:lineRule="auto" w:line="288" w:before="0" w:after="0"/>
        <w:jc w:val="left"/>
        <w:rPr/>
      </w:pPr>
      <w:r>
        <w:rPr>
          <w:rFonts w:ascii="Times New Roman;sans-serif" w:hAnsi="Times New Roman;sans-serif"/>
          <w:b w:val="false"/>
          <w:color w:val="000000"/>
          <w:sz w:val="24"/>
        </w:rPr>
        <w:t>Title:</w:t>
      </w:r>
      <w:r>
        <w:rPr>
          <w:color w:val="000000"/>
        </w:rPr>
        <w:t xml:space="preserve"> </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Acknowledged</w:t>
      </w:r>
      <w:r>
        <w:rPr>
          <w:color w:val="000000"/>
        </w:rPr>
        <w:t xml:space="preserve"> </w:t>
      </w:r>
      <w:r>
        <w:rPr>
          <w:rFonts w:ascii="Times New Roman;sans-serif" w:hAnsi="Times New Roman;sans-serif"/>
          <w:b w:val="false"/>
          <w:color w:val="000000"/>
          <w:sz w:val="24"/>
        </w:rPr>
        <w:t>and</w:t>
      </w:r>
      <w:r>
        <w:rPr>
          <w:color w:val="000000"/>
        </w:rPr>
        <w:t xml:space="preserve"> </w:t>
      </w:r>
      <w:r>
        <w:rPr>
          <w:rFonts w:ascii="Times New Roman;sans-serif" w:hAnsi="Times New Roman;sans-serif"/>
          <w:b w:val="false"/>
          <w:color w:val="000000"/>
          <w:sz w:val="24"/>
        </w:rPr>
        <w:t>agreed:</w:t>
      </w:r>
    </w:p>
    <w:p>
      <w:pPr>
        <w:pStyle w:val="TextBody"/>
        <w:bidi w:val="0"/>
        <w:spacing w:before="1"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I hereby acknowledge that I have received and reviewed a copy of the Plan and this letter agreement,</w:t>
      </w:r>
      <w:r>
        <w:rPr>
          <w:color w:val="000000"/>
        </w:rPr>
        <w:t xml:space="preserve"> </w:t>
      </w:r>
      <w:r>
        <w:rPr>
          <w:rFonts w:ascii="Times New Roman;sans-serif" w:hAnsi="Times New Roman;sans-serif"/>
          <w:b w:val="false"/>
          <w:color w:val="000000"/>
          <w:sz w:val="24"/>
        </w:rPr>
        <w:t>which</w:t>
      </w:r>
      <w:r>
        <w:rPr>
          <w:color w:val="000000"/>
        </w:rPr>
        <w:t xml:space="preserve"> </w:t>
      </w:r>
      <w:r>
        <w:rPr>
          <w:rFonts w:ascii="Times New Roman;sans-serif" w:hAnsi="Times New Roman;sans-serif"/>
          <w:b w:val="false"/>
          <w:color w:val="000000"/>
          <w:sz w:val="24"/>
        </w:rPr>
        <w:t>remains subject</w:t>
      </w:r>
      <w:r>
        <w:rPr>
          <w:color w:val="000000"/>
        </w:rPr>
        <w:t xml:space="preserve"> </w:t>
      </w:r>
      <w:r>
        <w:rPr>
          <w:rFonts w:ascii="Times New Roman;sans-serif" w:hAnsi="Times New Roman;sans-serif"/>
          <w:b w:val="false"/>
          <w:color w:val="000000"/>
          <w:sz w:val="24"/>
        </w:rPr>
        <w:t>in</w:t>
      </w:r>
      <w:r>
        <w:rPr>
          <w:color w:val="000000"/>
        </w:rPr>
        <w:t xml:space="preserve"> </w:t>
      </w:r>
      <w:r>
        <w:rPr>
          <w:rFonts w:ascii="Times New Roman;sans-serif" w:hAnsi="Times New Roman;sans-serif"/>
          <w:b w:val="false"/>
          <w:color w:val="000000"/>
          <w:sz w:val="24"/>
        </w:rPr>
        <w:t>all</w:t>
      </w:r>
      <w:r>
        <w:rPr>
          <w:color w:val="000000"/>
        </w:rPr>
        <w:t xml:space="preserve"> </w:t>
      </w:r>
      <w:r>
        <w:rPr>
          <w:rFonts w:ascii="Times New Roman;sans-serif" w:hAnsi="Times New Roman;sans-serif"/>
          <w:b w:val="false"/>
          <w:color w:val="000000"/>
          <w:sz w:val="24"/>
        </w:rPr>
        <w:t>respects</w:t>
      </w:r>
      <w:r>
        <w:rPr>
          <w:color w:val="000000"/>
        </w:rPr>
        <w:t xml:space="preserve"> </w:t>
      </w:r>
      <w:r>
        <w:rPr>
          <w:rFonts w:ascii="Times New Roman;sans-serif" w:hAnsi="Times New Roman;sans-serif"/>
          <w:b w:val="false"/>
          <w:color w:val="000000"/>
          <w:sz w:val="24"/>
        </w:rPr>
        <w:t>to</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terms</w:t>
      </w:r>
      <w:r>
        <w:rPr>
          <w:color w:val="000000"/>
        </w:rPr>
        <w:t xml:space="preserve"> </w:t>
      </w:r>
      <w:r>
        <w:rPr>
          <w:rFonts w:ascii="Times New Roman;sans-serif" w:hAnsi="Times New Roman;sans-serif"/>
          <w:b w:val="false"/>
          <w:color w:val="000000"/>
          <w:sz w:val="24"/>
        </w:rPr>
        <w:t>and</w:t>
      </w:r>
      <w:r>
        <w:rPr>
          <w:color w:val="000000"/>
        </w:rPr>
        <w:t xml:space="preserve"> </w:t>
      </w:r>
      <w:r>
        <w:rPr>
          <w:rFonts w:ascii="Times New Roman;sans-serif" w:hAnsi="Times New Roman;sans-serif"/>
          <w:b w:val="false"/>
          <w:color w:val="000000"/>
          <w:sz w:val="24"/>
        </w:rPr>
        <w:t>conditions</w:t>
      </w:r>
      <w:r>
        <w:rPr>
          <w:color w:val="000000"/>
        </w:rPr>
        <w:t xml:space="preserve"> </w:t>
      </w:r>
      <w:r>
        <w:rPr>
          <w:rFonts w:ascii="Times New Roman;sans-serif" w:hAnsi="Times New Roman;sans-serif"/>
          <w:b w:val="false"/>
          <w:color w:val="000000"/>
          <w:sz w:val="24"/>
        </w:rPr>
        <w:t>of</w:t>
      </w:r>
      <w:r>
        <w:rPr>
          <w:color w:val="000000"/>
        </w:rPr>
        <w:t xml:space="preserve"> </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Award Notice and the Plan. I understand and agree to the terms and conditions of this letter agreement.</w:t>
      </w:r>
    </w:p>
    <w:p>
      <w:pPr>
        <w:pStyle w:val="TextBody"/>
        <w:bidi w:val="0"/>
        <w:spacing w:before="8" w:after="283"/>
        <w:jc w:val="left"/>
        <w:rPr/>
      </w:pPr>
      <w:r>
        <w:rPr/>
      </w:r>
    </w:p>
    <w:p>
      <w:pPr>
        <w:pStyle w:val="TextBody"/>
        <w:bidi w:val="0"/>
        <w:spacing w:before="0" w:after="0"/>
        <w:jc w:val="left"/>
        <w:rPr/>
      </w:pPr>
      <w:r>
        <w:rPr/>
      </w:r>
    </w:p>
    <w:p>
      <w:pPr>
        <w:pStyle w:val="TextBody"/>
        <w:bidi w:val="0"/>
        <w:spacing w:before="0" w:after="0"/>
        <w:jc w:val="left"/>
        <w:rPr/>
      </w:pPr>
      <w:r>
        <w:rPr/>
      </w:r>
    </w:p>
    <w:tbl>
      <w:tblPr>
        <w:tblW w:w="854" w:type="dxa"/>
        <w:jc w:val="left"/>
        <w:tblInd w:w="0" w:type="dxa"/>
        <w:tblLayout w:type="fixed"/>
        <w:tblCellMar>
          <w:top w:w="28" w:type="dxa"/>
          <w:left w:w="28" w:type="dxa"/>
          <w:bottom w:w="28" w:type="dxa"/>
          <w:right w:w="28" w:type="dxa"/>
        </w:tblCellMar>
      </w:tblPr>
      <w:tblGrid>
        <w:gridCol w:w="274"/>
        <w:gridCol w:w="240"/>
        <w:gridCol w:w="340"/>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w:t>
      </w:r>
      <w:r>
        <w:rPr>
          <w:color w:val="000000"/>
        </w:rPr>
        <w:t xml:space="preserve"> </w:t>
      </w:r>
      <w:r>
        <w:rPr>
          <w:rFonts w:ascii="Times New Roman;sans-serif" w:hAnsi="Times New Roman;sans-serif"/>
          <w:b w:val="false"/>
          <w:i/>
          <w:color w:val="000000"/>
          <w:sz w:val="24"/>
        </w:rPr>
        <w:t>Page</w:t>
      </w:r>
      <w:r>
        <w:rPr>
          <w:color w:val="000000"/>
        </w:rPr>
        <w:t xml:space="preserve"> </w:t>
      </w:r>
      <w:r>
        <w:rPr>
          <w:rFonts w:ascii="Times New Roman;sans-serif" w:hAnsi="Times New Roman;sans-serif"/>
          <w:b w:val="false"/>
          <w:i/>
          <w:color w:val="000000"/>
          <w:sz w:val="24"/>
        </w:rPr>
        <w:t>to Award Letter</w:t>
      </w:r>
      <w:r>
        <w:rPr>
          <w:rFonts w:ascii="Times New Roman;sans-serif" w:hAnsi="Times New Roman;sans-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10.22</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18"/>
        </w:rPr>
      </w:pPr>
      <w:r>
        <w:rPr>
          <w:rFonts w:ascii="Times New Roman;sans-serif" w:hAnsi="Times New Roman;sans-serif"/>
          <w:b/>
          <w:color w:val="000000"/>
          <w:sz w:val="18"/>
        </w:rPr>
        <w:t>EXECUTION VERSION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Employment Agreement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and entered into by and between Talen Energy Corporation,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Cole Muller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effective as of July 7,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1.    </w:t>
      </w:r>
      <w:r>
        <w:rPr>
          <w:rFonts w:ascii="Times New Roman;sans-serif" w:hAnsi="Times New Roman;sans-serif"/>
          <w:b/>
          <w:color w:val="000000"/>
          <w:sz w:val="24"/>
          <w:u w:val="single"/>
        </w:rPr>
        <w:t>Employment</w:t>
      </w:r>
      <w:r>
        <w:rPr>
          <w:rFonts w:ascii="Times New Roman;sans-serif" w:hAnsi="Times New Roman;sans-serif"/>
          <w:b w:val="false"/>
          <w:color w:val="000000"/>
          <w:sz w:val="24"/>
        </w:rPr>
        <w:t>. During the Employment Period (as defined below), the Company shall employ Employee, and Employee shall serve, as General Manager, Cumulus. In addition, if requested by the Company, Employee shall serve as an officer or member of the board of directors of any subsidiaries or affiliates of the Company without additional compensation.</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2.    </w:t>
      </w:r>
      <w:r>
        <w:rPr>
          <w:rFonts w:ascii="Times New Roman;sans-serif" w:hAnsi="Times New Roman;sans-serif"/>
          <w:b/>
          <w:color w:val="000000"/>
          <w:sz w:val="24"/>
          <w:u w:val="single"/>
        </w:rPr>
        <w:t>Duties and Responsibilities of Employee</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During the Employment Period, Employee shall actively engage in the business and affairs of the Company (together with its direct and indirect subsidiaries, the “</w:t>
      </w:r>
      <w:r>
        <w:rPr>
          <w:rFonts w:ascii="Times New Roman;sans-serif" w:hAnsi="Times New Roman;sans-serif"/>
          <w:b w:val="false"/>
          <w:color w:val="000000"/>
          <w:sz w:val="24"/>
          <w:u w:val="single"/>
        </w:rPr>
        <w:t>Company Group</w:t>
      </w:r>
      <w:r>
        <w:rPr>
          <w:color w:val="000000"/>
        </w:rPr>
        <w:t>”</w:t>
      </w:r>
      <w:r>
        <w:rPr>
          <w:rFonts w:ascii="Times New Roman;sans-serif" w:hAnsi="Times New Roman;sans-serif"/>
          <w:b w:val="false"/>
          <w:color w:val="000000"/>
          <w:sz w:val="24"/>
        </w:rPr>
        <w:t>) as may be requested by the Chief Executive Officer (“</w:t>
      </w:r>
      <w:r>
        <w:rPr>
          <w:rFonts w:ascii="Times New Roman;sans-serif" w:hAnsi="Times New Roman;sans-serif"/>
          <w:b w:val="false"/>
          <w:color w:val="000000"/>
          <w:sz w:val="24"/>
          <w:u w:val="single"/>
        </w:rPr>
        <w:t>CEO</w:t>
      </w:r>
      <w:r>
        <w:rPr>
          <w:color w:val="000000"/>
        </w:rPr>
        <w:t>”</w:t>
      </w:r>
      <w:r>
        <w:rPr>
          <w:rFonts w:ascii="Times New Roman;sans-serif" w:hAnsi="Times New Roman;sans-serif"/>
          <w:b w:val="false"/>
          <w:color w:val="000000"/>
          <w:sz w:val="24"/>
        </w:rPr>
        <w:t xml:space="preserve">) of the Company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 xml:space="preserve">, as well as such additional duties as may be assigned to Employee by the CEO from time to time, which duties and responsibilities may include providing services to other members of the Company Group in addition to the Company. Employee may, without violating this </w:t>
      </w:r>
      <w:r>
        <w:rPr>
          <w:rFonts w:ascii="Times New Roman;sans-serif" w:hAnsi="Times New Roman;sans-serif"/>
          <w:b w:val="false"/>
          <w:color w:val="000000"/>
          <w:sz w:val="24"/>
          <w:u w:val="single"/>
        </w:rPr>
        <w:t>Section 2(a)</w:t>
      </w:r>
      <w:r>
        <w:rPr>
          <w:rFonts w:ascii="Times New Roman;sans-serif" w:hAnsi="Times New Roman;sans-serif"/>
          <w:b w:val="false"/>
          <w:color w:val="000000"/>
          <w:sz w:val="24"/>
        </w:rPr>
        <w:t>, (i) as a passive investment, own publicly traded securities in such form or manner as will not require any services by Employee in the operation of the entities in which such securities are owned; (ii) engage in charitable and civic activities; and (iii) with the prior written consent of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engage in other personal and passive investment activities, in each case,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Employee owes each member of the Company Group fiduciary duties, and the obligations described in this Agreement are in addition to, and not in lieu of, the obligations Employee owes each member of the Company Group under statutory and common law.</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3.    </w:t>
      </w:r>
      <w:r>
        <w:rPr>
          <w:rFonts w:ascii="Times New Roman;sans-serif" w:hAnsi="Times New Roman;sans-serif"/>
          <w:b/>
          <w:color w:val="000000"/>
          <w:sz w:val="24"/>
          <w:u w:val="single"/>
        </w:rPr>
        <w:t>Compensation</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Base Salar</w:t>
      </w:r>
      <w:r>
        <w:rPr>
          <w:rFonts w:ascii="Times New Roman;sans-serif" w:hAnsi="Times New Roman;sans-serif"/>
          <w:b w:val="false"/>
          <w:color w:val="000000"/>
          <w:sz w:val="24"/>
        </w:rPr>
        <w:t>y. During the Employment Period, the Company shall pay to Employee an annualized base salary of $465,000 (the “</w:t>
      </w:r>
      <w:r>
        <w:rPr>
          <w:rFonts w:ascii="Times New Roman;sans-serif" w:hAnsi="Times New Roman;sans-serif"/>
          <w:b w:val="false"/>
          <w:color w:val="000000"/>
          <w:sz w:val="24"/>
          <w:u w:val="single"/>
        </w:rPr>
        <w:t>Base Salary</w:t>
      </w:r>
      <w:r>
        <w:rPr>
          <w:color w:val="000000"/>
        </w:rPr>
        <w:t>”</w:t>
      </w:r>
      <w:r>
        <w:rPr>
          <w:rFonts w:ascii="Times New Roman;sans-serif" w:hAnsi="Times New Roman;sans-serif"/>
          <w:b w:val="false"/>
          <w:color w:val="000000"/>
          <w:sz w:val="24"/>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Annual Bonus</w:t>
      </w:r>
      <w:r>
        <w:rPr>
          <w:rFonts w:ascii="Times New Roman;sans-serif" w:hAnsi="Times New Roman;sans-serif"/>
          <w:b w:val="false"/>
          <w:color w:val="000000"/>
          <w:sz w:val="24"/>
        </w:rPr>
        <w:t>. Employee shall be eligible for bonus compensation for calendar year 2023 and each subsequent complete calendar year that Employee is employed by the Company hereunder (the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The target Annual Bonus for each such calendar year (the “</w:t>
      </w:r>
      <w:r>
        <w:rPr>
          <w:rFonts w:ascii="Times New Roman;sans-serif" w:hAnsi="Times New Roman;sans-serif"/>
          <w:b w:val="false"/>
          <w:color w:val="000000"/>
          <w:sz w:val="24"/>
          <w:u w:val="single"/>
        </w:rPr>
        <w:t>Bonus Year</w:t>
      </w:r>
      <w:r>
        <w:rPr>
          <w:color w:val="000000"/>
        </w:rPr>
        <w:t>”</w:t>
      </w:r>
      <w:r>
        <w:rPr>
          <w:rFonts w:ascii="Times New Roman;sans-serif" w:hAnsi="Times New Roman;sans-serif"/>
          <w:b w:val="false"/>
          <w:color w:val="000000"/>
          <w:sz w:val="24"/>
        </w:rPr>
        <w:t xml:space="preserve">) shall be 100% of Employee’s Base Salary in effect as of the first day of the Bonus Year (or, with respect to calendar year 2023, in effect on the Effective Date), with the actual Annual Bonus for a Bonus Year depending on the level of achievement of the performance targets as determined by the Compensation Committee for the Bonus Year. The performance targets that must be achieved in order to be eligible for certain bonus levels shall be established by the Compensation Committee annually, in its sole discretion, and communicated to Employee within the first one-hundred twenty (120) days of the applicable Bonus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to the contrary, but subject to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no Annual Bonus, if any, nor any portion thereof, shall be payable for any Bonus Year unless Employee remains continuously employed by the Company from the Effective Date through the date on which such Annual Bonus is paid.</w:t>
      </w:r>
    </w:p>
    <w:p>
      <w:pPr>
        <w:pStyle w:val="TextBody"/>
        <w:bidi w:val="0"/>
        <w:spacing w:lineRule="auto" w:line="288" w:before="0" w:after="240"/>
        <w:ind w:left="0" w:right="0" w:firstLine="1440"/>
        <w:jc w:val="both"/>
        <w:rPr/>
      </w:pPr>
      <w:r>
        <w:rPr>
          <w:rFonts w:ascii="Arial;sans-serif" w:hAnsi="Arial;sans-serif"/>
          <w:b w:val="false"/>
          <w:color w:val="010000"/>
          <w:sz w:val="24"/>
        </w:rPr>
        <w:t>(c)</w:t>
      </w:r>
      <w:r>
        <w:rPr>
          <w:color w:val="010000"/>
        </w:rPr>
        <w:t>    </w:t>
      </w:r>
      <w:r>
        <w:rPr>
          <w:rFonts w:ascii="Times New Roman;sans-serif" w:hAnsi="Times New Roman;sans-serif"/>
          <w:b w:val="false"/>
          <w:color w:val="000000"/>
          <w:sz w:val="24"/>
          <w:u w:val="single"/>
        </w:rPr>
        <w:t>Lon</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-Term Incentive Awards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445"/>
                <wp:effectExtent l="0" t="0" r="0" b="0"/>
                <wp:wrapNone/>
                <wp:docPr id="153" name="Frame1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As soon as practicable (but no later than sixty (60) days) following the Effective Date (the “</w:t>
      </w:r>
      <w:r>
        <w:rPr>
          <w:rFonts w:ascii="Times New Roman;sans-serif" w:hAnsi="Times New Roman;sans-serif"/>
          <w:b w:val="false"/>
          <w:color w:val="000000"/>
          <w:sz w:val="24"/>
          <w:u w:val="single"/>
        </w:rPr>
        <w:t>Date of Grant</w:t>
      </w:r>
      <w:r>
        <w:rPr>
          <w:color w:val="000000"/>
        </w:rPr>
        <w:t>”</w:t>
      </w:r>
      <w:r>
        <w:rPr>
          <w:rFonts w:ascii="Times New Roman;sans-serif" w:hAnsi="Times New Roman;sans-serif"/>
          <w:b w:val="false"/>
          <w:color w:val="000000"/>
          <w:sz w:val="24"/>
        </w:rPr>
        <w:t>), the Board shall establish a Long Term Incentive Plan (such plan, or any successor plan, the “</w:t>
      </w:r>
      <w:r>
        <w:rPr>
          <w:rFonts w:ascii="Times New Roman;sans-serif" w:hAnsi="Times New Roman;sans-serif"/>
          <w:b w:val="false"/>
          <w:color w:val="000000"/>
          <w:sz w:val="24"/>
          <w:u w:val="single"/>
        </w:rPr>
        <w:t>LTIP</w:t>
      </w:r>
      <w:r>
        <w:rPr>
          <w:color w:val="000000"/>
        </w:rPr>
        <w:t>”</w:t>
      </w:r>
      <w:r>
        <w:rPr>
          <w:rFonts w:ascii="Times New Roman;sans-serif" w:hAnsi="Times New Roman;sans-serif"/>
          <w:b w:val="false"/>
          <w:color w:val="000000"/>
          <w:sz w:val="24"/>
        </w:rPr>
        <w:t>) and grant to Employee thereunder: (i) an award of restricted stock units (the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and (ii) an award of performance stock units (the “</w:t>
      </w:r>
      <w:r>
        <w:rPr>
          <w:rFonts w:ascii="Times New Roman;sans-serif" w:hAnsi="Times New Roman;sans-serif"/>
          <w:b w:val="false"/>
          <w:color w:val="000000"/>
          <w:sz w:val="24"/>
          <w:u w:val="single"/>
        </w:rPr>
        <w:t>PSUs,</w:t>
      </w:r>
      <w:r>
        <w:rPr>
          <w:color w:val="000000"/>
        </w:rPr>
        <w:t xml:space="preserve">” </w:t>
      </w:r>
      <w:r>
        <w:rPr>
          <w:rFonts w:ascii="Times New Roman;sans-serif" w:hAnsi="Times New Roman;sans-serif"/>
          <w:b w:val="false"/>
          <w:color w:val="000000"/>
          <w:sz w:val="24"/>
        </w:rPr>
        <w:t>and collectively with the RSUs, the “</w:t>
      </w:r>
      <w:r>
        <w:rPr>
          <w:rFonts w:ascii="Times New Roman;sans-serif" w:hAnsi="Times New Roman;sans-serif"/>
          <w:b w:val="false"/>
          <w:color w:val="000000"/>
          <w:sz w:val="24"/>
          <w:u w:val="single"/>
        </w:rPr>
        <w:t>Emergence Grant</w:t>
      </w:r>
      <w:r>
        <w:rPr>
          <w:color w:val="000000"/>
        </w:rPr>
        <w:t>”</w:t>
      </w:r>
      <w:r>
        <w:rPr>
          <w:rFonts w:ascii="Times New Roman;sans-serif" w:hAnsi="Times New Roman;sans-serif"/>
          <w:b w:val="false"/>
          <w:color w:val="000000"/>
          <w:sz w:val="24"/>
        </w:rPr>
        <w:t>). The Emergence Grant will be made with respect to a number of shares of Company common stock having a value, based on the equity value implied by the Company’s plan enterprise value determined as of the effective date of its Plan of Reorganization pursuant to Chapter 11 of the Bankruptcy Code, as determined by the Board in good faith, equal to $4,185,000. The Emergence Grant will be allocated between RSUs and PSUs on a basis determined by the Board. The RSUs shall generally vest in one-third increments on each of the first three (3) anniversaries of the Date of Grant, provided Employee remains continuously employed by the Company or an affiliate of the Company through each such vesting date. The PSUs shall vest on the third (3rd) anniversary of the Date of Grant, subject to Employee’s continuous employment and the achievement of the performance metrics determined by the Board and set forth in the applicable grant agreements.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Provided that Employee is employed by the Company on the applicable date of grant, Employee shall be eligible to receive an annual grant under the LTIP with a grant date target value not less than 300% of Employee’s Base Salary as in effect on the applicable date of grant of such award on such terms and conditions as the Board and the Compensation Committee shall determine from time to time. All awards granted to Employee under the LTIP shall be subject to and governed by the terms and provisions of the LTIP as in effect from time to time and the award agreements evidencing such awards. For the avoidance of doubt, after the receipt of the Emergence Grant, Employee shall not receive any additional annual grants in the calendar years of 2023, 2024 or 2025. Employee will resume receipt of annual grants under the LTIP in the normal course in calendar year 2026.</w:t>
      </w:r>
    </w:p>
    <w:p>
      <w:pPr>
        <w:pStyle w:val="TextBody"/>
        <w:bidi w:val="0"/>
        <w:spacing w:lineRule="auto" w:line="268" w:before="0" w:after="0"/>
        <w:ind w:left="0" w:right="0" w:firstLine="144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In addition, Employee shall be eligible to participate in additional long-term incentive awards pursuant to a long-term incentive plan established at, or measured by reference to performance of, Cumulus Digital Holdings LLC, subject to the adoption of such plan and the terms and conditions thereof and in such amounts as granted or allocated to other similarly-situated participants in such plan.</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4.    </w:t>
      </w:r>
      <w:r>
        <w:rPr>
          <w:rFonts w:ascii="Times New Roman;sans-serif" w:hAnsi="Times New Roman;sans-serif"/>
          <w:b/>
          <w:color w:val="000000"/>
          <w:sz w:val="24"/>
          <w:u w:val="single"/>
        </w:rPr>
        <w:t>Term of Employment</w:t>
      </w:r>
      <w:r>
        <w:rPr>
          <w:rFonts w:ascii="Times New Roman;sans-serif" w:hAnsi="Times New Roman;sans-serif"/>
          <w:b w:val="false"/>
          <w:color w:val="000000"/>
          <w:sz w:val="24"/>
        </w:rPr>
        <w:t>. The term of Employee’s employment under this Agreement shall be for the period beginning on the Effective Date and ending on the third (3rd) anniversary of the Effective Date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xml:space="preserve">). The parties may, but shall not be required to, mutually agree to extend the Term for additional one (1)-year periods. Notwithstanding any other provision of this Agreement, Employee’s employment pursuant to this Agreement may be terminated at any time in accordance with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sans-serif" w:hAnsi="Times New Roman;sans-serif"/>
          <w:b w:val="false"/>
          <w:color w:val="000000"/>
          <w:sz w:val="24"/>
          <w:u w:val="single"/>
        </w:rPr>
        <w:t>Employment Period</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445"/>
                <wp:effectExtent l="0" t="0" r="0" b="0"/>
                <wp:wrapNone/>
                <wp:docPr id="154" name="Frame1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5.    </w:t>
      </w:r>
      <w:r>
        <w:rPr>
          <w:rFonts w:ascii="Times New Roman;sans-serif" w:hAnsi="Times New Roman;sans-serif"/>
          <w:b/>
          <w:color w:val="000000"/>
          <w:sz w:val="24"/>
          <w:u w:val="single"/>
        </w:rPr>
        <w:t>Business Expenses</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26</w:t>
      </w:r>
      <w:r>
        <w:rPr>
          <w:rFonts w:ascii="Times New Roman;sans-serif" w:hAnsi="Times New Roman;sans-serif"/>
          <w:b w:val="false"/>
          <w:color w:val="000000"/>
          <w:sz w:val="24"/>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6.    </w:t>
      </w:r>
      <w:r>
        <w:rPr>
          <w:rFonts w:ascii="Times New Roman;sans-serif" w:hAnsi="Times New Roman;sans-serif"/>
          <w:b/>
          <w:color w:val="000000"/>
          <w:sz w:val="24"/>
          <w:u w:val="single"/>
        </w:rPr>
        <w:t>Benefits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The Company shall not, however, by reason of this </w:t>
      </w:r>
      <w:r>
        <w:rPr>
          <w:rFonts w:ascii="Times New Roman;sans-serif" w:hAnsi="Times New Roman;sans-serif"/>
          <w:b w:val="false"/>
          <w:color w:val="000000"/>
          <w:sz w:val="24"/>
          <w:u w:val="single"/>
        </w:rPr>
        <w:t>Section 6</w:t>
      </w:r>
      <w:r>
        <w:rPr>
          <w:rFonts w:ascii="Times New Roman;sans-serif" w:hAnsi="Times New Roman;sans-serif"/>
          <w:b w:val="false"/>
          <w:color w:val="000000"/>
          <w:sz w:val="24"/>
        </w:rPr>
        <w:t>, be obligated to institute, maintain, or refrain from changing, amending, or discontinuing, any such plan or policy, so long as such changes are similarly applicable to similarly situated Company employees generally.</w:t>
      </w:r>
    </w:p>
    <w:p>
      <w:pPr>
        <w:pStyle w:val="TextBody"/>
        <w:bidi w:val="0"/>
        <w:spacing w:lineRule="auto" w:line="288" w:before="0" w:after="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Company shall reimburse Employee up to $15,000 for legal fees incurred in connection with the review of this Agreement.</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The Company shall cover Employee under directors’ and officers’ liability insurance from the Effective Date, through the Term, and, while potential liability exists, after the Term or the termination of Employee’s employment with the Company, on substantially similar terms as provided to other executive officers of the Company.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shd w:fill="FFFFFF" w:val="clear"/>
        </w:rPr>
        <w:t>During the Employment Period, the Employee shall be entitled to four (4) weeks of paid vacation per calendar year (as prorated for partial years), administered in accordance with the Company’s policy on accrual and use applicable to employees as in effect from time to time. Vacation may be taken at such times and intervals as the Employee determines, subject to the business needs of the Company.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7.    </w:t>
      </w:r>
      <w:r>
        <w:rPr>
          <w:rFonts w:ascii="Times New Roman;sans-serif" w:hAnsi="Times New Roman;sans-serif"/>
          <w:b/>
          <w:color w:val="000000"/>
          <w:sz w:val="24"/>
          <w:u w:val="single"/>
        </w:rPr>
        <w:t>Termination of Employment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Company’s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 to Terminate Employee’s Employment for Cause</w:t>
      </w:r>
      <w:r>
        <w:rPr>
          <w:rFonts w:ascii="Times New Roman;sans-serif" w:hAnsi="Times New Roman;sans-serif"/>
          <w:b w:val="false"/>
          <w:color w:val="000000"/>
          <w:sz w:val="24"/>
        </w:rPr>
        <w:t>. The Company shall have the right to terminate Employee’s employment hereunder at any time for Cause. For purposes of this Agreement,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mean Employee’s commission of an act or omission, or Employee causing the Company or any other member of the Company Group to commit an act or omission, that constitutes: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Employee’s fraud or misconduct;</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445"/>
                <wp:effectExtent l="0" t="0" r="0" b="0"/>
                <wp:wrapNone/>
                <wp:docPr id="155" name="Frame1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Employee’s material breach of this Agreement or any other written agreement between Employee and one or more members of the Company Group, including Employee’s material breach of any representation, warranty or covenant made under any such agreement;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 xml:space="preserve">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(v)    </w:t>
      </w:r>
      <w:r>
        <w:rPr>
          <w:rFonts w:ascii="Times New Roman;sans-serif" w:hAnsi="Times New Roman;sans-serif"/>
          <w:b w:val="false"/>
          <w:color w:val="000000"/>
          <w:sz w:val="24"/>
        </w:rPr>
        <w:t>Employee’s breach of his duty of loyalty to the Company or violation of the Company’s policies (to the extent such policies have been clearly communicated in writing to Employee), including the Company’s code of conduct and business ethics (or similar policies), anti-harassment policy, anti-retaliation, or policies related to age, sex or other prohibited discrimination in the workplace; or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(vi)    </w:t>
      </w:r>
      <w:r>
        <w:rPr>
          <w:rFonts w:ascii="Times New Roman;sans-serif" w:hAnsi="Times New Roman;sans-serif"/>
          <w:b w:val="false"/>
          <w:color w:val="000000"/>
          <w:sz w:val="24"/>
        </w:rPr>
        <w:t xml:space="preserve">Employee’s conviction or plea of </w:t>
      </w:r>
      <w:r>
        <w:rPr>
          <w:rFonts w:ascii="Times New Roman;sans-serif" w:hAnsi="Times New Roman;sans-serif"/>
          <w:b w:val="false"/>
          <w:i/>
          <w:color w:val="000000"/>
          <w:sz w:val="24"/>
        </w:rPr>
        <w:t>nolo contendere</w:t>
      </w:r>
      <w:r>
        <w:rPr>
          <w:color w:val="000000"/>
        </w:rPr>
        <w:t xml:space="preserve"> </w:t>
      </w:r>
      <w:r>
        <w:rPr>
          <w:rFonts w:ascii="Times New Roman;sans-serif" w:hAnsi="Times New Roman;sans-serif"/>
          <w:b w:val="false"/>
          <w:color w:val="000000"/>
          <w:sz w:val="24"/>
        </w:rPr>
        <w:t>to a felony or crime involving moral turpitude.</w:t>
      </w:r>
    </w:p>
    <w:p>
      <w:pPr>
        <w:pStyle w:val="TextBody"/>
        <w:bidi w:val="0"/>
        <w:spacing w:lineRule="auto" w:line="288" w:before="0" w:after="0"/>
        <w:jc w:val="both"/>
        <w:rPr/>
      </w:pPr>
      <w:r>
        <w:rPr>
          <w:rFonts w:ascii="Times New Roman;sans-serif" w:hAnsi="Times New Roman;sans-serif"/>
          <w:b w:val="false"/>
          <w:color w:val="000000"/>
          <w:sz w:val="24"/>
        </w:rPr>
        <w:t xml:space="preserve">Notwithstanding the foregoing, no determination of “Cause” may be made pursuant to </w:t>
      </w:r>
      <w:r>
        <w:rPr>
          <w:rFonts w:ascii="Times New Roman;sans-serif" w:hAnsi="Times New Roman;sans-serif"/>
          <w:b w:val="false"/>
          <w:color w:val="000000"/>
          <w:sz w:val="24"/>
          <w:u w:val="single"/>
        </w:rPr>
        <w:t>Sections 7(a)(ii)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unless (1)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Times New Roman;sans-serif" w:hAnsi="Times New Roman;sans-serif"/>
          <w:b w:val="false"/>
          <w:color w:val="000000"/>
          <w:sz w:val="24"/>
          <w:u w:val="single"/>
        </w:rPr>
        <w:t>Section 7(a)</w:t>
      </w:r>
      <w:r>
        <w:rPr>
          <w:rFonts w:ascii="Times New Roman;sans-serif" w:hAnsi="Times New Roman;sans-serif"/>
          <w:b w:val="false"/>
          <w:color w:val="000000"/>
          <w:sz w:val="24"/>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Sections 6(b)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xml:space="preserve">, and (C) benefits to which Employee is entitled under the terms of any applicable benefit plan or program described in </w:t>
      </w:r>
      <w:r>
        <w:rPr>
          <w:rFonts w:ascii="Times New Roman;sans-serif" w:hAnsi="Times New Roman;sans-serif"/>
          <w:b w:val="false"/>
          <w:color w:val="000000"/>
          <w:sz w:val="24"/>
          <w:u w:val="single"/>
        </w:rPr>
        <w:t>Section 6(a)</w:t>
      </w:r>
      <w:r>
        <w:rPr>
          <w:color w:val="000000"/>
        </w:rPr>
        <w:t xml:space="preserve"> </w:t>
      </w:r>
      <w:r>
        <w:rPr>
          <w:rFonts w:ascii="Times New Roman;sans-serif" w:hAnsi="Times New Roman;sans-serif"/>
          <w:b w:val="false"/>
          <w:color w:val="000000"/>
          <w:sz w:val="24"/>
        </w:rPr>
        <w:t>(collectively, the “</w:t>
      </w:r>
      <w:r>
        <w:rPr>
          <w:rFonts w:ascii="Times New Roman;sans-serif" w:hAnsi="Times New Roman;sans-serif"/>
          <w:b w:val="false"/>
          <w:color w:val="000000"/>
          <w:sz w:val="24"/>
          <w:u w:val="single"/>
        </w:rPr>
        <w:t>Accrued Benefits</w:t>
      </w:r>
      <w:r>
        <w:rPr>
          <w:color w:val="000000"/>
        </w:rPr>
        <w:t>”</w:t>
      </w:r>
      <w:r>
        <w:rPr>
          <w:rFonts w:ascii="Times New Roman;sans-serif" w:hAnsi="Times New Roman;sans-serif"/>
          <w:b w:val="false"/>
          <w:color w:val="000000"/>
          <w:sz w:val="24"/>
        </w:rPr>
        <w:t xml:space="preserve">). In addition, subject to any limitation under applicable law, previously paid compensation pursuant to </w:t>
      </w:r>
      <w:r>
        <w:rPr>
          <w:rFonts w:ascii="Times New Roman;sans-serif" w:hAnsi="Times New Roman;sans-serif"/>
          <w:b w:val="false"/>
          <w:color w:val="000000"/>
          <w:sz w:val="24"/>
          <w:u w:val="single"/>
        </w:rPr>
        <w:t>Sections 3(b)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3(c)</w:t>
      </w:r>
      <w:r>
        <w:rPr>
          <w:color w:val="000000"/>
        </w:rPr>
        <w:t xml:space="preserve"> </w:t>
      </w:r>
      <w:r>
        <w:rPr>
          <w:rFonts w:ascii="Times New Roman;sans-serif" w:hAnsi="Times New Roman;sans-serif"/>
          <w:b w:val="false"/>
          <w:color w:val="000000"/>
          <w:sz w:val="24"/>
        </w:rPr>
        <w:t>shall be subject to clawback or forfeiture and cancellation at the discretion of the Compensation Committee in the event of a termination of Employee’s employment for Cause.</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Company’s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 to Terminate for Convenience</w:t>
      </w:r>
      <w:r>
        <w:rPr>
          <w:rFonts w:ascii="Times New Roman;sans-serif" w:hAnsi="Times New Roman;sans-serif"/>
          <w:b w:val="false"/>
          <w:color w:val="000000"/>
          <w:sz w:val="24"/>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445"/>
                <wp:effectExtent l="0" t="0" r="0" b="0"/>
                <wp:wrapNone/>
                <wp:docPr id="156" name="Frame1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Employee’s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 to Terminate for Good Reason</w:t>
      </w:r>
      <w:r>
        <w:rPr>
          <w:rFonts w:ascii="Times New Roman;sans-serif" w:hAnsi="Times New Roman;sans-serif"/>
          <w:b w:val="false"/>
          <w:color w:val="000000"/>
          <w:sz w:val="24"/>
        </w:rPr>
        <w:t xml:space="preserve">. Employee shall have the right to terminate Employee’s employment with the Company at any time for Good Reason, in which event Employee shall receive the compensation and benefits described in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 For purposes of this Agreement,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mean any of the following occurring without Employee’s consent: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a material adverse change in Employee’s title, duties or responsibilities (including reporting responsibilities);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a material reduction in Employee’s Base Salary;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a relocation of Employee’s primary work location to a distance of more than 50 miles from both Berwick Pennsylvania and Allentown, Pennsylvania; or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a material breach by the Company of any of its obligations under this Agreement.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Employee agree that Good Reason shall not exist unless and until Employee provides the Company with written notice of the acts alleged to constitute Good Reason within ninety (90) days of Employee’s knowledge of the occurrence of such event, and Company fails to cure such acts within thirty (30) days of receipt of such notice. Employee must terminate employment within sixty (60) days following the expiration of such cure period for the termination to be on account of Good Reason.</w:t>
      </w:r>
    </w:p>
    <w:p>
      <w:pPr>
        <w:pStyle w:val="TextBody"/>
        <w:bidi w:val="0"/>
        <w:spacing w:lineRule="auto" w:line="288" w:before="0" w:after="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Death or Disabilit</w:t>
      </w:r>
      <w:r>
        <w:rPr>
          <w:rFonts w:ascii="Times New Roman;sans-serif" w:hAnsi="Times New Roman;sans-serif"/>
          <w:b w:val="false"/>
          <w:color w:val="000000"/>
          <w:sz w:val="24"/>
        </w:rPr>
        <w:t>y.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January 1 (or, if later the Effective Date)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445"/>
                <wp:effectExtent l="0" t="0" r="0" b="0"/>
                <wp:wrapNone/>
                <wp:docPr id="157" name="Frame1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Employee’s Ri</w:t>
      </w:r>
      <w:r>
        <w:rPr>
          <w:rFonts w:ascii="Times New Roman;sans-serif" w:hAnsi="Times New Roman;sans-serif"/>
          <w:b w:val="false"/>
          <w:color w:val="000000"/>
          <w:sz w:val="24"/>
        </w:rPr>
        <w:t>g</w:t>
      </w:r>
      <w:r>
        <w:rPr>
          <w:rFonts w:ascii="Times New Roman;sans-serif" w:hAnsi="Times New Roman;sans-serif"/>
          <w:b w:val="false"/>
          <w:color w:val="000000"/>
          <w:sz w:val="24"/>
          <w:u w:val="single"/>
        </w:rPr>
        <w:t>ht to Terminate for Convenience</w:t>
      </w:r>
      <w:r>
        <w:rPr>
          <w:rFonts w:ascii="Times New Roman;sans-serif" w:hAnsi="Times New Roman;sans-serif"/>
          <w:b w:val="false"/>
          <w:color w:val="000000"/>
          <w:sz w:val="24"/>
        </w:rPr>
        <w:t xml:space="preserve">. In addition to Employee’s right to terminate Employee’s employment for Good Reason, Employee shall have the right to terminate Employee’s employment with the Company for convenience at any time and for any other reason, or no reason at all, upon sixty (60) days’ advance written notice to the Company;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sans-serif" w:hAnsi="Times New Roman;sans-serif"/>
          <w:b w:val="false"/>
          <w:color w:val="000000"/>
          <w:sz w:val="24"/>
          <w:u w:val="single"/>
        </w:rPr>
        <w:t>Section 7(b)</w:t>
      </w:r>
      <w:r>
        <w:rPr>
          <w:rFonts w:ascii="Times New Roman;sans-serif" w:hAnsi="Times New Roman;sans-serif"/>
          <w:b w:val="false"/>
          <w:color w:val="000000"/>
          <w:sz w:val="24"/>
        </w:rPr>
        <w:t xml:space="preserve">). Upon the termination of Employee’s employment pursuant to this </w:t>
      </w:r>
      <w:r>
        <w:rPr>
          <w:rFonts w:ascii="Times New Roman;sans-serif" w:hAnsi="Times New Roman;sans-serif"/>
          <w:b w:val="false"/>
          <w:color w:val="000000"/>
          <w:sz w:val="24"/>
          <w:u w:val="single"/>
        </w:rPr>
        <w:t>Section 7(e)</w:t>
      </w:r>
      <w:r>
        <w:rPr>
          <w:rFonts w:ascii="Times New Roman;sans-serif" w:hAnsi="Times New Roman;sans-serif"/>
          <w:b w:val="false"/>
          <w:color w:val="000000"/>
          <w:sz w:val="24"/>
        </w:rPr>
        <w:t>, the Company shall pay to Employee the Accrued Benefits.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u w:val="single"/>
        </w:rPr>
        <w:t>Effect of Termination of Employment without Cause or for Good Reason</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 xml:space="preserve">If Employee’s employment hereunder is terminated prior to the expiration of the Term by the Company without Cause pursuant to </w:t>
      </w:r>
      <w:r>
        <w:rPr>
          <w:rFonts w:ascii="Times New Roman;sans-serif" w:hAnsi="Times New Roman;sans-serif"/>
          <w:b w:val="false"/>
          <w:color w:val="000000"/>
          <w:sz w:val="24"/>
          <w:u w:val="single"/>
        </w:rPr>
        <w:t>Section 7(b)</w:t>
      </w:r>
      <w:r>
        <w:rPr>
          <w:color w:val="000000"/>
        </w:rPr>
        <w:t xml:space="preserve"> </w:t>
      </w:r>
      <w:r>
        <w:rPr>
          <w:rFonts w:ascii="Times New Roman;sans-serif" w:hAnsi="Times New Roman;sans-serif"/>
          <w:b w:val="false"/>
          <w:color w:val="000000"/>
          <w:sz w:val="24"/>
        </w:rPr>
        <w:t xml:space="preserve">or is terminated by Employee for Good Reason pursuant to </w:t>
      </w:r>
      <w:r>
        <w:rPr>
          <w:rFonts w:ascii="Times New Roman;sans-serif" w:hAnsi="Times New Roman;sans-serif"/>
          <w:b w:val="false"/>
          <w:color w:val="000000"/>
          <w:sz w:val="24"/>
          <w:u w:val="single"/>
        </w:rPr>
        <w:t>Section 7(c)</w:t>
      </w:r>
      <w:r>
        <w:rPr>
          <w:rFonts w:ascii="Times New Roman;sans-serif" w:hAnsi="Times New Roman;sans-serif"/>
          <w:b w:val="false"/>
          <w:color w:val="000000"/>
          <w:sz w:val="24"/>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sans-serif" w:hAnsi="Times New Roman;sans-serif"/>
          <w:b w:val="false"/>
          <w:color w:val="000000"/>
          <w:sz w:val="24"/>
          <w:u w:val="single"/>
        </w:rPr>
        <w:t>Section 7(f)</w:t>
      </w:r>
      <w:r>
        <w:rPr>
          <w:rFonts w:ascii="Times New Roman;sans-serif" w:hAnsi="Times New Roman;sans-serif"/>
          <w:b w:val="false"/>
          <w:color w:val="000000"/>
          <w:sz w:val="24"/>
        </w:rPr>
        <w:t xml:space="preserve">; and (y) abides by the terms of each of </w:t>
      </w:r>
      <w:r>
        <w:rPr>
          <w:rFonts w:ascii="Times New Roman;sans-serif" w:hAnsi="Times New Roman;sans-serif"/>
          <w:b w:val="false"/>
          <w:color w:val="000000"/>
          <w:sz w:val="24"/>
          <w:u w:val="single"/>
        </w:rPr>
        <w:t>Sections 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10</w:t>
      </w:r>
      <w:r>
        <w:rPr>
          <w:color w:val="000000"/>
        </w:rPr>
        <w:t xml:space="preserve"> </w:t>
      </w:r>
      <w:r>
        <w:rPr>
          <w:rFonts w:ascii="Times New Roman;sans-serif" w:hAnsi="Times New Roman;sans-serif"/>
          <w:b w:val="false"/>
          <w:color w:val="000000"/>
          <w:sz w:val="24"/>
        </w:rPr>
        <w:t xml:space="preserve">then: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Company shall make severance payments to Employee in a total amount equal to (i) twelve (12) months’ worth of Employee’s Base Salary and (ii) one (1) times the target Annual Bonus, where each are determined as of the year in which such termination occurs (such total severance payments being referred to as the “</w:t>
      </w:r>
      <w:r>
        <w:rPr>
          <w:rFonts w:ascii="Times New Roman;sans-serif" w:hAnsi="Times New Roman;sans-serif"/>
          <w:b w:val="false"/>
          <w:color w:val="000000"/>
          <w:sz w:val="24"/>
          <w:u w:val="single"/>
        </w:rPr>
        <w:t>Severance Payment</w:t>
      </w:r>
      <w:r>
        <w:rPr>
          <w:color w:val="000000"/>
        </w:rPr>
        <w:t>”</w:t>
      </w:r>
      <w:r>
        <w:rPr>
          <w:rFonts w:ascii="Times New Roman;sans-serif" w:hAnsi="Times New Roman;sans-serif"/>
          <w:b w:val="false"/>
          <w:color w:val="000000"/>
          <w:sz w:val="24"/>
        </w:rPr>
        <w:t>). The Severance Payment will be divided into substantially equal installments paid over the twelve (12)-month period following the date on which Employee’s employment terminates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On the Company’s first regularly scheduled pay date that is on or after the date that is sixty (60) days after the Termination Date (the “</w:t>
      </w:r>
      <w:r>
        <w:rPr>
          <w:rFonts w:ascii="Times New Roman;sans-serif" w:hAnsi="Times New Roman;sans-serif"/>
          <w:b w:val="false"/>
          <w:color w:val="000000"/>
          <w:sz w:val="24"/>
          <w:u w:val="single"/>
        </w:rPr>
        <w:t>First Payment Date</w:t>
      </w:r>
      <w:r>
        <w:rPr>
          <w:color w:val="000000"/>
        </w:rPr>
        <w:t>”</w:t>
      </w:r>
      <w:r>
        <w:rPr>
          <w:rFonts w:ascii="Times New Roman;sans-serif" w:hAnsi="Times New Roman;sans-serif"/>
          <w:b w:val="false"/>
          <w:color w:val="000000"/>
          <w:sz w:val="24"/>
        </w:rPr>
        <w:t xml:space="preserve">), the Company shall pay to Employee, without interest, a number of such installments equal to the number of such installments that would have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445"/>
                <wp:effectExtent l="0" t="0" r="0" b="0"/>
                <wp:wrapNone/>
                <wp:docPr id="158" name="Frame1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twelve (12)-month period;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that to the extent, if any, that the aggregate amount of the installments of the Severance Payment that would otherwise be paid pursuant to the preceding provisions of this </w:t>
      </w:r>
      <w:r>
        <w:rPr>
          <w:rFonts w:ascii="Times New Roman;sans-serif" w:hAnsi="Times New Roman;sans-serif"/>
          <w:b w:val="false"/>
          <w:color w:val="000000"/>
          <w:sz w:val="24"/>
          <w:u w:val="single"/>
        </w:rPr>
        <w:t>Section 7(f)(i)</w:t>
      </w:r>
      <w:r>
        <w:rPr>
          <w:color w:val="000000"/>
        </w:rPr>
        <w:t xml:space="preserve"> </w:t>
      </w:r>
      <w:r>
        <w:rPr>
          <w:rFonts w:ascii="Times New Roman;sans-serif" w:hAnsi="Times New Roman;sans-serif"/>
          <w:b w:val="false"/>
          <w:color w:val="000000"/>
          <w:sz w:val="24"/>
        </w:rPr>
        <w:t>after March 15 of the calendar year following the calendar year in which the Termination Date occurs (the “</w:t>
      </w:r>
      <w:r>
        <w:rPr>
          <w:rFonts w:ascii="Times New Roman;sans-serif" w:hAnsi="Times New Roman;sans-serif"/>
          <w:b w:val="false"/>
          <w:color w:val="000000"/>
          <w:sz w:val="24"/>
          <w:u w:val="single"/>
        </w:rPr>
        <w:t>Applicable March 15</w:t>
      </w:r>
      <w:r>
        <w:rPr>
          <w:color w:val="000000"/>
        </w:rPr>
        <w:t>”</w:t>
      </w:r>
      <w:r>
        <w:rPr>
          <w:rFonts w:ascii="Times New Roman;sans-serif" w:hAnsi="Times New Roman;sans-serif"/>
          <w:b w:val="false"/>
          <w:color w:val="000000"/>
          <w:sz w:val="24"/>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shall mean any day except a Saturday, Sunday or other day on which commercial banks in Houston, Texas, are authorized or required by law to be closed.</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RSUs and PSUs issued under Employee’s Emergence Grant shall be treated in accordance with the award agreements evidencing such Emergence Grant.</w:t>
      </w:r>
    </w:p>
    <w:p>
      <w:pPr>
        <w:pStyle w:val="TextBody"/>
        <w:bidi w:val="0"/>
        <w:spacing w:lineRule="auto" w:line="288" w:before="0" w:after="240"/>
        <w:jc w:val="both"/>
        <w:rPr/>
      </w:pPr>
      <w:r>
        <w:rPr>
          <w:rFonts w:ascii="Times New Roman;sans-serif" w:hAnsi="Times New Roman;sans-serif"/>
          <w:b w:val="false"/>
          <w:color w:val="000000"/>
          <w:sz w:val="24"/>
        </w:rPr>
        <w:t>The payments and benefits described in clauses (A) and (B) above are collectively referred to herein as the “</w:t>
      </w:r>
      <w:r>
        <w:rPr>
          <w:rFonts w:ascii="Times New Roman;sans-serif" w:hAnsi="Times New Roman;sans-serif"/>
          <w:b w:val="false"/>
          <w:color w:val="000000"/>
          <w:sz w:val="24"/>
          <w:u w:val="single"/>
        </w:rPr>
        <w:t>Termination Benefits</w:t>
      </w:r>
      <w:r>
        <w:rPr>
          <w:rFonts w:ascii="Times New Roman;sans-serif" w:hAnsi="Times New Roman;sans-serif"/>
          <w:b w:val="false"/>
          <w:color w:val="000000"/>
          <w:sz w:val="24"/>
        </w:rPr>
        <w:t>.”</w:t>
      </w:r>
    </w:p>
    <w:p>
      <w:pPr>
        <w:pStyle w:val="TextBody"/>
        <w:bidi w:val="0"/>
        <w:spacing w:lineRule="auto" w:line="288"/>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Notwithstanding anything herein to the contrary, the Termination Benefits (and any portions thereof) shall not be payable if Employee’s employment hereunder terminates upon the expiration of the Term.</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1445"/>
                <wp:effectExtent l="0" t="0" r="0" b="0"/>
                <wp:wrapNone/>
                <wp:docPr id="159" name="Frame1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Times New Roman;sans-serif" w:hAnsi="Times New Roman;sans-serif"/>
          <w:b w:val="false"/>
          <w:color w:val="000000"/>
          <w:sz w:val="24"/>
          <w:u w:val="single"/>
        </w:rPr>
        <w:t>Release Expiration Date</w:t>
      </w:r>
      <w:r>
        <w:rPr>
          <w:color w:val="000000"/>
        </w:rPr>
        <w:t xml:space="preserve">” </w:t>
      </w:r>
      <w:r>
        <w:rPr>
          <w:rFonts w:ascii="Times New Roman;sans-serif" w:hAnsi="Times New Roman;sans-serif"/>
          <w:b w:val="false"/>
          <w:color w:val="000000"/>
          <w:sz w:val="24"/>
        </w:rPr>
        <w:t>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u w:val="single"/>
        </w:rPr>
        <w:t>After-Acquired Evidence</w:t>
      </w:r>
      <w:r>
        <w:rPr>
          <w:rFonts w:ascii="Times New Roman;sans-serif" w:hAnsi="Times New Roman;sans-serif"/>
          <w:b w:val="false"/>
          <w:color w:val="000000"/>
          <w:sz w:val="24"/>
        </w:rPr>
        <w:t xml:space="preserve">. Notwithstanding any provision of this Agreement to the contrary, in the event that the Company determines, in good faith, that Employee is eligible to receive the Termination Benefits pursuant to </w:t>
      </w:r>
      <w:r>
        <w:rPr>
          <w:rFonts w:ascii="Times New Roman;sans-serif" w:hAnsi="Times New Roman;sans-serif"/>
          <w:b w:val="false"/>
          <w:color w:val="000000"/>
          <w:sz w:val="24"/>
          <w:u w:val="single"/>
        </w:rPr>
        <w:t>Section 7(f)</w:t>
      </w:r>
      <w:r>
        <w:rPr>
          <w:color w:val="000000"/>
        </w:rPr>
        <w:t xml:space="preserve"> </w:t>
      </w:r>
      <w:r>
        <w:rPr>
          <w:rFonts w:ascii="Times New Roman;sans-serif" w:hAnsi="Times New Roman;sans-serif"/>
          <w:b w:val="false"/>
          <w:color w:val="000000"/>
          <w:sz w:val="24"/>
        </w:rPr>
        <w:t xml:space="preserve">but, after such determination, the Company subsequently acquires evidence or determines that: (i) Employee has failed to abide by the terms of </w:t>
      </w:r>
      <w:r>
        <w:rPr>
          <w:rFonts w:ascii="Times New Roman;sans-serif" w:hAnsi="Times New Roman;sans-serif"/>
          <w:b w:val="false"/>
          <w:color w:val="000000"/>
          <w:sz w:val="24"/>
          <w:u w:val="single"/>
        </w:rPr>
        <w:t>Sections 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w:t>
      </w:r>
      <w:r>
        <w:rPr>
          <w:rFonts w:ascii="Times New Roman;sans-serif" w:hAnsi="Times New Roman;sans-serif"/>
          <w:b w:val="false"/>
          <w:color w:val="000000"/>
          <w:sz w:val="24"/>
        </w:rPr>
        <w:t xml:space="preserve">, or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xml:space="preserve">; or (ii) a Cause condition existed prior to the Termination Date that, had the Company been fully aware of such condition, would have given the Company the right to terminate Employee’s employment pursuant to </w:t>
      </w:r>
      <w:r>
        <w:rPr>
          <w:rFonts w:ascii="Times New Roman;sans-serif" w:hAnsi="Times New Roman;sans-serif"/>
          <w:b w:val="false"/>
          <w:color w:val="000000"/>
          <w:sz w:val="24"/>
          <w:u w:val="single"/>
        </w:rPr>
        <w:t>Section 7(a)</w:t>
      </w:r>
      <w:r>
        <w:rPr>
          <w:rFonts w:ascii="Times New Roman;sans-serif" w:hAnsi="Times New Roman;sans-serif"/>
          <w:b w:val="false"/>
          <w:color w:val="000000"/>
          <w:sz w:val="24"/>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sans-serif" w:hAnsi="Times New Roman;sans-serif"/>
          <w:b w:val="false"/>
          <w:color w:val="000000"/>
          <w:sz w:val="24"/>
          <w:u w:val="single"/>
        </w:rPr>
        <w:t>Section 7(g)</w:t>
      </w:r>
      <w:r>
        <w:rPr>
          <w:color w:val="000000"/>
        </w:rPr>
        <w:t xml:space="preserve"> </w:t>
      </w:r>
      <w:r>
        <w:rPr>
          <w:rFonts w:ascii="Times New Roman;sans-serif" w:hAnsi="Times New Roman;sans-serif"/>
          <w:b w:val="false"/>
          <w:color w:val="000000"/>
          <w:sz w:val="24"/>
        </w:rPr>
        <w:t xml:space="preserve">have been satisfied. In addition, the provisions of the last sentence of </w:t>
      </w:r>
      <w:r>
        <w:rPr>
          <w:rFonts w:ascii="Times New Roman;sans-serif" w:hAnsi="Times New Roman;sans-serif"/>
          <w:b w:val="false"/>
          <w:color w:val="000000"/>
          <w:sz w:val="24"/>
          <w:u w:val="single"/>
        </w:rPr>
        <w:t>Section 7(a)</w:t>
      </w:r>
      <w:r>
        <w:rPr>
          <w:color w:val="000000"/>
        </w:rPr>
        <w:t xml:space="preserve"> </w:t>
      </w:r>
      <w:r>
        <w:rPr>
          <w:rFonts w:ascii="Times New Roman;sans-serif" w:hAnsi="Times New Roman;sans-serif"/>
          <w:b w:val="false"/>
          <w:color w:val="000000"/>
          <w:sz w:val="24"/>
        </w:rPr>
        <w:t xml:space="preserve">shall apply, and, subject to any limitation under applicable law, previously paid compensation pursuant to </w:t>
      </w:r>
      <w:r>
        <w:rPr>
          <w:rFonts w:ascii="Times New Roman;sans-serif" w:hAnsi="Times New Roman;sans-serif"/>
          <w:b w:val="false"/>
          <w:color w:val="000000"/>
          <w:sz w:val="24"/>
          <w:u w:val="single"/>
        </w:rPr>
        <w:t>Sections 3(b)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3(c)</w:t>
      </w:r>
      <w:r>
        <w:rPr>
          <w:color w:val="000000"/>
        </w:rPr>
        <w:t xml:space="preserve"> </w:t>
      </w:r>
      <w:r>
        <w:rPr>
          <w:rFonts w:ascii="Times New Roman;sans-serif" w:hAnsi="Times New Roman;sans-serif"/>
          <w:b w:val="false"/>
          <w:color w:val="000000"/>
          <w:sz w:val="24"/>
        </w:rPr>
        <w:t xml:space="preserve">shall be subject to clawback or forfeiture and cancellation at the discretion of the Compensation Committee in the event Employee fails to abide by the terms of </w:t>
      </w:r>
      <w:r>
        <w:rPr>
          <w:rFonts w:ascii="Times New Roman;sans-serif" w:hAnsi="Times New Roman;sans-serif"/>
          <w:b w:val="false"/>
          <w:color w:val="000000"/>
          <w:sz w:val="24"/>
          <w:u w:val="single"/>
        </w:rPr>
        <w:t>Sections 8</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9</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8.    </w:t>
      </w:r>
      <w:r>
        <w:rPr>
          <w:rFonts w:ascii="Times New Roman;sans-serif" w:hAnsi="Times New Roman;sans-serif"/>
          <w:b/>
          <w:color w:val="000000"/>
          <w:sz w:val="24"/>
          <w:u w:val="single"/>
        </w:rPr>
        <w:t>Disclosures</w:t>
      </w:r>
      <w:r>
        <w:rPr>
          <w:rFonts w:ascii="Times New Roman;sans-serif" w:hAnsi="Times New Roman;sans-serif"/>
          <w:b w:val="false"/>
          <w:color w:val="000000"/>
          <w:sz w:val="24"/>
        </w:rPr>
        <w:t>. Promptly (and in any event, within three (3) Business Days) upon becoming aware of (a) any actual 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sans-serif" w:hAnsi="Times New Roman;sans-serif"/>
          <w:b w:val="false"/>
          <w:color w:val="000000"/>
          <w:sz w:val="24"/>
          <w:u w:val="single"/>
        </w:rPr>
        <w:t>Conflict of Interest</w:t>
      </w:r>
      <w:r>
        <w:rPr>
          <w:color w:val="000000"/>
        </w:rPr>
        <w:t xml:space="preserve">” </w:t>
      </w:r>
      <w:r>
        <w:rPr>
          <w:rFonts w:ascii="Times New Roman;sans-serif" w:hAnsi="Times New Roman;sans-serif"/>
          <w:b w:val="false"/>
          <w:color w:val="000000"/>
          <w:sz w:val="24"/>
        </w:rPr>
        <w:t>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9.    </w:t>
      </w:r>
      <w:r>
        <w:rPr>
          <w:rFonts w:ascii="Times New Roman;sans-serif" w:hAnsi="Times New Roman;sans-serif"/>
          <w:b/>
          <w:color w:val="000000"/>
          <w:sz w:val="24"/>
          <w:u w:val="single"/>
        </w:rPr>
        <w:t>Confidentiality</w:t>
      </w:r>
      <w:r>
        <w:rPr>
          <w:rFonts w:ascii="Times New Roman;sans-serif" w:hAnsi="Times New Roman;sans-serif"/>
          <w:b w:val="false"/>
          <w:color w:val="000000"/>
          <w:sz w:val="24"/>
        </w:rPr>
        <w:t xml:space="preserve">. In the course of Employee’s employment with the Company and the performance of Employee’s 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sans-serif" w:hAnsi="Times New Roman;sans-serif"/>
          <w:b w:val="false"/>
          <w:color w:val="000000"/>
          <w:sz w:val="24"/>
          <w:u w:val="single"/>
        </w:rPr>
        <w:t>Section 9</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Both during the Employment Period and thereafter, except as expressly permitted by this Agreement or by directive of the Board, Employee shall not disclose any Confidential Information to any person or entity and shall not use any Confidential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1445"/>
                <wp:effectExtent l="0" t="0" r="0" b="0"/>
                <wp:wrapNone/>
                <wp:docPr id="160" name="Frame1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Times New Roman;sans-serif" w:hAnsi="Times New Roman;sans-serif"/>
          <w:b w:val="false"/>
          <w:color w:val="000000"/>
          <w:sz w:val="24"/>
          <w:u w:val="single"/>
        </w:rPr>
        <w:t>Section 9(a)</w:t>
      </w:r>
      <w:r>
        <w:rPr>
          <w:color w:val="000000"/>
        </w:rPr>
        <w:t xml:space="preserve"> </w:t>
      </w:r>
      <w:r>
        <w:rPr>
          <w:rFonts w:ascii="Times New Roman;sans-serif" w:hAnsi="Times New Roman;sans-serif"/>
          <w:b w:val="false"/>
          <w:color w:val="000000"/>
          <w:sz w:val="24"/>
        </w:rPr>
        <w:t>shall apply to all Confidential Information, whether now known or later to become known to Employee during the period that Employee is employed by or affiliated with or providing services to the Company or any other member of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Notwithstanding any provision of </w:t>
      </w:r>
      <w:r>
        <w:rPr>
          <w:rFonts w:ascii="Times New Roman;sans-serif" w:hAnsi="Times New Roman;sans-serif"/>
          <w:b w:val="false"/>
          <w:color w:val="000000"/>
          <w:sz w:val="24"/>
          <w:u w:val="single"/>
        </w:rPr>
        <w:t>Section 9(a)</w:t>
      </w:r>
      <w:r>
        <w:rPr>
          <w:color w:val="000000"/>
        </w:rPr>
        <w:t xml:space="preserve"> </w:t>
      </w:r>
      <w:r>
        <w:rPr>
          <w:rFonts w:ascii="Times New Roman;sans-serif" w:hAnsi="Times New Roman;sans-serif"/>
          <w:b w:val="false"/>
          <w:color w:val="000000"/>
          <w:sz w:val="24"/>
        </w:rPr>
        <w:t>to the contrary, Employee may make the following disclosures and uses of Confidential Information:</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disclosures to other employees of a member of the Company Group who have a need to know the information in connection with the businesses of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disclosures to third parties when, in the reasonable and good faith belief of Employee, such disclosure is in connection with Employee’s performance of Employee’s duties under this Agreement and in the best interest of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disclosures and uses that are approved in writing by the Board; or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disclosures to a person or entity that has (x) been retained by a member of the Company Group to provide services to one or more members of the Company Group and (y) agreed in writing to abide by the terms of a confidentiality agreement.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1445"/>
                <wp:effectExtent l="0" t="0" r="0" b="0"/>
                <wp:wrapNone/>
                <wp:docPr id="161" name="Frame1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organizations or within the organization of acquisition prospects, or marketing and merchandising techniques, prospective names and marks) is defined as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such source is not bound by a confidentiality agreement with, or other obligation with respect to confidentiality to, a member of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10.    </w:t>
      </w:r>
      <w:r>
        <w:rPr>
          <w:rFonts w:ascii="Times New Roman;sans-serif" w:hAnsi="Times New Roman;sans-serif"/>
          <w:b/>
          <w:color w:val="000000"/>
          <w:sz w:val="24"/>
          <w:u w:val="single"/>
        </w:rPr>
        <w:t>Non-Competition; Non-Solicitation</w:t>
      </w:r>
      <w:r>
        <w:rPr>
          <w:rFonts w:ascii="Times New Roman;sans-serif" w:hAnsi="Times New Roman;sans-serif"/>
          <w:b w:val="false"/>
          <w:color w:val="000000"/>
          <w:sz w:val="24"/>
        </w:rPr>
        <w:t xml:space="preserve">. The Employee acknowledges that (i) the Employee performs services of a unique nature for the Company that are irreplaceable, and that the Employee’s performance of such services to a competing business will result in irreparable harm to the Company, (ii) the Employee has had and will continue to have access to Confidential Information which, if disclosed, would unfairly and inappropriately assist in competition against the Company Group, (iii) in the course of the Employee’s employment by a competitor, the Employee would inevitably use or disclose such Confidential Information, (iv) the Company Group has substantial relationships with their Customers and the Employee has had and will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1445"/>
                <wp:effectExtent l="0" t="0" r="0" b="0"/>
                <wp:wrapNone/>
                <wp:docPr id="162" name="Frame1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continue to have access to these Customers, (v) the Employee has received and will receive specialized training from the Company Group, and (vi) the Employee has generated and will continue to generate goodwill for the Company Group in the course of the Employee’s employment. Accordingly, the Employee agrees that for the duration of Employee’s employment and for one (1) year thereafter, Employee shall not, directly or indirectly: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 xml:space="preserve">own, manage, operate, control, be employed by (whether as an employee, consultant, independent contractor or otherwise, and whether or not for compensation) or render services to any person, firm, corporation or other entity, in whatever form, engaged in competition with the Company Group on the Termination Date, which includes the business of merchant power production, including nuclear power generation, or any business material to the Company which the Company has taken substantial steps, on or prior to such date, to engage in, in any geographic region in the United States where the Company conducts or has taken substantial steps to conduct business prior to the Termination Date. Notwithstanding the foregoing, nothing herein shall prohibit the Employee from being a passive owner of not more than three percent (3%) of the equity securities of a publicly traded corporation engaged in a business that is in competition with the Company Group, so long as the Employee has no active participation in the business of such corporation. In addition, the provisions of this </w:t>
      </w:r>
      <w:r>
        <w:rPr>
          <w:rFonts w:ascii="Times New Roman;sans-serif" w:hAnsi="Times New Roman;sans-serif"/>
          <w:b w:val="false"/>
          <w:color w:val="000000"/>
          <w:sz w:val="24"/>
          <w:u w:val="single"/>
        </w:rPr>
        <w:t>Section 10(a)</w:t>
      </w:r>
      <w:r>
        <w:rPr>
          <w:color w:val="000000"/>
        </w:rPr>
        <w:t xml:space="preserve"> </w:t>
      </w:r>
      <w:r>
        <w:rPr>
          <w:rFonts w:ascii="Times New Roman;sans-serif" w:hAnsi="Times New Roman;sans-serif"/>
          <w:b w:val="false"/>
          <w:color w:val="000000"/>
          <w:sz w:val="24"/>
        </w:rPr>
        <w:t>shall not be violated by the Employee commencing employment with a subsidiary, division or unit of any entity that engages in a business in competition with the Company Group so long as the Employee and such subsidiary, division or unit does not engage in a business in competition with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solicit, induce or attempt to induce any employee, agent or individual retained as an independent contractor of the Company or any member of the Company Group to terminate his or her employment or contracting relationship with such entity, or to become an employee or independent contractor of any other Person or hire or retain any such employee, agent or individual, or take any action to materially assist or aid any other Person in identifying, hiring or soliciting any such employee, agent or individual (any employee, agent or individual retained as an independent contractor of the Company shall be deemed covered by this </w:t>
      </w:r>
      <w:r>
        <w:rPr>
          <w:rFonts w:ascii="Times New Roman;sans-serif" w:hAnsi="Times New Roman;sans-serif"/>
          <w:b w:val="false"/>
          <w:color w:val="000000"/>
          <w:sz w:val="24"/>
          <w:u w:val="single"/>
        </w:rPr>
        <w:t>Section 10(b)</w:t>
      </w:r>
      <w:r>
        <w:rPr>
          <w:color w:val="000000"/>
        </w:rPr>
        <w:t xml:space="preserve"> </w:t>
      </w:r>
      <w:r>
        <w:rPr>
          <w:rFonts w:ascii="Times New Roman;sans-serif" w:hAnsi="Times New Roman;sans-serif"/>
          <w:b w:val="false"/>
          <w:color w:val="000000"/>
          <w:sz w:val="24"/>
        </w:rPr>
        <w:t>while so employed or retained and for a period of six (6) months thereafter);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solicit, induce or attempt to induce any Customer supplier or other business relation of the Company Group, to cease doing or reduce the amount of its business with such entity or in any way interfere with the relationship between any such Customer, supplier or other business relation and such entity; or</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interfere, or aid or induce any other person or entity in interfering, with the relationship between the Company Group and any of their respective vendors, joint venturers or licensors.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For the purposes of this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the following definitions shall apply:</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1445"/>
                <wp:effectExtent l="0" t="0" r="0" b="0"/>
                <wp:wrapNone/>
                <wp:docPr id="163" name="Frame1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    </w:t>
      </w:r>
      <w:r>
        <w:rPr>
          <w:color w:val="000000"/>
        </w:rPr>
        <w:t>“</w:t>
      </w:r>
      <w:r>
        <w:rPr>
          <w:rFonts w:ascii="Times New Roman;sans-serif" w:hAnsi="Times New Roman;sans-serif"/>
          <w:b w:val="false"/>
          <w:color w:val="000000"/>
          <w:sz w:val="24"/>
          <w:u w:val="single"/>
        </w:rPr>
        <w:t>Customer</w:t>
      </w:r>
      <w:r>
        <w:rPr>
          <w:color w:val="000000"/>
        </w:rPr>
        <w:t xml:space="preserve">” </w:t>
      </w:r>
      <w:r>
        <w:rPr>
          <w:rFonts w:ascii="Times New Roman;sans-serif" w:hAnsi="Times New Roman;sans-serif"/>
          <w:b w:val="false"/>
          <w:color w:val="000000"/>
          <w:sz w:val="24"/>
        </w:rPr>
        <w:t>means any Person who or which: (a) purchased products or services from the Company Group prior to or during Employee’s period of employment and who or which Employee was aware of or about which Employee had received Confidential Information; or (b) was called upon or solicited by the Company Group or any of their predecessors prior to or during the twelve (12) month period prior to the Termination Date, if Employee had direct or indirect contact with such Person as an employee of the Company Group or learned or became aware of such Person during Employee’s employment with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    </w:t>
      </w: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a partnership, a limited liability company, a corporation, an association, a joint stock company, a trust, a joint venture, an unincorporated organization and a governmental entity or any department, agency or political subdivision thereof.</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11.    </w:t>
      </w:r>
      <w:r>
        <w:rPr>
          <w:rFonts w:ascii="Times New Roman;sans-serif" w:hAnsi="Times New Roman;sans-serif"/>
          <w:b/>
          <w:color w:val="000000"/>
          <w:sz w:val="24"/>
          <w:u w:val="single"/>
        </w:rPr>
        <w:t>Ownership of Intellectual Property</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sans-serif" w:hAnsi="Times New Roman;sans-serif"/>
          <w:b w:val="false"/>
          <w:color w:val="000000"/>
          <w:sz w:val="24"/>
          <w:u w:val="single"/>
        </w:rPr>
        <w:t>Company Intellectual Property</w:t>
      </w:r>
      <w:r>
        <w:rPr>
          <w:color w:val="000000"/>
        </w:rPr>
        <w:t>”</w:t>
      </w:r>
      <w:r>
        <w:rPr>
          <w:rFonts w:ascii="Times New Roman;sans-serif" w:hAnsi="Times New Roman;sans-serif"/>
          <w:b w:val="false"/>
          <w:color w:val="000000"/>
          <w:sz w:val="24"/>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1445"/>
                <wp:effectExtent l="0" t="0" r="0" b="0"/>
                <wp:wrapNone/>
                <wp:docPr id="164" name="Frame1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sans-serif" w:hAnsi="Times New Roman;sans-serif"/>
          <w:b w:val="false"/>
          <w:color w:val="000000"/>
          <w:sz w:val="24"/>
          <w:u w:val="single"/>
        </w:rPr>
        <w:t>Moral Rights</w:t>
      </w:r>
      <w:r>
        <w:rPr>
          <w:color w:val="000000"/>
        </w:rPr>
        <w:t>”</w:t>
      </w:r>
      <w:r>
        <w:rPr>
          <w:rFonts w:ascii="Times New Roman;sans-serif" w:hAnsi="Times New Roman;sans-serif"/>
          <w:b w:val="false"/>
          <w:color w:val="000000"/>
          <w:sz w:val="24"/>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sans-serif" w:hAnsi="Times New Roman;sans-serif"/>
          <w:b w:val="false"/>
          <w:color w:val="000000"/>
          <w:sz w:val="24"/>
          <w:u w:val="single"/>
        </w:rPr>
        <w:t>Prior Inventions</w:t>
      </w:r>
      <w:r>
        <w:rPr>
          <w:color w:val="000000"/>
        </w:rPr>
        <w:t>”</w:t>
      </w:r>
      <w:r>
        <w:rPr>
          <w:rFonts w:ascii="Times New Roman;sans-serif" w:hAnsi="Times New Roman;sans-serif"/>
          <w:b w:val="false"/>
          <w:color w:val="000000"/>
          <w:sz w:val="24"/>
        </w:rPr>
        <w:t xml:space="preserve">) are listed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and Employee represents that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 xml:space="preserve">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1445"/>
                <wp:effectExtent l="0" t="0" r="0" b="0"/>
                <wp:wrapNone/>
                <wp:docPr id="165" name="Frame1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(h)    </w:t>
      </w:r>
      <w:r>
        <w:rPr>
          <w:rFonts w:ascii="Times New Roman;sans-serif" w:hAnsi="Times New Roman;sans-serif"/>
          <w:b w:val="false"/>
          <w:color w:val="000000"/>
          <w:sz w:val="24"/>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12.    </w:t>
      </w:r>
      <w:r>
        <w:rPr>
          <w:rFonts w:ascii="Times New Roman;sans-serif" w:hAnsi="Times New Roman;sans-serif"/>
          <w:b/>
          <w:color w:val="000000"/>
          <w:sz w:val="24"/>
          <w:u w:val="single"/>
        </w:rPr>
        <w:t>Defense of Claims</w:t>
      </w:r>
      <w:r>
        <w:rPr>
          <w:rFonts w:ascii="Times New Roman;sans-serif" w:hAnsi="Times New Roman;sans-serif"/>
          <w:b w:val="false"/>
          <w:color w:val="000000"/>
          <w:sz w:val="24"/>
        </w:rPr>
        <w:t>. During the Employment Period and for a period of one (1) year following the Termination Date, upon request from the Company, Employee shall reasonably cooperate with the Company Group, at times and locations agreeable to Employee, to assist (i) in the prosecution of any claims that may be made by the Company Group, to the extent that such claims may relate to the Employee’s employment with the Company and about which the Employee has substantial knowledge, and (ii) in the defense of any Claims that may be made by or against any member of the Company Group that relate to Employee’s actual or prior areas of responsibility (items (i) and (ii) of this sentence, collectively, the “</w:t>
      </w:r>
      <w:r>
        <w:rPr>
          <w:rFonts w:ascii="Times New Roman;sans-serif" w:hAnsi="Times New Roman;sans-serif"/>
          <w:b w:val="false"/>
          <w:color w:val="000000"/>
          <w:sz w:val="24"/>
          <w:u w:val="single"/>
        </w:rPr>
        <w:t>Claims</w:t>
      </w:r>
      <w:r>
        <w:rPr>
          <w:color w:val="000000"/>
        </w:rPr>
        <w:t>”</w:t>
      </w:r>
      <w:r>
        <w:rPr>
          <w:rFonts w:ascii="Times New Roman;sans-serif" w:hAnsi="Times New Roman;sans-serif"/>
          <w:b w:val="false"/>
          <w:color w:val="000000"/>
          <w:sz w:val="24"/>
        </w:rPr>
        <w:t xml:space="preserve">).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1445"/>
                <wp:effectExtent l="0" t="0" r="0" b="0"/>
                <wp:wrapNone/>
                <wp:docPr id="166" name="Frame1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u w:val="single"/>
        </w:rPr>
        <w:t>Section 9(e)</w:t>
      </w:r>
      <w:r>
        <w:rPr>
          <w:rFonts w:ascii="Times New Roman;sans-serif" w:hAnsi="Times New Roman;sans-serif"/>
          <w:b w:val="false"/>
          <w:color w:val="000000"/>
          <w:sz w:val="24"/>
        </w:rPr>
        <w:t xml:space="preserve">, the Employee agrees to promptly inform the Company if the Employee becomes aware of any lawsuits involving Claims that may be filed or threatened against the Company Group. Subject to </w:t>
      </w:r>
      <w:r>
        <w:rPr>
          <w:rFonts w:ascii="Times New Roman;sans-serif" w:hAnsi="Times New Roman;sans-serif"/>
          <w:b w:val="false"/>
          <w:color w:val="000000"/>
          <w:sz w:val="24"/>
          <w:u w:val="single"/>
        </w:rPr>
        <w:t>Section 9(e)</w:t>
      </w:r>
      <w:r>
        <w:rPr>
          <w:rFonts w:ascii="Times New Roman;sans-serif" w:hAnsi="Times New Roman;sans-serif"/>
          <w:b w:val="false"/>
          <w:color w:val="000000"/>
          <w:sz w:val="24"/>
        </w:rPr>
        <w:t xml:space="preserve">, the Employee also agrees to promptly inform the Company (to the extent that the Employee is legally permitted to do so) if the Employee is asked to assist in any investigation of the Company Group (or their actions) or another party attempts to obtain information or documents from the Employee (other than in connection with any litigation or other proceeding in which the Employee is a party-in-opposition) with respect to matters the Employee believes in good faith to relate to any investigation of the Company Group, in each case, regardless of whether a lawsuit or other proceeding has then been filed against the Company Group with respect to such investigation, and shall not do so unless legally required. Subject to </w:t>
      </w:r>
      <w:r>
        <w:rPr>
          <w:rFonts w:ascii="Times New Roman;sans-serif" w:hAnsi="Times New Roman;sans-serif"/>
          <w:b w:val="false"/>
          <w:color w:val="000000"/>
          <w:sz w:val="24"/>
          <w:u w:val="single"/>
        </w:rPr>
        <w:t>Section 9(e)</w:t>
      </w:r>
      <w:r>
        <w:rPr>
          <w:rFonts w:ascii="Times New Roman;sans-serif" w:hAnsi="Times New Roman;sans-serif"/>
          <w:b w:val="false"/>
          <w:color w:val="000000"/>
          <w:sz w:val="24"/>
        </w:rPr>
        <w:t xml:space="preserve">, during the pendency of any litigation or other proceeding involving Claims, the Employee shall not communicate with anyone (other than the Employee’s attorneys and tax and/or financial advisors and except to the extent that the Employee determines in good faith is necessary in connection with the performance of the Employee’s duties hereunder) with respect to the facts or subject matter of any pending or potential litigation or regulatory or administrative proceeding involving the Company Group without giving prior written notice to the Company or the Company’s counsel.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13.    </w:t>
      </w:r>
      <w:r>
        <w:rPr>
          <w:rFonts w:ascii="Times New Roman;sans-serif" w:hAnsi="Times New Roman;sans-serif"/>
          <w:b/>
          <w:color w:val="000000"/>
          <w:sz w:val="24"/>
          <w:u w:val="single"/>
        </w:rPr>
        <w:t>Non-Disparagement</w:t>
      </w:r>
      <w:r>
        <w:rPr>
          <w:rFonts w:ascii="Times New Roman;sans-serif" w:hAnsi="Times New Roman;sans-serif"/>
          <w:b w:val="false"/>
          <w:color w:val="000000"/>
          <w:sz w:val="24"/>
        </w:rPr>
        <w:t xml:space="preserve">. During the Employment Period and thereafter, except to the extent compelled or required by applicable law and subject to </w:t>
      </w:r>
      <w:r>
        <w:rPr>
          <w:rFonts w:ascii="Times New Roman;sans-serif" w:hAnsi="Times New Roman;sans-serif"/>
          <w:b w:val="false"/>
          <w:color w:val="000000"/>
          <w:sz w:val="24"/>
          <w:u w:val="single"/>
        </w:rPr>
        <w:t>Section 9(e)</w:t>
      </w:r>
      <w:r>
        <w:rPr>
          <w:rFonts w:ascii="Times New Roman;sans-serif" w:hAnsi="Times New Roman;sans-serif"/>
          <w:b w:val="false"/>
          <w:color w:val="000000"/>
          <w:sz w:val="24"/>
        </w:rPr>
        <w:t>, Employee agrees Employee shall not disparage the Company or its respective officers, directors, employees, shareholders or successors or their respective products or services, in any manner (including but not limited to, verbally or via hard copy, websites, blogs, social media forums or any other medium); provided, however, that nothing in this Section shall prevent Employee from: engaging in concerted activity relative to the terms and conditions of Employee’s employment and in communications protected under the National Labor Relations Act, filing a charge or providing information to any governmental agency; and provided, further, that nothing in this Section shall prevent Employee from providing information in response to a subpoena or other enforceable legal process or as otherwise required by law.</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14.    </w:t>
      </w:r>
      <w:r>
        <w:rPr>
          <w:rFonts w:ascii="Times New Roman;sans-serif" w:hAnsi="Times New Roman;sans-serif"/>
          <w:b/>
          <w:color w:val="000000"/>
          <w:sz w:val="24"/>
          <w:u w:val="single"/>
        </w:rPr>
        <w:t>Reasonableness of Covenants</w:t>
      </w:r>
      <w:r>
        <w:rPr>
          <w:rFonts w:ascii="Times New Roman;sans-serif" w:hAnsi="Times New Roman;sans-serif"/>
          <w:b w:val="false"/>
          <w:color w:val="000000"/>
          <w:sz w:val="24"/>
        </w:rPr>
        <w:t xml:space="preserve">. In signing this Agreement, Employee has carefully read and considered all of the terms and conditions of this Agreement, including the restraints imposed under these </w:t>
      </w:r>
      <w:r>
        <w:rPr>
          <w:rFonts w:ascii="Times New Roman;sans-serif" w:hAnsi="Times New Roman;sans-serif"/>
          <w:b w:val="false"/>
          <w:color w:val="000000"/>
          <w:sz w:val="24"/>
          <w:u w:val="single"/>
        </w:rPr>
        <w:t>Sections 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13</w:t>
      </w:r>
      <w:r>
        <w:rPr>
          <w:rFonts w:ascii="Times New Roman;sans-serif" w:hAnsi="Times New Roman;sans-serif"/>
          <w:b w:val="false"/>
          <w:color w:val="000000"/>
          <w:sz w:val="24"/>
        </w:rPr>
        <w:t>. Employee agrees that these restraints are necessary for the reasonable and proper protection of the Company Group and their trade secrets and Confidential Information and that such restraints are reasonable in respect to subject matter, length of time and geographic area. Employee acknowledges that each of these covenants has a unique, very substantial and immeasurable value to the Company Group.</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15.    </w:t>
      </w:r>
      <w:r>
        <w:rPr>
          <w:rFonts w:ascii="Times New Roman;sans-serif" w:hAnsi="Times New Roman;sans-serif"/>
          <w:b/>
          <w:color w:val="000000"/>
          <w:sz w:val="24"/>
          <w:u w:val="single"/>
        </w:rPr>
        <w:t>Tolling</w:t>
      </w:r>
      <w:r>
        <w:rPr>
          <w:rFonts w:ascii="Times New Roman;sans-serif" w:hAnsi="Times New Roman;sans-serif"/>
          <w:b w:val="false"/>
          <w:color w:val="000000"/>
          <w:sz w:val="24"/>
        </w:rPr>
        <w:t xml:space="preserve">. In the event of any violation of the provisions of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 xml:space="preserve">hereto, Employee acknowledges and agrees that the post-termination restrictions contained in </w:t>
      </w:r>
      <w:r>
        <w:rPr>
          <w:rFonts w:ascii="Times New Roman;sans-serif" w:hAnsi="Times New Roman;sans-serif"/>
          <w:b w:val="false"/>
          <w:color w:val="000000"/>
          <w:sz w:val="24"/>
          <w:u w:val="single"/>
        </w:rPr>
        <w:t>Section 10</w:t>
      </w:r>
      <w:r>
        <w:rPr>
          <w:color w:val="000000"/>
        </w:rPr>
        <w:t xml:space="preserve"> </w:t>
      </w:r>
      <w:r>
        <w:rPr>
          <w:rFonts w:ascii="Times New Roman;sans-serif" w:hAnsi="Times New Roman;sans-serif"/>
          <w:b w:val="false"/>
          <w:color w:val="000000"/>
          <w:sz w:val="24"/>
        </w:rPr>
        <w:t>shall be extended by a period of time equal to the period of such violation, as determined by a court of law, it being the intention of the parties hereto that the running of the applicable post-termination restriction period shall be tolled during any period of such violation.</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1445"/>
                <wp:effectExtent l="0" t="0" r="0" b="0"/>
                <wp:wrapNone/>
                <wp:docPr id="167" name="Frame1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16.    </w:t>
      </w:r>
      <w:r>
        <w:rPr>
          <w:rFonts w:ascii="Times New Roman;sans-serif" w:hAnsi="Times New Roman;sans-serif"/>
          <w:b/>
          <w:color w:val="000000"/>
          <w:sz w:val="24"/>
          <w:u w:val="single"/>
        </w:rPr>
        <w:t>Withholdings; Deductions</w:t>
      </w:r>
      <w:r>
        <w:rPr>
          <w:rFonts w:ascii="Times New Roman;sans-serif" w:hAnsi="Times New Roman;sans-serif"/>
          <w:b w:val="false"/>
          <w:color w:val="000000"/>
          <w:sz w:val="24"/>
        </w:rPr>
        <w:t>. The Company may withhold and deduct from any benefits and payments made or to be made pursuant to this Agreement (a) all federal, state, local and other taxes as may be required pursuant to any law or governmental regulation or ruling and (b) any deductions consented to in writing by Employee.</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17.    </w:t>
      </w:r>
      <w:r>
        <w:rPr>
          <w:rFonts w:ascii="Times New Roman;sans-serif" w:hAnsi="Times New Roman;sans-serif"/>
          <w:b/>
          <w:color w:val="000000"/>
          <w:sz w:val="24"/>
          <w:u w:val="single"/>
        </w:rPr>
        <w:t>Title and Headings; Construction</w:t>
      </w:r>
      <w:r>
        <w:rPr>
          <w:rFonts w:ascii="Times New Roman;sans-serif" w:hAnsi="Times New Roman;sans-serif"/>
          <w:b w:val="false"/>
          <w:color w:val="000000"/>
          <w:sz w:val="24"/>
        </w:rPr>
        <w:t>. Titles and headings to Sections hereof are for the purpose of reference only 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18.    </w:t>
      </w:r>
      <w:r>
        <w:rPr>
          <w:rFonts w:ascii="Times New Roman;sans-serif" w:hAnsi="Times New Roman;sans-serif"/>
          <w:b/>
          <w:color w:val="000000"/>
          <w:sz w:val="24"/>
          <w:u w:val="single"/>
        </w:rPr>
        <w:t>Applicable Law</w:t>
      </w:r>
      <w:r>
        <w:rPr>
          <w:rFonts w:ascii="Times New Roman;sans-serif" w:hAnsi="Times New Roman;sans-serif"/>
          <w:b w:val="false"/>
          <w:color w:val="000000"/>
          <w:sz w:val="24"/>
        </w:rPr>
        <w:t>. This Agreement shall in all respects be construed according to the laws of the State of Texas 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Houston, Texas.</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19.    </w:t>
      </w:r>
      <w:r>
        <w:rPr>
          <w:rFonts w:ascii="Times New Roman;sans-serif" w:hAnsi="Times New Roman;sans-serif"/>
          <w:b/>
          <w:color w:val="000000"/>
          <w:sz w:val="24"/>
          <w:u w:val="single"/>
        </w:rPr>
        <w:t>Entire Agreement and Amendment</w:t>
      </w:r>
      <w:r>
        <w:rPr>
          <w:rFonts w:ascii="Times New Roman;sans-serif" w:hAnsi="Times New Roman;sans-serif"/>
          <w:b w:val="false"/>
          <w:color w:val="000000"/>
          <w:sz w:val="24"/>
        </w:rPr>
        <w:t>. This Agreement contains the entire agreement of the parties with respect to the matters covered herein and supersedes and replaces all prior and contemporaneous agreements and understandings, oral or written, between the parties hereto concerning the subject matter hereof, including, for the avoidance of doubt, that certain Severance Agreement by and between Employee and the Company, dated November 15, 2021 (the “Prior Severance Agreement”) other than any indemnification rights or equity award agreements,</w:t>
      </w:r>
      <w:r>
        <w:rPr>
          <w:color w:val="000000"/>
        </w:rPr>
        <w:t xml:space="preserve"> </w:t>
      </w:r>
      <w:r>
        <w:rPr>
          <w:rFonts w:ascii="Times New Roman;sans-serif" w:hAnsi="Times New Roman;sans-serif"/>
          <w:b w:val="false"/>
          <w:color w:val="000000"/>
          <w:sz w:val="24"/>
        </w:rPr>
        <w:t>which are in effect or outstanding as of the Effective Date. By signing this Agreement, Employee hereby waives any claim of “good reason” (or term of like import) under the Prior Severance Agreement or any other agreement to which Employee is a party that Employee may otherwise have as a result of (a) entering into this Agreement or (b) any other event, occurrence or circumstance prior to the Effective Date.This Agreement may be amended only by a written instrument executed by both parties hereto.</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445"/>
                <wp:effectExtent l="0" t="0" r="0" b="0"/>
                <wp:wrapNone/>
                <wp:docPr id="168" name="Frame1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20.    </w:t>
      </w:r>
      <w:r>
        <w:rPr>
          <w:rFonts w:ascii="Times New Roman;sans-serif" w:hAnsi="Times New Roman;sans-serif"/>
          <w:b/>
          <w:color w:val="000000"/>
          <w:sz w:val="24"/>
          <w:u w:val="single"/>
        </w:rPr>
        <w:t>Enforcement</w:t>
      </w:r>
      <w:r>
        <w:rPr>
          <w:rFonts w:ascii="Times New Roman;sans-serif" w:hAnsi="Times New Roman;sans-serif"/>
          <w:b w:val="false"/>
          <w:color w:val="000000"/>
          <w:sz w:val="24"/>
        </w:rPr>
        <w:t xml:space="preserve">. The parties hereto acknowledge that an award of damages for failure to comply with </w:t>
      </w:r>
      <w:r>
        <w:rPr>
          <w:rFonts w:ascii="Times New Roman;sans-serif" w:hAnsi="Times New Roman;sans-serif"/>
          <w:b w:val="false"/>
          <w:color w:val="000000"/>
          <w:sz w:val="24"/>
          <w:u w:val="single"/>
        </w:rPr>
        <w:t>Sections 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13</w:t>
      </w:r>
      <w:r>
        <w:rPr>
          <w:color w:val="000000"/>
        </w:rPr>
        <w:t xml:space="preserve"> </w:t>
      </w:r>
      <w:r>
        <w:rPr>
          <w:rFonts w:ascii="Times New Roman;sans-serif" w:hAnsi="Times New Roman;sans-serif"/>
          <w:b w:val="false"/>
          <w:color w:val="000000"/>
          <w:sz w:val="24"/>
        </w:rPr>
        <w:t xml:space="preserve">of this Agreement may not be an adequate remedy for the Company attempting to enforce or prevent the breach of such provisions, and accordingly the parties hereto authorize the Company to (in addition to any other remedies or relief to which it may be entitled) bring an action against Employee for a permanent or temporary injunction, to compel the specific performance or any other equitable remedy by Employee of their obligations to comply with, or prevent the breach of or remedy the breach of, such provisions without proof of actual damages.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21.    </w:t>
      </w:r>
      <w:r>
        <w:rPr>
          <w:rFonts w:ascii="Times New Roman;sans-serif" w:hAnsi="Times New Roman;sans-serif"/>
          <w:b/>
          <w:color w:val="000000"/>
          <w:sz w:val="24"/>
          <w:u w:val="single"/>
        </w:rPr>
        <w:t>Waiver of Breach</w:t>
      </w:r>
      <w:r>
        <w:rPr>
          <w:rFonts w:ascii="Times New Roman;sans-serif" w:hAnsi="Times New Roman;sans-serif"/>
          <w:b w:val="false"/>
          <w:color w:val="000000"/>
          <w:sz w:val="24"/>
        </w:rPr>
        <w:t>. Any waiver of this Agreement must be executed by the party to be bound by such waiver. No 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pStyle w:val="TextBody"/>
        <w:bidi w:val="0"/>
        <w:spacing w:lineRule="auto" w:line="288" w:before="0" w:after="0"/>
        <w:jc w:val="both"/>
        <w:rPr/>
      </w:pPr>
      <w:r>
        <w:rPr>
          <w:rFonts w:ascii="Times New Roman;sans-serif" w:hAnsi="Times New Roman;sans-serif"/>
          <w:b w:val="false"/>
          <w:color w:val="010000"/>
          <w:sz w:val="24"/>
        </w:rPr>
        <w:t>22.    </w:t>
      </w:r>
      <w:r>
        <w:rPr>
          <w:rFonts w:ascii="Times New Roman;sans-serif" w:hAnsi="Times New Roman;sans-serif"/>
          <w:b/>
          <w:color w:val="000000"/>
          <w:sz w:val="24"/>
          <w:u w:val="single"/>
        </w:rPr>
        <w:t>Assignment</w:t>
      </w:r>
      <w:r>
        <w:rPr>
          <w:rFonts w:ascii="Times New Roman;sans-serif" w:hAnsi="Times New Roman;sans-serif"/>
          <w:b w:val="false"/>
          <w:color w:val="000000"/>
          <w:sz w:val="24"/>
        </w:rPr>
        <w:t>. This Agreement is personal to Employee, and neither this Agreement nor any rights or obligations 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23.    </w:t>
      </w:r>
      <w:r>
        <w:rPr>
          <w:rFonts w:ascii="Times New Roman;sans-serif" w:hAnsi="Times New Roman;sans-serif"/>
          <w:b/>
          <w:color w:val="000000"/>
          <w:sz w:val="24"/>
          <w:u w:val="single"/>
        </w:rPr>
        <w:t>Notices</w:t>
      </w:r>
      <w:r>
        <w:rPr>
          <w:rFonts w:ascii="Times New Roman;sans-serif" w:hAnsi="Times New Roman;sans-serif"/>
          <w:b w:val="false"/>
          <w:color w:val="000000"/>
          <w:sz w:val="24"/>
        </w:rPr>
        <w:t>. Notices provided for in this Agreement shall be in writing and shall be deemed to have been duly 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If to the Company, addressed to: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Talen Energy Corporation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1780 Hughes Landing Blvd.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Suite 800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Woodlands, Texas 77380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Board of Directors</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If to Employee, addressed to:</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Cole Muller</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[REDACTED]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Or, if different, the latest address on file with the Company</w:t>
      </w:r>
      <w:r>
        <w:rPr>
          <w:rFonts w:ascii="Times New Roman;sans-serif" w:hAnsi="Times New Roman;sans-serif"/>
          <w:b w:val="false"/>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1445"/>
                <wp:effectExtent l="0" t="0" r="0" b="0"/>
                <wp:wrapNone/>
                <wp:docPr id="169" name="Frame1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24.    </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Agreement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25.    </w:t>
      </w:r>
      <w:r>
        <w:rPr>
          <w:rFonts w:ascii="Times New Roman;sans-serif" w:hAnsi="Times New Roman;sans-serif"/>
          <w:b/>
          <w:color w:val="000000"/>
          <w:sz w:val="24"/>
          <w:u w:val="single"/>
        </w:rPr>
        <w:t>Deemed Resignations</w:t>
      </w:r>
      <w:r>
        <w:rPr>
          <w:rFonts w:ascii="Times New Roman;sans-serif" w:hAnsi="Times New Roman;sans-serif"/>
          <w:b w:val="false"/>
          <w:color w:val="000000"/>
          <w:sz w:val="24"/>
        </w:rPr>
        <w:t>. Except as otherwise determined by the Board or as otherwise agreed to in writing by 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pStyle w:val="TextBody"/>
        <w:bidi w:val="0"/>
        <w:spacing w:lineRule="auto" w:line="288" w:before="0" w:after="0"/>
        <w:ind w:left="0" w:right="0" w:firstLine="720"/>
        <w:jc w:val="both"/>
        <w:rPr/>
      </w:pPr>
      <w:r>
        <w:rPr>
          <w:rFonts w:ascii="Times New Roman;sans-serif" w:hAnsi="Times New Roman;sans-serif"/>
          <w:b w:val="false"/>
          <w:color w:val="010000"/>
          <w:sz w:val="24"/>
        </w:rPr>
        <w:t>26.    </w:t>
      </w:r>
      <w:r>
        <w:rPr>
          <w:rFonts w:ascii="Times New Roman;sans-serif" w:hAnsi="Times New Roman;sans-serif"/>
          <w:b/>
          <w:color w:val="000000"/>
          <w:sz w:val="24"/>
          <w:u w:val="single"/>
        </w:rPr>
        <w:t>Section 409A</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Notwithstanding any provision of this Agreement to the contrary, all provisions of this Agreement are intended to comply with Section 409A of the Code and the applicable Treasury regulations and administrative guidance issued thereunder (collectively,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foregoing clause shall not be violated with regard to expenses reimbursed under any arrangement covered by Section 105(b) of the Code solely because such expenses are subject to a limit related to the period in which the arrangement is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1445"/>
                <wp:effectExtent l="0" t="0" r="0" b="0"/>
                <wp:wrapNone/>
                <wp:docPr id="170" name="Frame1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Times New Roman;sans-serif" w:hAnsi="Times New Roman;sans-serif"/>
          <w:b w:val="false"/>
          <w:color w:val="000000"/>
          <w:sz w:val="24"/>
          <w:u w:val="single"/>
        </w:rPr>
        <w:t>Section 409A Payment Date</w:t>
      </w:r>
      <w:r>
        <w:rPr>
          <w:color w:val="000000"/>
        </w:rPr>
        <w:t>”</w:t>
      </w:r>
      <w:r>
        <w:rPr>
          <w:rFonts w:ascii="Times New Roman;sans-serif" w:hAnsi="Times New Roman;sans-serif"/>
          <w:b w:val="false"/>
          <w:color w:val="000000"/>
          <w:sz w:val="24"/>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27.    </w:t>
      </w:r>
      <w:r>
        <w:rPr>
          <w:rFonts w:ascii="Times New Roman;sans-serif" w:hAnsi="Times New Roman;sans-serif"/>
          <w:b/>
          <w:color w:val="000000"/>
          <w:sz w:val="24"/>
          <w:u w:val="single"/>
        </w:rPr>
        <w:t>Effect of Termination</w:t>
      </w:r>
      <w:r>
        <w:rPr>
          <w:rFonts w:ascii="Times New Roman;sans-serif" w:hAnsi="Times New Roman;sans-serif"/>
          <w:b w:val="false"/>
          <w:color w:val="000000"/>
          <w:sz w:val="24"/>
        </w:rPr>
        <w:t xml:space="preserve">. The provisions of </w:t>
      </w:r>
      <w:r>
        <w:rPr>
          <w:rFonts w:ascii="Times New Roman;sans-serif" w:hAnsi="Times New Roman;sans-serif"/>
          <w:b w:val="false"/>
          <w:color w:val="000000"/>
          <w:sz w:val="24"/>
          <w:u w:val="single"/>
        </w:rPr>
        <w:t>Sections 7(a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8-15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20</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25</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26</w:t>
      </w:r>
      <w:r>
        <w:rPr>
          <w:color w:val="000000"/>
        </w:rPr>
        <w:t xml:space="preserve"> </w:t>
      </w:r>
      <w:r>
        <w:rPr>
          <w:rFonts w:ascii="Times New Roman;sans-serif" w:hAnsi="Times New Roman;sans-serif"/>
          <w:b w:val="false"/>
          <w:color w:val="000000"/>
          <w:sz w:val="24"/>
        </w:rPr>
        <w:t>and those provisions necessary to interpret and enforce them, shall survive any termination of this Agreement and any termination of the employment relationship between Employee and the Company.</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28.    </w:t>
      </w:r>
      <w:r>
        <w:rPr>
          <w:rFonts w:ascii="Times New Roman;sans-serif" w:hAnsi="Times New Roman;sans-serif"/>
          <w:b/>
          <w:color w:val="000000"/>
          <w:sz w:val="24"/>
          <w:u w:val="single"/>
        </w:rPr>
        <w:t>Third-Party Beneficiaries</w:t>
      </w:r>
      <w:r>
        <w:rPr>
          <w:rFonts w:ascii="Times New Roman;sans-serif" w:hAnsi="Times New Roman;sans-serif"/>
          <w:b w:val="false"/>
          <w:color w:val="000000"/>
          <w:sz w:val="24"/>
        </w:rPr>
        <w:t xml:space="preserve">. Each member of the Company Group that is not a signatory to this Agreement shall be a third-party beneficiary of Employee’s obligations under </w:t>
      </w:r>
      <w:r>
        <w:rPr>
          <w:rFonts w:ascii="Times New Roman;sans-serif" w:hAnsi="Times New Roman;sans-serif"/>
          <w:b w:val="false"/>
          <w:color w:val="000000"/>
          <w:sz w:val="24"/>
          <w:u w:val="single"/>
        </w:rPr>
        <w:t>Sections 7-15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20</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25</w:t>
      </w:r>
      <w:r>
        <w:rPr>
          <w:color w:val="000000"/>
        </w:rPr>
        <w:t xml:space="preserve"> </w:t>
      </w:r>
      <w:r>
        <w:rPr>
          <w:rFonts w:ascii="Times New Roman;sans-serif" w:hAnsi="Times New Roman;sans-serif"/>
          <w:b w:val="false"/>
          <w:color w:val="000000"/>
          <w:sz w:val="24"/>
        </w:rPr>
        <w:t>and shall be entitled to enforce such obligations as if a party hereto.</w:t>
      </w:r>
    </w:p>
    <w:p>
      <w:pPr>
        <w:pStyle w:val="TextBody"/>
        <w:bidi w:val="0"/>
        <w:spacing w:lineRule="auto" w:line="288" w:before="0" w:after="0"/>
        <w:ind w:left="0" w:right="0" w:firstLine="720"/>
        <w:jc w:val="both"/>
        <w:rPr/>
      </w:pPr>
      <w:r>
        <w:rPr>
          <w:rFonts w:ascii="Times New Roman;sans-serif" w:hAnsi="Times New Roman;sans-serif"/>
          <w:b w:val="false"/>
          <w:color w:val="010000"/>
          <w:sz w:val="24"/>
        </w:rPr>
        <w:t>29.    </w:t>
      </w:r>
      <w:r>
        <w:rPr>
          <w:rFonts w:ascii="Times New Roman;sans-serif" w:hAnsi="Times New Roman;sans-serif"/>
          <w:b/>
          <w:color w:val="000000"/>
          <w:sz w:val="24"/>
          <w:u w:val="single"/>
        </w:rPr>
        <w:t>Certain Excise Taxes</w:t>
      </w:r>
      <w:r>
        <w:rPr>
          <w:rFonts w:ascii="Times New Roman;sans-serif" w:hAnsi="Times New Roman;sans-serif"/>
          <w:b w:val="false"/>
          <w:color w:val="000000"/>
          <w:sz w:val="24"/>
        </w:rPr>
        <w:t xml:space="preserve">. Notwithstanding anything to the contrary in this Agreement, if Employee is a “disqualified 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sans-serif" w:hAnsi="Times New Roman;sans-serif"/>
          <w:b w:val="false"/>
          <w:color w:val="000000"/>
          <w:sz w:val="24"/>
          <w:u w:val="single"/>
        </w:rPr>
        <w:t>Section 29</w:t>
      </w:r>
      <w:r>
        <w:rPr>
          <w:color w:val="000000"/>
        </w:rPr>
        <w:t xml:space="preserve"> </w:t>
      </w:r>
      <w:r>
        <w:rPr>
          <w:rFonts w:ascii="Times New Roman;sans-serif" w:hAnsi="Times New Roman;sans-serif"/>
          <w:b w:val="false"/>
          <w:color w:val="000000"/>
          <w:sz w:val="24"/>
        </w:rPr>
        <w:t>shall require the Company to be responsible for, or have any liability or obligation with respect to, Employee’s excise tax liabilities under Section 4999 of the Code.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1445"/>
                <wp:effectExtent l="0" t="0" r="0" b="0"/>
                <wp:wrapNone/>
                <wp:docPr id="171" name="Frame1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30.    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If an arbitrator or court of competent jurisdiction determines that any provision of this Agreement (or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pStyle w:val="TextBody"/>
        <w:bidi w:val="0"/>
        <w:spacing w:lineRule="auto" w:line="288" w:before="0" w:after="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 xml:space="preserve">Remainder of Page Intentionally Blank; </w:t>
      </w:r>
    </w:p>
    <w:p>
      <w:pPr>
        <w:pStyle w:val="TextBody"/>
        <w:bidi w:val="0"/>
        <w:spacing w:lineRule="auto" w:line="288" w:before="0" w:after="0"/>
        <w:jc w:val="center"/>
        <w:rPr/>
      </w:pP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1445"/>
                <wp:effectExtent l="0" t="0" r="0" b="0"/>
                <wp:wrapNone/>
                <wp:docPr id="172" name="Frame1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lineRule="auto" w:line="288" w:before="0" w:after="720"/>
        <w:ind w:left="0" w:right="0" w:firstLine="720"/>
        <w:jc w:val="both"/>
        <w:rPr/>
      </w:pPr>
      <w:r>
        <w:rPr>
          <w:rFonts w:ascii="Times New Roman;sans-serif" w:hAnsi="Times New Roman;sans-serif"/>
          <w:b/>
          <w:color w:val="000000"/>
          <w:sz w:val="24"/>
        </w:rPr>
        <w:t xml:space="preserve">IN WITNESS WHEREOF, </w:t>
      </w:r>
      <w:r>
        <w:rPr>
          <w:rFonts w:ascii="Times New Roman;sans-serif" w:hAnsi="Times New Roman;sans-serif"/>
          <w:b w:val="false"/>
          <w:color w:val="000000"/>
          <w:sz w:val="24"/>
        </w:rPr>
        <w:t>Employee and the Company each have caused this Agreement to be executed and effective as of the Effective Date.</w:t>
      </w:r>
    </w:p>
    <w:tbl>
      <w:tblPr>
        <w:tblW w:w="5640" w:type="dxa"/>
        <w:jc w:val="left"/>
        <w:tblInd w:w="0" w:type="dxa"/>
        <w:tblLayout w:type="fixed"/>
        <w:tblCellMar>
          <w:top w:w="28" w:type="dxa"/>
          <w:left w:w="28" w:type="dxa"/>
          <w:bottom w:w="28" w:type="dxa"/>
          <w:right w:w="28" w:type="dxa"/>
        </w:tblCellMar>
      </w:tblPr>
      <w:tblGrid>
        <w:gridCol w:w="124"/>
        <w:gridCol w:w="109"/>
        <w:gridCol w:w="109"/>
        <w:gridCol w:w="626"/>
        <w:gridCol w:w="626"/>
        <w:gridCol w:w="626"/>
        <w:gridCol w:w="1000"/>
        <w:gridCol w:w="1000"/>
        <w:gridCol w:w="14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EMPLOYEE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Cole Muller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Cole Muller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TALEN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Andrew Wright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Andrew Wright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Administrative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498475"/>
                <wp:effectExtent l="0" t="0" r="0" b="0"/>
                <wp:wrapNone/>
                <wp:docPr id="173" name="Frame171"/>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PAGE </w:t>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EMPLOYMENT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PAGE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EMPLOYMENT AGREEMENT</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PRIOR INVENTIONS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Check appropriate space(s):</w:t>
      </w:r>
    </w:p>
    <w:p>
      <w:pPr>
        <w:pStyle w:val="TextBody"/>
        <w:bidi w:val="0"/>
        <w:spacing w:lineRule="auto" w:line="288" w:before="0" w:after="240"/>
        <w:ind w:left="0" w:right="0" w:firstLine="720"/>
        <w:jc w:val="both"/>
        <w:rPr/>
      </w:pPr>
      <w:r>
        <w:rPr>
          <w:color w:val="000000"/>
          <w:shd w:fill="FFFFFF" w:val="clear"/>
        </w:rPr>
        <w:t xml:space="preserve">☐ </w:t>
      </w:r>
      <w:r>
        <w:rPr>
          <w:rFonts w:ascii="Times New Roman;sans-serif" w:hAnsi="Times New Roman;sans-serif"/>
          <w:b w:val="false"/>
          <w:color w:val="000000"/>
          <w:sz w:val="24"/>
        </w:rPr>
        <w:t>None.</w:t>
      </w:r>
    </w:p>
    <w:p>
      <w:pPr>
        <w:pStyle w:val="TextBody"/>
        <w:bidi w:val="0"/>
        <w:spacing w:lineRule="auto" w:line="288" w:before="0" w:after="240"/>
        <w:ind w:left="0" w:right="0" w:firstLine="720"/>
        <w:jc w:val="both"/>
        <w:rPr/>
      </w:pPr>
      <w:r>
        <w:rPr>
          <w:color w:val="000000"/>
          <w:shd w:fill="FFFFFF" w:val="clear"/>
        </w:rPr>
        <w:t xml:space="preserve">☐ </w:t>
      </w:r>
      <w:r>
        <w:rPr>
          <w:rFonts w:ascii="Times New Roman;sans-serif" w:hAnsi="Times New Roman;sans-serif"/>
          <w:b w:val="false"/>
          <w:color w:val="000000"/>
          <w:sz w:val="24"/>
        </w:rPr>
        <w:t>See below:</w:t>
      </w:r>
    </w:p>
    <w:p>
      <w:pPr>
        <w:pStyle w:val="TextBody"/>
        <w:bidi w:val="0"/>
        <w:spacing w:lineRule="auto" w:line="288" w:before="0" w:after="240"/>
        <w:ind w:left="0" w:right="0" w:firstLine="720"/>
        <w:jc w:val="left"/>
        <w:rPr>
          <w:color w:val="000000"/>
        </w:rPr>
      </w:pPr>
      <w:r>
        <w:rPr>
          <w:color w:val="000000"/>
        </w:rPr>
        <w:t>—</w:t>
      </w:r>
    </w:p>
    <w:p>
      <w:pPr>
        <w:pStyle w:val="TextBody"/>
        <w:bidi w:val="0"/>
        <w:spacing w:lineRule="auto" w:line="288" w:before="0" w:after="240"/>
        <w:ind w:left="0" w:right="0" w:firstLine="720"/>
        <w:jc w:val="both"/>
        <w:rPr>
          <w:color w:val="000000"/>
        </w:rPr>
      </w:pPr>
      <w:r>
        <w:rPr>
          <w:color w:val="000000"/>
        </w:rPr>
        <w:t>—</w:t>
      </w:r>
    </w:p>
    <w:p>
      <w:pPr>
        <w:pStyle w:val="TextBody"/>
        <w:bidi w:val="0"/>
        <w:spacing w:lineRule="auto" w:line="288" w:before="0" w:after="240"/>
        <w:ind w:left="0" w:right="0" w:firstLine="720"/>
        <w:jc w:val="both"/>
        <w:rPr>
          <w:color w:val="000000"/>
        </w:rPr>
      </w:pPr>
      <w:r>
        <w:rPr>
          <w:color w:val="000000"/>
        </w:rPr>
        <w:t>—</w:t>
      </w:r>
    </w:p>
    <w:p>
      <w:pPr>
        <w:pStyle w:val="TextBody"/>
        <w:bidi w:val="0"/>
        <w:spacing w:lineRule="auto" w:line="288" w:before="0" w:after="240"/>
        <w:jc w:val="both"/>
        <w:rPr/>
      </w:pPr>
      <w:r>
        <w:rPr>
          <w:color w:val="000000"/>
          <w:shd w:fill="FFFFFF" w:val="clear"/>
        </w:rPr>
        <w:t>☐</w:t>
      </w:r>
      <w:r>
        <w:rPr>
          <w:color w:val="000000"/>
        </w:rPr>
        <w:t xml:space="preserve"> </w:t>
      </w:r>
      <w:r>
        <w:rPr>
          <w:rFonts w:ascii="Times New Roman;sans-serif" w:hAnsi="Times New Roman;sans-serif"/>
          <w:b w:val="false"/>
          <w:color w:val="000000"/>
          <w:sz w:val="24"/>
        </w:rPr>
        <w:t>Due to confidentiality agreements with a prior employer, Employee cannot disclose certain Prior Inventions that would otherwise be included on the above-described list.</w:t>
      </w:r>
    </w:p>
    <w:p>
      <w:pPr>
        <w:pStyle w:val="TextBody"/>
        <w:bidi w:val="0"/>
        <w:spacing w:lineRule="auto" w:line="288" w:before="0" w:after="240"/>
        <w:ind w:left="0" w:right="0" w:firstLine="720"/>
        <w:jc w:val="both"/>
        <w:rPr/>
      </w:pPr>
      <w:r>
        <w:rPr>
          <w:color w:val="000000"/>
          <w:shd w:fill="FFFFFF" w:val="clear"/>
        </w:rPr>
        <w:t>☐</w:t>
      </w:r>
      <w:r>
        <w:rPr>
          <w:color w:val="000000"/>
        </w:rPr>
        <w:t xml:space="preserve"> </w:t>
      </w:r>
      <w:r>
        <w:rPr>
          <w:rFonts w:ascii="Times New Roman;sans-serif" w:hAnsi="Times New Roman;sans-serif"/>
          <w:b w:val="false"/>
          <w:color w:val="000000"/>
          <w:sz w:val="24"/>
        </w:rPr>
        <w:t>Additional sheets attached.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Check appropriate space(s):</w:t>
      </w:r>
    </w:p>
    <w:p>
      <w:pPr>
        <w:pStyle w:val="TextBody"/>
        <w:bidi w:val="0"/>
        <w:spacing w:lineRule="auto" w:line="288" w:before="0" w:after="240"/>
        <w:ind w:left="0" w:right="0" w:firstLine="720"/>
        <w:jc w:val="both"/>
        <w:rPr/>
      </w:pPr>
      <w:r>
        <w:rPr>
          <w:color w:val="000000"/>
          <w:shd w:fill="FFFFFF" w:val="clear"/>
        </w:rPr>
        <w:t xml:space="preserve">☐ </w:t>
      </w:r>
      <w:r>
        <w:rPr>
          <w:rFonts w:ascii="Times New Roman;sans-serif" w:hAnsi="Times New Roman;sans-serif"/>
          <w:b w:val="false"/>
          <w:color w:val="000000"/>
          <w:sz w:val="24"/>
        </w:rPr>
        <w:t>None.</w:t>
      </w:r>
    </w:p>
    <w:p>
      <w:pPr>
        <w:pStyle w:val="TextBody"/>
        <w:bidi w:val="0"/>
        <w:spacing w:lineRule="auto" w:line="288" w:before="0" w:after="240"/>
        <w:ind w:left="0" w:right="0" w:firstLine="720"/>
        <w:jc w:val="both"/>
        <w:rPr/>
      </w:pPr>
      <w:r>
        <w:rPr>
          <w:color w:val="000000"/>
          <w:shd w:fill="FFFFFF" w:val="clear"/>
        </w:rPr>
        <w:t xml:space="preserve">☐ </w:t>
      </w:r>
      <w:r>
        <w:rPr>
          <w:rFonts w:ascii="Times New Roman;sans-serif" w:hAnsi="Times New Roman;sans-serif"/>
          <w:b w:val="false"/>
          <w:color w:val="000000"/>
          <w:sz w:val="24"/>
        </w:rPr>
        <w:t>See below:</w:t>
      </w:r>
    </w:p>
    <w:p>
      <w:pPr>
        <w:pStyle w:val="TextBody"/>
        <w:bidi w:val="0"/>
        <w:spacing w:lineRule="auto" w:line="288" w:before="0" w:after="240"/>
        <w:ind w:left="0" w:right="0" w:firstLine="720"/>
        <w:jc w:val="both"/>
        <w:rPr>
          <w:color w:val="000000"/>
        </w:rPr>
      </w:pPr>
      <w:r>
        <w:rPr>
          <w:color w:val="000000"/>
        </w:rPr>
        <w:t>—</w:t>
      </w:r>
    </w:p>
    <w:p>
      <w:pPr>
        <w:pStyle w:val="TextBody"/>
        <w:bidi w:val="0"/>
        <w:spacing w:lineRule="auto" w:line="288" w:before="0" w:after="240"/>
        <w:ind w:left="0" w:right="0" w:firstLine="720"/>
        <w:jc w:val="both"/>
        <w:rPr>
          <w:color w:val="000000"/>
        </w:rPr>
      </w:pPr>
      <w:r>
        <w:rPr>
          <w:color w:val="000000"/>
        </w:rPr>
        <w:t>—</w:t>
      </w:r>
    </w:p>
    <w:p>
      <w:pPr>
        <w:pStyle w:val="TextBody"/>
        <w:bidi w:val="0"/>
        <w:spacing w:lineRule="auto" w:line="288" w:before="0" w:after="240"/>
        <w:ind w:left="0" w:right="0" w:firstLine="720"/>
        <w:jc w:val="both"/>
        <w:rPr/>
      </w:pPr>
      <w:r>
        <w:rPr>
          <w:color w:val="000000"/>
          <w:shd w:fill="FFFFFF" w:val="clear"/>
        </w:rPr>
        <w:t xml:space="preserve">☐ </w:t>
      </w:r>
      <w:r>
        <w:rPr>
          <w:rFonts w:ascii="Times New Roman;sans-serif" w:hAnsi="Times New Roman;sans-serif"/>
          <w:b w:val="false"/>
          <w:color w:val="000000"/>
          <w:sz w:val="24"/>
        </w:rPr>
        <w:t>Additional sheets attached.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10.23</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9.9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348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PURCHASE AGREEMENT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BY AND AMONG </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RUBRIC CAPITAL MASTER FUND LP</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BEMAP MASTER FUND LTD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BLACKSTONE CSP-MST FMAP FUND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RUBRIC BSR FUND LLC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(as the Selling Stockholders)</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RUBRIC CAPITAL MANAGEMENT LP</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TALEN ENERGY CORPORATION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December 4, 2024</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Purchase Agreement</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December 4, 2024</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Talen Energy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intends to incrementally upsize its existing Term Loan B credit facility in an aggregate incremental principal amount of at least $600,000,000 (the “</w:t>
      </w:r>
      <w:r>
        <w:rPr>
          <w:rFonts w:ascii="Times New Roman;sans-serif" w:hAnsi="Times New Roman;sans-serif"/>
          <w:b/>
          <w:color w:val="000000"/>
          <w:sz w:val="24"/>
        </w:rPr>
        <w:t>Financing</w:t>
      </w:r>
      <w:r>
        <w:rPr>
          <w:color w:val="000000"/>
        </w:rPr>
        <w:t>”</w:t>
      </w:r>
      <w:r>
        <w:rPr>
          <w:rFonts w:ascii="Times New Roman;sans-serif" w:hAnsi="Times New Roman;sans-serif"/>
          <w:b w:val="false"/>
          <w:color w:val="000000"/>
          <w:sz w:val="24"/>
        </w:rPr>
        <w:t>);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Rubric Capital Management LP and the selling stockholders listed on the signature pages hereto (the “</w:t>
      </w:r>
      <w:r>
        <w:rPr>
          <w:rFonts w:ascii="Times New Roman;sans-serif" w:hAnsi="Times New Roman;sans-serif"/>
          <w:b/>
          <w:color w:val="000000"/>
          <w:sz w:val="24"/>
        </w:rPr>
        <w:t>Selling Stockholders</w:t>
      </w:r>
      <w:r>
        <w:rPr>
          <w:color w:val="000000"/>
        </w:rPr>
        <w:t>”</w:t>
      </w:r>
      <w:r>
        <w:rPr>
          <w:rFonts w:ascii="Times New Roman;sans-serif" w:hAnsi="Times New Roman;sans-serif"/>
          <w:b w:val="false"/>
          <w:color w:val="000000"/>
          <w:sz w:val="24"/>
        </w:rPr>
        <w:t>) desire to sell to the Company and the Company desires to repurchase from the Selling Stockholders a number of shares of common stock, par value $0.001, of the Company, determined by the quotient obtained from dividing the Aggregate Purchase Price (as defined below) by the Per Share Purchase Price (as defined below) (the “</w:t>
      </w:r>
      <w:r>
        <w:rPr>
          <w:rFonts w:ascii="Times New Roman;sans-serif" w:hAnsi="Times New Roman;sans-serif"/>
          <w:b/>
          <w:color w:val="000000"/>
          <w:sz w:val="24"/>
        </w:rPr>
        <w:t>Shares</w:t>
      </w:r>
      <w:r>
        <w:rPr>
          <w:color w:val="000000"/>
        </w:rPr>
        <w:t>”</w:t>
      </w:r>
      <w:r>
        <w:rPr>
          <w:rFonts w:ascii="Times New Roman;sans-serif" w:hAnsi="Times New Roman;sans-serif"/>
          <w:b w:val="false"/>
          <w:color w:val="000000"/>
          <w:sz w:val="24"/>
        </w:rPr>
        <w:t>), based on the terms and conditions set forth herein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for good and valuable consideration, the receipt and sufficiency of which are hereby acknowledged, the Company and the Selling Stockholders hereby confirm their agreements as follows:</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1.</w:t>
      </w:r>
      <w:r>
        <w:rPr>
          <w:rFonts w:ascii="Times New Roman;sans-serif" w:hAnsi="Times New Roman;sans-serif"/>
          <w:b w:val="false"/>
          <w:i/>
          <w:color w:val="000000"/>
          <w:sz w:val="24"/>
        </w:rPr>
        <w:t>Purchase, Sale and Delivery of the Subject Shares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i/>
          <w:color w:val="000000"/>
          <w:sz w:val="24"/>
        </w:rPr>
        <w:t>The Subject Shares</w:t>
      </w:r>
      <w:r>
        <w:rPr>
          <w:rFonts w:ascii="Times New Roman;sans-serif" w:hAnsi="Times New Roman;sans-serif"/>
          <w:b w:val="false"/>
          <w:color w:val="000000"/>
          <w:sz w:val="24"/>
        </w:rPr>
        <w:t>. Subject to the terms and conditions set forth in this Agreement, the Company agrees to purchase from the Selling Stockholders, and the Selling Stockholders agree to sell to the Company, Shares (the “</w:t>
      </w:r>
      <w:r>
        <w:rPr>
          <w:rFonts w:ascii="Times New Roman;sans-serif" w:hAnsi="Times New Roman;sans-serif"/>
          <w:b/>
          <w:color w:val="000000"/>
          <w:sz w:val="24"/>
        </w:rPr>
        <w:t>Subject Shares</w:t>
      </w:r>
      <w:r>
        <w:rPr>
          <w:color w:val="000000"/>
        </w:rPr>
        <w:t>”</w:t>
      </w:r>
      <w:r>
        <w:rPr>
          <w:rFonts w:ascii="Times New Roman;sans-serif" w:hAnsi="Times New Roman;sans-serif"/>
          <w:b w:val="false"/>
          <w:color w:val="000000"/>
          <w:sz w:val="24"/>
        </w:rPr>
        <w:t>) for cash consideration by wire transfer of immediately available funds in an aggregate amount, to be determined by the Company in its discretion, of up to $1,000,000,000 (such maximum amount, the “</w:t>
      </w:r>
      <w:r>
        <w:rPr>
          <w:rFonts w:ascii="Times New Roman;sans-serif" w:hAnsi="Times New Roman;sans-serif"/>
          <w:b/>
          <w:color w:val="000000"/>
          <w:sz w:val="24"/>
        </w:rPr>
        <w:t>Maximum Aggregate Purchase Price</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the Company shall not purchase Shares in an aggregate amount of less than $600,000,000 (such minimum amount, the “</w:t>
      </w:r>
      <w:r>
        <w:rPr>
          <w:rFonts w:ascii="Times New Roman;sans-serif" w:hAnsi="Times New Roman;sans-serif"/>
          <w:b/>
          <w:color w:val="000000"/>
          <w:sz w:val="24"/>
        </w:rPr>
        <w:t>Minimum Aggregate Purchase Price</w:t>
      </w:r>
      <w:r>
        <w:rPr>
          <w:color w:val="000000"/>
        </w:rPr>
        <w:t>”</w:t>
      </w:r>
      <w:r>
        <w:rPr>
          <w:rFonts w:ascii="Times New Roman;sans-serif" w:hAnsi="Times New Roman;sans-serif"/>
          <w:b w:val="false"/>
          <w:color w:val="000000"/>
          <w:sz w:val="24"/>
        </w:rPr>
        <w:t>, and the final amount as determined by the Company in its discretion, the “</w:t>
      </w:r>
      <w:r>
        <w:rPr>
          <w:rFonts w:ascii="Times New Roman;sans-serif" w:hAnsi="Times New Roman;sans-serif"/>
          <w:b/>
          <w:color w:val="000000"/>
          <w:sz w:val="24"/>
        </w:rPr>
        <w:t>Aggregate Purchase Price</w:t>
      </w:r>
      <w:r>
        <w:rPr>
          <w:color w:val="000000"/>
        </w:rPr>
        <w:t>”</w:t>
      </w:r>
      <w:r>
        <w:rPr>
          <w:rFonts w:ascii="Times New Roman;sans-serif" w:hAnsi="Times New Roman;sans-serif"/>
          <w:b w:val="false"/>
          <w:color w:val="000000"/>
          <w:sz w:val="24"/>
        </w:rPr>
        <w:t>). The Subject Shares shall be sold to the Company at a price per share (the “</w:t>
      </w:r>
      <w:r>
        <w:rPr>
          <w:rFonts w:ascii="Times New Roman;sans-serif" w:hAnsi="Times New Roman;sans-serif"/>
          <w:b/>
          <w:color w:val="000000"/>
          <w:sz w:val="24"/>
        </w:rPr>
        <w:t>Per Share Purchase Price</w:t>
      </w:r>
      <w:r>
        <w:rPr>
          <w:color w:val="000000"/>
        </w:rPr>
        <w:t>”</w:t>
      </w:r>
      <w:r>
        <w:rPr>
          <w:rFonts w:ascii="Times New Roman;sans-serif" w:hAnsi="Times New Roman;sans-serif"/>
          <w:b w:val="false"/>
          <w:color w:val="000000"/>
          <w:sz w:val="24"/>
        </w:rPr>
        <w:t>) equal to the product of (i) 0.96 and (ii) the VWAP (as defined below) in respect of the 15 consecutive trading days ending upon the close of trading of the primary trading session of the Nasdaq Global Select Market on the date immediately preceding the date of the closing of the Financing. For purposes of this Agreement, “</w:t>
      </w:r>
      <w:r>
        <w:rPr>
          <w:rFonts w:ascii="Times New Roman;sans-serif" w:hAnsi="Times New Roman;sans-serif"/>
          <w:b/>
          <w:color w:val="000000"/>
          <w:sz w:val="24"/>
        </w:rPr>
        <w:t>VWAP</w:t>
      </w:r>
      <w:r>
        <w:rPr>
          <w:color w:val="000000"/>
        </w:rPr>
        <w:t xml:space="preserve">” </w:t>
      </w:r>
      <w:r>
        <w:rPr>
          <w:rFonts w:ascii="Times New Roman;sans-serif" w:hAnsi="Times New Roman;sans-serif"/>
          <w:b w:val="false"/>
          <w:color w:val="000000"/>
          <w:sz w:val="24"/>
        </w:rPr>
        <w:t>means, for any period of determination, as reported by Bloomberg Financial Markets (or, if Bloomberg Financial Markets is not then reporting such prices, by a comparable reporting service of national reputation mutually and reasonably agreed upon by the parties in writing) the volume weighted average trading price per Share at which the Shares have traded as set forth on the Nasdaq Global Select Market for the period (calculated by dividing the aggregate trading price of all Shares sold during the period by the aggregate number of Shares sold during the period) expressed in U.S. Dollars.</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i/>
          <w:color w:val="000000"/>
          <w:sz w:val="24"/>
        </w:rPr>
        <w:t>The Closing and Delivery of the Subject Shares</w:t>
      </w:r>
      <w:r>
        <w:rPr>
          <w:rFonts w:ascii="Times New Roman;sans-serif" w:hAnsi="Times New Roman;sans-serif"/>
          <w:b w:val="false"/>
          <w:color w:val="000000"/>
          <w:sz w:val="24"/>
        </w:rPr>
        <w:t xml:space="preserve">. Subject to satisfaction of the conditions set forth in </w:t>
      </w:r>
      <w:r>
        <w:rPr>
          <w:rFonts w:ascii="Times New Roman;sans-serif" w:hAnsi="Times New Roman;sans-serif"/>
          <w:b w:val="false"/>
          <w:color w:val="000000"/>
          <w:sz w:val="24"/>
          <w:u w:val="single"/>
        </w:rPr>
        <w:t>Section 4</w:t>
      </w:r>
      <w:r>
        <w:rPr>
          <w:rFonts w:ascii="Times New Roman;sans-serif" w:hAnsi="Times New Roman;sans-serif"/>
          <w:b w:val="false"/>
          <w:color w:val="000000"/>
          <w:sz w:val="24"/>
        </w:rPr>
        <w:t>, payment of the Purchase Price shall be made to the Selling Stockholders in U.S. Dollars by wire of immediately available funds in New York City against delivery of the Subject Shares from each respective Selling Stockholder’s account to the Company on the date of the closing of the Financing (the “</w:t>
      </w:r>
      <w:r>
        <w:rPr>
          <w:rFonts w:ascii="Times New Roman;sans-serif" w:hAnsi="Times New Roman;sans-serif"/>
          <w:b/>
          <w:color w:val="000000"/>
          <w:sz w:val="24"/>
        </w:rPr>
        <w:t>Closing Date</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2.</w:t>
      </w:r>
      <w:r>
        <w:rPr>
          <w:rFonts w:ascii="Times New Roman;sans-serif" w:hAnsi="Times New Roman;sans-serif"/>
          <w:b w:val="false"/>
          <w:i/>
          <w:color w:val="000000"/>
          <w:sz w:val="24"/>
        </w:rPr>
        <w:t>Representations of the Selling Stockholders</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The Selling Stockholders as of the date hereof have, and as of the Closing Date will have, good and marketable title to the Subject Shares proposed to be sold hereunder and full right, power and authority to enter into this Agreement and to sell, assign, transfer and deliver all of such Subject Shares hereunder, free and clear of all voting trust arrangements, liens, encumbrances, equities, security interests, restrictions and claims whatsoever, other than restrictions imposed by applicable federal and state securities laws; and upon delivery of and payment for such Subject Shares hereunder, the Company will acquire good and marketable title thereto, free and clear of all liens, encumbrances, equities, claims, restrictions, security interests, voting trusts or other defects of title whatsoever, other than restrictions imposed by applicable federal and state securities laws.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Selling Stockholders are “accredited investors” as that term is defined in Regulation D under the Securities Act of 1933, as amended. Each of the Selling Stockholders hereby acknowledge that it is aware that the Company may have access to certain material, non-public information regarding the Company, including its financial condition, results of operations, properties and projections (collectively, the “</w:t>
      </w:r>
      <w:r>
        <w:rPr>
          <w:rFonts w:ascii="Times New Roman;sans-serif" w:hAnsi="Times New Roman;sans-serif"/>
          <w:b/>
          <w:color w:val="000000"/>
          <w:sz w:val="24"/>
        </w:rPr>
        <w:t>Information</w:t>
      </w:r>
      <w:r>
        <w:rPr>
          <w:color w:val="000000"/>
        </w:rPr>
        <w:t>”</w:t>
      </w:r>
      <w:r>
        <w:rPr>
          <w:rFonts w:ascii="Times New Roman;sans-serif" w:hAnsi="Times New Roman;sans-serif"/>
          <w:b w:val="false"/>
          <w:color w:val="000000"/>
          <w:sz w:val="24"/>
        </w:rPr>
        <w:t xml:space="preserve">), that may not be available to the Selling Stockholders. Any such Information may be indicative of a value of the Subject Shares that is substantially different than the Purchase Price. The Selling Stockholders consider themselves to be experienced and sophisticated investors in trading in securities of private and public companies and to have such knowledge and experience necessary to evaluate the merits and risks of the sale contemplated hereby, and have independently, without reliance upon any Information that may have previously been directly provided to the Selling Stockholders or their representatives by the Company, evaluated the business and financial condition of the Company and each has made its own analysis and decision to sell the Shares despite this potential disparity of information between the Company and the Selling Stockholders. Each Selling Stockholder has been given the opportunity to consult with its own counsel with respect to this Agreement, its authorized officers have carefully read and fully understand this Agreement in its entirety and have had it fully explained to them by such Selling Stockholder’s counsel, they are fully aware of the terms hereof and their meaning, intent and legal effect (including with respect to tax matters), and such Selling Stockholder has executed and delivered this Agreement freely and voluntarily. The assignment and transfer of the Shares by the Selling Stockholders to the Company is irrevocable. The Selling Stockholders acknowledge that the Company is relying upon the representations and warranties in this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in engaging in the purchase of the Subject Shares and would not engage in such purchase in the absence of such representations and warranties.</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For U.S. federal income tax purposes, other than with regards to any Selling Stockholder that provides an IRS Form W-9 to the Company, the sale of the Subject Shares by any Selling Stockholder under this agreement shall qualify as a sale or exchange under Section 302(b)(2) of the Internal Revenue Code of 1986, as amended (the “</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3.</w:t>
      </w:r>
      <w:r>
        <w:rPr>
          <w:rFonts w:ascii="Times New Roman;sans-serif" w:hAnsi="Times New Roman;sans-serif"/>
          <w:b w:val="false"/>
          <w:i/>
          <w:color w:val="000000"/>
          <w:sz w:val="24"/>
        </w:rPr>
        <w:t xml:space="preserve">Representations and Covenants of the Company.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The Company represents and warrants as of the date hereof that this Agreement has been duly authorized, executed and delivered by the Company and constitutes a valid and binding agreement of the Company enforceable in accordance with its terms, except to the extent that enforcement thereof may be limited by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At no time during the period specified in Section 897(c)(1)(A)(ii) of the Internal Revenue Code of 1986, as amended (the “</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 xml:space="preserve">), has the Company been a “U.S. real property holding corporation” (as such term is defined for purposes of Section 897 of the Code).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Immediately prior to the closing of the Financing, the Company shall deliver a written notice to the Selling Stockholders setting forth the number of Subject Shares being purchased by the Company and the Aggregate Purchase Price.</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4.</w:t>
      </w:r>
      <w:r>
        <w:rPr>
          <w:rFonts w:ascii="Times New Roman;sans-serif" w:hAnsi="Times New Roman;sans-serif"/>
          <w:b w:val="false"/>
          <w:i/>
          <w:color w:val="000000"/>
          <w:sz w:val="24"/>
        </w:rPr>
        <w:t>Closing Conditions</w:t>
      </w:r>
      <w:r>
        <w:rPr>
          <w:rFonts w:ascii="Times New Roman;sans-serif" w:hAnsi="Times New Roman;sans-serif"/>
          <w:b w:val="false"/>
          <w:color w:val="000000"/>
          <w:sz w:val="24"/>
        </w:rPr>
        <w:t xml:space="preserve">. The parties hereto acknowledge and agree that the obligations of the Selling Stockholders to deliver the Subject Shares and of the Company to purchase and pay for the Subject Shares, as set forth in </w:t>
      </w:r>
      <w:r>
        <w:rPr>
          <w:rFonts w:ascii="Times New Roman;sans-serif" w:hAnsi="Times New Roman;sans-serif"/>
          <w:b w:val="false"/>
          <w:color w:val="000000"/>
          <w:sz w:val="24"/>
          <w:u w:val="single"/>
        </w:rPr>
        <w:t>Section 1(b)</w:t>
      </w:r>
      <w:r>
        <w:rPr>
          <w:rFonts w:ascii="Times New Roman;sans-serif" w:hAnsi="Times New Roman;sans-serif"/>
          <w:b w:val="false"/>
          <w:color w:val="000000"/>
          <w:sz w:val="24"/>
        </w:rPr>
        <w:t>, in each case, shall be subject to the following conditions:</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The closing of the Financing shall have occurred. For the avoidance of doubt, if the Company does not enter into and close the Financing for any reason, the Company shall have no obligation to purchase any Shares under this Agreement. Further, the Company shall have no obligation to purchase any Shares at an Aggregate Purchase Price that exceeds the aggregate incremental principal amount of the Financing.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representations and warranties contained in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hereof, with respect to the Selling Stockholders, and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hereof, with respect to the Company, are true and correct on and as of the Closing Date with the same effect as if made on the Closing Date, and the each party has complied with all the agreements and satisfied all the conditions on its part to be performed or satisfied hereunder at or prior to the Closing Date.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On the Closing Date, there shall be no award, decision, injunction, judgment, order, ruling, subpoena or verdict entered, issued, made or rendered by any court, administrative agency or other governmental body or by any arbitrator pending or remaining in force of any governmental body having appropriate jurisdiction that attempts to restrain, enjoin or otherwise prohibit the consummation of the transactions contemplated by this Agreement, or that grants material damages in connection therewith.</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5.</w:t>
      </w:r>
      <w:r>
        <w:rPr>
          <w:rFonts w:ascii="Times New Roman;sans-serif" w:hAnsi="Times New Roman;sans-serif"/>
          <w:b w:val="false"/>
          <w:i/>
          <w:color w:val="000000"/>
          <w:sz w:val="24"/>
        </w:rPr>
        <w:t>Notices</w:t>
      </w:r>
      <w:r>
        <w:rPr>
          <w:rFonts w:ascii="Times New Roman;sans-serif" w:hAnsi="Times New Roman;sans-serif"/>
          <w:b w:val="false"/>
          <w:color w:val="000000"/>
          <w:sz w:val="24"/>
        </w:rPr>
        <w:t>. All communications hereunder shall be in writing and shall be mailed, hand delivered, facsimiled or e-mailed and confirmed to the parties hereto as follows: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Talen Energy Corporation</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2929 Allen Pkwy, Suite 2200</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Houston, TX 77019</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Attention: John Wander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Rebekah Reneau</w: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Email: John.Wander@talenenergy.com; Rebekah.Reneau@talenenergy.com</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(which shall not constitute notice):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Kirkland &amp; Ellis LLP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609 Main Street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Houston, Texas 77002</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Attention: Matthew R. Pacey, P.C.</w:t>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Michael W. Rigdon, P.C.</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 matt.pacey@kirkland.com; michael.rigdon@kirkland.com</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to the Selling Stockholders: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Rubric Capital Management LP</w:t>
      </w:r>
    </w:p>
    <w:p>
      <w:pPr>
        <w:pStyle w:val="TextBody"/>
        <w:bidi w:val="0"/>
        <w:spacing w:lineRule="auto" w:line="288" w:before="0" w:after="0"/>
        <w:jc w:val="left"/>
        <w:rPr/>
      </w:pPr>
      <w:r>
        <w:rPr>
          <w:rFonts w:ascii="Times New Roman;sans-serif" w:hAnsi="Times New Roman;sans-serif"/>
          <w:b w:val="false"/>
          <w:color w:val="000000"/>
          <w:sz w:val="24"/>
        </w:rPr>
        <w:t>155 East 44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St, Suite 1630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NY</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Brian Kleinhaus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E-mail: phil@rubriccapital.com; jonathan@rubriccapital.com; michael@rubriccapital.com; brian@rubriccapital.com</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party hereto may change the address for receipt of communications by giving written notice to the others.</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6.</w:t>
      </w:r>
      <w:r>
        <w:rPr>
          <w:rFonts w:ascii="Times New Roman;sans-serif" w:hAnsi="Times New Roman;sans-serif"/>
          <w:b w:val="false"/>
          <w:i/>
          <w:color w:val="000000"/>
          <w:sz w:val="24"/>
        </w:rPr>
        <w:t>Successors</w:t>
      </w:r>
      <w:r>
        <w:rPr>
          <w:rFonts w:ascii="Times New Roman;sans-serif" w:hAnsi="Times New Roman;sans-serif"/>
          <w:b w:val="false"/>
          <w:color w:val="000000"/>
          <w:sz w:val="24"/>
        </w:rPr>
        <w:t>. This Agreement will inure to the benefit of and be binding upon the parties hereto, and in each case their respective successors, and nothing herein express or implied shall give or shall be construed to confer any legal or equitable rights or remedies to any other person other than the parties to this Agreement and their successors. The term “successors” shall not include any purchaser of Shares from the Selling Stockholders merely by reason of such purchase.</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7.</w:t>
      </w:r>
      <w:r>
        <w:rPr>
          <w:rFonts w:ascii="Times New Roman;sans-serif" w:hAnsi="Times New Roman;sans-serif"/>
          <w:b w:val="false"/>
          <w:i/>
          <w:color w:val="000000"/>
          <w:sz w:val="24"/>
        </w:rPr>
        <w:t>Partial Unenforceability</w:t>
      </w:r>
      <w:r>
        <w:rPr>
          <w:rFonts w:ascii="Times New Roman;sans-serif" w:hAnsi="Times New Roman;sans-serif"/>
          <w:b w:val="false"/>
          <w:color w:val="000000"/>
          <w:sz w:val="24"/>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8.</w:t>
      </w:r>
      <w:r>
        <w:rPr>
          <w:rFonts w:ascii="Times New Roman;sans-serif" w:hAnsi="Times New Roman;sans-serif"/>
          <w:b w:val="false"/>
          <w:i/>
          <w:color w:val="000000"/>
          <w:sz w:val="24"/>
        </w:rPr>
        <w:t>Governing Law Provisions</w:t>
      </w:r>
      <w:r>
        <w:rPr>
          <w:rFonts w:ascii="Times New Roman;sans-serif" w:hAnsi="Times New Roman;sans-serif"/>
          <w:b w:val="false"/>
          <w:color w:val="000000"/>
          <w:sz w:val="24"/>
        </w:rPr>
        <w:t>. THIS AGREEMENT SHALL BE GOVERNED BY, AND CONSTRUED AND INTERPRETED IN ACCORDANCE WITH THE INTERNAL LAWS OF THE STATE OF DELAWARE APPLICABLE TO AGREEMENTS MADE AND TO BE PERFORMED IN THAT STATE. The Company and the Selling Stockholders hereby irrevocably and unconditionally (i) agree that any action or proceeding arising out of or in connection with this Agreement shall be brought only in the Chancery Court of the State of Delaware (the “</w:t>
      </w:r>
      <w:r>
        <w:rPr>
          <w:rFonts w:ascii="Times New Roman;sans-serif" w:hAnsi="Times New Roman;sans-serif"/>
          <w:b/>
          <w:color w:val="000000"/>
          <w:sz w:val="24"/>
        </w:rPr>
        <w:t>Delaware Court</w:t>
      </w:r>
      <w:r>
        <w:rPr>
          <w:color w:val="000000"/>
        </w:rPr>
        <w:t>”</w:t>
      </w:r>
      <w:r>
        <w:rPr>
          <w:rFonts w:ascii="Times New Roman;sans-serif" w:hAnsi="Times New Roman;sans-serif"/>
          <w:b w:val="false"/>
          <w:color w:val="000000"/>
          <w:sz w:val="24"/>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9.</w:t>
      </w:r>
      <w:r>
        <w:rPr>
          <w:rFonts w:ascii="Times New Roman;sans-serif" w:hAnsi="Times New Roman;sans-serif"/>
          <w:b w:val="false"/>
          <w:i/>
          <w:color w:val="000000"/>
          <w:sz w:val="24"/>
        </w:rPr>
        <w:t>General Provisions</w:t>
      </w:r>
      <w:r>
        <w:rPr>
          <w:rFonts w:ascii="Times New Roman;sans-serif" w:hAnsi="Times New Roman;sans-serif"/>
          <w:b w:val="false"/>
          <w:color w:val="000000"/>
          <w:sz w:val="24"/>
        </w:rPr>
        <w:t>. This Agreement may be executed in two or more counterparts, each one of which shall be an original, with the same effect as if the signatures thereto and hereto were upon the same instrument. This Agreement may be delivered via electronic mail (including by email in “.pdf” or “.tif” form)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10.</w:t>
      </w:r>
      <w:r>
        <w:rPr>
          <w:rFonts w:ascii="Times New Roman;sans-serif" w:hAnsi="Times New Roman;sans-serif"/>
          <w:b w:val="false"/>
          <w:i/>
          <w:color w:val="000000"/>
          <w:sz w:val="24"/>
        </w:rPr>
        <w:t>Withholding</w:t>
      </w:r>
      <w:r>
        <w:rPr>
          <w:rFonts w:ascii="Times New Roman;sans-serif" w:hAnsi="Times New Roman;sans-serif"/>
          <w:b w:val="false"/>
          <w:color w:val="000000"/>
          <w:sz w:val="24"/>
        </w:rPr>
        <w:t>. The Company shall be entitled to deduct and withhold from amounts otherwise payable to each Selling Stockholder pursuant to this Agreement such amounts as are required to be deducted and withheld under applicable tax law. To the extent that such amounts are so withheld and paid over to the appropriate governmental authority by the Company, such withheld amounts shall be treated for all purposes of this Agreement as having been paid to the person in respect of which such deduction and withholding was made.</w:t>
      </w:r>
      <w:r>
        <w:rPr>
          <w:color w:val="000000"/>
        </w:rPr>
        <w:t xml:space="preserve"> </w:t>
      </w:r>
      <w:r>
        <w:rPr>
          <w:rFonts w:ascii="Times New Roman;sans-serif" w:hAnsi="Times New Roman;sans-serif"/>
          <w:b w:val="false"/>
          <w:color w:val="000000"/>
          <w:sz w:val="24"/>
        </w:rPr>
        <w:t>The parties hereto acknowledge and agree that for U.S. federal income tax purposes the Company shall report the payment of the Aggregate Purchase Price to each Selling Stockholder as the payment of sale proceeds for repurchase of the Shares and not as a dividend under Section 301 of the Code and, as of the date hereof, no withholding or deduction of any amount from the consideration otherwise payable pursuant to this Agreement is required under applicable U.S. federal income tax law with respect to any Selling Stockholder that is (i) described under Section 2(c) or (ii) provides an IRS Form W-9 certifying that such Selling Stockholder is exempt from U.S. federal backup withholding.</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11.</w:t>
      </w:r>
      <w:r>
        <w:rPr>
          <w:rFonts w:ascii="Times New Roman;sans-serif" w:hAnsi="Times New Roman;sans-serif"/>
          <w:b w:val="false"/>
          <w:i/>
          <w:color w:val="000000"/>
          <w:sz w:val="24"/>
        </w:rPr>
        <w:t>Tax Indemnity</w:t>
      </w:r>
      <w:r>
        <w:rPr>
          <w:rFonts w:ascii="Times New Roman;sans-serif" w:hAnsi="Times New Roman;sans-serif"/>
          <w:b w:val="false"/>
          <w:color w:val="000000"/>
          <w:sz w:val="24"/>
        </w:rPr>
        <w:t xml:space="preserve">. Notwithstanding anything to the contrary in this Agreement, each Selling Stockholder shall, jointly and severally, indemnify the Company and its affiliates with respect to any loss, demand, suit, claim, liability, cost, court cost, damage, judgment, award, deficiency, penalty, interest, fine, obligation, tax (including any income tax due to amounts received under this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or expense (including reasonable attorneys’ or accountants’ fees and expenses, amounts paid in investigation or defense, and amounts paid in settlement, of any of the foregoing) arising as a result of the Company not withholding any amounts from the Aggregate Purchase Price under Section 1441 or 1442 of the Internal Revenue Code of 1986, as amended, for U.S. federal (and applicable state and local) income tax purposes.</w: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12.</w:t>
      </w:r>
      <w:r>
        <w:rPr>
          <w:color w:val="000000"/>
        </w:rPr>
        <w:t xml:space="preserve"> </w:t>
      </w:r>
      <w:r>
        <w:rPr>
          <w:rFonts w:ascii="Times New Roman;sans-serif" w:hAnsi="Times New Roman;sans-serif"/>
          <w:b w:val="false"/>
          <w:i/>
          <w:color w:val="000000"/>
          <w:sz w:val="24"/>
        </w:rPr>
        <w:t xml:space="preserve">Termination. </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Either party hereto may terminate this Agreement, upon written notice to the other party, if the closing price of the Shares on the Nasdaq Global Select Market on any date during the period from the date hereof to the date immediately preceding the Closing Date is less than $190.00 per share.</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If closing of the Financing has not occurred by 5:00 p.m., Houston, Texas time on December 30, 2024 (the “</w:t>
      </w:r>
      <w:r>
        <w:rPr>
          <w:rFonts w:ascii="Times New Roman;sans-serif" w:hAnsi="Times New Roman;sans-serif"/>
          <w:b/>
          <w:color w:val="000000"/>
          <w:sz w:val="24"/>
        </w:rPr>
        <w:t>Outside Date</w:t>
      </w:r>
      <w:r>
        <w:rPr>
          <w:color w:val="000000"/>
        </w:rPr>
        <w:t>”</w:t>
      </w:r>
      <w:r>
        <w:rPr>
          <w:rFonts w:ascii="Times New Roman;sans-serif" w:hAnsi="Times New Roman;sans-serif"/>
          <w:b w:val="false"/>
          <w:color w:val="000000"/>
          <w:sz w:val="24"/>
        </w:rPr>
        <w:t>), this Agreement shall terminate, automatically, without any further required action or notice by any person, immediately after the Outside Date.</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i/>
          <w:color w:val="000000"/>
          <w:sz w:val="24"/>
        </w:rPr>
        <w:t>Section 13.</w:t>
      </w:r>
      <w:r>
        <w:rPr>
          <w:rFonts w:ascii="Times New Roman;sans-serif" w:hAnsi="Times New Roman;sans-serif"/>
          <w:b w:val="false"/>
          <w:i/>
          <w:color w:val="000000"/>
          <w:sz w:val="24"/>
        </w:rPr>
        <w:t xml:space="preserve">Public Announcements. </w:t>
      </w:r>
      <w:r>
        <w:rPr>
          <w:rFonts w:ascii="Times New Roman;sans-serif" w:hAnsi="Times New Roman;sans-serif"/>
          <w:b w:val="false"/>
          <w:color w:val="000000"/>
          <w:sz w:val="24"/>
        </w:rPr>
        <w:t xml:space="preserve">The Selling Stockholders and the Company shall consult with each other before issuing any press release or otherwise making any public statements or filings with respect to this Agreement or any of the transactions contemplated by this Agreement, and neither the Selling Stockholders nor the Company shall issue any such press release, statement or filing prior to obtaining the consent of the other party (which consent shall not be unreasonably withheld, conditioned or delayed);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consent shall not be required to make any such press release, statement or filing which (a) is required by applicable law, including, without limitation, pursuant to Section 13 and/or Section 16 of the Securities Exchange Act of 1934, as amended, and the rules promulgated thereunder or (b) is required by or advisable under the rules and regulations of any securities exchange or national market system upon which such party’s securities (or their respective affiliates) are listed</w:t>
      </w:r>
      <w:r>
        <w:rPr>
          <w:rFonts w:ascii="Times New Roman;sans-serif" w:hAnsi="Times New Roman;sans-serif"/>
          <w:b w:val="false"/>
          <w:i/>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Agreement to be duly executed as of the date first above written.</w:t>
      </w:r>
    </w:p>
    <w:tbl>
      <w:tblPr>
        <w:tblW w:w="4931" w:type="dxa"/>
        <w:jc w:val="left"/>
        <w:tblInd w:w="0" w:type="dxa"/>
        <w:tblLayout w:type="fixed"/>
        <w:tblCellMar>
          <w:top w:w="28" w:type="dxa"/>
          <w:left w:w="28" w:type="dxa"/>
          <w:bottom w:w="28" w:type="dxa"/>
          <w:right w:w="28" w:type="dxa"/>
        </w:tblCellMar>
      </w:tblPr>
      <w:tblGrid>
        <w:gridCol w:w="124"/>
        <w:gridCol w:w="109"/>
        <w:gridCol w:w="109"/>
        <w:gridCol w:w="585"/>
        <w:gridCol w:w="585"/>
        <w:gridCol w:w="585"/>
        <w:gridCol w:w="825"/>
        <w:gridCol w:w="825"/>
        <w:gridCol w:w="11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TALEN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Terry L. Nutt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Terry L. Nutt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Purchase Agreement</w:t>
                            </w:r>
                            <w:r>
                              <w:rPr>
                                <w:rFonts w:ascii="Times New Roman;sans-serif" w:hAnsi="Times New Roman;sans-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Purchase Agreement</w:t>
                      </w:r>
                      <w:r>
                        <w:rPr>
                          <w:rFonts w:ascii="Times New Roman;sans-serif" w:hAnsi="Times New Roman;sans-serif"/>
                          <w:b w:val="false"/>
                          <w:color w:val="000000"/>
                          <w:sz w:val="20"/>
                        </w:rPr>
                        <w:t>]</w:t>
                      </w:r>
                    </w:p>
                  </w:txbxContent>
                </v:textbox>
                <w10:wrap type="none"/>
              </v:rect>
            </w:pict>
          </mc:Fallback>
        </mc:AlternateContent>
      </w:r>
    </w:p>
    <w:tbl>
      <w:tblPr>
        <w:tblW w:w="9852" w:type="dxa"/>
        <w:jc w:val="left"/>
        <w:tblInd w:w="0" w:type="dxa"/>
        <w:tblLayout w:type="fixed"/>
        <w:tblCellMar>
          <w:top w:w="28" w:type="dxa"/>
          <w:left w:w="28" w:type="dxa"/>
          <w:bottom w:w="28" w:type="dxa"/>
          <w:right w:w="28" w:type="dxa"/>
        </w:tblCellMar>
      </w:tblPr>
      <w:tblGrid>
        <w:gridCol w:w="124"/>
        <w:gridCol w:w="109"/>
        <w:gridCol w:w="109"/>
        <w:gridCol w:w="1482"/>
        <w:gridCol w:w="1482"/>
        <w:gridCol w:w="1482"/>
        <w:gridCol w:w="1482"/>
        <w:gridCol w:w="1482"/>
        <w:gridCol w:w="21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RUBRIC CAPITAL MANAGEMENT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 Manager or Sub-Manager on behalf of certain of its funds and accounts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SELLING STOCKHOLDERS: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RUBRIC CAPITAL MASTER FUND 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BEMAP MASTER FUND LTD, by Rubric Capital Management LP, its Sub-Manager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BLACKSTONE CSP-MST FMAP FUND, by Rubric Capital Management LP, its Sub-Manager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RUBRIC BSR FUND LLC, by Rubric Capital GP LLC, its general partner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Michael Nachmani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19.1</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Purchase Agreement</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Purchase Agreement</w:t>
                      </w:r>
                      <w:r>
                        <w:rPr>
                          <w:rFonts w:ascii="Times New Roman;sans-serif" w:hAnsi="Times New Roman;sans-serif"/>
                          <w:b w:val="false"/>
                          <w:color w:val="000000"/>
                          <w:sz w:val="20"/>
                        </w:rPr>
                        <w:t>]</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TALEN ENERGY CORPORATION</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INSIDER TRADING POLICY</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(Adopted June 26, 2023)</w: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before="0" w:after="0"/>
        <w:jc w:val="left"/>
        <w:rPr/>
      </w:pPr>
      <w:r>
        <w:rPr/>
      </w:r>
    </w:p>
    <w:p>
      <w:pPr>
        <w:pStyle w:val="TextBody"/>
        <w:bidi w:val="0"/>
        <w:spacing w:lineRule="auto" w:line="247" w:before="0" w:after="0"/>
        <w:jc w:val="both"/>
        <w:rPr/>
      </w:pPr>
      <w:r>
        <w:rPr>
          <w:rFonts w:ascii="Times New Roman;sans-serif" w:hAnsi="Times New Roman;sans-serif"/>
          <w:b w:val="false"/>
          <w:color w:val="000000"/>
          <w:sz w:val="24"/>
        </w:rPr>
        <w:t>This Insider Trading Policy (the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provides guidelines for (i) transactions in Talen Energy Corporation (together with its subsidiaries,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securities and (ii) the handling of confidential information about the Company and the companies with which the Company does business. The Company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Regulators have adopted sophisticated surveillance techniques to identify insider trading transactions, and it is important to the Company to prevent insider trading and avoid even the appearance of impropriety. </w:t>
      </w:r>
    </w:p>
    <w:p>
      <w:pPr>
        <w:pStyle w:val="TextBody"/>
        <w:bidi w:val="0"/>
        <w:spacing w:before="0" w:after="0"/>
        <w:jc w:val="left"/>
        <w:rPr/>
      </w:pPr>
      <w:r>
        <w:rPr/>
      </w:r>
    </w:p>
    <w:p>
      <w:pPr>
        <w:pStyle w:val="TextBody"/>
        <w:bidi w:val="0"/>
        <w:spacing w:lineRule="auto" w:line="247" w:before="0" w:after="0"/>
        <w:jc w:val="both"/>
        <w:rPr/>
      </w:pPr>
      <w:r>
        <w:rPr>
          <w:rFonts w:ascii="Times New Roman;sans-serif" w:hAnsi="Times New Roman;sans-serif"/>
          <w:b w:val="false"/>
          <w:color w:val="000000"/>
          <w:sz w:val="24"/>
        </w:rPr>
        <w:t>As used herein, “</w:t>
      </w:r>
      <w:r>
        <w:rPr>
          <w:rFonts w:ascii="Times New Roman;sans-serif" w:hAnsi="Times New Roman;sans-serif"/>
          <w:b w:val="false"/>
          <w:color w:val="000000"/>
          <w:sz w:val="24"/>
          <w:u w:val="single"/>
        </w:rPr>
        <w:t>General Counsel</w:t>
      </w:r>
      <w:r>
        <w:rPr>
          <w:color w:val="000000"/>
        </w:rPr>
        <w:t xml:space="preserve">” </w:t>
      </w:r>
      <w:r>
        <w:rPr>
          <w:rFonts w:ascii="Times New Roman;sans-serif" w:hAnsi="Times New Roman;sans-serif"/>
          <w:b w:val="false"/>
          <w:color w:val="000000"/>
          <w:sz w:val="24"/>
        </w:rPr>
        <w:t>shall mean the General Counsel of the Company, or any designee appointed by him or her to fulfill the obligations of the General Counsel under this Policy from time to time, as applicable.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PERSONS SUBJECT TO THE POLICY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applies to all directors, officers and employees of the Company and its subsidiaries, as well as any contractors or consultants who have access to material nonpublic information and any other persons that the Company may, from time to time, determine should be subject to this Policy. This Policy also applies to family members, other members of a person’s household, and entities controlled by a person covered by this Policy, as described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TRANSACTIONS SUBJECT TO THE POLICY</w:t>
      </w:r>
    </w:p>
    <w:p>
      <w:pPr>
        <w:pStyle w:val="TextBody"/>
        <w:bidi w:val="0"/>
        <w:spacing w:before="0" w:after="0"/>
        <w:jc w:val="left"/>
        <w:rPr/>
      </w:pPr>
      <w:r>
        <w:rPr/>
      </w:r>
    </w:p>
    <w:p>
      <w:pPr>
        <w:pStyle w:val="TextBody"/>
        <w:bidi w:val="0"/>
        <w:spacing w:lineRule="auto" w:line="247" w:before="0" w:after="0"/>
        <w:jc w:val="both"/>
        <w:rPr/>
      </w:pPr>
      <w:r>
        <w:rPr>
          <w:rFonts w:ascii="Times New Roman;sans-serif" w:hAnsi="Times New Roman;sans-serif"/>
          <w:b w:val="false"/>
          <w:color w:val="000000"/>
          <w:sz w:val="24"/>
        </w:rPr>
        <w:t>This Policy applies to transactions in the Company’s securities (collectively referred to in this Policy as “</w:t>
      </w:r>
      <w:r>
        <w:rPr>
          <w:rFonts w:ascii="Times New Roman;sans-serif" w:hAnsi="Times New Roman;sans-serif"/>
          <w:b w:val="false"/>
          <w:color w:val="000000"/>
          <w:sz w:val="24"/>
          <w:u w:val="single"/>
        </w:rPr>
        <w:t>Company Securities</w:t>
      </w:r>
      <w:r>
        <w:rPr>
          <w:color w:val="000000"/>
        </w:rPr>
        <w:t>”</w:t>
      </w:r>
      <w:r>
        <w:rPr>
          <w:rFonts w:ascii="Times New Roman;sans-serif" w:hAnsi="Times New Roman;sans-serif"/>
          <w:b w:val="false"/>
          <w:color w:val="000000"/>
          <w:sz w:val="24"/>
        </w:rPr>
        <w:t>), including the Company’s common stock, options to purchase common stock, or any other type of securities that the Company may issue, including (but not limited to) preferred stock, convertible debentures and warrants, and debt instruments, as well as derivative securities that are not issued by the Company, such as exchange-traded put or call options or swaps relating to Company Securities.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4"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DEFINITION OF MATERIAL NONPUBLIC INFORMATION</w:t>
      </w:r>
    </w:p>
    <w:p>
      <w:pPr>
        <w:pStyle w:val="TextBody"/>
        <w:bidi w:val="0"/>
        <w:spacing w:before="0" w:after="0"/>
        <w:jc w:val="left"/>
        <w:rPr/>
      </w:pPr>
      <w:r>
        <w:rPr/>
      </w:r>
    </w:p>
    <w:p>
      <w:pPr>
        <w:pStyle w:val="TextBody"/>
        <w:bidi w:val="0"/>
        <w:spacing w:lineRule="auto" w:line="295" w:before="0" w:after="0"/>
        <w:jc w:val="both"/>
        <w:rPr/>
      </w:pPr>
      <w:r>
        <w:rPr>
          <w:rFonts w:ascii="Times New Roman;sans-serif" w:hAnsi="Times New Roman;sans-serif"/>
          <w:b w:val="false"/>
          <w:color w:val="000000"/>
          <w:sz w:val="24"/>
          <w:u w:val="single"/>
        </w:rPr>
        <w:t>Material Information</w:t>
      </w:r>
      <w:r>
        <w:rPr>
          <w:rFonts w:ascii="Times New Roman;sans-serif" w:hAnsi="Times New Roman;sans-serif"/>
          <w:b w:val="false"/>
          <w:color w:val="000000"/>
          <w:sz w:val="24"/>
        </w:rPr>
        <w:t>: Information is considered “</w:t>
      </w:r>
      <w:r>
        <w:rPr>
          <w:rFonts w:ascii="Times New Roman;sans-serif" w:hAnsi="Times New Roman;sans-serif"/>
          <w:b w:val="false"/>
          <w:color w:val="000000"/>
          <w:sz w:val="24"/>
          <w:u w:val="single"/>
        </w:rPr>
        <w:t>material</w:t>
      </w:r>
      <w:r>
        <w:rPr>
          <w:color w:val="000000"/>
        </w:rPr>
        <w:t xml:space="preserve">” </w:t>
      </w:r>
      <w:r>
        <w:rPr>
          <w:rFonts w:ascii="Times New Roman;sans-serif" w:hAnsi="Times New Roman;sans-serif"/>
          <w:b w:val="false"/>
          <w:color w:val="000000"/>
          <w:sz w:val="24"/>
        </w:rPr>
        <w:t>if a reasonable investor would consider that information important in making a decision to buy, hold or sell securities. Any information that could be expected to affect the price of a company’s securities,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pStyle w:val="TextBody"/>
        <w:bidi w:val="0"/>
        <w:spacing w:before="0" w:after="0"/>
        <w:jc w:val="both"/>
        <w:rPr/>
      </w:pPr>
      <w:r>
        <w:rPr/>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Nonpublic financial statements and public filings;</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Projections of future earnings or losses, or other earnings guidance;</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Changes to previously announced earnings guidance, or the decision to suspend earnings guidance;</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A pending or proposed merger, acquisition or tender offer;</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A pending or proposed acquisition or disposition of a significant asset;</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A pending or proposed joint venture;</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A Company restructuring;</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Significant related party transactions;</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A change in dividend policy, the declaration of a stock split, or an offering of additional securities;</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Bank borrowings or other financing transactions out of the ordinary course;</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The establishment of a repurchase program for Company Securities;</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A change in management;</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A change in auditors or notification that the auditor’s reports may no longer be relied upon;</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The gain or loss of a significant customer or supplier or other significant disruption in fuel supply;</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Significant events concerning the Company’s physical assets;</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Significant changes in the Company’s environmental remediation obligations or a significant waste discharge or other environmental liability;</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Pending or threatened significant litigation, or the resolution of such litigation;</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Regulatory approvals or changes in regulations and any analysis of how they affect the Company;</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Significant investigations of the Company by any regulatory body or agency;</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Impending bankruptcy or the existence of severe liquidity problems;</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The gain or loss of a significant customer or supplier;</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Significant changes, positive or negative, to the terms of a commercial relationship with another company;</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Significant cybersecurity incidents; and</w:t>
      </w:r>
    </w:p>
    <w:p>
      <w:pPr>
        <w:pStyle w:val="TextBody"/>
        <w:bidi w:val="0"/>
        <w:spacing w:lineRule="auto" w:line="295" w:before="0" w:after="0"/>
        <w:ind w:left="0" w:right="0" w:hanging="360"/>
        <w:jc w:val="both"/>
        <w:rPr/>
      </w:pPr>
      <w:r>
        <w:rPr>
          <w:color w:val="000000"/>
        </w:rPr>
        <w:t>•</w:t>
      </w:r>
      <w:r>
        <w:rPr>
          <w:rFonts w:ascii="Times New Roman;sans-serif" w:hAnsi="Times New Roman;sans-serif"/>
          <w:b w:val="false"/>
          <w:color w:val="000000"/>
          <w:sz w:val="24"/>
        </w:rPr>
        <w:t>The imposition of a ban on trading in Company Securities or the securities of another company.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5"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unsure whether information is material, you should either consult the General Counsel before making any decision to disclose such information (other than to persons who need to know it) or to trade in or recommend securities to which that information relates. When in doubt, you should assume that the information is material.</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When Information is Considered Public</w:t>
      </w:r>
      <w:r>
        <w:rPr>
          <w:rFonts w:ascii="Times New Roman;sans-serif" w:hAnsi="Times New Roman;sans-serif"/>
          <w:b w:val="false"/>
          <w:color w:val="000000"/>
          <w:sz w:val="24"/>
        </w:rPr>
        <w:t>: Information that has not been disclosed to the public is generally considered to be “</w:t>
      </w:r>
      <w:r>
        <w:rPr>
          <w:rFonts w:ascii="Times New Roman;sans-serif" w:hAnsi="Times New Roman;sans-serif"/>
          <w:b w:val="false"/>
          <w:color w:val="000000"/>
          <w:sz w:val="24"/>
          <w:u w:val="single"/>
        </w:rPr>
        <w:t>nonpublic</w:t>
      </w:r>
      <w:r>
        <w:rPr>
          <w:color w:val="000000"/>
        </w:rPr>
        <w:t xml:space="preserve">” </w:t>
      </w:r>
      <w:r>
        <w:rPr>
          <w:rFonts w:ascii="Times New Roman;sans-serif" w:hAnsi="Times New Roman;sans-serif"/>
          <w:b w:val="false"/>
          <w:color w:val="000000"/>
          <w:sz w:val="24"/>
        </w:rPr>
        <w:t>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INDIVIDUAL RESPONSIBILITY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complies with this Policy. In all cases, the responsibility for determining whether an individual is in possession of material nonpublic information rests with that individual, and any action on the part of the Company, the General Counsel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STATEMENT OF POLICY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It is the policy of the Company that no director, officer or other employee of the Company (or any other person designated by this Policy or by the General Counsel as subject to this Policy) who is aware of material nonpublic information relating to the Company may, directly, or indirectly through family members or other persons or entities: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86"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4"/>
        </w:rPr>
        <w:t>Engage in transactions in Company Securities, except as otherwise specified in this Policy under the headings “Transactions Under Company Plans,” “Transactions Not Involving a Purchase or Sale” and “Rule 10b5-1 Plans;”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4"/>
        </w:rPr>
        <w:t xml:space="preserve">Recommend the purchase or sale of any Company Securities;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val="false"/>
          <w:color w:val="000000"/>
          <w:sz w:val="24"/>
        </w:rPr>
        <w:t xml:space="preserve">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val="false"/>
          <w:color w:val="000000"/>
          <w:sz w:val="24"/>
        </w:rPr>
        <w:t>Assist anyone engaged in the above activities. In addition, it is the policy of the Company that no director, officer or other employee of the Company (or any other person designated as subject to this Policy) who, in the course of working for the Company, learns of material nonpublic information about any company with which the Company does business (such as the entry into a new material contract with the Company), including a customer or supplier of the Company, may trade in that company’s securities until the information becomes public or is no longer material.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exceptions to this Policy, except as specifically noted herein. Transactions that one may believe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TRANSACTIONS BY FAMILY MEMBERS AND OTHERS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sans-serif" w:hAnsi="Times New Roman;sans-serif"/>
          <w:b w:val="false"/>
          <w:color w:val="000000"/>
          <w:sz w:val="24"/>
          <w:u w:val="single"/>
        </w:rPr>
        <w:t>Family Members</w:t>
      </w:r>
      <w:r>
        <w:rPr>
          <w:color w:val="000000"/>
        </w:rPr>
        <w:t>”</w:t>
      </w:r>
      <w:r>
        <w:rPr>
          <w:rFonts w:ascii="Times New Roman;sans-serif" w:hAnsi="Times New Roman;sans-serif"/>
          <w:b w:val="false"/>
          <w:color w:val="000000"/>
          <w:sz w:val="24"/>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87"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TRANSACTIONS BY ENTITIES THAT YOU INFLUENCE OR CONTROL</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This Policy applies to any entities that you influence or control, including any limited liability companies, corporations, partnerships or trusts (collectively referred to as “</w:t>
      </w:r>
      <w:r>
        <w:rPr>
          <w:rFonts w:ascii="Times New Roman;sans-serif" w:hAnsi="Times New Roman;sans-serif"/>
          <w:b w:val="false"/>
          <w:color w:val="000000"/>
          <w:sz w:val="24"/>
          <w:u w:val="single"/>
        </w:rPr>
        <w:t>Controlled Entities</w:t>
      </w:r>
      <w:r>
        <w:rPr>
          <w:color w:val="000000"/>
        </w:rPr>
        <w:t>”</w:t>
      </w:r>
      <w:r>
        <w:rPr>
          <w:rFonts w:ascii="Times New Roman;sans-serif" w:hAnsi="Times New Roman;sans-serif"/>
          <w:b w:val="false"/>
          <w:color w:val="000000"/>
          <w:sz w:val="24"/>
        </w:rPr>
        <w:t>), and transactions by these Controlled Entities should be treated for the purposes of this Policy and applicable securities laws as if they were for your own account.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TRANSACTIONS UNDER COMPANY PLANS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does not apply in the case of the following transactions, except as specifically noted: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4"/>
          <w:u w:val="single"/>
        </w:rPr>
        <w:t>Stock Option Exercises</w:t>
      </w:r>
      <w:r>
        <w:rPr>
          <w:rFonts w:ascii="Times New Roman;sans-serif" w:hAnsi="Times New Roman;sans-serif"/>
          <w:b w:val="false"/>
          <w:color w:val="000000"/>
          <w:sz w:val="24"/>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val="false"/>
          <w:color w:val="000000"/>
          <w:sz w:val="24"/>
          <w:u w:val="single"/>
        </w:rPr>
        <w:t>Restricted Stock or Other Stock Awards</w:t>
      </w:r>
      <w:r>
        <w:rPr>
          <w:rFonts w:ascii="Times New Roman;sans-serif" w:hAnsi="Times New Roman;sans-serif"/>
          <w:b w:val="false"/>
          <w:color w:val="000000"/>
          <w:sz w:val="24"/>
        </w:rPr>
        <w:t>: This Policy does not apply to the vesting of restricted stock, performance awards or other stock awards pursuant to the Company’s plans, or to the exercise of a tax withholding right pursuant to which a person has elected to have the Company withhold shares of stock to satisfy tax withholding requirements upon the vesting of any such award. The Policy does apply, however, to any market sale of such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TRANSACTIONS NOT INVOLVING A PURCHASE OR SALE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Bona fide</w:t>
      </w:r>
      <w:r>
        <w:rPr>
          <w:color w:val="000000"/>
        </w:rPr>
        <w:t xml:space="preserve"> </w:t>
      </w:r>
      <w:r>
        <w:rPr>
          <w:rFonts w:ascii="Times New Roman;sans-serif" w:hAnsi="Times New Roman;sans-serif"/>
          <w:b w:val="false"/>
          <w:color w:val="000000"/>
          <w:sz w:val="24"/>
        </w:rPr>
        <w:t>gifts are not transactions subject to this Policy, unless the person making the gift has reason to believe that the recipient intends to sell the Company Securities while the officer, employee or director is aware of material nonpublic information, or the person making the gift is subject to the trading restrictions specified below under the heading “Pre-Clearance and Blackouts” and the sales by the recipient of the Company Securities occur during a blackout period.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Further, transactions in mutual funds that are invested in Company Securities are not transactions subject to this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SPECIAL AND PROHIBITED TRANSACTIONS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8"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Short-Term Trading</w:t>
      </w:r>
      <w:r>
        <w:rPr>
          <w:rFonts w:ascii="Times New Roman;sans-serif" w:hAnsi="Times New Roman;sans-serif"/>
          <w:b w:val="false"/>
          <w:color w:val="000000"/>
          <w:sz w:val="24"/>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Short Sales</w:t>
      </w:r>
      <w:r>
        <w:rPr>
          <w:rFonts w:ascii="Times New Roman;sans-serif" w:hAnsi="Times New Roman;sans-serif"/>
          <w:b w:val="false"/>
          <w:color w:val="000000"/>
          <w:sz w:val="24"/>
        </w:rPr>
        <w:t>: Short sales of Company Securities (</w:t>
      </w:r>
      <w:r>
        <w:rPr>
          <w:rFonts w:ascii="Times New Roman;sans-serif" w:hAnsi="Times New Roman;sans-serif"/>
          <w:b w:val="false"/>
          <w:i/>
          <w:color w:val="000000"/>
          <w:sz w:val="24"/>
        </w:rPr>
        <w:t>i.e.</w:t>
      </w:r>
      <w:r>
        <w:rPr>
          <w:rFonts w:ascii="Times New Roman;sans-serif" w:hAnsi="Times New Roman;sans-serif"/>
          <w:b w:val="false"/>
          <w:color w:val="000000"/>
          <w:sz w:val="24"/>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prohibits officers and directors from engaging in short sales. (Short sales arising from certain types of hedging transactions are governed by the paragraph below captioned “Hedging Transactions.”)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Publicly-Traded Options</w:t>
      </w:r>
      <w:r>
        <w:rPr>
          <w:rFonts w:ascii="Times New Roman;sans-serif" w:hAnsi="Times New Roman;sans-serif"/>
          <w:b w:val="false"/>
          <w:color w:val="000000"/>
          <w:sz w:val="24"/>
        </w:rPr>
        <w:t xml:space="preserve">: 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Further, regulators often focus their attention on the trading of options when evaluating whether insider trading has occurred. Accordingly, transactions in put options, call options or other derivative securities, on an exchange or in any other organized market, are prohibited by this Policy. (Option positions arising from certain types of hedging transactions are governed by the next paragraph below.)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Hedging Transactions</w:t>
      </w:r>
      <w:r>
        <w:rPr>
          <w:rFonts w:ascii="Times New Roman;sans-serif" w:hAnsi="Times New Roman;sans-serif"/>
          <w:b w:val="false"/>
          <w:color w:val="000000"/>
          <w:sz w:val="24"/>
        </w:rPr>
        <w:t>: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generally prohibits you from engaging in such transactions. Any person wishing to enter into such an arrangement must first submit the proposed transaction for approval by the General Counsel. Any request for pre-clearance of a hedging or similar arrangement must be submitted to the General Counsel at least two weeks prior to the proposed execution of documents evidencing the proposed transaction and must set forth a justification for the proposed transaction.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9"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Margin Accounts and Pledged Securities</w:t>
      </w:r>
      <w:r>
        <w:rPr>
          <w:rFonts w:ascii="Times New Roman;sans-serif" w:hAnsi="Times New Roman;sans-serif"/>
          <w:b w:val="false"/>
          <w:color w:val="000000"/>
          <w:sz w:val="24"/>
        </w:rPr>
        <w:t xml:space="preserve">: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pledger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Standing and Limit Orders</w:t>
      </w:r>
      <w:r>
        <w:rPr>
          <w:rFonts w:ascii="Times New Roman;sans-serif" w:hAnsi="Times New Roman;sans-serif"/>
          <w:b w:val="false"/>
          <w:color w:val="000000"/>
          <w:sz w:val="24"/>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“Pre-Clearance and Blackouts.”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PRE-CLEARANCE &amp; BLACKOUTS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Pre-Clearance Procedures</w:t>
      </w:r>
      <w:r>
        <w:rPr>
          <w:rFonts w:ascii="Times New Roman;sans-serif" w:hAnsi="Times New Roman;sans-serif"/>
          <w:b w:val="false"/>
          <w:color w:val="000000"/>
          <w:sz w:val="24"/>
        </w:rPr>
        <w:t>: Directors, officers, accounting employees that assist with preparing SEC or other public filings and/or the preparation of the Company’s financial statements, investor relations employees that assist with earnings releases, legal department employees, any employees on the Company’s disclosure committee, and any persons designated by the General Counsel as being subject to these procedures, as well as the Family Members and Controlled Entities of such persons (“</w:t>
      </w:r>
      <w:r>
        <w:rPr>
          <w:rFonts w:ascii="Times New Roman;sans-serif" w:hAnsi="Times New Roman;sans-serif"/>
          <w:b w:val="false"/>
          <w:color w:val="000000"/>
          <w:sz w:val="24"/>
          <w:u w:val="single"/>
        </w:rPr>
        <w:t>Covered Senior Persons</w:t>
      </w:r>
      <w:r>
        <w:rPr>
          <w:color w:val="000000"/>
        </w:rPr>
        <w:t>”</w:t>
      </w:r>
      <w:r>
        <w:rPr>
          <w:rFonts w:ascii="Times New Roman;sans-serif" w:hAnsi="Times New Roman;sans-serif"/>
          <w:b w:val="false"/>
          <w:color w:val="000000"/>
          <w:sz w:val="24"/>
        </w:rPr>
        <w:t>), may not engage in any transaction in Company Securities without first obtaining pre-clearance of the transaction from the General Counsel. A request for pre-clearance should be submitted to the General Counsel at least two business days in advance of the proposed transaction. The General Counsel is under no obligation to approve a transaction submitted for pre-clearance, and may determine not to permit the transaction. If a person seeks pre- clearance and permission to engage in the transaction is denied, then he or she should refrain from initiating any transaction in Company Securities, and should not inform any other person of the restriction.</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When a request for pre-clearance is made, the requestor should carefully consider whether he or she may be aware of any material nonpublic information about the Company, and should describe fully those circumstances to the General Counsel. The requestor should also indicate whether he or she has effected any non-exempt “opposite-way” transactions within the past six months, and should be prepared to report the proposed transaction on an appropriate Form 4 or </w:t>
      </w:r>
    </w:p>
    <w:p>
      <w:pPr>
        <w:pStyle w:val="TextBody"/>
        <w:bidi w:val="0"/>
        <w:spacing w:before="0" w:after="0"/>
        <w:jc w:val="righ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90"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 5. The requestor should also be prepared to comply with SEC Rule 144 and file Form 144, if necessary, at the time of any sale.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 person seeks pre- clearance and permission to engage in the transaction is granted, then such trade must be effected within five business days of receipt of pre-clearance unless an exception is granted. Such person must promptly notify the General Counsel following the completion of the transaction. A person who has not effected a transaction within the time limit may not engage in such transaction without again obtaining pre-clearance of the transaction from the General Counsel. If the person obtains any material non-public information in the interim period between obtaining pre-clearance from the General Counsel and effecting a transaction, the person should not engage in the contemplated transaction.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Quarterly Blackout Periods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Covered Senior Persons may not conduct any transactions involving the Company’s Securities (other than as specified by this Policy), during a “</w:t>
      </w:r>
      <w:r>
        <w:rPr>
          <w:rFonts w:ascii="Times New Roman;sans-serif" w:hAnsi="Times New Roman;sans-serif"/>
          <w:b w:val="false"/>
          <w:color w:val="000000"/>
          <w:sz w:val="24"/>
          <w:u w:val="single"/>
        </w:rPr>
        <w:t>Blackout Period</w:t>
      </w:r>
      <w:r>
        <w:rPr>
          <w:color w:val="000000"/>
        </w:rPr>
        <w:t xml:space="preserve">” </w:t>
      </w:r>
      <w:r>
        <w:rPr>
          <w:rFonts w:ascii="Times New Roman;sans-serif" w:hAnsi="Times New Roman;sans-serif"/>
          <w:b w:val="false"/>
          <w:color w:val="000000"/>
          <w:sz w:val="24"/>
        </w:rPr>
        <w:t>beginning fourteen calendar days prior to the end of each fiscal quarter and ending after the close of trading on the second full trading day following the date of the public release of the Company’s earnings results for that quarter. In other words, these persons may only conduct transactions in Company Securities during the “</w:t>
      </w:r>
      <w:r>
        <w:rPr>
          <w:rFonts w:ascii="Times New Roman;sans-serif" w:hAnsi="Times New Roman;sans-serif"/>
          <w:b w:val="false"/>
          <w:color w:val="000000"/>
          <w:sz w:val="24"/>
          <w:u w:val="single"/>
        </w:rPr>
        <w:t>Window Period</w:t>
      </w:r>
      <w:r>
        <w:rPr>
          <w:color w:val="000000"/>
        </w:rPr>
        <w:t xml:space="preserve">” </w:t>
      </w:r>
      <w:r>
        <w:rPr>
          <w:rFonts w:ascii="Times New Roman;sans-serif" w:hAnsi="Times New Roman;sans-serif"/>
          <w:b w:val="false"/>
          <w:color w:val="000000"/>
          <w:sz w:val="24"/>
        </w:rPr>
        <w:t>beginning after the close of trading on the second full trading day following the public release of the Company’s quarterly earnings and ending fourteen days prior to the close of the next fiscal quarter.</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Event-Specific Blackout Periods</w:t>
      </w:r>
      <w:r>
        <w:rPr>
          <w:rFonts w:ascii="Times New Roman;sans-serif" w:hAnsi="Times New Roman;sans-serif"/>
          <w:b w:val="false"/>
          <w:color w:val="000000"/>
          <w:sz w:val="24"/>
        </w:rPr>
        <w:t>: From time to time, an event may occur that is material to the Company and is known by only a few directors, officers and/or employees, such as a cybersecurity incident or a material transaction that is close to announcement. So long as the event remains material and nonpublic, the persons designated by the General Counsel may not trade Company Securities. In addition, the Company’s financial results may be sufficiently material in a particular fiscal quarter that, in the judgment of the General Counsel, designated persons should refrain from trading in Company Securities even sooner than the typical Blackout Period described above. In that situation, the General Counsel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General Counsel has not designated you as a person who should not trade due to an event-specific restriction, you should not trade while aware of material nonpublic information.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u w:val="single"/>
        </w:rPr>
        <w:t>Exceptions</w:t>
      </w:r>
      <w:r>
        <w:rPr>
          <w:rFonts w:ascii="Times New Roman;sans-serif" w:hAnsi="Times New Roman;sans-serif"/>
          <w:b w:val="false"/>
          <w:color w:val="000000"/>
          <w:sz w:val="24"/>
        </w:rPr>
        <w:t>: The quarterly trading restrictions and event-driven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under the heading “Rule 10b5-1 Plans.”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91"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RULE 10B5-1 PLANS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Rule 10b5-1 under the Exchange Act provides an affirmative defense to insider trading allegations under federal law. In order to be eligible to rely on this defense, a person subject to this Policy must enter into a Rule 10b5-1 plan for transactions in Company Securities that meets certain conditions specified in the Rule (a “</w:t>
      </w:r>
      <w:r>
        <w:rPr>
          <w:rFonts w:ascii="Times New Roman;sans-serif" w:hAnsi="Times New Roman;sans-serif"/>
          <w:b w:val="false"/>
          <w:color w:val="000000"/>
          <w:sz w:val="24"/>
          <w:u w:val="single"/>
        </w:rPr>
        <w:t>Rule 10b5-1 Plan</w:t>
      </w:r>
      <w:r>
        <w:rPr>
          <w:color w:val="000000"/>
        </w:rPr>
        <w:t>”</w:t>
      </w:r>
      <w:r>
        <w:rPr>
          <w:rFonts w:ascii="Times New Roman;sans-serif" w:hAnsi="Times New Roman;sans-serif"/>
          <w:b w:val="false"/>
          <w:color w:val="000000"/>
          <w:sz w:val="24"/>
        </w:rPr>
        <w:t>). If the plan meets the requirements of Rule 10b5-1, Company Securities may be purchased or sold without regard to certain insider trading restrictions described in this Policy. Among other things, Rule 10b5-1 require: (1) the satisfaction of the requisite cooling-off period following the adoption or modification of an existing Rule 10b5-1 Plan, which, (A) for directors and officers, is 90 days following the adoption or modification of a Rule 10b5-1 Plan</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and (B) for persons other than directors or officers, is 30 days after the adoption or modification of a Rule 10b5-1 Plan and (2) the inclusion of written representations of a director or officer certifying that he or she (A) is not aware of any material nonpublic information of the Company or Company Securities and (B) is adopting or modifying the plan in good faith and not as part of a plan or scheme to evade the restrictions of Exchange Act Rule 10b5.</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comply with the Policy, a Rule 10b5-1 Plan must be approved by the General Counsel and meet the requirements of Rule 10b5-1. In general, a Rule 10b5-1 Plan must be entered into at a time when the person entering into the plan is not aware of material nonpublic information about the Company or Company Securities. Once the plan is adopted and subsequent to the satisfaction of the requisite cooling-off period,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Rule 10b5-1 Plan must be submitted for approval five days prior to the entry into the Rule 10b5-1 Plan. No further pre-approval of transactions conducted pursuant to the Rule 10b5-1 Plan will be required.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POST-TERMINATION TRANSACTIONS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“Pre-Clearance and Blackouts” above, however, will cease to apply to transactions in Company Securities upon the expiration of any Blackout Period or other Company-imposed trading restrictions applicable at the time of the termination of service.</w:t>
      </w:r>
    </w:p>
    <w:p>
      <w:pPr>
        <w:pStyle w:val="TextBody"/>
        <w:bidi w:val="0"/>
        <w:spacing w:before="0" w:after="0"/>
        <w:jc w:val="both"/>
        <w:rPr/>
      </w:pPr>
      <w:r>
        <w:rPr/>
      </w:r>
    </w:p>
    <w:p>
      <w:pPr>
        <w:pStyle w:val="TextBody"/>
        <w:bidi w:val="0"/>
        <w:spacing w:lineRule="auto" w:line="26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6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Should the Company become an SEC-registered public company, the requisite cooling-off period for directors and officers shall be the later of (x) 90 days or (y) two business days following the Company’s filing of the Quarterly Report on Form 10-Q or Annual Report on Form 10-K for the fiscal quarter in which the Rule 10b5-1 Plan was adopted or modified.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92"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CONSEQUENCES OF VIOLATIONS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 U.S. Attorneys and state enforcement authorities as well as the laws of foreign jurisdictions.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an individual’s failure to comply with this Policy may subject the individual to Company-imposed sanctions, including possible leave of absence during any investigation and potentially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QUESTIONS </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Any person who has a question about this Policy or its application to any proposed transaction may obtain additional guidance from the General Counsel. Additionally, questions may be submitted anonymously through the Talen Ethics HelpLine by calling (800) 935-4837, or via the internet at https://talenethicshelpline.alertline.com.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21.1</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93"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Subsidiaries of Talen Energy Corporation</w:t>
      </w:r>
    </w:p>
    <w:p>
      <w:pPr>
        <w:pStyle w:val="TextBody"/>
        <w:bidi w:val="0"/>
        <w:spacing w:before="0" w:after="0"/>
        <w:jc w:val="left"/>
        <w:rPr/>
      </w:pPr>
      <w:r>
        <w:rPr/>
      </w:r>
    </w:p>
    <w:tbl>
      <w:tblPr>
        <w:tblW w:w="5881" w:type="dxa"/>
        <w:jc w:val="left"/>
        <w:tblInd w:w="0" w:type="dxa"/>
        <w:tblLayout w:type="fixed"/>
        <w:tblCellMar>
          <w:top w:w="28" w:type="dxa"/>
          <w:left w:w="28" w:type="dxa"/>
          <w:bottom w:w="28" w:type="dxa"/>
          <w:right w:w="28" w:type="dxa"/>
        </w:tblCellMar>
      </w:tblPr>
      <w:tblGrid>
        <w:gridCol w:w="1590"/>
        <w:gridCol w:w="1389"/>
        <w:gridCol w:w="1416"/>
        <w:gridCol w:w="434"/>
        <w:gridCol w:w="434"/>
        <w:gridCol w:w="618"/>
      </w:tblGrid>
      <w:tr>
        <w:trPr/>
        <w:tc>
          <w:tcPr>
            <w:tcW w:w="159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Name</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Jurisdiction</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Brandon Shores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Brunner Island,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Camden Plant Holding,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Colstrip Comm Serv,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Cumulus Coin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Cumulus Data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Cumulus Digital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Cumulus Digital Holdings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Cumulus Growth Holdings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Cumulus Real Estate Holdings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Cumulus Renewables Holdings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Cumulus Texas Renewables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Dartmouth Plant Holding,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Dartmouth Power Associates Limited Partnership</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Massachusetts</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Dartmouth Power Generation,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Dartmouth Power Holding Company,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Fort Armistead Road – Lot 15 Landfill,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 Wagner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Holtwood,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Lady Jane Collieries, Inc.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Pennsylvania</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Liberty View Power,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LMBE Project Company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MC OpCo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MC Project Company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Montana Growth Holdings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Montour,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Morris Energy Operations Company,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Nautilus Cryptomine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Newark Bay Cogeneration Partnership, L.P.</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Jersey</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Newark Bay Holding Company,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Noria Hondo Solar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NorthEast Gas Generation Holdings,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Pennsylvania Mines,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Raven FS Property Holdings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Raven Lot 15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Raven Power Finance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Raven Power Fort Smallwood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Raven Power Generation Holdings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Raven Power Group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Raven Power Property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RMGL Holdings LLC</w:t>
            </w:r>
          </w:p>
        </w:tc>
        <w:tc>
          <w:tcPr>
            <w:tcW w:w="14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Sapphire Power Generation Holdings LLC</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31445"/>
                <wp:effectExtent l="0" t="0" r="0" b="0"/>
                <wp:wrapNone/>
                <wp:docPr id="194" name="Frame1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tbl>
      <w:tblPr>
        <w:tblW w:w="4696" w:type="dxa"/>
        <w:jc w:val="left"/>
        <w:tblInd w:w="0" w:type="dxa"/>
        <w:tblLayout w:type="fixed"/>
        <w:tblCellMar>
          <w:top w:w="28" w:type="dxa"/>
          <w:left w:w="28" w:type="dxa"/>
          <w:bottom w:w="28" w:type="dxa"/>
          <w:right w:w="28" w:type="dxa"/>
        </w:tblCellMar>
      </w:tblPr>
      <w:tblGrid>
        <w:gridCol w:w="1221"/>
        <w:gridCol w:w="1068"/>
        <w:gridCol w:w="1086"/>
        <w:gridCol w:w="386"/>
        <w:gridCol w:w="386"/>
        <w:gridCol w:w="549"/>
      </w:tblGrid>
      <w:tr>
        <w:trPr/>
        <w:tc>
          <w:tcPr>
            <w:tcW w:w="122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Name</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Jurisdiction</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Silverthorn Solar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Susquehanna Nuclear,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Conemaugh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Energy Marketing,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Pennsylvania</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Energy Services Group,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Energy Services Holdings,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Energy Supply,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Generation,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KeyCon Holdings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Keystone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Land Holdings,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Pennsylvania</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MCR Holdings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Montana,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Montana Holdings,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NE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Technology Ventures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Talen Treasure State, LLC</w:t>
            </w:r>
          </w:p>
        </w:tc>
        <w:tc>
          <w:tcPr>
            <w:tcW w:w="13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Riverlands Recreation Area LLC</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23.1</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31445"/>
                <wp:effectExtent l="0" t="0" r="0" b="0"/>
                <wp:wrapNone/>
                <wp:docPr id="195" name="Frame1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18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S-8 (No. 333-283227, No. 333-283230) of Talen Energy Corporation of our report dated February 27, 2025 relating to the financial statements, financial statement schedules of Talen Energy Corporation, LLC (Successor), which appears in this Form 10-K.</w:t>
      </w:r>
    </w:p>
    <w:p>
      <w:pPr>
        <w:pStyle w:val="TextBody"/>
        <w:bidi w:val="0"/>
        <w:spacing w:lineRule="auto" w:line="268" w:before="0" w:after="18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Houston, Texas</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February 27,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32740"/>
                <wp:effectExtent l="0" t="0" r="0" b="0"/>
                <wp:wrapNone/>
                <wp:docPr id="196" name="Frame19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18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S-8 (No. 333-283227, No. 333-283230) of Talen Energy Corporation of our report dated March 14, 2024 relating to the financial statements of Talen Energy Supply, LLC (Predecessor), which appears in this Form 10-K.</w:t>
      </w:r>
    </w:p>
    <w:p>
      <w:pPr>
        <w:pStyle w:val="TextBody"/>
        <w:bidi w:val="0"/>
        <w:spacing w:lineRule="auto" w:line="268" w:before="0" w:after="18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Houston, Texas</w:t>
      </w:r>
    </w:p>
    <w:p>
      <w:pPr>
        <w:pStyle w:val="TextBody"/>
        <w:bidi w:val="0"/>
        <w:spacing w:lineRule="auto" w:line="268"/>
        <w:jc w:val="left"/>
        <w:rPr>
          <w:rFonts w:ascii="Georgia;serif" w:hAnsi="Georgia;serif"/>
          <w:b w:val="false"/>
          <w:color w:val="000000"/>
          <w:sz w:val="20"/>
        </w:rPr>
      </w:pPr>
      <w:r>
        <w:rPr>
          <w:rFonts w:ascii="Georgia;serif" w:hAnsi="Georgia;serif"/>
          <w:b w:val="false"/>
          <w:color w:val="000000"/>
          <w:sz w:val="20"/>
        </w:rPr>
        <w:t>February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Exhibit 23.2</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32740"/>
                <wp:effectExtent l="0" t="0" r="0" b="0"/>
                <wp:wrapNone/>
                <wp:docPr id="197" name="Frame19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43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18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 supplement on Form S-1 (No. 333-280341) of Talen Energy Corporation of our report dated February 27, 2025 relating to the financial statements, financial statement schedules of Talen Energy Corporation, LLC (Successor), which appears in Talen Energy Corporation's Annual Report on Form 10-K for the year ended December 31, 2024. We also consent to the reference to us under the heading “Experts” in such Registration Statement.</w:t>
      </w:r>
    </w:p>
    <w:p>
      <w:pPr>
        <w:pStyle w:val="TextBody"/>
        <w:bidi w:val="0"/>
        <w:spacing w:lineRule="auto" w:line="268" w:before="0" w:after="180"/>
        <w:jc w:val="left"/>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Houston, Texas</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February 27,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32740"/>
                <wp:effectExtent l="0" t="0" r="0" b="0"/>
                <wp:wrapNone/>
                <wp:docPr id="198" name="Frame19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18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 supplement on Form S-1 (No. 333-280341) of Talen Energy Corporation of our report dated March 14, 2024 relating to the financial statements of Talen Energy Supply, LLC (Predecessor), which appears in Talen Energy Corporation's Annual Report on Form 10-K for the year ended December 31, 2024. We also consent to the reference to us under the heading “Experts” in such Registration Statement.</w:t>
      </w:r>
    </w:p>
    <w:p>
      <w:pPr>
        <w:pStyle w:val="TextBody"/>
        <w:bidi w:val="0"/>
        <w:spacing w:lineRule="auto" w:line="268" w:before="0" w:after="180"/>
        <w:jc w:val="left"/>
        <w:rPr>
          <w:rFonts w:ascii="Georgia;serif" w:hAnsi="Georgia;serif"/>
          <w:b w:val="false"/>
          <w:color w:val="000000"/>
          <w:sz w:val="20"/>
        </w:rPr>
      </w:pPr>
      <w:r>
        <w:rPr>
          <w:rFonts w:ascii="Georgia;serif" w:hAnsi="Georgia;serif"/>
          <w:b w:val="false"/>
          <w:color w:val="000000"/>
          <w:sz w:val="20"/>
        </w:rPr>
        <w:t xml:space="preserve">/s/ PricewaterhouseCoopers LLP </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Houston, Texas</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February 27,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31.1</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32740"/>
                <wp:effectExtent l="0" t="0" r="0" b="0"/>
                <wp:wrapNone/>
                <wp:docPr id="199" name="Frame19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Rules 13a-14(a) and 15d-14(a) under the Securities Exchange Act of 1934, as Adopted Pursuant to Section 302 of the Sarbanes-Oxley Act of 2002</w:t>
      </w:r>
    </w:p>
    <w:p>
      <w:pPr>
        <w:pStyle w:val="TextBody"/>
        <w:bidi w:val="0"/>
        <w:spacing w:lineRule="auto" w:line="288" w:before="0" w:after="180"/>
        <w:ind w:left="0" w:right="0" w:firstLine="180"/>
        <w:jc w:val="left"/>
        <w:rPr>
          <w:rFonts w:ascii="Arial;sans-serif" w:hAnsi="Arial;sans-serif"/>
          <w:b w:val="false"/>
          <w:color w:val="000000"/>
          <w:sz w:val="18"/>
        </w:rPr>
      </w:pPr>
      <w:r>
        <w:rPr>
          <w:rFonts w:ascii="Arial;sans-serif" w:hAnsi="Arial;sans-serif"/>
          <w:b w:val="false"/>
          <w:color w:val="000000"/>
          <w:sz w:val="18"/>
        </w:rPr>
        <w:t>I, Mark “Mac” A. McFarland, certify that: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Talen Energy Corporation (the “registrant”);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4.The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b.[Paragraph omitted in accordance with Exchange Act Rules 13a-14(a) and 15d-14(a)];</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2999" w:type="dxa"/>
        <w:jc w:val="right"/>
        <w:tblInd w:w="0" w:type="dxa"/>
        <w:tblLayout w:type="fixed"/>
        <w:tblCellMar>
          <w:top w:w="28" w:type="dxa"/>
          <w:left w:w="28" w:type="dxa"/>
          <w:bottom w:w="28" w:type="dxa"/>
          <w:right w:w="28" w:type="dxa"/>
        </w:tblCellMar>
      </w:tblPr>
      <w:tblGrid>
        <w:gridCol w:w="958"/>
        <w:gridCol w:w="842"/>
        <w:gridCol w:w="1199"/>
      </w:tblGrid>
      <w:tr>
        <w:trPr/>
        <w:tc>
          <w:tcPr>
            <w:tcW w:w="95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 Mark A. McFarland</w:t>
            </w:r>
          </w:p>
        </w:tc>
      </w:tr>
      <w:tr>
        <w:trPr/>
        <w:tc>
          <w:tcPr>
            <w:tcW w:w="2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Mark “Mac” A. McFarland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President &amp; Chief Executive Officer</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February 27, 2025</w:t>
      </w:r>
    </w:p>
    <w:p>
      <w:pPr>
        <w:pStyle w:val="TextBody"/>
        <w:bidi w:val="0"/>
        <w:spacing w:before="0" w:after="180"/>
        <w:jc w:val="left"/>
        <w:rPr/>
      </w:pPr>
      <w:r>
        <w:rPr/>
      </w:r>
    </w:p>
    <w:p>
      <w:pPr>
        <w:pStyle w:val="TextBody"/>
        <w:bidi w:val="0"/>
        <w:spacing w:before="0" w:after="18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31.2</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31445"/>
                <wp:effectExtent l="0" t="0" r="0" b="0"/>
                <wp:wrapNone/>
                <wp:docPr id="200" name="Frame1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Rules 13a-14(a) and 15d-14(a) under the Securities Exchange Act of 1934, as Adopted Pursuant to Section 302 of the Sarbanes-Oxley Act of 2002</w:t>
      </w:r>
    </w:p>
    <w:p>
      <w:pPr>
        <w:pStyle w:val="TextBody"/>
        <w:bidi w:val="0"/>
        <w:spacing w:lineRule="auto" w:line="288" w:before="0" w:after="180"/>
        <w:ind w:left="0" w:right="0" w:firstLine="180"/>
        <w:jc w:val="left"/>
        <w:rPr>
          <w:rFonts w:ascii="Arial;sans-serif" w:hAnsi="Arial;sans-serif"/>
          <w:b w:val="false"/>
          <w:color w:val="000000"/>
          <w:sz w:val="18"/>
        </w:rPr>
      </w:pPr>
      <w:r>
        <w:rPr>
          <w:rFonts w:ascii="Arial;sans-serif" w:hAnsi="Arial;sans-serif"/>
          <w:b w:val="false"/>
          <w:color w:val="000000"/>
          <w:sz w:val="18"/>
        </w:rPr>
        <w:t>I, Terry L. Nutt, certify that: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Talen Energy Corporation (the “registrant”);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4.The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b.[Paragraph omitted in accordance with Exchange Act Rules 13a-14(a) and 15d-14(a)];</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2370" w:type="dxa"/>
        <w:jc w:val="right"/>
        <w:tblInd w:w="0" w:type="dxa"/>
        <w:tblLayout w:type="fixed"/>
        <w:tblCellMar>
          <w:top w:w="28" w:type="dxa"/>
          <w:left w:w="28" w:type="dxa"/>
          <w:bottom w:w="28" w:type="dxa"/>
          <w:right w:w="28" w:type="dxa"/>
        </w:tblCellMar>
      </w:tblPr>
      <w:tblGrid>
        <w:gridCol w:w="754"/>
        <w:gridCol w:w="664"/>
        <w:gridCol w:w="95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 Terry L. Nutt</w:t>
            </w:r>
          </w:p>
        </w:tc>
      </w:tr>
      <w:tr>
        <w:trPr/>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Terry L. Nutt</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Financial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February 27, 2025</w:t>
      </w:r>
    </w:p>
    <w:p>
      <w:pPr>
        <w:pStyle w:val="TextBody"/>
        <w:bidi w:val="0"/>
        <w:spacing w:before="0" w:after="18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32.1</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31445"/>
                <wp:effectExtent l="0" t="0" r="0" b="0"/>
                <wp:wrapNone/>
                <wp:docPr id="201" name="Frame1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18 U.S.C. Section 1350, as Adopted Pursuant to Section 906 of the Sarbanes-Oxley Act of 2002</w:t>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Talen Energy Corporation (the “Company”) for the year ended December 31, 2024, as filed with the Securities and Exchange Commission on the date hereof (the “Covered Report”), each of the undersigned officers of the Company, certify, pursuant to 18 U.S.C. Section 1350, as adopted pursuant to Section 906 of the Sarbanes-Oxley Act of 2002, that:</w:t>
      </w:r>
    </w:p>
    <w:p>
      <w:pPr>
        <w:pStyle w:val="TextBody"/>
        <w:bidi w:val="0"/>
        <w:spacing w:lineRule="auto" w:line="256" w:before="0" w:after="180"/>
        <w:ind w:left="0" w:right="0" w:hanging="540"/>
        <w:jc w:val="left"/>
        <w:rPr>
          <w:rFonts w:ascii="Arial;sans-serif" w:hAnsi="Arial;sans-serif"/>
          <w:b w:val="false"/>
          <w:color w:val="000000"/>
          <w:sz w:val="18"/>
        </w:rPr>
      </w:pPr>
      <w:r>
        <w:rPr>
          <w:rFonts w:ascii="Arial;sans-serif" w:hAnsi="Arial;sans-serif"/>
          <w:b w:val="false"/>
          <w:color w:val="000000"/>
          <w:sz w:val="18"/>
        </w:rPr>
        <w:t>1.The Covered Report fully complies with the requirements of Section 13(a) or 15(d) of the Securities Exchange Act of 1934, as amended (the “Exchange Act”); and</w:t>
      </w:r>
    </w:p>
    <w:p>
      <w:pPr>
        <w:pStyle w:val="TextBody"/>
        <w:bidi w:val="0"/>
        <w:spacing w:lineRule="auto" w:line="256" w:before="0" w:after="0"/>
        <w:ind w:left="0" w:right="0" w:hanging="540"/>
        <w:jc w:val="left"/>
        <w:rPr>
          <w:rFonts w:ascii="Arial;sans-serif" w:hAnsi="Arial;sans-serif"/>
          <w:b w:val="false"/>
          <w:color w:val="000000"/>
          <w:sz w:val="18"/>
        </w:rPr>
      </w:pPr>
      <w:r>
        <w:rPr>
          <w:rFonts w:ascii="Arial;sans-serif" w:hAnsi="Arial;sans-serif"/>
          <w:b w:val="false"/>
          <w:color w:val="000000"/>
          <w:sz w:val="18"/>
        </w:rPr>
        <w:t>2.The information contained in the Covered Report fairly presents, in all material respects, the financial condition and results of operations of the Company.</w:t>
      </w:r>
    </w:p>
    <w:p>
      <w:pPr>
        <w:pStyle w:val="TextBody"/>
        <w:bidi w:val="0"/>
        <w:spacing w:before="0" w:after="180"/>
        <w:ind w:left="0" w:right="0" w:hanging="270"/>
        <w:jc w:val="left"/>
        <w:rPr/>
      </w:pPr>
      <w:r>
        <w:rPr/>
      </w:r>
    </w:p>
    <w:tbl>
      <w:tblPr>
        <w:tblW w:w="2999" w:type="dxa"/>
        <w:jc w:val="right"/>
        <w:tblInd w:w="0" w:type="dxa"/>
        <w:tblLayout w:type="fixed"/>
        <w:tblCellMar>
          <w:top w:w="28" w:type="dxa"/>
          <w:left w:w="28" w:type="dxa"/>
          <w:bottom w:w="28" w:type="dxa"/>
          <w:right w:w="28" w:type="dxa"/>
        </w:tblCellMar>
      </w:tblPr>
      <w:tblGrid>
        <w:gridCol w:w="958"/>
        <w:gridCol w:w="842"/>
        <w:gridCol w:w="1199"/>
      </w:tblGrid>
      <w:tr>
        <w:trPr/>
        <w:tc>
          <w:tcPr>
            <w:tcW w:w="95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 Mark A. McFarland</w:t>
            </w:r>
          </w:p>
        </w:tc>
      </w:tr>
      <w:tr>
        <w:trPr/>
        <w:tc>
          <w:tcPr>
            <w:tcW w:w="2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Mark “Mac” A. McFarland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President &amp; Chief Executive Officer</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tbl>
      <w:tblPr>
        <w:tblW w:w="2370" w:type="dxa"/>
        <w:jc w:val="right"/>
        <w:tblInd w:w="0" w:type="dxa"/>
        <w:tblLayout w:type="fixed"/>
        <w:tblCellMar>
          <w:top w:w="28" w:type="dxa"/>
          <w:left w:w="28" w:type="dxa"/>
          <w:bottom w:w="28" w:type="dxa"/>
          <w:right w:w="28" w:type="dxa"/>
        </w:tblCellMar>
      </w:tblPr>
      <w:tblGrid>
        <w:gridCol w:w="754"/>
        <w:gridCol w:w="664"/>
        <w:gridCol w:w="95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/s/ Terry L. Nutt</w:t>
            </w:r>
          </w:p>
        </w:tc>
      </w:tr>
      <w:tr>
        <w:trPr/>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Terry L. Nutt</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Chief Financial Officer</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Financial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February 27, 2025</w:t>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This certification is furnished with this Report pursuant to Section 906 of the Sarbanes-Oxley Act of 2002 and shall not, except to the extent required by the Sarbanes-Oxley Act of 2002, be deemed “filed” for the purpose of Section 18 of the Exchange Act or otherwise subject to the liabilities of that Section. This certification shall not be incorporated by reference into any registration statement or other document pursuant to the Securities Act of 1933, as amended, or the Exchange Act.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97.1</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31445"/>
                <wp:effectExtent l="0" t="0" r="0" b="0"/>
                <wp:wrapNone/>
                <wp:docPr id="202" name="Frame2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TALEN ENERGY CORPORATION</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(Adopted March 14, 2024)</w: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Talen Energy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has therefore adopted this policy (this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Policy is designed to comply with Section 10D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the rules promulgated thereunder, and the listing standards of the national securities exchange on which the Company’s securities are listed, and should be construed in accordance therewith.</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ADMINISTRATION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This Policy shall be administered by the Compensation Committee of the Board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Any determinations made by the Compensation Committee shall be final and binding on all affected individuals.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COVERED EXECUTIVES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w:t>
      </w:r>
      <w:r>
        <w:rPr>
          <w:rFonts w:ascii="Times New Roman;sans-serif" w:hAnsi="Times New Roman;sans-serif"/>
          <w:b w:val="false"/>
          <w:color w:val="000000"/>
          <w:sz w:val="24"/>
          <w:u w:val="single"/>
        </w:rPr>
        <w:t>Covered Executives</w:t>
      </w:r>
      <w:r>
        <w:rPr>
          <w:color w:val="000000"/>
        </w:rPr>
        <w:t>”</w:t>
      </w:r>
      <w:r>
        <w:rPr>
          <w:rFonts w:ascii="Times New Roman;sans-serif" w:hAnsi="Times New Roman;sans-serif"/>
          <w:b w:val="false"/>
          <w:color w:val="000000"/>
          <w:sz w:val="24"/>
        </w:rPr>
        <w:t>). This Policy shall be binding and enforceable against all Covered Executives.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1    </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RECOUPMENT; ACCOUNTING RESTATEMENT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In the event that the Company is required to prepare an accounting restatement of its financial statements due to the Company’s material noncompliance with any financial reporting requirement under the securities laws, including (i)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sans-serif" w:hAnsi="Times New Roman;sans-serif"/>
          <w:b w:val="false"/>
          <w:color w:val="000000"/>
          <w:sz w:val="24"/>
          <w:u w:val="single"/>
        </w:rPr>
        <w:t>Accounting Restatement</w:t>
      </w:r>
      <w:r>
        <w:rPr>
          <w:color w:val="000000"/>
        </w:rPr>
        <w:t>”</w:t>
      </w:r>
      <w:r>
        <w:rPr>
          <w:rFonts w:ascii="Times New Roman;sans-serif" w:hAnsi="Times New Roman;sans-serif"/>
          <w:b w:val="false"/>
          <w:color w:val="000000"/>
          <w:sz w:val="24"/>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w: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INCENTIVE-BASED COMPENSATION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For purposes of this Policy, “</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 xml:space="preserve">means any compensation that is granted, earned, or vested based wholly or in part upon the attainment of a financial reporting measures,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 </w:t>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Compensation that would not be considered Incentive-Based Compensation includes, but is not limited to: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pStyle w:val="TextBody"/>
        <w:bidi w:val="0"/>
        <w:spacing w:before="0" w:after="0"/>
        <w:jc w:val="righ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2    </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financial reporting measure is: (i) any measure that is determined and presented in accordance with the accounting principles used in preparing financial statements, or any measure derived wholly or in part from such measure, such as revenues, EBITDA, or net income and (ii) stock price and total shareholder return, in each case, whether or not presented within the financial statements or included in any filings.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OVERPAYMENT: AMOUNT SUBJECT TO RECOVERY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(i.e., on a pre-tax basis) (the “</w:t>
      </w:r>
      <w:r>
        <w:rPr>
          <w:rFonts w:ascii="Times New Roman;sans-serif" w:hAnsi="Times New Roman;sans-serif"/>
          <w:b w:val="false"/>
          <w:color w:val="000000"/>
          <w:sz w:val="24"/>
          <w:u w:val="single"/>
        </w:rPr>
        <w:t>Overpayment</w:t>
      </w:r>
      <w:r>
        <w:rPr>
          <w:color w:val="000000"/>
        </w:rPr>
        <w:t>”</w:t>
      </w:r>
      <w:r>
        <w:rPr>
          <w:rFonts w:ascii="Times New Roman;sans-serif" w:hAnsi="Times New Roman;sans-serif"/>
          <w:b w:val="false"/>
          <w:color w:val="000000"/>
          <w:sz w:val="24"/>
        </w:rPr>
        <w:t>). Incentive-Based Compensation is deemed “received” in the Company’s fiscal period during which the financial reporting measure specified in the incentive-based compensation award is attained, even if the vesting, payment or grant of the incentive-based compensation occurs after the end of that period.</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 on which the Company’s securities are listed.</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3    </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METHOD OF RECOUPMENT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Compensation Committee will determine, in its sole discretion and in compliance with applicable laws, the method or methods for recouping any Overpayment hereunder which may include, without limitation: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requiring reimbursement of cash Incentive-Based Compensation previously paid;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seeking recovery of any gain realized on the vesting, exercise, settlement, sale, transfer, or other disposition of any equity-based awards granted as Incentive-Based Compensation;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offsetting any or all of the Overpayment from any compensation otherwise owed by the Company to the Covered Executive;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cancelling outstanding vested or unvested equity awards; and/or</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taking any other remedial and recovery action permitted by law, as determined by the Compensation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LIMITATION ON RECOVERY; NO ADDITIONAL PAYMENTS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right to recovery will be limited to Overpayments received during the three (3) completed fiscal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NO INDEMNIFICATION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any Covered Executives against the loss of any incorrectly awarded Incentive-Based Compensation.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INTERPRETATION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 and Exchange Commission or any national securities exchange on which the Company’s securities are listed.</w: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EFFECTIVE DATE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4"/>
        </w:rPr>
        <w:t>This Policy shall be effective as of the date it is adopted by the Board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and shall apply to Incentive-Based Compensation (including Incentive-Based Compensation granted pursuant to arrangements existing prior to the Effective Date).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4    </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AMENDMENT; TERMINATION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Board may amend this Policy from time to time in its discretion. The Board may terminate this Policy at any time to the extent permitted by applicable law, rules and regulations.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OTHER RECOUPMENT RIGHTS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IMPRACTICABILITY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Compensation Committee shall recover any Overpayment in accordance with this Policy except to the extent that the Compensation Committee determines such recovery would be impracticable because: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direct expense paid to a third party to assist in enforcing this Policy would exceed the amount to be recovered; or</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68" w:before="0" w:after="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SUCCESSORS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binding and enforceable against all Covered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5    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22536/000162828024029107/exhibit31-sx1.htm" TargetMode="External"/><Relationship Id="rId5" Type="http://schemas.openxmlformats.org/officeDocument/2006/relationships/hyperlink" Target="https://www.sec.gov/Archives/edgar/data/1622536/000162828024029107/exhibit31-sx1.htm" TargetMode="External"/><Relationship Id="rId6" Type="http://schemas.openxmlformats.org/officeDocument/2006/relationships/hyperlink" Target="https://www.sec.gov/Archives/edgar/data/1622536/000162828024029107/exhibit32-sx1.htm" TargetMode="External"/><Relationship Id="rId7" Type="http://schemas.openxmlformats.org/officeDocument/2006/relationships/hyperlink" Target="https://www.sec.gov/Archives/edgar/data/1622536/000162828024029107/exhibit42-sx1.htm" TargetMode="External"/><Relationship Id="rId8" Type="http://schemas.openxmlformats.org/officeDocument/2006/relationships/hyperlink" Target="https://www.sec.gov/Archives/edgar/data/1622536/000162828024029107/exhibit41-sx1.htm" TargetMode="External"/><Relationship Id="rId9" Type="http://schemas.openxmlformats.org/officeDocument/2006/relationships/hyperlink" Target="https://www.sec.gov/Archives/edgar/data/1622536/000162828024029107/exhibit41-sx1.htm" TargetMode="External"/><Relationship Id="rId10" Type="http://schemas.openxmlformats.org/officeDocument/2006/relationships/hyperlink" Target="https://www.sec.gov/Archives/edgar/data/1622536/000162828024029107/exhibit105-sx1.htm" TargetMode="External"/><Relationship Id="rId11" Type="http://schemas.openxmlformats.org/officeDocument/2006/relationships/hyperlink" Target="https://www.sec.gov/Archives/edgar/data/1622536/000162828024029107/exhibit106-sx1.htm" TargetMode="External"/><Relationship Id="rId12" Type="http://schemas.openxmlformats.org/officeDocument/2006/relationships/hyperlink" Target="https://www.sec.gov/Archives/edgar/data/1622536/000162828024029107/exhibit107-sx1a.htm" TargetMode="External"/><Relationship Id="rId13" Type="http://schemas.openxmlformats.org/officeDocument/2006/relationships/hyperlink" Target="https://www.sec.gov/Archives/edgar/data/0001622536/000162828025001500/talen-xfourthsupplementa.htm" TargetMode="External"/><Relationship Id="rId14" Type="http://schemas.openxmlformats.org/officeDocument/2006/relationships/hyperlink" Target="https://www.sec.gov/Archives/edgar/data/0001622536/000162828025001500/talen-xfourthsupplementa.htm" TargetMode="External"/><Relationship Id="rId15" Type="http://schemas.openxmlformats.org/officeDocument/2006/relationships/hyperlink" Target="https://www.sec.gov/Archives/edgar/data/0001622536/000162828025001500/talen-xfourthsupplementa.htm" TargetMode="External"/><Relationship Id="rId16" Type="http://schemas.openxmlformats.org/officeDocument/2006/relationships/hyperlink" Target="https://www.sec.gov/Archives/edgar/data/1622536/000162828024029107/exhibit101-sx1.htm" TargetMode="External"/><Relationship Id="rId17" Type="http://schemas.openxmlformats.org/officeDocument/2006/relationships/hyperlink" Target="https://www.sec.gov/Archives/edgar/data/1622536/000162828024029107/exhibit101-sx1.htm" TargetMode="External"/><Relationship Id="rId18" Type="http://schemas.openxmlformats.org/officeDocument/2006/relationships/hyperlink" Target="https://www.sec.gov/Archives/edgar/data/1622536/000162828024029107/exhibit101-sx1.htm" TargetMode="External"/><Relationship Id="rId19" Type="http://schemas.openxmlformats.org/officeDocument/2006/relationships/hyperlink" Target="https://www.sec.gov/Archives/edgar/data/1622536/000162828024029107/exhibit102-sx1.htm" TargetMode="External"/><Relationship Id="rId20" Type="http://schemas.openxmlformats.org/officeDocument/2006/relationships/hyperlink" Target="https://www.sec.gov/Archives/edgar/data/1622536/000162828024029107/exhibit103-sx1.htm" TargetMode="External"/><Relationship Id="rId21" Type="http://schemas.openxmlformats.org/officeDocument/2006/relationships/hyperlink" Target="https://www.sec.gov/Archives/edgar/data/0001622536/000162828024051218/exhibit101-talenxamendme.htm" TargetMode="External"/><Relationship Id="rId22" Type="http://schemas.openxmlformats.org/officeDocument/2006/relationships/hyperlink" Target="https://www.sec.gov/Archives/edgar/data/0001622536/000162828024051218/exhibit101-talenxamendme.htm" TargetMode="External"/><Relationship Id="rId23" Type="http://schemas.openxmlformats.org/officeDocument/2006/relationships/hyperlink" Target="https://www.sec.gov/Archives/edgar/data/1622536/000162828024052154/talen-ex101amendmentno4e.htm" TargetMode="External"/><Relationship Id="rId24" Type="http://schemas.openxmlformats.org/officeDocument/2006/relationships/hyperlink" Target="https://www.sec.gov/Archives/edgar/data/1622536/000162828024052154/talen-ex101amendmentno4e.htm" TargetMode="External"/><Relationship Id="rId25" Type="http://schemas.openxmlformats.org/officeDocument/2006/relationships/hyperlink" Target="https://www.sec.gov/Archives/edgar/data/1622536/000162828024047891/a2025employeestockpurchase.htm" TargetMode="External"/><Relationship Id="rId26" Type="http://schemas.openxmlformats.org/officeDocument/2006/relationships/hyperlink" Target="https://www.sec.gov/Archives/edgar/data/1622536/000162828024029107/exhibit109-sx1.htm" TargetMode="External"/><Relationship Id="rId27" Type="http://schemas.openxmlformats.org/officeDocument/2006/relationships/hyperlink" Target="https://www.sec.gov/Archives/edgar/data/1622536/000162828024029107/exhibit109-sx1.htm" TargetMode="External"/><Relationship Id="rId28" Type="http://schemas.openxmlformats.org/officeDocument/2006/relationships/hyperlink" Target="https://www.sec.gov/Archives/edgar/data/1622536/000162828024029107/exhibit1010-sx1.htm" TargetMode="External"/><Relationship Id="rId29" Type="http://schemas.openxmlformats.org/officeDocument/2006/relationships/hyperlink" Target="https://www.sec.gov/Archives/edgar/data/1622536/000162828024029107/exhibit1010-sx1.htm" TargetMode="External"/><Relationship Id="rId30" Type="http://schemas.openxmlformats.org/officeDocument/2006/relationships/hyperlink" Target="https://www.sec.gov/Archives/edgar/data/1622536/000162828024029107/exhibit1010-sx1.htm" TargetMode="External"/><Relationship Id="rId31" Type="http://schemas.openxmlformats.org/officeDocument/2006/relationships/hyperlink" Target="https://www.sec.gov/Archives/edgar/data/1622536/000162828024029107/exhibit1011-sx1.htm" TargetMode="External"/><Relationship Id="rId32" Type="http://schemas.openxmlformats.org/officeDocument/2006/relationships/hyperlink" Target="https://www.sec.gov/Archives/edgar/data/1622536/000162828024029107/exhibit1012-sx1.htm" TargetMode="External"/><Relationship Id="rId33" Type="http://schemas.openxmlformats.org/officeDocument/2006/relationships/hyperlink" Target="https://www.sec.gov/Archives/edgar/data/1622536/000162828024029107/exhibit1012-sx1.htm" TargetMode="External"/><Relationship Id="rId34" Type="http://schemas.openxmlformats.org/officeDocument/2006/relationships/hyperlink" Target="https://www.sec.gov/Archives/edgar/data/1622536/000162828024029107/exhibit1013-sx1.htm" TargetMode="External"/><Relationship Id="rId35" Type="http://schemas.openxmlformats.org/officeDocument/2006/relationships/hyperlink" Target="https://www.sec.gov/Archives/edgar/data/1622536/000162828024029107/exhibit1013-sx1.htm" TargetMode="External"/><Relationship Id="rId36" Type="http://schemas.openxmlformats.org/officeDocument/2006/relationships/hyperlink" Target="https://www.sec.gov/Archives/edgar/data/1622536/000162828024029107/exhibit1013-sx1.htm" TargetMode="External"/><Relationship Id="rId37" Type="http://schemas.openxmlformats.org/officeDocument/2006/relationships/hyperlink" Target="https://www.sec.gov/Archives/edgar/data/1622536/000162828024029107/exhibit1013-sx1.htm" TargetMode="External"/><Relationship Id="rId38" Type="http://schemas.openxmlformats.org/officeDocument/2006/relationships/hyperlink" Target="https://www.sec.gov/Archives/edgar/data/1622536/000162828024029107/exhibit1014-sx1.htm" TargetMode="External"/><Relationship Id="rId39" Type="http://schemas.openxmlformats.org/officeDocument/2006/relationships/hyperlink" Target="https://www.sec.gov/Archives/edgar/data/1622536/000162828024029107/exhibit1014-sx1.htm" TargetMode="External"/><Relationship Id="rId40" Type="http://schemas.openxmlformats.org/officeDocument/2006/relationships/hyperlink" Target="https://www.sec.gov/Archives/edgar/data/1622536/000162828024029107/exhibit1014-sx1.htm" TargetMode="External"/><Relationship Id="rId41" Type="http://schemas.openxmlformats.org/officeDocument/2006/relationships/hyperlink" Target="https://www.sec.gov/Archives/edgar/data/1622536/000162828024029107/exhibit1014-sx1.htm" TargetMode="External"/><Relationship Id="rId42" Type="http://schemas.openxmlformats.org/officeDocument/2006/relationships/hyperlink" Target="https://www.sec.gov/Archives/edgar/data/1622536/000162828024029107/exhibit1014-sx1.htm" TargetMode="External"/><Relationship Id="rId43" Type="http://schemas.openxmlformats.org/officeDocument/2006/relationships/hyperlink" Target="https://www.sec.gov/Archives/edgar/data/1622536/000162828024029107/exhibit1014-sx1.htm" TargetMode="External"/><Relationship Id="rId44" Type="http://schemas.openxmlformats.org/officeDocument/2006/relationships/hyperlink" Target="https://www.sec.gov/Archives/edgar/data/1622536/000162828024029107/exhibit1015-sx1.htm" TargetMode="External"/><Relationship Id="rId45" Type="http://schemas.openxmlformats.org/officeDocument/2006/relationships/hyperlink" Target="https://www.sec.gov/Archives/edgar/data/1622536/000162828024029107/exhibit1015-sx1.htm" TargetMode="External"/><Relationship Id="rId46" Type="http://schemas.openxmlformats.org/officeDocument/2006/relationships/hyperlink" Target="https://www.sec.gov/Archives/edgar/data/1622536/000162828024029107/exhibit108-sx1.htm" TargetMode="External"/><Relationship Id="rId47" Type="http://schemas.openxmlformats.org/officeDocument/2006/relationships/hyperlink" Target="https://www.sec.gov/Archives/edgar/data/1622536/000162828024029107/exhibit108-sx1.htm" TargetMode="External"/><Relationship Id="rId48" Type="http://schemas.openxmlformats.org/officeDocument/2006/relationships/hyperlink" Target="https://www.sec.gov/Archives/edgar/data/1622536/000162828024029107/exhibit108-sx1.htm" TargetMode="External"/><Relationship Id="rId49" Type="http://schemas.openxmlformats.org/officeDocument/2006/relationships/hyperlink" Target="https://www.sec.gov/Archives/edgar/data/1622536/000162828024029107/exhibit108-sx1.htm" TargetMode="External"/><Relationship Id="rId50" Type="http://schemas.openxmlformats.org/officeDocument/2006/relationships/hyperlink" Target="https://www.sec.gov/Archives/edgar/data/1622536/000162828024029107/exhibit1016-sx1.htm" TargetMode="External"/><Relationship Id="rId51" Type="http://schemas.openxmlformats.org/officeDocument/2006/relationships/hyperlink" Target="https://www.sec.gov/Archives/edgar/data/1622536/000162828024029107/exhibit1016-sx1.htm" TargetMode="External"/><Relationship Id="rId52" Type="http://schemas.openxmlformats.org/officeDocument/2006/relationships/hyperlink" Target="https://www.sec.gov/Archives/edgar/data/1622536/000162828024029107/exhibit1016-sx1.htm" TargetMode="External"/><Relationship Id="rId53" Type="http://schemas.openxmlformats.org/officeDocument/2006/relationships/hyperlink" Target="https://www.sec.gov/Archives/edgar/data/1622536/000162828024029107/exhibit1017-sx1.htm" TargetMode="External"/><Relationship Id="rId54" Type="http://schemas.openxmlformats.org/officeDocument/2006/relationships/hyperlink" Target="https://www.sec.gov/Archives/edgar/data/1622536/000162828024029107/exhibit1018-sx1.htm" TargetMode="External"/><Relationship Id="rId55" Type="http://schemas.openxmlformats.org/officeDocument/2006/relationships/hyperlink" Target="https://www.sec.gov/Archives/edgar/data/1622536/000162828024029107/exhibit1020-sx1.htm" TargetMode="External"/><Relationship Id="rId56" Type="http://schemas.openxmlformats.org/officeDocument/2006/relationships/hyperlink" Target="https://www.sec.gov/Archives/edgar/data/1622536/000162828024029107/exhibit1020-sx1.htm" TargetMode="External"/><Relationship Id="rId57" Type="http://schemas.openxmlformats.org/officeDocument/2006/relationships/hyperlink" Target="https://www.sec.gov/Archives/edgar/data/1622536/000162828024029107/exhibit1020-sx1.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108796</Words>
  <Characters>610327</Characters>
  <CharactersWithSpaces>714517</CharactersWithSpaces>
  <Paragraphs>8061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