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146095.xml.htm"/>
      <w:bookmarkStart w:id="1" w:name="kswkform4_17841460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Nutt Terry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2929 ALLEN PKWY, SUITE 2200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Talen Energy Corp</w:t>
              </w:r>
            </w:hyperlink>
            <w:r>
              <w:rPr/>
              <w:t xml:space="preserve"> [ </w:t>
            </w:r>
            <w:r>
              <w:rPr>
                <w:rFonts w:ascii="Times;serif" w:hAnsi="Times;serif"/>
                <w:color w:val="0000FF"/>
                <w:sz w:val="24"/>
                <w:shd w:fill="FFFFFF" w:val="clear"/>
              </w:rPr>
              <w:t>TLN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76,136</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3,271</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385.8</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72,865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2023 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20,780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20,780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pursuant to the terms of the Plan. The reporting person's RSUs were granted on July 10, 2023 and the final installment of the reporting person's RSUs vested on July 10, 2026, the third anniversary of the vesting commencement date, with 60% of the after-tax value of such RSUs settled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63 shares of the Company's common stock purchased from the 2025 Talen Energy Corporation Employee Stock Purchase Plan on June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an exempt disposition to the Company under Rule 16b-3(e), the reporting person remitted shares to the Company in connection with the satisfaction of tax withholding obligations arising out of the vesting of the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J. Kelly,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7031" TargetMode="External"/><Relationship Id="rId5" Type="http://schemas.openxmlformats.org/officeDocument/2006/relationships/hyperlink" Target="http://www.sec.gov/cgi-bin/browse-edgar?action=getcompany&amp;CIK=0001622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4052</Characters>
  <CharactersWithSpaces>4734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