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6"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66"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66"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66"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66" w:before="120" w:after="120"/>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June 30, 2024 </w:t>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TRANSITION REPORT PURSUANT TO SECTION 13 OR 15(d) OF THE SECURITIES EXCHANGE ACT OF 1934</w:t>
            </w:r>
          </w:p>
        </w:tc>
      </w:tr>
    </w:tbl>
    <w:p>
      <w:pPr>
        <w:pStyle w:val="TextBody"/>
        <w:bidi w:val="0"/>
        <w:spacing w:lineRule="auto" w:line="288" w:before="0" w:after="180"/>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lineRule="auto" w:line="266"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001-37388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66" w:before="0" w:after="0"/>
        <w:jc w:val="center"/>
        <w:rPr>
          <w:rFonts w:ascii="Times New Roman;sans-serif" w:hAnsi="Times New Roman;sans-serif"/>
          <w:b/>
          <w:color w:val="000000"/>
          <w:sz w:val="44"/>
        </w:rPr>
      </w:pPr>
      <w:r>
        <w:rPr>
          <w:rFonts w:ascii="Times New Roman;sans-serif" w:hAnsi="Times New Roman;sans-serif"/>
          <w:b/>
          <w:color w:val="000000"/>
          <w:sz w:val="44"/>
        </w:rPr>
        <w:t>Talen Energy Corporation</w:t>
      </w:r>
    </w:p>
    <w:p>
      <w:pPr>
        <w:pStyle w:val="TextBody"/>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tbl>
      <w:tblPr>
        <w:tblW w:w="4408" w:type="dxa"/>
        <w:jc w:val="center"/>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47-1197305</w:t>
            </w:r>
          </w:p>
        </w:tc>
      </w:tr>
      <w:tr>
        <w:trPr/>
        <w:tc>
          <w:tcPr>
            <w:tcW w:w="2924"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66"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6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tcMar>
              <w:top w:w="0" w:type="dxa"/>
              <w:left w:w="0" w:type="dxa"/>
              <w:bottom w:w="0" w:type="dxa"/>
              <w:right w:w="0" w:type="dxa"/>
            </w:tcMar>
            <w:vAlign w:val="center"/>
          </w:tcPr>
          <w:p>
            <w:pPr>
              <w:pStyle w:val="TableContents"/>
              <w:bidi w:val="0"/>
              <w:spacing w:lineRule="auto" w:line="266" w:before="0" w:after="80"/>
              <w:jc w:val="center"/>
              <w:rPr>
                <w:rFonts w:ascii="Times New Roman;sans-serif" w:hAnsi="Times New Roman;sans-serif"/>
                <w:b/>
                <w:color w:val="000000"/>
                <w:sz w:val="16"/>
              </w:rPr>
            </w:pPr>
            <w:r>
              <w:rPr>
                <w:rFonts w:ascii="Times New Roman;sans-serif" w:hAnsi="Times New Roman;sans-serif"/>
                <w:b/>
                <w:color w:val="000000"/>
                <w:sz w:val="16"/>
              </w:rPr>
              <w:t>2929 Allen Pkwy, Suite 2200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Houston, TX</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77019</w:t>
            </w:r>
          </w:p>
        </w:tc>
      </w:tr>
      <w:tr>
        <w:trPr/>
        <w:tc>
          <w:tcPr>
            <w:tcW w:w="2924"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6"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(888) 211-6011 </w:t>
      </w:r>
    </w:p>
    <w:p>
      <w:pPr>
        <w:pStyle w:val="TextBody"/>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66"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Not applicable </w:t>
      </w:r>
    </w:p>
    <w:p>
      <w:pPr>
        <w:pStyle w:val="TextBody"/>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66"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Act: </w:t>
      </w:r>
    </w:p>
    <w:p>
      <w:pPr>
        <w:pStyle w:val="TextBody"/>
        <w:bidi w:val="0"/>
        <w:spacing w:before="0" w:after="0"/>
        <w:jc w:val="left"/>
        <w:rPr/>
      </w:pPr>
      <w:r>
        <w:rPr/>
      </w:r>
    </w:p>
    <w:tbl>
      <w:tblPr>
        <w:tblW w:w="7311" w:type="dxa"/>
        <w:jc w:val="center"/>
        <w:tblInd w:w="0" w:type="dxa"/>
        <w:tblLayout w:type="fixed"/>
        <w:tblCellMar>
          <w:top w:w="28" w:type="dxa"/>
          <w:left w:w="28" w:type="dxa"/>
          <w:bottom w:w="28" w:type="dxa"/>
          <w:right w:w="28" w:type="dxa"/>
        </w:tblCellMar>
      </w:tblPr>
      <w:tblGrid>
        <w:gridCol w:w="1171"/>
        <w:gridCol w:w="1027"/>
        <w:gridCol w:w="1041"/>
        <w:gridCol w:w="109"/>
        <w:gridCol w:w="109"/>
        <w:gridCol w:w="109"/>
        <w:gridCol w:w="274"/>
        <w:gridCol w:w="274"/>
        <w:gridCol w:w="276"/>
        <w:gridCol w:w="109"/>
        <w:gridCol w:w="109"/>
        <w:gridCol w:w="109"/>
        <w:gridCol w:w="759"/>
        <w:gridCol w:w="759"/>
        <w:gridCol w:w="1076"/>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66"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Global Select Market</w:t>
            </w:r>
          </w:p>
        </w:tc>
      </w:tr>
    </w:tbl>
    <w:p>
      <w:pPr>
        <w:pStyle w:val="TextBody"/>
        <w:bidi w:val="0"/>
        <w:spacing w:lineRule="auto" w:line="266" w:before="60" w:after="283"/>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 xml:space="preserve">☒ </w:t>
      </w:r>
    </w:p>
    <w:p>
      <w:pPr>
        <w:pStyle w:val="TextBody"/>
        <w:bidi w:val="0"/>
        <w:spacing w:lineRule="auto" w:line="266" w:before="120" w:after="283"/>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 xml:space="preserve">☐ </w:t>
      </w:r>
    </w:p>
    <w:p>
      <w:pPr>
        <w:pStyle w:val="TextBody"/>
        <w:bidi w:val="0"/>
        <w:spacing w:lineRule="auto" w:line="266"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672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69"/>
        <w:gridCol w:w="669"/>
        <w:gridCol w:w="672"/>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6" w:before="12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66" w:before="120" w:after="283"/>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 xml:space="preserve">☒ </w:t>
      </w:r>
    </w:p>
    <w:p>
      <w:pPr>
        <w:pStyle w:val="TextBody"/>
        <w:bidi w:val="0"/>
        <w:spacing w:lineRule="auto" w:line="266" w:before="120" w:after="283"/>
        <w:jc w:val="left"/>
        <w:rPr/>
      </w:pPr>
      <w:r>
        <w:rPr>
          <w:rFonts w:ascii="Times New Roman;sans-serif" w:hAnsi="Times New Roman;sans-serif"/>
          <w:b w:val="false"/>
          <w:color w:val="000000"/>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color w:val="000000"/>
        </w:rPr>
        <w:t xml:space="preserve">☐ </w:t>
      </w:r>
      <w:r>
        <w:rPr>
          <w:rFonts w:ascii="Times New Roman;sans-serif" w:hAnsi="Times New Roman;sans-serif"/>
          <w:b w:val="false"/>
          <w:color w:val="000000"/>
          <w:sz w:val="16"/>
        </w:rPr>
        <w:t xml:space="preserve">No </w:t>
      </w:r>
      <w:r>
        <w:rPr>
          <w:color w:val="000000"/>
        </w:rPr>
        <w:t xml:space="preserve">☒ </w:t>
      </w:r>
    </w:p>
    <w:p>
      <w:pPr>
        <w:pStyle w:val="TextBody"/>
        <w:bidi w:val="0"/>
        <w:spacing w:lineRule="auto" w:line="266" w:before="120" w:after="240"/>
        <w:jc w:val="left"/>
        <w:rPr>
          <w:rFonts w:ascii="Times New Roman;sans-serif" w:hAnsi="Times New Roman;sans-serif"/>
          <w:b w:val="false"/>
          <w:color w:val="000000"/>
          <w:sz w:val="16"/>
        </w:rPr>
      </w:pPr>
      <w:r>
        <w:rPr>
          <w:rFonts w:ascii="Times New Roman;sans-serif" w:hAnsi="Times New Roman;sans-serif"/>
          <w:b w:val="false"/>
          <w:color w:val="000000"/>
          <w:sz w:val="16"/>
        </w:rPr>
        <w:t>As of August 13, 2024, the registrant had 51,001,450 shares outstanding of common stock, par value $0.001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333" w:before="0" w:after="4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36"/>
        <w:gridCol w:w="556"/>
        <w:gridCol w:w="556"/>
        <w:gridCol w:w="737"/>
        <w:gridCol w:w="736"/>
        <w:gridCol w:w="736"/>
        <w:gridCol w:w="2016"/>
        <w:gridCol w:w="1827"/>
        <w:gridCol w:w="1888"/>
        <w:gridCol w:w="149"/>
        <w:gridCol w:w="149"/>
        <w:gridCol w:w="219"/>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88" w:type="dxa"/>
            <w:gridSpan w:val="9"/>
            <w:tcBorders>
              <w:bottom w:val="single" w:sz="8" w:space="0" w:color="000000"/>
            </w:tcBorders>
            <w:tcMar>
              <w:top w:w="0" w:type="dxa"/>
              <w:left w:w="0" w:type="dxa"/>
              <w:right w:w="0" w:type="dxa"/>
            </w:tcMar>
            <w:vAlign w:val="center"/>
          </w:tcPr>
          <w:p>
            <w:pPr>
              <w:pStyle w:val="TableContents"/>
              <w:bidi w:val="0"/>
              <w:spacing w:before="0" w:after="180"/>
              <w:jc w:val="left"/>
              <w:rPr/>
            </w:pPr>
            <w:r>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88" w:type="dxa"/>
            <w:gridSpan w:val="9"/>
            <w:tcBorders>
              <w:top w:val="single" w:sz="8" w:space="0" w:color="00276B"/>
            </w:tcBorders>
            <w:tcMar>
              <w:top w:w="30" w:type="dxa"/>
              <w:left w:w="0" w:type="dxa"/>
              <w:bottom w:w="0" w:type="dxa"/>
              <w:right w:w="0" w:type="dxa"/>
            </w:tcMar>
            <w:vAlign w:val="center"/>
          </w:tcPr>
          <w:p>
            <w:pPr>
              <w:pStyle w:val="TableContents"/>
              <w:bidi w:val="0"/>
              <w:spacing w:lineRule="auto" w:line="240" w:before="0" w:after="0"/>
              <w:jc w:val="left"/>
              <w:rPr/>
            </w:pPr>
            <w:hyperlink w:anchor="idf08d5c8772847918ea60a8749a96b52_73730">
              <w:r>
                <w:rPr>
                  <w:rStyle w:val="InternetLink"/>
                  <w:rFonts w:ascii="Times New Roman;sans-serif" w:hAnsi="Times New Roman;sans-serif"/>
                  <w:b w:val="false"/>
                  <w:color w:val="000080"/>
                  <w:sz w:val="18"/>
                  <w:u w:val="single"/>
                </w:rPr>
                <w:t xml:space="preserve">CAUTIONARY </w:t>
              </w:r>
            </w:hyperlink>
            <w:hyperlink w:anchor="idf08d5c8772847918ea60a8749a96b52_73730">
              <w:r>
                <w:rPr>
                  <w:rStyle w:val="InternetLink"/>
                  <w:rFonts w:ascii="Times New Roman;sans-serif" w:hAnsi="Times New Roman;sans-serif"/>
                  <w:b w:val="false"/>
                  <w:color w:val="000080"/>
                  <w:sz w:val="18"/>
                  <w:u w:val="single"/>
                </w:rPr>
                <w:t>NOTE</w:t>
              </w:r>
            </w:hyperlink>
            <w:hyperlink w:anchor="idf08d5c8772847918ea60a8749a96b52_73730">
              <w:r>
                <w:rPr>
                  <w:rStyle w:val="InternetLink"/>
                  <w:rFonts w:ascii="Times New Roman;sans-serif" w:hAnsi="Times New Roman;sans-serif"/>
                  <w:b w:val="false"/>
                  <w:color w:val="000080"/>
                  <w:sz w:val="18"/>
                  <w:u w:val="single"/>
                </w:rPr>
                <w:t xml:space="preserve"> REGARDING FORWARD</w:t>
              </w:r>
            </w:hyperlink>
            <w:hyperlink w:anchor="idf08d5c8772847918ea60a8749a96b52_73730">
              <w:r>
                <w:rPr>
                  <w:rStyle w:val="InternetLink"/>
                  <w:rFonts w:ascii="Times New Roman;sans-serif" w:hAnsi="Times New Roman;sans-serif"/>
                  <w:b w:val="false"/>
                  <w:color w:val="000080"/>
                  <w:sz w:val="18"/>
                  <w:u w:val="single"/>
                </w:rPr>
                <w:t>-</w:t>
              </w:r>
            </w:hyperlink>
            <w:hyperlink w:anchor="idf08d5c8772847918ea60a8749a96b52_73730">
              <w:r>
                <w:rPr>
                  <w:rStyle w:val="InternetLink"/>
                  <w:rFonts w:ascii="Times New Roman;sans-serif" w:hAnsi="Times New Roman;sans-serif"/>
                  <w:b w:val="false"/>
                  <w:color w:val="000080"/>
                  <w:sz w:val="18"/>
                  <w:u w:val="single"/>
                </w:rPr>
                <w:t>LOOKING INFORMATION</w:t>
              </w:r>
            </w:hyperlink>
          </w:p>
        </w:tc>
        <w:tc>
          <w:tcPr>
            <w:tcW w:w="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f08d5c8772847918ea60a8749a96b52_73730">
              <w:r>
                <w:rPr>
                  <w:rStyle w:val="InternetLink"/>
                  <w:rFonts w:ascii="Times New Roman;sans-serif" w:hAnsi="Times New Roman;sans-serif"/>
                  <w:b w:val="false"/>
                  <w:color w:val="0000FF"/>
                  <w:sz w:val="18"/>
                  <w:u w:val="single"/>
                </w:rPr>
                <w:t>1</w:t>
              </w:r>
            </w:hyperlink>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5731"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5731"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f698714458246d88f58db56dc294163_458">
              <w:r>
                <w:rPr>
                  <w:rStyle w:val="InternetLink"/>
                  <w:rFonts w:ascii="Times New Roman;sans-serif" w:hAnsi="Times New Roman;sans-serif"/>
                  <w:b w:val="false"/>
                  <w:color w:val="0000FF"/>
                  <w:sz w:val="18"/>
                  <w:u w:val="single"/>
                </w:rPr>
                <w:t>PART I. FINANCIAL INFORMATION</w:t>
              </w:r>
            </w:hyperlink>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915">
              <w:r>
                <w:rPr>
                  <w:rStyle w:val="InternetLink"/>
                  <w:rFonts w:ascii="Times New Roman;sans-serif" w:hAnsi="Times New Roman;sans-serif"/>
                  <w:b w:val="false"/>
                  <w:color w:val="000080"/>
                  <w:sz w:val="18"/>
                  <w:u w:val="single"/>
                </w:rPr>
                <w:t>I</w:t>
              </w:r>
            </w:hyperlink>
            <w:hyperlink w:anchor="if20e1f3d5a734e3eabbb6aa8f57c7562_3915">
              <w:r>
                <w:rPr>
                  <w:rStyle w:val="InternetLink"/>
                  <w:rFonts w:ascii="Times New Roman;sans-serif" w:hAnsi="Times New Roman;sans-serif"/>
                  <w:b w:val="false"/>
                  <w:color w:val="000080"/>
                  <w:sz w:val="18"/>
                  <w:u w:val="single"/>
                </w:rPr>
                <w:t>TEM</w:t>
              </w:r>
            </w:hyperlink>
            <w:hyperlink w:anchor="if20e1f3d5a734e3eabbb6aa8f57c7562_3915">
              <w:r>
                <w:rPr>
                  <w:rStyle w:val="InternetLink"/>
                  <w:rFonts w:ascii="Times New Roman;sans-serif" w:hAnsi="Times New Roman;sans-serif"/>
                  <w:b w:val="false"/>
                  <w:color w:val="000080"/>
                  <w:sz w:val="18"/>
                  <w:u w:val="single"/>
                </w:rPr>
                <w:t xml:space="preserve"> 1.</w:t>
              </w:r>
            </w:hyperlink>
            <w:hyperlink w:anchor="if20e1f3d5a734e3eabbb6aa8f57c7562_3915">
              <w:r>
                <w:rPr>
                  <w:rStyle w:val="InternetLink"/>
                  <w:rFonts w:ascii="Times New Roman;sans-serif" w:hAnsi="Times New Roman;sans-serif"/>
                  <w:b w:val="false"/>
                  <w:color w:val="000080"/>
                  <w:sz w:val="18"/>
                  <w:u w:val="single"/>
                </w:rPr>
                <w:t xml:space="preserve"> </w:t>
              </w:r>
            </w:hyperlink>
            <w:hyperlink w:anchor="if20e1f3d5a734e3eabbb6aa8f57c7562_3915">
              <w:r>
                <w:rPr>
                  <w:rStyle w:val="InternetLink"/>
                  <w:rFonts w:ascii="Times New Roman;sans-serif" w:hAnsi="Times New Roman;sans-serif"/>
                  <w:b w:val="false"/>
                  <w:color w:val="000080"/>
                  <w:sz w:val="18"/>
                  <w:u w:val="single"/>
                </w:rPr>
                <w:t>FINANCIAL STATEME</w:t>
              </w:r>
            </w:hyperlink>
            <w:hyperlink w:anchor="if20e1f3d5a734e3eabbb6aa8f57c7562_3915">
              <w:r>
                <w:rPr>
                  <w:rStyle w:val="InternetLink"/>
                  <w:rFonts w:ascii="Times New Roman;sans-serif" w:hAnsi="Times New Roman;sans-serif"/>
                  <w:b w:val="false"/>
                  <w:color w:val="000080"/>
                  <w:sz w:val="18"/>
                  <w:u w:val="single"/>
                </w:rPr>
                <w:t>NTS</w:t>
              </w:r>
            </w:hyperlink>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1">
              <w:r>
                <w:rPr>
                  <w:rStyle w:val="InternetLink"/>
                  <w:rFonts w:ascii="Times New Roman;sans-serif" w:hAnsi="Times New Roman;sans-serif"/>
                  <w:b w:val="false"/>
                  <w:color w:val="0000FF"/>
                  <w:sz w:val="18"/>
                  <w:u w:val="single"/>
                </w:rPr>
                <w:t>Condensed Consolidated Statements of Operations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1">
              <w:r>
                <w:rPr>
                  <w:rStyle w:val="InternetLink"/>
                  <w:rFonts w:ascii="Times New Roman;sans-serif" w:hAnsi="Times New Roman;sans-serif"/>
                  <w:b w:val="false"/>
                  <w:color w:val="0000FF"/>
                  <w:sz w:val="18"/>
                  <w:u w:val="single"/>
                </w:rPr>
                <w:t>2</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
              <w:r>
                <w:rPr>
                  <w:rStyle w:val="InternetLink"/>
                  <w:rFonts w:ascii="Times New Roman;sans-serif" w:hAnsi="Times New Roman;sans-serif"/>
                  <w:b w:val="false"/>
                  <w:color w:val="0000FF"/>
                  <w:sz w:val="18"/>
                  <w:u w:val="single"/>
                </w:rPr>
                <w:t>Condensed Consolidated Statements of Comprehensive Income (Loss)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
              <w:r>
                <w:rPr>
                  <w:rStyle w:val="InternetLink"/>
                  <w:rFonts w:ascii="Times New Roman;sans-serif" w:hAnsi="Times New Roman;sans-serif"/>
                  <w:b w:val="false"/>
                  <w:color w:val="0000FF"/>
                  <w:sz w:val="18"/>
                  <w:u w:val="single"/>
                </w:rPr>
                <w:t>3</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7">
              <w:r>
                <w:rPr>
                  <w:rStyle w:val="InternetLink"/>
                  <w:rFonts w:ascii="Times New Roman;sans-serif" w:hAnsi="Times New Roman;sans-serif"/>
                  <w:b w:val="false"/>
                  <w:color w:val="0000FF"/>
                  <w:sz w:val="18"/>
                  <w:u w:val="single"/>
                </w:rPr>
                <w:t>Condensed Consolidated Balance Sheets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7">
              <w:r>
                <w:rPr>
                  <w:rStyle w:val="InternetLink"/>
                  <w:rFonts w:ascii="Times New Roman;sans-serif" w:hAnsi="Times New Roman;sans-serif"/>
                  <w:b w:val="false"/>
                  <w:color w:val="0000FF"/>
                  <w:sz w:val="18"/>
                  <w:u w:val="single"/>
                </w:rPr>
                <w:t>4</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0">
              <w:r>
                <w:rPr>
                  <w:rStyle w:val="InternetLink"/>
                  <w:rFonts w:ascii="Times New Roman;sans-serif" w:hAnsi="Times New Roman;sans-serif"/>
                  <w:b w:val="false"/>
                  <w:color w:val="0000FF"/>
                  <w:sz w:val="18"/>
                  <w:u w:val="single"/>
                </w:rPr>
                <w:t>Condensed Consolidated Statements of Cash Flows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0">
              <w:r>
                <w:rPr>
                  <w:rStyle w:val="InternetLink"/>
                  <w:rFonts w:ascii="Times New Roman;sans-serif" w:hAnsi="Times New Roman;sans-serif"/>
                  <w:b w:val="false"/>
                  <w:color w:val="0000FF"/>
                  <w:sz w:val="18"/>
                  <w:u w:val="single"/>
                </w:rPr>
                <w:t>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24">
              <w:r>
                <w:rPr>
                  <w:rStyle w:val="InternetLink"/>
                  <w:rFonts w:ascii="Times New Roman;sans-serif" w:hAnsi="Times New Roman;sans-serif"/>
                  <w:b w:val="false"/>
                  <w:color w:val="0000FF"/>
                  <w:sz w:val="18"/>
                  <w:u w:val="single"/>
                </w:rPr>
                <w:t>Condensed Consolidated Statements of Equity</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24">
              <w:r>
                <w:rPr>
                  <w:rStyle w:val="InternetLink"/>
                  <w:rFonts w:ascii="Times New Roman;sans-serif" w:hAnsi="Times New Roman;sans-serif"/>
                  <w:b w:val="false"/>
                  <w:color w:val="0000FF"/>
                  <w:sz w:val="18"/>
                  <w:u w:val="single"/>
                </w:rPr>
                <w:t>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6">
              <w:r>
                <w:rPr>
                  <w:rStyle w:val="InternetLink"/>
                  <w:rFonts w:ascii="Times New Roman;sans-serif" w:hAnsi="Times New Roman;sans-serif"/>
                  <w:b w:val="false"/>
                  <w:color w:val="0000FF"/>
                  <w:sz w:val="18"/>
                  <w:u w:val="single"/>
                </w:rPr>
                <w:t>Notes to the Interim Financial Statements (Unaudited)</w:t>
              </w:r>
            </w:hyperlink>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9">
              <w:r>
                <w:rPr>
                  <w:rStyle w:val="InternetLink"/>
                  <w:rFonts w:ascii="Times New Roman;sans-serif" w:hAnsi="Times New Roman;sans-serif"/>
                  <w:b w:val="false"/>
                  <w:color w:val="0000FF"/>
                  <w:sz w:val="18"/>
                  <w:u w:val="single"/>
                </w:rPr>
                <w:t>1. Organization and Operations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9">
              <w:r>
                <w:rPr>
                  <w:rStyle w:val="InternetLink"/>
                  <w:rFonts w:ascii="Times New Roman;sans-serif" w:hAnsi="Times New Roman;sans-serif"/>
                  <w:b w:val="false"/>
                  <w:color w:val="0000FF"/>
                  <w:sz w:val="18"/>
                  <w:u w:val="single"/>
                </w:rPr>
                <w:t>9</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72">
              <w:r>
                <w:rPr>
                  <w:rStyle w:val="InternetLink"/>
                  <w:rFonts w:ascii="Times New Roman;sans-serif" w:hAnsi="Times New Roman;sans-serif"/>
                  <w:b w:val="false"/>
                  <w:color w:val="000080"/>
                  <w:sz w:val="18"/>
                  <w:u w:val="single"/>
                </w:rPr>
                <w:t xml:space="preserve">2. Basis of Presentation and Summary of Significant Accounting </w:t>
              </w:r>
            </w:hyperlink>
            <w:hyperlink w:anchor="if20e1f3d5a734e3eabbb6aa8f57c7562_72">
              <w:r>
                <w:rPr>
                  <w:rStyle w:val="InternetLink"/>
                  <w:rFonts w:ascii="Times New Roman;sans-serif" w:hAnsi="Times New Roman;sans-serif"/>
                  <w:b w:val="false"/>
                  <w:color w:val="000080"/>
                  <w:sz w:val="18"/>
                  <w:u w:val="single"/>
                </w:rPr>
                <w:t>P</w:t>
              </w:r>
            </w:hyperlink>
            <w:hyperlink w:anchor="if20e1f3d5a734e3eabbb6aa8f57c7562_72">
              <w:r>
                <w:rPr>
                  <w:rStyle w:val="InternetLink"/>
                  <w:rFonts w:ascii="Times New Roman;sans-serif" w:hAnsi="Times New Roman;sans-serif"/>
                  <w:b w:val="false"/>
                  <w:color w:val="000080"/>
                  <w:sz w:val="18"/>
                  <w:u w:val="single"/>
                </w:rPr>
                <w:t>olicies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72">
              <w:r>
                <w:rPr>
                  <w:rStyle w:val="InternetLink"/>
                  <w:rFonts w:ascii="Times New Roman;sans-serif" w:hAnsi="Times New Roman;sans-serif"/>
                  <w:b w:val="false"/>
                  <w:color w:val="0000FF"/>
                  <w:sz w:val="18"/>
                  <w:u w:val="single"/>
                </w:rPr>
                <w:t>9</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14">
              <w:r>
                <w:rPr>
                  <w:rStyle w:val="InternetLink"/>
                  <w:rFonts w:ascii="Times New Roman;sans-serif" w:hAnsi="Times New Roman;sans-serif"/>
                  <w:b w:val="false"/>
                  <w:color w:val="0000FF"/>
                  <w:sz w:val="18"/>
                  <w:u w:val="single"/>
                </w:rPr>
                <w:t>3. Risk Management, Derivative Instruments and Hedging Activities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14">
              <w:r>
                <w:rPr>
                  <w:rStyle w:val="InternetLink"/>
                  <w:rFonts w:ascii="Times New Roman;sans-serif" w:hAnsi="Times New Roman;sans-serif"/>
                  <w:b w:val="false"/>
                  <w:color w:val="000080"/>
                  <w:sz w:val="18"/>
                  <w:u w:val="single"/>
                </w:rPr>
                <w:t>1</w:t>
              </w:r>
            </w:hyperlink>
            <w:hyperlink w:anchor="if20e1f3d5a734e3eabbb6aa8f57c7562_114">
              <w:r>
                <w:rPr>
                  <w:rStyle w:val="InternetLink"/>
                  <w:rFonts w:ascii="Times New Roman;sans-serif" w:hAnsi="Times New Roman;sans-serif"/>
                  <w:b w:val="false"/>
                  <w:color w:val="000080"/>
                  <w:sz w:val="18"/>
                  <w:u w:val="single"/>
                </w:rPr>
                <w:t>1</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23">
              <w:r>
                <w:rPr>
                  <w:rStyle w:val="InternetLink"/>
                  <w:rFonts w:ascii="Times New Roman;sans-serif" w:hAnsi="Times New Roman;sans-serif"/>
                  <w:b w:val="false"/>
                  <w:color w:val="0000FF"/>
                  <w:sz w:val="18"/>
                  <w:u w:val="single"/>
                </w:rPr>
                <w:t>4. Revenue</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23">
              <w:r>
                <w:rPr>
                  <w:rStyle w:val="InternetLink"/>
                  <w:rFonts w:ascii="Times New Roman;sans-serif" w:hAnsi="Times New Roman;sans-serif"/>
                  <w:b w:val="false"/>
                  <w:color w:val="000080"/>
                  <w:sz w:val="18"/>
                  <w:u w:val="single"/>
                </w:rPr>
                <w:t>1</w:t>
              </w:r>
            </w:hyperlink>
            <w:hyperlink w:anchor="if20e1f3d5a734e3eabbb6aa8f57c7562_123">
              <w:r>
                <w:rPr>
                  <w:rStyle w:val="InternetLink"/>
                  <w:rFonts w:ascii="Times New Roman;sans-serif" w:hAnsi="Times New Roman;sans-serif"/>
                  <w:b w:val="false"/>
                  <w:color w:val="000080"/>
                  <w:sz w:val="18"/>
                  <w:u w:val="single"/>
                </w:rPr>
                <w:t>4</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38">
              <w:r>
                <w:rPr>
                  <w:rStyle w:val="InternetLink"/>
                  <w:rFonts w:ascii="Times New Roman;sans-serif" w:hAnsi="Times New Roman;sans-serif"/>
                  <w:b w:val="false"/>
                  <w:color w:val="0000FF"/>
                  <w:sz w:val="18"/>
                  <w:u w:val="single"/>
                </w:rPr>
                <w:t>5. Income Taxes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38">
              <w:r>
                <w:rPr>
                  <w:rStyle w:val="InternetLink"/>
                  <w:rFonts w:ascii="Times New Roman;sans-serif" w:hAnsi="Times New Roman;sans-serif"/>
                  <w:b w:val="false"/>
                  <w:color w:val="000080"/>
                  <w:sz w:val="18"/>
                  <w:u w:val="single"/>
                </w:rPr>
                <w:t>1</w:t>
              </w:r>
            </w:hyperlink>
            <w:hyperlink w:anchor="if20e1f3d5a734e3eabbb6aa8f57c7562_138">
              <w:r>
                <w:rPr>
                  <w:rStyle w:val="InternetLink"/>
                  <w:rFonts w:ascii="Times New Roman;sans-serif" w:hAnsi="Times New Roman;sans-serif"/>
                  <w:b w:val="false"/>
                  <w:color w:val="000080"/>
                  <w:sz w:val="18"/>
                  <w:u w:val="single"/>
                </w:rPr>
                <w:t>6</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47">
              <w:r>
                <w:rPr>
                  <w:rStyle w:val="InternetLink"/>
                  <w:rFonts w:ascii="Times New Roman;sans-serif" w:hAnsi="Times New Roman;sans-serif"/>
                  <w:b w:val="false"/>
                  <w:color w:val="0000FF"/>
                  <w:sz w:val="18"/>
                  <w:u w:val="single"/>
                </w:rPr>
                <w:t>6. Inventory</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47">
              <w:r>
                <w:rPr>
                  <w:rStyle w:val="InternetLink"/>
                  <w:rFonts w:ascii="Times New Roman;sans-serif" w:hAnsi="Times New Roman;sans-serif"/>
                  <w:b w:val="false"/>
                  <w:color w:val="000080"/>
                  <w:sz w:val="18"/>
                  <w:u w:val="single"/>
                </w:rPr>
                <w:t>1</w:t>
              </w:r>
            </w:hyperlink>
            <w:hyperlink w:anchor="if20e1f3d5a734e3eabbb6aa8f57c7562_147">
              <w:r>
                <w:rPr>
                  <w:rStyle w:val="InternetLink"/>
                  <w:rFonts w:ascii="Times New Roman;sans-serif" w:hAnsi="Times New Roman;sans-serif"/>
                  <w:b w:val="false"/>
                  <w:color w:val="000080"/>
                  <w:sz w:val="18"/>
                  <w:u w:val="single"/>
                </w:rPr>
                <w:t>6</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0">
              <w:r>
                <w:rPr>
                  <w:rStyle w:val="InternetLink"/>
                  <w:rFonts w:ascii="Times New Roman;sans-serif" w:hAnsi="Times New Roman;sans-serif"/>
                  <w:b w:val="false"/>
                  <w:color w:val="0000FF"/>
                  <w:sz w:val="18"/>
                  <w:u w:val="single"/>
                </w:rPr>
                <w:t>7. Nuclear Decommissioning Trust Funds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0">
              <w:r>
                <w:rPr>
                  <w:rStyle w:val="InternetLink"/>
                  <w:rFonts w:ascii="Times New Roman;sans-serif" w:hAnsi="Times New Roman;sans-serif"/>
                  <w:b w:val="false"/>
                  <w:color w:val="000080"/>
                  <w:sz w:val="18"/>
                  <w:u w:val="single"/>
                </w:rPr>
                <w:t>1</w:t>
              </w:r>
            </w:hyperlink>
            <w:hyperlink w:anchor="if20e1f3d5a734e3eabbb6aa8f57c7562_150">
              <w:r>
                <w:rPr>
                  <w:rStyle w:val="InternetLink"/>
                  <w:rFonts w:ascii="Times New Roman;sans-serif" w:hAnsi="Times New Roman;sans-serif"/>
                  <w:b w:val="false"/>
                  <w:color w:val="000080"/>
                  <w:sz w:val="18"/>
                  <w:u w:val="single"/>
                </w:rPr>
                <w:t>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3">
              <w:r>
                <w:rPr>
                  <w:rStyle w:val="InternetLink"/>
                  <w:rFonts w:ascii="Times New Roman;sans-serif" w:hAnsi="Times New Roman;sans-serif"/>
                  <w:b w:val="false"/>
                  <w:color w:val="0000FF"/>
                  <w:sz w:val="18"/>
                  <w:u w:val="single"/>
                </w:rPr>
                <w:t>8. Property, Plant and Equipment</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3">
              <w:r>
                <w:rPr>
                  <w:rStyle w:val="InternetLink"/>
                  <w:rFonts w:ascii="Times New Roman;sans-serif" w:hAnsi="Times New Roman;sans-serif"/>
                  <w:b w:val="false"/>
                  <w:color w:val="000080"/>
                  <w:sz w:val="18"/>
                  <w:u w:val="single"/>
                </w:rPr>
                <w:t>1</w:t>
              </w:r>
            </w:hyperlink>
            <w:hyperlink w:anchor="if20e1f3d5a734e3eabbb6aa8f57c7562_153">
              <w:r>
                <w:rPr>
                  <w:rStyle w:val="InternetLink"/>
                  <w:rFonts w:ascii="Times New Roman;sans-serif" w:hAnsi="Times New Roman;sans-serif"/>
                  <w:b w:val="false"/>
                  <w:color w:val="000080"/>
                  <w:sz w:val="18"/>
                  <w:u w:val="single"/>
                </w:rPr>
                <w:t>8</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6">
              <w:r>
                <w:rPr>
                  <w:rStyle w:val="InternetLink"/>
                  <w:rFonts w:ascii="Times New Roman;sans-serif" w:hAnsi="Times New Roman;sans-serif"/>
                  <w:b w:val="false"/>
                  <w:color w:val="0000FF"/>
                  <w:sz w:val="18"/>
                  <w:u w:val="single"/>
                </w:rPr>
                <w:t>9. Asset Retirement Obligations and Accrued Environmental Costs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6">
              <w:r>
                <w:rPr>
                  <w:rStyle w:val="InternetLink"/>
                  <w:rFonts w:ascii="Times New Roman;sans-serif" w:hAnsi="Times New Roman;sans-serif"/>
                  <w:b w:val="false"/>
                  <w:color w:val="000080"/>
                  <w:sz w:val="18"/>
                  <w:u w:val="single"/>
                </w:rPr>
                <w:t>2</w:t>
              </w:r>
            </w:hyperlink>
            <w:hyperlink w:anchor="if20e1f3d5a734e3eabbb6aa8f57c7562_156">
              <w:r>
                <w:rPr>
                  <w:rStyle w:val="InternetLink"/>
                  <w:rFonts w:ascii="Times New Roman;sans-serif" w:hAnsi="Times New Roman;sans-serif"/>
                  <w:b w:val="false"/>
                  <w:color w:val="000080"/>
                  <w:sz w:val="18"/>
                  <w:u w:val="single"/>
                </w:rPr>
                <w:t>0</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62">
              <w:r>
                <w:rPr>
                  <w:rStyle w:val="InternetLink"/>
                  <w:rFonts w:ascii="Times New Roman;sans-serif" w:hAnsi="Times New Roman;sans-serif"/>
                  <w:b w:val="false"/>
                  <w:color w:val="0000FF"/>
                  <w:sz w:val="18"/>
                  <w:u w:val="single"/>
                </w:rPr>
                <w:t>10. Commitments and Contingencie</w:t>
              </w:r>
            </w:hyperlink>
            <w:r>
              <w:rPr>
                <w:rFonts w:ascii="Times New Roman;sans-serif" w:hAnsi="Times New Roman;sans-serif"/>
                <w:b w:val="false"/>
                <w:color w:val="000000"/>
                <w:sz w:val="18"/>
              </w:rPr>
              <w:t>s</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62">
              <w:r>
                <w:rPr>
                  <w:rStyle w:val="InternetLink"/>
                  <w:rFonts w:ascii="Times New Roman;sans-serif" w:hAnsi="Times New Roman;sans-serif"/>
                  <w:b w:val="false"/>
                  <w:color w:val="000080"/>
                  <w:sz w:val="18"/>
                  <w:u w:val="single"/>
                </w:rPr>
                <w:t>2</w:t>
              </w:r>
            </w:hyperlink>
            <w:hyperlink w:anchor="if20e1f3d5a734e3eabbb6aa8f57c7562_162">
              <w:r>
                <w:rPr>
                  <w:rStyle w:val="InternetLink"/>
                  <w:rFonts w:ascii="Times New Roman;sans-serif" w:hAnsi="Times New Roman;sans-serif"/>
                  <w:b w:val="false"/>
                  <w:color w:val="000080"/>
                  <w:sz w:val="18"/>
                  <w:u w:val="single"/>
                </w:rPr>
                <w:t>0</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80">
              <w:r>
                <w:rPr>
                  <w:rStyle w:val="InternetLink"/>
                  <w:rFonts w:ascii="Times New Roman;sans-serif" w:hAnsi="Times New Roman;sans-serif"/>
                  <w:b w:val="false"/>
                  <w:color w:val="0000FF"/>
                  <w:sz w:val="18"/>
                  <w:u w:val="single"/>
                </w:rPr>
                <w:t>11. Long-Term Debt and Other Credit Facilities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80">
              <w:r>
                <w:rPr>
                  <w:rStyle w:val="InternetLink"/>
                  <w:rFonts w:ascii="Times New Roman;sans-serif" w:hAnsi="Times New Roman;sans-serif"/>
                  <w:b w:val="false"/>
                  <w:color w:val="000080"/>
                  <w:sz w:val="18"/>
                  <w:u w:val="single"/>
                </w:rPr>
                <w:t>2</w:t>
              </w:r>
            </w:hyperlink>
            <w:hyperlink w:anchor="if20e1f3d5a734e3eabbb6aa8f57c7562_180">
              <w:r>
                <w:rPr>
                  <w:rStyle w:val="InternetLink"/>
                  <w:rFonts w:ascii="Times New Roman;sans-serif" w:hAnsi="Times New Roman;sans-serif"/>
                  <w:b w:val="false"/>
                  <w:color w:val="000080"/>
                  <w:sz w:val="18"/>
                  <w:u w:val="single"/>
                </w:rPr>
                <w:t>8</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13">
              <w:r>
                <w:rPr>
                  <w:rStyle w:val="InternetLink"/>
                  <w:rFonts w:ascii="Times New Roman;sans-serif" w:hAnsi="Times New Roman;sans-serif"/>
                  <w:b w:val="false"/>
                  <w:color w:val="0000FF"/>
                  <w:sz w:val="18"/>
                  <w:u w:val="single"/>
                </w:rPr>
                <w:t>12. Fair Value</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13">
              <w:r>
                <w:rPr>
                  <w:rStyle w:val="InternetLink"/>
                  <w:rFonts w:ascii="Times New Roman;sans-serif" w:hAnsi="Times New Roman;sans-serif"/>
                  <w:b w:val="false"/>
                  <w:color w:val="000080"/>
                  <w:sz w:val="18"/>
                  <w:u w:val="single"/>
                </w:rPr>
                <w:t>3</w:t>
              </w:r>
            </w:hyperlink>
            <w:hyperlink w:anchor="if20e1f3d5a734e3eabbb6aa8f57c7562_213">
              <w:r>
                <w:rPr>
                  <w:rStyle w:val="InternetLink"/>
                  <w:rFonts w:ascii="Times New Roman;sans-serif" w:hAnsi="Times New Roman;sans-serif"/>
                  <w:b w:val="false"/>
                  <w:color w:val="000080"/>
                  <w:sz w:val="18"/>
                  <w:u w:val="single"/>
                </w:rPr>
                <w:t>0</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2">
              <w:r>
                <w:rPr>
                  <w:rStyle w:val="InternetLink"/>
                  <w:rFonts w:ascii="Times New Roman;sans-serif" w:hAnsi="Times New Roman;sans-serif"/>
                  <w:b w:val="false"/>
                  <w:color w:val="0000FF"/>
                  <w:sz w:val="18"/>
                  <w:u w:val="single"/>
                </w:rPr>
                <w:t>13. Postretirement Benefit Obligations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2">
              <w:r>
                <w:rPr>
                  <w:rStyle w:val="InternetLink"/>
                  <w:rFonts w:ascii="Times New Roman;sans-serif" w:hAnsi="Times New Roman;sans-serif"/>
                  <w:b w:val="false"/>
                  <w:color w:val="000080"/>
                  <w:sz w:val="18"/>
                  <w:u w:val="single"/>
                </w:rPr>
                <w:t>3</w:t>
              </w:r>
            </w:hyperlink>
            <w:hyperlink w:anchor="if20e1f3d5a734e3eabbb6aa8f57c7562_222">
              <w:r>
                <w:rPr>
                  <w:rStyle w:val="InternetLink"/>
                  <w:rFonts w:ascii="Times New Roman;sans-serif" w:hAnsi="Times New Roman;sans-serif"/>
                  <w:b w:val="false"/>
                  <w:color w:val="000080"/>
                  <w:sz w:val="18"/>
                  <w:u w:val="single"/>
                </w:rPr>
                <w:t>1</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8">
              <w:r>
                <w:rPr>
                  <w:rStyle w:val="InternetLink"/>
                  <w:rFonts w:ascii="Times New Roman;sans-serif" w:hAnsi="Times New Roman;sans-serif"/>
                  <w:b w:val="false"/>
                  <w:color w:val="0000FF"/>
                  <w:sz w:val="18"/>
                  <w:u w:val="single"/>
                </w:rPr>
                <w:t>14. Earnings Per Share</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8">
              <w:r>
                <w:rPr>
                  <w:rStyle w:val="InternetLink"/>
                  <w:rFonts w:ascii="Times New Roman;sans-serif" w:hAnsi="Times New Roman;sans-serif"/>
                  <w:b w:val="false"/>
                  <w:color w:val="000080"/>
                  <w:sz w:val="18"/>
                  <w:u w:val="single"/>
                </w:rPr>
                <w:t>3</w:t>
              </w:r>
            </w:hyperlink>
            <w:hyperlink w:anchor="if20e1f3d5a734e3eabbb6aa8f57c7562_228">
              <w:r>
                <w:rPr>
                  <w:rStyle w:val="InternetLink"/>
                  <w:rFonts w:ascii="Times New Roman;sans-serif" w:hAnsi="Times New Roman;sans-serif"/>
                  <w:b w:val="false"/>
                  <w:color w:val="000080"/>
                  <w:sz w:val="18"/>
                  <w:u w:val="single"/>
                </w:rPr>
                <w:t>2</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13">
              <w:r>
                <w:rPr>
                  <w:rStyle w:val="InternetLink"/>
                  <w:rFonts w:ascii="Times New Roman;sans-serif" w:hAnsi="Times New Roman;sans-serif"/>
                  <w:b w:val="false"/>
                  <w:color w:val="0000FF"/>
                  <w:sz w:val="18"/>
                  <w:u w:val="single"/>
                </w:rPr>
                <w:t>15. Stockholders' Equity</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13">
              <w:r>
                <w:rPr>
                  <w:rStyle w:val="InternetLink"/>
                  <w:rFonts w:ascii="Times New Roman;sans-serif" w:hAnsi="Times New Roman;sans-serif"/>
                  <w:b w:val="false"/>
                  <w:color w:val="000080"/>
                  <w:sz w:val="18"/>
                  <w:u w:val="single"/>
                </w:rPr>
                <w:t>3</w:t>
              </w:r>
            </w:hyperlink>
            <w:hyperlink w:anchor="if20e1f3d5a734e3eabbb6aa8f57c7562_3713">
              <w:r>
                <w:rPr>
                  <w:rStyle w:val="InternetLink"/>
                  <w:rFonts w:ascii="Times New Roman;sans-serif" w:hAnsi="Times New Roman;sans-serif"/>
                  <w:b w:val="false"/>
                  <w:color w:val="000080"/>
                  <w:sz w:val="18"/>
                  <w:u w:val="single"/>
                </w:rPr>
                <w:t>2</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34">
              <w:r>
                <w:rPr>
                  <w:rStyle w:val="InternetLink"/>
                  <w:rFonts w:ascii="Times New Roman;sans-serif" w:hAnsi="Times New Roman;sans-serif"/>
                  <w:b w:val="false"/>
                  <w:color w:val="0000FF"/>
                  <w:sz w:val="18"/>
                  <w:u w:val="single"/>
                </w:rPr>
                <w:t>16. Supplemental Cash Flow Information</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34">
              <w:r>
                <w:rPr>
                  <w:rStyle w:val="InternetLink"/>
                  <w:rFonts w:ascii="Times New Roman;sans-serif" w:hAnsi="Times New Roman;sans-serif"/>
                  <w:b w:val="false"/>
                  <w:color w:val="000080"/>
                  <w:sz w:val="18"/>
                  <w:u w:val="single"/>
                </w:rPr>
                <w:t>3</w:t>
              </w:r>
            </w:hyperlink>
            <w:hyperlink w:anchor="if20e1f3d5a734e3eabbb6aa8f57c7562_234">
              <w:r>
                <w:rPr>
                  <w:rStyle w:val="InternetLink"/>
                  <w:rFonts w:ascii="Times New Roman;sans-serif" w:hAnsi="Times New Roman;sans-serif"/>
                  <w:b w:val="false"/>
                  <w:color w:val="000080"/>
                  <w:sz w:val="18"/>
                  <w:u w:val="single"/>
                </w:rPr>
                <w:t>4</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9">
              <w:r>
                <w:rPr>
                  <w:rStyle w:val="InternetLink"/>
                  <w:rFonts w:ascii="Times New Roman;sans-serif" w:hAnsi="Times New Roman;sans-serif"/>
                  <w:b w:val="false"/>
                  <w:color w:val="0000FF"/>
                  <w:sz w:val="18"/>
                  <w:u w:val="single"/>
                </w:rPr>
                <w:t>17. Acquisitions and Divestitures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9">
              <w:r>
                <w:rPr>
                  <w:rStyle w:val="InternetLink"/>
                  <w:rFonts w:ascii="Times New Roman;sans-serif" w:hAnsi="Times New Roman;sans-serif"/>
                  <w:b w:val="false"/>
                  <w:color w:val="000080"/>
                  <w:sz w:val="18"/>
                  <w:u w:val="single"/>
                </w:rPr>
                <w:t>3</w:t>
              </w:r>
            </w:hyperlink>
            <w:hyperlink w:anchor="if20e1f3d5a734e3eabbb6aa8f57c7562_249">
              <w:r>
                <w:rPr>
                  <w:rStyle w:val="InternetLink"/>
                  <w:rFonts w:ascii="Times New Roman;sans-serif" w:hAnsi="Times New Roman;sans-serif"/>
                  <w:b w:val="false"/>
                  <w:color w:val="000080"/>
                  <w:sz w:val="18"/>
                  <w:u w:val="single"/>
                </w:rPr>
                <w:t>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2">
              <w:r>
                <w:rPr>
                  <w:rStyle w:val="InternetLink"/>
                  <w:rFonts w:ascii="Times New Roman;sans-serif" w:hAnsi="Times New Roman;sans-serif"/>
                  <w:b w:val="false"/>
                  <w:color w:val="0000FF"/>
                  <w:sz w:val="18"/>
                  <w:u w:val="single"/>
                </w:rPr>
                <w:t>18. Segments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2">
              <w:r>
                <w:rPr>
                  <w:rStyle w:val="InternetLink"/>
                  <w:rFonts w:ascii="Times New Roman;sans-serif" w:hAnsi="Times New Roman;sans-serif"/>
                  <w:b w:val="false"/>
                  <w:color w:val="000080"/>
                  <w:sz w:val="18"/>
                  <w:u w:val="single"/>
                </w:rPr>
                <w:t>3</w:t>
              </w:r>
            </w:hyperlink>
            <w:hyperlink w:anchor="if20e1f3d5a734e3eabbb6aa8f57c7562_252">
              <w:r>
                <w:rPr>
                  <w:rStyle w:val="InternetLink"/>
                  <w:rFonts w:ascii="Times New Roman;sans-serif" w:hAnsi="Times New Roman;sans-serif"/>
                  <w:b w:val="false"/>
                  <w:color w:val="000080"/>
                  <w:sz w:val="18"/>
                  <w:u w:val="single"/>
                </w:rPr>
                <w:t>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8">
              <w:r>
                <w:rPr>
                  <w:rStyle w:val="InternetLink"/>
                  <w:rFonts w:ascii="Times New Roman;sans-serif" w:hAnsi="Times New Roman;sans-serif"/>
                  <w:b w:val="false"/>
                  <w:color w:val="000080"/>
                  <w:sz w:val="18"/>
                  <w:u w:val="single"/>
                </w:rPr>
                <w:t>I</w:t>
              </w:r>
            </w:hyperlink>
            <w:hyperlink w:anchor="if20e1f3d5a734e3eabbb6aa8f57c7562_258">
              <w:r>
                <w:rPr>
                  <w:rStyle w:val="InternetLink"/>
                  <w:rFonts w:ascii="Times New Roman;sans-serif" w:hAnsi="Times New Roman;sans-serif"/>
                  <w:b w:val="false"/>
                  <w:color w:val="000080"/>
                  <w:sz w:val="18"/>
                  <w:u w:val="single"/>
                </w:rPr>
                <w:t xml:space="preserve">TEM </w:t>
              </w:r>
            </w:hyperlink>
            <w:hyperlink w:anchor="if20e1f3d5a734e3eabbb6aa8f57c7562_258">
              <w:r>
                <w:rPr>
                  <w:rStyle w:val="InternetLink"/>
                  <w:rFonts w:ascii="Times New Roman;sans-serif" w:hAnsi="Times New Roman;sans-serif"/>
                  <w:b w:val="false"/>
                  <w:color w:val="000080"/>
                  <w:sz w:val="18"/>
                  <w:u w:val="single"/>
                </w:rPr>
                <w:t>2.</w:t>
              </w:r>
            </w:hyperlink>
            <w:hyperlink w:anchor="if20e1f3d5a734e3eabbb6aa8f57c7562_258">
              <w:r>
                <w:rPr>
                  <w:rStyle w:val="InternetLink"/>
                  <w:rFonts w:ascii="Times New Roman;sans-serif" w:hAnsi="Times New Roman;sans-serif"/>
                  <w:b w:val="false"/>
                  <w:color w:val="000080"/>
                  <w:sz w:val="18"/>
                  <w:u w:val="single"/>
                </w:rPr>
                <w:t xml:space="preserve"> </w:t>
              </w:r>
            </w:hyperlink>
            <w:hyperlink w:anchor="if20e1f3d5a734e3eabbb6aa8f57c7562_258">
              <w:r>
                <w:rPr>
                  <w:rStyle w:val="InternetLink"/>
                  <w:rFonts w:ascii="Times New Roman;sans-serif" w:hAnsi="Times New Roman;sans-serif"/>
                  <w:b w:val="false"/>
                  <w:color w:val="000080"/>
                  <w:sz w:val="18"/>
                  <w:u w:val="single"/>
                </w:rPr>
                <w:t>MANAGEMENT</w:t>
              </w:r>
            </w:hyperlink>
            <w:hyperlink w:anchor="if20e1f3d5a734e3eabbb6aa8f57c7562_258">
              <w:r>
                <w:rPr>
                  <w:rStyle w:val="InternetLink"/>
                  <w:rFonts w:ascii="Times New Roman;sans-serif" w:hAnsi="Times New Roman;sans-serif"/>
                  <w:b w:val="false"/>
                  <w:color w:val="000080"/>
                  <w:sz w:val="18"/>
                  <w:u w:val="single"/>
                </w:rPr>
                <w:t>’</w:t>
              </w:r>
            </w:hyperlink>
            <w:hyperlink w:anchor="if20e1f3d5a734e3eabbb6aa8f57c7562_258">
              <w:r>
                <w:rPr>
                  <w:rStyle w:val="InternetLink"/>
                  <w:rFonts w:ascii="Times New Roman;sans-serif" w:hAnsi="Times New Roman;sans-serif"/>
                  <w:b w:val="false"/>
                  <w:color w:val="000080"/>
                  <w:sz w:val="18"/>
                  <w:u w:val="single"/>
                </w:rPr>
                <w:t>S DISCUSSION</w:t>
              </w:r>
            </w:hyperlink>
            <w:hyperlink w:anchor="if20e1f3d5a734e3eabbb6aa8f57c7562_258">
              <w:r>
                <w:rPr>
                  <w:rStyle w:val="InternetLink"/>
                  <w:rFonts w:ascii="Times New Roman;sans-serif" w:hAnsi="Times New Roman;sans-serif"/>
                  <w:b w:val="false"/>
                  <w:color w:val="000080"/>
                  <w:sz w:val="18"/>
                  <w:u w:val="single"/>
                </w:rPr>
                <w:t xml:space="preserve"> AND ANALYSIS OF FINANCIAL CONDITIO</w:t>
              </w:r>
            </w:hyperlink>
            <w:hyperlink w:anchor="if20e1f3d5a734e3eabbb6aa8f57c7562_258">
              <w:r>
                <w:rPr>
                  <w:rStyle w:val="InternetLink"/>
                  <w:rFonts w:ascii="Times New Roman;sans-serif" w:hAnsi="Times New Roman;sans-serif"/>
                  <w:b w:val="false"/>
                  <w:color w:val="000080"/>
                  <w:sz w:val="18"/>
                  <w:u w:val="single"/>
                </w:rPr>
                <w:t>N A</w:t>
              </w:r>
            </w:hyperlink>
            <w:hyperlink w:anchor="if20e1f3d5a734e3eabbb6aa8f57c7562_258">
              <w:r>
                <w:rPr>
                  <w:rStyle w:val="InternetLink"/>
                  <w:rFonts w:ascii="Times New Roman;sans-serif" w:hAnsi="Times New Roman;sans-serif"/>
                  <w:b w:val="false"/>
                  <w:color w:val="000080"/>
                  <w:sz w:val="18"/>
                  <w:u w:val="single"/>
                </w:rPr>
                <w:t>ND RESULTS OF OPERATION</w:t>
              </w:r>
            </w:hyperlink>
            <w:hyperlink w:anchor="if20e1f3d5a734e3eabbb6aa8f57c7562_258">
              <w:r>
                <w:rPr>
                  <w:rStyle w:val="InternetLink"/>
                  <w:rFonts w:ascii="Times New Roman;sans-serif" w:hAnsi="Times New Roman;sans-serif"/>
                  <w:b w:val="false"/>
                  <w:color w:val="000080"/>
                  <w:sz w:val="18"/>
                  <w:u w:val="single"/>
                </w:rPr>
                <w:t>S</w:t>
              </w:r>
            </w:hyperlink>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64">
              <w:r>
                <w:rPr>
                  <w:rStyle w:val="InternetLink"/>
                  <w:rFonts w:ascii="Times New Roman;sans-serif" w:hAnsi="Times New Roman;sans-serif"/>
                  <w:b w:val="false"/>
                  <w:color w:val="0000FF"/>
                  <w:sz w:val="18"/>
                  <w:u w:val="single"/>
                </w:rPr>
                <w:t>Overview</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64">
              <w:r>
                <w:rPr>
                  <w:rStyle w:val="InternetLink"/>
                  <w:rFonts w:ascii="Times New Roman;sans-serif" w:hAnsi="Times New Roman;sans-serif"/>
                  <w:b w:val="false"/>
                  <w:color w:val="000080"/>
                  <w:sz w:val="18"/>
                  <w:u w:val="single"/>
                </w:rPr>
                <w:t>3</w:t>
              </w:r>
            </w:hyperlink>
            <w:hyperlink w:anchor="if20e1f3d5a734e3eabbb6aa8f57c7562_264">
              <w:r>
                <w:rPr>
                  <w:rStyle w:val="InternetLink"/>
                  <w:rFonts w:ascii="Times New Roman;sans-serif" w:hAnsi="Times New Roman;sans-serif"/>
                  <w:b w:val="false"/>
                  <w:color w:val="000080"/>
                  <w:sz w:val="18"/>
                  <w:u w:val="single"/>
                </w:rPr>
                <w:t>8</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384">
              <w:r>
                <w:rPr>
                  <w:rStyle w:val="InternetLink"/>
                  <w:rFonts w:ascii="Times New Roman;sans-serif" w:hAnsi="Times New Roman;sans-serif"/>
                  <w:b w:val="false"/>
                  <w:color w:val="000080"/>
                  <w:sz w:val="18"/>
                  <w:u w:val="single"/>
                </w:rPr>
                <w:t>R</w:t>
              </w:r>
            </w:hyperlink>
            <w:hyperlink w:anchor="if20e1f3d5a734e3eabbb6aa8f57c7562_3384">
              <w:r>
                <w:rPr>
                  <w:rStyle w:val="InternetLink"/>
                  <w:rFonts w:ascii="Times New Roman;sans-serif" w:hAnsi="Times New Roman;sans-serif"/>
                  <w:b w:val="false"/>
                  <w:color w:val="000080"/>
                  <w:sz w:val="18"/>
                  <w:u w:val="single"/>
                </w:rPr>
                <w:t>ece</w:t>
              </w:r>
            </w:hyperlink>
            <w:hyperlink w:anchor="if20e1f3d5a734e3eabbb6aa8f57c7562_3384">
              <w:r>
                <w:rPr>
                  <w:rStyle w:val="InternetLink"/>
                  <w:rFonts w:ascii="Times New Roman;sans-serif" w:hAnsi="Times New Roman;sans-serif"/>
                  <w:b w:val="false"/>
                  <w:color w:val="000080"/>
                  <w:sz w:val="18"/>
                  <w:u w:val="single"/>
                </w:rPr>
                <w:t>nt Deve</w:t>
              </w:r>
            </w:hyperlink>
            <w:hyperlink w:anchor="if20e1f3d5a734e3eabbb6aa8f57c7562_3384">
              <w:r>
                <w:rPr>
                  <w:rStyle w:val="InternetLink"/>
                  <w:rFonts w:ascii="Times New Roman;sans-serif" w:hAnsi="Times New Roman;sans-serif"/>
                  <w:b w:val="false"/>
                  <w:color w:val="000080"/>
                  <w:sz w:val="18"/>
                  <w:u w:val="single"/>
                </w:rPr>
                <w:t>lopment</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384">
              <w:r>
                <w:rPr>
                  <w:rStyle w:val="InternetLink"/>
                  <w:rFonts w:ascii="Times New Roman;sans-serif" w:hAnsi="Times New Roman;sans-serif"/>
                  <w:b w:val="false"/>
                  <w:color w:val="000080"/>
                  <w:sz w:val="18"/>
                  <w:u w:val="single"/>
                </w:rPr>
                <w:t>3</w:t>
              </w:r>
            </w:hyperlink>
            <w:hyperlink w:anchor="if20e1f3d5a734e3eabbb6aa8f57c7562_3384">
              <w:r>
                <w:rPr>
                  <w:rStyle w:val="InternetLink"/>
                  <w:rFonts w:ascii="Times New Roman;sans-serif" w:hAnsi="Times New Roman;sans-serif"/>
                  <w:b w:val="false"/>
                  <w:color w:val="000080"/>
                  <w:sz w:val="18"/>
                  <w:u w:val="single"/>
                </w:rPr>
                <w:t>8</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79">
              <w:r>
                <w:rPr>
                  <w:rStyle w:val="InternetLink"/>
                  <w:rFonts w:ascii="Times New Roman;sans-serif" w:hAnsi="Times New Roman;sans-serif"/>
                  <w:b w:val="false"/>
                  <w:color w:val="0000FF"/>
                  <w:sz w:val="18"/>
                  <w:u w:val="single"/>
                </w:rPr>
                <w:t>Factors Affecting Our Financial Condition and Results of Operations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79">
              <w:r>
                <w:rPr>
                  <w:rStyle w:val="InternetLink"/>
                  <w:rFonts w:ascii="Times New Roman;sans-serif" w:hAnsi="Times New Roman;sans-serif"/>
                  <w:b w:val="false"/>
                  <w:color w:val="000080"/>
                  <w:sz w:val="18"/>
                  <w:u w:val="single"/>
                </w:rPr>
                <w:t>3</w:t>
              </w:r>
            </w:hyperlink>
            <w:hyperlink w:anchor="if20e1f3d5a734e3eabbb6aa8f57c7562_279">
              <w:r>
                <w:rPr>
                  <w:rStyle w:val="InternetLink"/>
                  <w:rFonts w:ascii="Times New Roman;sans-serif" w:hAnsi="Times New Roman;sans-serif"/>
                  <w:b w:val="false"/>
                  <w:color w:val="000080"/>
                  <w:sz w:val="18"/>
                  <w:u w:val="single"/>
                </w:rPr>
                <w:t>9</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12">
              <w:r>
                <w:rPr>
                  <w:rStyle w:val="InternetLink"/>
                  <w:rFonts w:ascii="Times New Roman;sans-serif" w:hAnsi="Times New Roman;sans-serif"/>
                  <w:b w:val="false"/>
                  <w:color w:val="0000FF"/>
                  <w:sz w:val="18"/>
                  <w:u w:val="single"/>
                </w:rPr>
                <w:t>Results of Operations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12">
              <w:r>
                <w:rPr>
                  <w:rStyle w:val="InternetLink"/>
                  <w:rFonts w:ascii="Times New Roman;sans-serif" w:hAnsi="Times New Roman;sans-serif"/>
                  <w:b w:val="false"/>
                  <w:color w:val="000080"/>
                  <w:sz w:val="18"/>
                  <w:u w:val="single"/>
                </w:rPr>
                <w:t>4</w:t>
              </w:r>
            </w:hyperlink>
            <w:hyperlink w:anchor="if20e1f3d5a734e3eabbb6aa8f57c7562_312">
              <w:r>
                <w:rPr>
                  <w:rStyle w:val="InternetLink"/>
                  <w:rFonts w:ascii="Times New Roman;sans-serif" w:hAnsi="Times New Roman;sans-serif"/>
                  <w:b w:val="false"/>
                  <w:color w:val="000080"/>
                  <w:sz w:val="18"/>
                  <w:u w:val="single"/>
                </w:rPr>
                <w:t>2</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33">
              <w:r>
                <w:rPr>
                  <w:rStyle w:val="InternetLink"/>
                  <w:rFonts w:ascii="Times New Roman;sans-serif" w:hAnsi="Times New Roman;sans-serif"/>
                  <w:b w:val="false"/>
                  <w:color w:val="0000FF"/>
                  <w:sz w:val="18"/>
                  <w:u w:val="single"/>
                </w:rPr>
                <w:t>Liquidity and Capital Resources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33">
              <w:r>
                <w:rPr>
                  <w:rStyle w:val="InternetLink"/>
                  <w:rFonts w:ascii="Times New Roman;sans-serif" w:hAnsi="Times New Roman;sans-serif"/>
                  <w:b w:val="false"/>
                  <w:color w:val="000080"/>
                  <w:sz w:val="18"/>
                  <w:u w:val="single"/>
                </w:rPr>
                <w:t>5</w:t>
              </w:r>
            </w:hyperlink>
            <w:hyperlink w:anchor="if20e1f3d5a734e3eabbb6aa8f57c7562_333">
              <w:r>
                <w:rPr>
                  <w:rStyle w:val="InternetLink"/>
                  <w:rFonts w:ascii="Times New Roman;sans-serif" w:hAnsi="Times New Roman;sans-serif"/>
                  <w:b w:val="false"/>
                  <w:color w:val="000080"/>
                  <w:sz w:val="18"/>
                  <w:u w:val="single"/>
                </w:rPr>
                <w:t>0</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51">
              <w:r>
                <w:rPr>
                  <w:rStyle w:val="InternetLink"/>
                  <w:rFonts w:ascii="Times New Roman;sans-serif" w:hAnsi="Times New Roman;sans-serif"/>
                  <w:b w:val="false"/>
                  <w:color w:val="0000FF"/>
                  <w:sz w:val="18"/>
                  <w:u w:val="single"/>
                </w:rPr>
                <w:t>Cash Flow Activities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51">
              <w:r>
                <w:rPr>
                  <w:rStyle w:val="InternetLink"/>
                  <w:rFonts w:ascii="Times New Roman;sans-serif" w:hAnsi="Times New Roman;sans-serif"/>
                  <w:b w:val="false"/>
                  <w:color w:val="000080"/>
                  <w:sz w:val="18"/>
                  <w:u w:val="single"/>
                </w:rPr>
                <w:t>5</w:t>
              </w:r>
            </w:hyperlink>
            <w:hyperlink w:anchor="if20e1f3d5a734e3eabbb6aa8f57c7562_351">
              <w:r>
                <w:rPr>
                  <w:rStyle w:val="InternetLink"/>
                  <w:rFonts w:ascii="Times New Roman;sans-serif" w:hAnsi="Times New Roman;sans-serif"/>
                  <w:b w:val="false"/>
                  <w:color w:val="000080"/>
                  <w:sz w:val="18"/>
                  <w:u w:val="single"/>
                </w:rPr>
                <w:t>1</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54">
              <w:r>
                <w:rPr>
                  <w:rStyle w:val="InternetLink"/>
                  <w:rFonts w:ascii="Times New Roman;sans-serif" w:hAnsi="Times New Roman;sans-serif"/>
                  <w:b w:val="false"/>
                  <w:color w:val="0000FF"/>
                  <w:sz w:val="18"/>
                  <w:u w:val="single"/>
                </w:rPr>
                <w:t>Contractual Obligations and Commitments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54">
              <w:r>
                <w:rPr>
                  <w:rStyle w:val="InternetLink"/>
                  <w:rFonts w:ascii="Times New Roman;sans-serif" w:hAnsi="Times New Roman;sans-serif"/>
                  <w:b w:val="false"/>
                  <w:color w:val="000080"/>
                  <w:sz w:val="18"/>
                  <w:u w:val="single"/>
                </w:rPr>
                <w:t>5</w:t>
              </w:r>
            </w:hyperlink>
            <w:hyperlink w:anchor="if20e1f3d5a734e3eabbb6aa8f57c7562_354">
              <w:r>
                <w:rPr>
                  <w:rStyle w:val="InternetLink"/>
                  <w:rFonts w:ascii="Times New Roman;sans-serif" w:hAnsi="Times New Roman;sans-serif"/>
                  <w:b w:val="false"/>
                  <w:color w:val="000080"/>
                  <w:sz w:val="18"/>
                  <w:u w:val="single"/>
                </w:rPr>
                <w:t>2</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60">
              <w:r>
                <w:rPr>
                  <w:rStyle w:val="InternetLink"/>
                  <w:rFonts w:ascii="Times New Roman;sans-serif" w:hAnsi="Times New Roman;sans-serif"/>
                  <w:b w:val="false"/>
                  <w:color w:val="0000FF"/>
                  <w:sz w:val="18"/>
                  <w:u w:val="single"/>
                </w:rPr>
                <w:t>Non-GAAP Financial Measure</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60">
              <w:r>
                <w:rPr>
                  <w:rStyle w:val="InternetLink"/>
                  <w:rFonts w:ascii="Times New Roman;sans-serif" w:hAnsi="Times New Roman;sans-serif"/>
                  <w:b w:val="false"/>
                  <w:color w:val="000080"/>
                  <w:sz w:val="18"/>
                  <w:u w:val="single"/>
                </w:rPr>
                <w:t>5</w:t>
              </w:r>
            </w:hyperlink>
            <w:hyperlink w:anchor="if20e1f3d5a734e3eabbb6aa8f57c7562_360">
              <w:r>
                <w:rPr>
                  <w:rStyle w:val="InternetLink"/>
                  <w:rFonts w:ascii="Times New Roman;sans-serif" w:hAnsi="Times New Roman;sans-serif"/>
                  <w:b w:val="false"/>
                  <w:color w:val="000080"/>
                  <w:sz w:val="18"/>
                  <w:u w:val="single"/>
                </w:rPr>
                <w:t>2</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66">
              <w:r>
                <w:rPr>
                  <w:rStyle w:val="InternetLink"/>
                  <w:rFonts w:ascii="Times New Roman;sans-serif" w:hAnsi="Times New Roman;sans-serif"/>
                  <w:b w:val="false"/>
                  <w:color w:val="0000FF"/>
                  <w:sz w:val="18"/>
                  <w:u w:val="single"/>
                </w:rPr>
                <w:t>Critical Accounting Policies and Estimates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66">
              <w:r>
                <w:rPr>
                  <w:rStyle w:val="InternetLink"/>
                  <w:rFonts w:ascii="Times New Roman;sans-serif" w:hAnsi="Times New Roman;sans-serif"/>
                  <w:b w:val="false"/>
                  <w:color w:val="000080"/>
                  <w:sz w:val="18"/>
                  <w:u w:val="single"/>
                </w:rPr>
                <w:t>5</w:t>
              </w:r>
            </w:hyperlink>
            <w:hyperlink w:anchor="if20e1f3d5a734e3eabbb6aa8f57c7562_366">
              <w:r>
                <w:rPr>
                  <w:rStyle w:val="InternetLink"/>
                  <w:rFonts w:ascii="Times New Roman;sans-serif" w:hAnsi="Times New Roman;sans-serif"/>
                  <w:b w:val="false"/>
                  <w:color w:val="000080"/>
                  <w:sz w:val="18"/>
                  <w:u w:val="single"/>
                </w:rPr>
                <w:t>4</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fc6e2d7ef3043c28caef0f602713585_3083">
              <w:r>
                <w:rPr>
                  <w:rStyle w:val="InternetLink"/>
                  <w:rFonts w:ascii="Times New Roman;sans-serif" w:hAnsi="Times New Roman;sans-serif"/>
                  <w:b w:val="false"/>
                  <w:color w:val="000080"/>
                  <w:sz w:val="18"/>
                  <w:u w:val="single"/>
                </w:rPr>
                <w:t>ITEM</w:t>
              </w:r>
            </w:hyperlink>
            <w:hyperlink w:anchor="iefc6e2d7ef3043c28caef0f602713585_3083">
              <w:r>
                <w:rPr>
                  <w:rStyle w:val="InternetLink"/>
                  <w:rFonts w:ascii="Times New Roman;sans-serif" w:hAnsi="Times New Roman;sans-serif"/>
                  <w:b w:val="false"/>
                  <w:color w:val="000080"/>
                  <w:sz w:val="18"/>
                  <w:u w:val="single"/>
                </w:rPr>
                <w:t xml:space="preserve"> 3. </w:t>
              </w:r>
            </w:hyperlink>
            <w:hyperlink w:anchor="iefc6e2d7ef3043c28caef0f602713585_3083">
              <w:r>
                <w:rPr>
                  <w:rStyle w:val="InternetLink"/>
                  <w:rFonts w:ascii="Times New Roman;sans-serif" w:hAnsi="Times New Roman;sans-serif"/>
                  <w:b w:val="false"/>
                  <w:color w:val="000080"/>
                  <w:sz w:val="18"/>
                  <w:u w:val="single"/>
                </w:rPr>
                <w:t>QUA</w:t>
              </w:r>
            </w:hyperlink>
            <w:hyperlink w:anchor="iefc6e2d7ef3043c28caef0f602713585_3083">
              <w:r>
                <w:rPr>
                  <w:rStyle w:val="InternetLink"/>
                  <w:rFonts w:ascii="Times New Roman;sans-serif" w:hAnsi="Times New Roman;sans-serif"/>
                  <w:b w:val="false"/>
                  <w:color w:val="000080"/>
                  <w:sz w:val="18"/>
                  <w:u w:val="single"/>
                </w:rPr>
                <w:t>NTITATIVE AND QUALITATIVE DISCLO</w:t>
              </w:r>
            </w:hyperlink>
            <w:hyperlink w:anchor="iefc6e2d7ef3043c28caef0f602713585_3083">
              <w:r>
                <w:rPr>
                  <w:rStyle w:val="InternetLink"/>
                  <w:rFonts w:ascii="Times New Roman;sans-serif" w:hAnsi="Times New Roman;sans-serif"/>
                  <w:b w:val="false"/>
                  <w:color w:val="000080"/>
                  <w:sz w:val="18"/>
                  <w:u w:val="single"/>
                </w:rPr>
                <w:t>SURES ABOUT MARKET RISK</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fc6e2d7ef3043c28caef0f602713585_3083">
              <w:r>
                <w:rPr>
                  <w:rStyle w:val="InternetLink"/>
                  <w:rFonts w:ascii="Times New Roman;sans-serif" w:hAnsi="Times New Roman;sans-serif"/>
                  <w:b w:val="false"/>
                  <w:color w:val="0000FF"/>
                  <w:sz w:val="18"/>
                  <w:u w:val="single"/>
                </w:rPr>
                <w:t>55</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w:t>
            </w:r>
            <w:hyperlink w:anchor="ib4f82f200d17434a9b8b42cd0b95952c_5906">
              <w:r>
                <w:rPr>
                  <w:rStyle w:val="InternetLink"/>
                  <w:rFonts w:ascii="Times New Roman;sans-serif" w:hAnsi="Times New Roman;sans-serif"/>
                  <w:b w:val="false"/>
                  <w:color w:val="000080"/>
                  <w:sz w:val="18"/>
                  <w:u w:val="single"/>
                </w:rPr>
                <w:t>TEM</w:t>
              </w:r>
            </w:hyperlink>
            <w:hyperlink w:anchor="ib4f82f200d17434a9b8b42cd0b95952c_5906">
              <w:r>
                <w:rPr>
                  <w:rStyle w:val="InternetLink"/>
                  <w:rFonts w:ascii="Times New Roman;sans-serif" w:hAnsi="Times New Roman;sans-serif"/>
                  <w:b w:val="false"/>
                  <w:color w:val="000080"/>
                  <w:sz w:val="18"/>
                  <w:u w:val="single"/>
                </w:rPr>
                <w:t xml:space="preserve"> 4. </w:t>
              </w:r>
            </w:hyperlink>
            <w:hyperlink w:anchor="ib4f82f200d17434a9b8b42cd0b95952c_5906">
              <w:r>
                <w:rPr>
                  <w:rStyle w:val="InternetLink"/>
                  <w:rFonts w:ascii="Times New Roman;sans-serif" w:hAnsi="Times New Roman;sans-serif"/>
                  <w:b w:val="false"/>
                  <w:color w:val="000080"/>
                  <w:sz w:val="18"/>
                  <w:u w:val="single"/>
                </w:rPr>
                <w:t>C</w:t>
              </w:r>
            </w:hyperlink>
            <w:hyperlink w:anchor="ib4f82f200d17434a9b8b42cd0b95952c_5906">
              <w:r>
                <w:rPr>
                  <w:rStyle w:val="InternetLink"/>
                  <w:rFonts w:ascii="Times New Roman;sans-serif" w:hAnsi="Times New Roman;sans-serif"/>
                  <w:b w:val="false"/>
                  <w:color w:val="000080"/>
                  <w:sz w:val="18"/>
                  <w:u w:val="single"/>
                </w:rPr>
                <w:t>ONTROLS AND PROCEDURES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f82f200d17434a9b8b42cd0b95952c_5906">
              <w:r>
                <w:rPr>
                  <w:rStyle w:val="InternetLink"/>
                  <w:rFonts w:ascii="Times New Roman;sans-serif" w:hAnsi="Times New Roman;sans-serif"/>
                  <w:b w:val="false"/>
                  <w:color w:val="0000FF"/>
                  <w:sz w:val="18"/>
                  <w:u w:val="single"/>
                </w:rPr>
                <w:t>55</w:t>
              </w:r>
            </w:hyperlink>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4e4ce2cbe9c4f4eb2694fa668e425f1_92">
              <w:r>
                <w:rPr>
                  <w:rStyle w:val="InternetLink"/>
                  <w:rFonts w:ascii="Times New Roman;sans-serif" w:hAnsi="Times New Roman;sans-serif"/>
                  <w:b w:val="false"/>
                  <w:color w:val="000080"/>
                  <w:sz w:val="18"/>
                  <w:u w:val="single"/>
                </w:rPr>
                <w:t>P</w:t>
              </w:r>
            </w:hyperlink>
            <w:hyperlink w:anchor="id4e4ce2cbe9c4f4eb2694fa668e425f1_92">
              <w:r>
                <w:rPr>
                  <w:rStyle w:val="InternetLink"/>
                  <w:rFonts w:ascii="Times New Roman;sans-serif" w:hAnsi="Times New Roman;sans-serif"/>
                  <w:b w:val="false"/>
                  <w:color w:val="000080"/>
                  <w:sz w:val="18"/>
                  <w:u w:val="single"/>
                </w:rPr>
                <w:t>ART</w:t>
              </w:r>
            </w:hyperlink>
            <w:hyperlink w:anchor="id4e4ce2cbe9c4f4eb2694fa668e425f1_92">
              <w:r>
                <w:rPr>
                  <w:rStyle w:val="InternetLink"/>
                  <w:rFonts w:ascii="Times New Roman;sans-serif" w:hAnsi="Times New Roman;sans-serif"/>
                  <w:b w:val="false"/>
                  <w:color w:val="000080"/>
                  <w:sz w:val="18"/>
                  <w:u w:val="single"/>
                </w:rPr>
                <w:t xml:space="preserve"> II. OTHER INFORMATION</w:t>
              </w:r>
            </w:hyperlink>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7862db41d154f51ad1b8969ca6e2821_32562">
              <w:r>
                <w:rPr>
                  <w:rStyle w:val="InternetLink"/>
                  <w:rFonts w:ascii="Times New Roman;sans-serif" w:hAnsi="Times New Roman;sans-serif"/>
                  <w:b w:val="false"/>
                  <w:color w:val="000080"/>
                  <w:sz w:val="18"/>
                  <w:u w:val="single"/>
                </w:rPr>
                <w:t>IT</w:t>
              </w:r>
            </w:hyperlink>
            <w:hyperlink w:anchor="i77862db41d154f51ad1b8969ca6e2821_32562">
              <w:r>
                <w:rPr>
                  <w:rStyle w:val="InternetLink"/>
                  <w:rFonts w:ascii="Times New Roman;sans-serif" w:hAnsi="Times New Roman;sans-serif"/>
                  <w:b w:val="false"/>
                  <w:color w:val="000080"/>
                  <w:sz w:val="18"/>
                  <w:u w:val="single"/>
                </w:rPr>
                <w:t>EM</w:t>
              </w:r>
            </w:hyperlink>
            <w:hyperlink w:anchor="i77862db41d154f51ad1b8969ca6e2821_32562">
              <w:r>
                <w:rPr>
                  <w:rStyle w:val="InternetLink"/>
                  <w:rFonts w:ascii="Times New Roman;sans-serif" w:hAnsi="Times New Roman;sans-serif"/>
                  <w:b w:val="false"/>
                  <w:color w:val="000080"/>
                  <w:sz w:val="18"/>
                  <w:u w:val="single"/>
                </w:rPr>
                <w:t xml:space="preserve"> 1. </w:t>
              </w:r>
            </w:hyperlink>
            <w:hyperlink w:anchor="i77862db41d154f51ad1b8969ca6e2821_32562">
              <w:r>
                <w:rPr>
                  <w:rStyle w:val="InternetLink"/>
                  <w:rFonts w:ascii="Times New Roman;sans-serif" w:hAnsi="Times New Roman;sans-serif"/>
                  <w:b w:val="false"/>
                  <w:color w:val="000080"/>
                  <w:sz w:val="18"/>
                  <w:u w:val="single"/>
                </w:rPr>
                <w:t>L</w:t>
              </w:r>
            </w:hyperlink>
            <w:hyperlink w:anchor="i77862db41d154f51ad1b8969ca6e2821_32562">
              <w:r>
                <w:rPr>
                  <w:rStyle w:val="InternetLink"/>
                  <w:rFonts w:ascii="Times New Roman;sans-serif" w:hAnsi="Times New Roman;sans-serif"/>
                  <w:b w:val="false"/>
                  <w:color w:val="000080"/>
                  <w:sz w:val="18"/>
                  <w:u w:val="single"/>
                </w:rPr>
                <w:t>EGAL PROCEEDINGS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862db41d154f51ad1b8969ca6e2821_32562">
              <w:r>
                <w:rPr>
                  <w:rStyle w:val="InternetLink"/>
                  <w:rFonts w:ascii="Times New Roman;sans-serif" w:hAnsi="Times New Roman;sans-serif"/>
                  <w:b w:val="false"/>
                  <w:color w:val="0000FF"/>
                  <w:sz w:val="18"/>
                  <w:u w:val="single"/>
                </w:rPr>
                <w:t>56</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16f6e04e5a1455d85eaf2a2a69c99d6_1046">
              <w:r>
                <w:rPr>
                  <w:rStyle w:val="InternetLink"/>
                  <w:rFonts w:ascii="Times New Roman;sans-serif" w:hAnsi="Times New Roman;sans-serif"/>
                  <w:b w:val="false"/>
                  <w:color w:val="000080"/>
                  <w:sz w:val="18"/>
                  <w:u w:val="single"/>
                </w:rPr>
                <w:t>I</w:t>
              </w:r>
            </w:hyperlink>
            <w:hyperlink w:anchor="i616f6e04e5a1455d85eaf2a2a69c99d6_1046">
              <w:r>
                <w:rPr>
                  <w:rStyle w:val="InternetLink"/>
                  <w:rFonts w:ascii="Times New Roman;sans-serif" w:hAnsi="Times New Roman;sans-serif"/>
                  <w:b w:val="false"/>
                  <w:color w:val="000080"/>
                  <w:sz w:val="18"/>
                  <w:u w:val="single"/>
                </w:rPr>
                <w:t>TEM</w:t>
              </w:r>
            </w:hyperlink>
            <w:hyperlink w:anchor="i616f6e04e5a1455d85eaf2a2a69c99d6_1046">
              <w:r>
                <w:rPr>
                  <w:rStyle w:val="InternetLink"/>
                  <w:rFonts w:ascii="Times New Roman;sans-serif" w:hAnsi="Times New Roman;sans-serif"/>
                  <w:b w:val="false"/>
                  <w:color w:val="000080"/>
                  <w:sz w:val="18"/>
                  <w:u w:val="single"/>
                </w:rPr>
                <w:t xml:space="preserve"> 1A. R</w:t>
              </w:r>
            </w:hyperlink>
            <w:hyperlink w:anchor="i616f6e04e5a1455d85eaf2a2a69c99d6_1046">
              <w:r>
                <w:rPr>
                  <w:rStyle w:val="InternetLink"/>
                  <w:rFonts w:ascii="Times New Roman;sans-serif" w:hAnsi="Times New Roman;sans-serif"/>
                  <w:b w:val="false"/>
                  <w:color w:val="000080"/>
                  <w:sz w:val="18"/>
                  <w:u w:val="single"/>
                </w:rPr>
                <w:t>ISK FACTORS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6f6e04e5a1455d85eaf2a2a69c99d6_1046">
              <w:r>
                <w:rPr>
                  <w:rStyle w:val="InternetLink"/>
                  <w:rFonts w:ascii="Times New Roman;sans-serif" w:hAnsi="Times New Roman;sans-serif"/>
                  <w:b w:val="false"/>
                  <w:color w:val="000080"/>
                  <w:sz w:val="18"/>
                  <w:u w:val="single"/>
                </w:rPr>
                <w:t>5</w:t>
              </w:r>
            </w:hyperlink>
            <w:hyperlink w:anchor="i616f6e04e5a1455d85eaf2a2a69c99d6_1046">
              <w:r>
                <w:rPr>
                  <w:rStyle w:val="InternetLink"/>
                  <w:rFonts w:ascii="Times New Roman;sans-serif" w:hAnsi="Times New Roman;sans-serif"/>
                  <w:b w:val="false"/>
                  <w:color w:val="000080"/>
                  <w:sz w:val="18"/>
                  <w:u w:val="single"/>
                </w:rPr>
                <w:t>6</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1b7de8c1c1b4b6eaea363d7ec3d0431_25449">
              <w:r>
                <w:rPr>
                  <w:rStyle w:val="InternetLink"/>
                  <w:rFonts w:ascii="Times New Roman;sans-serif" w:hAnsi="Times New Roman;sans-serif"/>
                  <w:b w:val="false"/>
                  <w:color w:val="000080"/>
                  <w:sz w:val="18"/>
                  <w:u w:val="single"/>
                </w:rPr>
                <w:t>I</w:t>
              </w:r>
            </w:hyperlink>
            <w:hyperlink w:anchor="i01b7de8c1c1b4b6eaea363d7ec3d0431_25449">
              <w:r>
                <w:rPr>
                  <w:rStyle w:val="InternetLink"/>
                  <w:rFonts w:ascii="Times New Roman;sans-serif" w:hAnsi="Times New Roman;sans-serif"/>
                  <w:b w:val="false"/>
                  <w:color w:val="000080"/>
                  <w:sz w:val="18"/>
                  <w:u w:val="single"/>
                </w:rPr>
                <w:t>TEM</w:t>
              </w:r>
            </w:hyperlink>
            <w:hyperlink w:anchor="i01b7de8c1c1b4b6eaea363d7ec3d0431_25449">
              <w:r>
                <w:rPr>
                  <w:rStyle w:val="InternetLink"/>
                  <w:rFonts w:ascii="Times New Roman;sans-serif" w:hAnsi="Times New Roman;sans-serif"/>
                  <w:b w:val="false"/>
                  <w:color w:val="000080"/>
                  <w:sz w:val="18"/>
                  <w:u w:val="single"/>
                </w:rPr>
                <w:t xml:space="preserve"> 2. U</w:t>
              </w:r>
            </w:hyperlink>
            <w:hyperlink w:anchor="i01b7de8c1c1b4b6eaea363d7ec3d0431_25449">
              <w:r>
                <w:rPr>
                  <w:rStyle w:val="InternetLink"/>
                  <w:rFonts w:ascii="Times New Roman;sans-serif" w:hAnsi="Times New Roman;sans-serif"/>
                  <w:b w:val="false"/>
                  <w:color w:val="000080"/>
                  <w:sz w:val="18"/>
                  <w:u w:val="single"/>
                </w:rPr>
                <w:t>NRE</w:t>
              </w:r>
            </w:hyperlink>
            <w:hyperlink w:anchor="i01b7de8c1c1b4b6eaea363d7ec3d0431_25449">
              <w:r>
                <w:rPr>
                  <w:rStyle w:val="InternetLink"/>
                  <w:rFonts w:ascii="Times New Roman;sans-serif" w:hAnsi="Times New Roman;sans-serif"/>
                  <w:b w:val="false"/>
                  <w:color w:val="000080"/>
                  <w:sz w:val="18"/>
                  <w:u w:val="single"/>
                </w:rPr>
                <w:t>G</w:t>
              </w:r>
            </w:hyperlink>
            <w:hyperlink w:anchor="i01b7de8c1c1b4b6eaea363d7ec3d0431_25449">
              <w:r>
                <w:rPr>
                  <w:rStyle w:val="InternetLink"/>
                  <w:rFonts w:ascii="Times New Roman;sans-serif" w:hAnsi="Times New Roman;sans-serif"/>
                  <w:b w:val="false"/>
                  <w:color w:val="000080"/>
                  <w:sz w:val="18"/>
                  <w:u w:val="single"/>
                </w:rPr>
                <w:t>ISTERED SALES OF EQUITY AND USE OF PROCEEDS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b7de8c1c1b4b6eaea363d7ec3d0431_25449">
              <w:r>
                <w:rPr>
                  <w:rStyle w:val="InternetLink"/>
                  <w:rFonts w:ascii="Times New Roman;sans-serif" w:hAnsi="Times New Roman;sans-serif"/>
                  <w:b w:val="false"/>
                  <w:color w:val="0000FF"/>
                  <w:sz w:val="18"/>
                  <w:u w:val="single"/>
                </w:rPr>
                <w:t>56</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1eaa164d8a44d26999b2082a3331595_356">
              <w:r>
                <w:rPr>
                  <w:rStyle w:val="InternetLink"/>
                  <w:rFonts w:ascii="Times New Roman;sans-serif" w:hAnsi="Times New Roman;sans-serif"/>
                  <w:b w:val="false"/>
                  <w:color w:val="000080"/>
                  <w:sz w:val="18"/>
                  <w:u w:val="single"/>
                </w:rPr>
                <w:t>ITEM</w:t>
              </w:r>
            </w:hyperlink>
            <w:hyperlink w:anchor="i81eaa164d8a44d26999b2082a3331595_356">
              <w:r>
                <w:rPr>
                  <w:rStyle w:val="InternetLink"/>
                  <w:rFonts w:ascii="Times New Roman;sans-serif" w:hAnsi="Times New Roman;sans-serif"/>
                  <w:b w:val="false"/>
                  <w:color w:val="000080"/>
                  <w:sz w:val="18"/>
                  <w:u w:val="single"/>
                </w:rPr>
                <w:t xml:space="preserve"> 3. </w:t>
              </w:r>
            </w:hyperlink>
            <w:hyperlink w:anchor="i81eaa164d8a44d26999b2082a3331595_356">
              <w:r>
                <w:rPr>
                  <w:rStyle w:val="InternetLink"/>
                  <w:rFonts w:ascii="Times New Roman;sans-serif" w:hAnsi="Times New Roman;sans-serif"/>
                  <w:b w:val="false"/>
                  <w:color w:val="000080"/>
                  <w:sz w:val="18"/>
                  <w:u w:val="single"/>
                </w:rPr>
                <w:t>D</w:t>
              </w:r>
            </w:hyperlink>
            <w:hyperlink w:anchor="i81eaa164d8a44d26999b2082a3331595_356">
              <w:r>
                <w:rPr>
                  <w:rStyle w:val="InternetLink"/>
                  <w:rFonts w:ascii="Times New Roman;sans-serif" w:hAnsi="Times New Roman;sans-serif"/>
                  <w:b w:val="false"/>
                  <w:color w:val="000080"/>
                  <w:sz w:val="18"/>
                  <w:u w:val="single"/>
                </w:rPr>
                <w:t>EF</w:t>
              </w:r>
            </w:hyperlink>
            <w:hyperlink w:anchor="i81eaa164d8a44d26999b2082a3331595_356">
              <w:r>
                <w:rPr>
                  <w:rStyle w:val="InternetLink"/>
                  <w:rFonts w:ascii="Times New Roman;sans-serif" w:hAnsi="Times New Roman;sans-serif"/>
                  <w:b w:val="false"/>
                  <w:color w:val="000080"/>
                  <w:sz w:val="18"/>
                  <w:u w:val="single"/>
                </w:rPr>
                <w:t>AULTS UPON SENIOR SECURITI</w:t>
              </w:r>
            </w:hyperlink>
            <w:hyperlink w:anchor="i81eaa164d8a44d26999b2082a3331595_356">
              <w:r>
                <w:rPr>
                  <w:rStyle w:val="InternetLink"/>
                  <w:rFonts w:ascii="Times New Roman;sans-serif" w:hAnsi="Times New Roman;sans-serif"/>
                  <w:b w:val="false"/>
                  <w:color w:val="000080"/>
                  <w:sz w:val="18"/>
                  <w:u w:val="single"/>
                </w:rPr>
                <w:t>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1eaa164d8a44d26999b2082a3331595_356">
              <w:r>
                <w:rPr>
                  <w:rStyle w:val="InternetLink"/>
                  <w:rFonts w:ascii="Times New Roman;sans-serif" w:hAnsi="Times New Roman;sans-serif"/>
                  <w:b w:val="false"/>
                  <w:color w:val="0000FF"/>
                  <w:sz w:val="18"/>
                  <w:u w:val="single"/>
                </w:rPr>
                <w:t>57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29e02ee5b44422289f62612912cfb6f_304">
              <w:r>
                <w:rPr>
                  <w:rStyle w:val="InternetLink"/>
                  <w:rFonts w:ascii="Times New Roman;sans-serif" w:hAnsi="Times New Roman;sans-serif"/>
                  <w:b w:val="false"/>
                  <w:color w:val="000080"/>
                  <w:sz w:val="18"/>
                  <w:u w:val="single"/>
                </w:rPr>
                <w:t>I</w:t>
              </w:r>
            </w:hyperlink>
            <w:hyperlink w:anchor="i029e02ee5b44422289f62612912cfb6f_304">
              <w:r>
                <w:rPr>
                  <w:rStyle w:val="InternetLink"/>
                  <w:rFonts w:ascii="Times New Roman;sans-serif" w:hAnsi="Times New Roman;sans-serif"/>
                  <w:b w:val="false"/>
                  <w:color w:val="000080"/>
                  <w:sz w:val="18"/>
                  <w:u w:val="single"/>
                </w:rPr>
                <w:t>TEM</w:t>
              </w:r>
            </w:hyperlink>
            <w:hyperlink w:anchor="i029e02ee5b44422289f62612912cfb6f_304">
              <w:r>
                <w:rPr>
                  <w:rStyle w:val="InternetLink"/>
                  <w:rFonts w:ascii="Times New Roman;sans-serif" w:hAnsi="Times New Roman;sans-serif"/>
                  <w:b w:val="false"/>
                  <w:color w:val="000080"/>
                  <w:sz w:val="18"/>
                  <w:u w:val="single"/>
                </w:rPr>
                <w:t xml:space="preserve"> 4. </w:t>
              </w:r>
            </w:hyperlink>
            <w:hyperlink w:anchor="i029e02ee5b44422289f62612912cfb6f_304">
              <w:r>
                <w:rPr>
                  <w:rStyle w:val="InternetLink"/>
                  <w:rFonts w:ascii="Times New Roman;sans-serif" w:hAnsi="Times New Roman;sans-serif"/>
                  <w:b w:val="false"/>
                  <w:color w:val="000080"/>
                  <w:sz w:val="18"/>
                  <w:u w:val="single"/>
                </w:rPr>
                <w:t>MINE S</w:t>
              </w:r>
            </w:hyperlink>
            <w:hyperlink w:anchor="i029e02ee5b44422289f62612912cfb6f_304">
              <w:r>
                <w:rPr>
                  <w:rStyle w:val="InternetLink"/>
                  <w:rFonts w:ascii="Times New Roman;sans-serif" w:hAnsi="Times New Roman;sans-serif"/>
                  <w:b w:val="false"/>
                  <w:color w:val="000080"/>
                  <w:sz w:val="18"/>
                  <w:u w:val="single"/>
                </w:rPr>
                <w:t>AF</w:t>
              </w:r>
            </w:hyperlink>
            <w:hyperlink w:anchor="i029e02ee5b44422289f62612912cfb6f_304">
              <w:r>
                <w:rPr>
                  <w:rStyle w:val="InternetLink"/>
                  <w:rFonts w:ascii="Times New Roman;sans-serif" w:hAnsi="Times New Roman;sans-serif"/>
                  <w:b w:val="false"/>
                  <w:color w:val="000080"/>
                  <w:sz w:val="18"/>
                  <w:u w:val="single"/>
                </w:rPr>
                <w:t>ET</w:t>
              </w:r>
            </w:hyperlink>
            <w:hyperlink w:anchor="i029e02ee5b44422289f62612912cfb6f_304">
              <w:r>
                <w:rPr>
                  <w:rStyle w:val="InternetLink"/>
                  <w:rFonts w:ascii="Times New Roman;sans-serif" w:hAnsi="Times New Roman;sans-serif"/>
                  <w:b w:val="false"/>
                  <w:color w:val="000080"/>
                  <w:sz w:val="18"/>
                  <w:u w:val="single"/>
                </w:rPr>
                <w:t>Y DISCLOSURES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9e02ee5b44422289f62612912cfb6f_304">
              <w:r>
                <w:rPr>
                  <w:rStyle w:val="InternetLink"/>
                  <w:rFonts w:ascii="Times New Roman;sans-serif" w:hAnsi="Times New Roman;sans-serif"/>
                  <w:b w:val="false"/>
                  <w:color w:val="0000FF"/>
                  <w:sz w:val="18"/>
                  <w:u w:val="single"/>
                </w:rPr>
                <w:t>57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e43fe0a7804ae698a62ef95c615d6e_1377">
              <w:r>
                <w:rPr>
                  <w:rStyle w:val="InternetLink"/>
                  <w:rFonts w:ascii="Times New Roman;sans-serif" w:hAnsi="Times New Roman;sans-serif"/>
                  <w:b w:val="false"/>
                  <w:color w:val="000080"/>
                  <w:sz w:val="18"/>
                  <w:u w:val="single"/>
                </w:rPr>
                <w:t>I</w:t>
              </w:r>
            </w:hyperlink>
            <w:hyperlink w:anchor="id5e43fe0a7804ae698a62ef95c615d6e_1377">
              <w:r>
                <w:rPr>
                  <w:rStyle w:val="InternetLink"/>
                  <w:rFonts w:ascii="Times New Roman;sans-serif" w:hAnsi="Times New Roman;sans-serif"/>
                  <w:b w:val="false"/>
                  <w:color w:val="000080"/>
                  <w:sz w:val="18"/>
                  <w:u w:val="single"/>
                </w:rPr>
                <w:t>TEM</w:t>
              </w:r>
            </w:hyperlink>
            <w:hyperlink w:anchor="id5e43fe0a7804ae698a62ef95c615d6e_1377">
              <w:r>
                <w:rPr>
                  <w:rStyle w:val="InternetLink"/>
                  <w:rFonts w:ascii="Times New Roman;sans-serif" w:hAnsi="Times New Roman;sans-serif"/>
                  <w:b w:val="false"/>
                  <w:color w:val="000080"/>
                  <w:sz w:val="18"/>
                  <w:u w:val="single"/>
                </w:rPr>
                <w:t xml:space="preserve"> 5. </w:t>
              </w:r>
            </w:hyperlink>
            <w:hyperlink w:anchor="id5e43fe0a7804ae698a62ef95c615d6e_1377">
              <w:r>
                <w:rPr>
                  <w:rStyle w:val="InternetLink"/>
                  <w:rFonts w:ascii="Times New Roman;sans-serif" w:hAnsi="Times New Roman;sans-serif"/>
                  <w:b w:val="false"/>
                  <w:color w:val="000080"/>
                  <w:sz w:val="18"/>
                  <w:u w:val="single"/>
                </w:rPr>
                <w:t>O</w:t>
              </w:r>
            </w:hyperlink>
            <w:hyperlink w:anchor="id5e43fe0a7804ae698a62ef95c615d6e_1377">
              <w:r>
                <w:rPr>
                  <w:rStyle w:val="InternetLink"/>
                  <w:rFonts w:ascii="Times New Roman;sans-serif" w:hAnsi="Times New Roman;sans-serif"/>
                  <w:b w:val="false"/>
                  <w:color w:val="000080"/>
                  <w:sz w:val="18"/>
                  <w:u w:val="single"/>
                </w:rPr>
                <w:t>THER IN</w:t>
              </w:r>
            </w:hyperlink>
            <w:hyperlink w:anchor="id5e43fe0a7804ae698a62ef95c615d6e_1377">
              <w:r>
                <w:rPr>
                  <w:rStyle w:val="InternetLink"/>
                  <w:rFonts w:ascii="Times New Roman;sans-serif" w:hAnsi="Times New Roman;sans-serif"/>
                  <w:b w:val="false"/>
                  <w:color w:val="000080"/>
                  <w:sz w:val="18"/>
                  <w:u w:val="single"/>
                </w:rPr>
                <w:t>FORMATION</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e43fe0a7804ae698a62ef95c615d6e_1377">
              <w:r>
                <w:rPr>
                  <w:rStyle w:val="InternetLink"/>
                  <w:rFonts w:ascii="Times New Roman;sans-serif" w:hAnsi="Times New Roman;sans-serif"/>
                  <w:b w:val="false"/>
                  <w:color w:val="000080"/>
                  <w:sz w:val="18"/>
                  <w:u w:val="single"/>
                </w:rPr>
                <w:t>5</w:t>
              </w:r>
            </w:hyperlink>
            <w:hyperlink w:anchor="id5e43fe0a7804ae698a62ef95c615d6e_1377">
              <w:r>
                <w:rPr>
                  <w:rStyle w:val="InternetLink"/>
                  <w:rFonts w:ascii="Times New Roman;sans-serif" w:hAnsi="Times New Roman;sans-serif"/>
                  <w:b w:val="false"/>
                  <w:color w:val="000080"/>
                  <w:sz w:val="18"/>
                  <w:u w:val="single"/>
                </w:rPr>
                <w:t>7</w:t>
              </w:r>
            </w:hyperlink>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cf2598a11b748a48a85250cee27331c_421">
              <w:r>
                <w:rPr>
                  <w:rStyle w:val="InternetLink"/>
                  <w:rFonts w:ascii="Times New Roman;sans-serif" w:hAnsi="Times New Roman;sans-serif"/>
                  <w:b w:val="false"/>
                  <w:color w:val="000080"/>
                  <w:sz w:val="18"/>
                  <w:u w:val="single"/>
                </w:rPr>
                <w:t>I</w:t>
              </w:r>
            </w:hyperlink>
            <w:hyperlink w:anchor="i3cf2598a11b748a48a85250cee27331c_421">
              <w:r>
                <w:rPr>
                  <w:rStyle w:val="InternetLink"/>
                  <w:rFonts w:ascii="Times New Roman;sans-serif" w:hAnsi="Times New Roman;sans-serif"/>
                  <w:b w:val="false"/>
                  <w:color w:val="000080"/>
                  <w:sz w:val="18"/>
                  <w:u w:val="single"/>
                </w:rPr>
                <w:t>TEM</w:t>
              </w:r>
            </w:hyperlink>
            <w:hyperlink w:anchor="i3cf2598a11b748a48a85250cee27331c_421">
              <w:r>
                <w:rPr>
                  <w:rStyle w:val="InternetLink"/>
                  <w:rFonts w:ascii="Times New Roman;sans-serif" w:hAnsi="Times New Roman;sans-serif"/>
                  <w:b w:val="false"/>
                  <w:color w:val="000080"/>
                  <w:sz w:val="18"/>
                  <w:u w:val="single"/>
                </w:rPr>
                <w:t xml:space="preserve"> 6. </w:t>
              </w:r>
            </w:hyperlink>
            <w:hyperlink w:anchor="i3cf2598a11b748a48a85250cee27331c_421">
              <w:r>
                <w:rPr>
                  <w:rStyle w:val="InternetLink"/>
                  <w:rFonts w:ascii="Times New Roman;sans-serif" w:hAnsi="Times New Roman;sans-serif"/>
                  <w:b w:val="false"/>
                  <w:color w:val="000080"/>
                  <w:sz w:val="18"/>
                  <w:u w:val="single"/>
                </w:rPr>
                <w:t>EXHIBITS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f2598a11b748a48a85250cee27331c_421">
              <w:r>
                <w:rPr>
                  <w:rStyle w:val="InternetLink"/>
                  <w:rFonts w:ascii="Times New Roman;sans-serif" w:hAnsi="Times New Roman;sans-serif"/>
                  <w:b w:val="false"/>
                  <w:color w:val="000080"/>
                  <w:sz w:val="18"/>
                  <w:u w:val="single"/>
                </w:rPr>
                <w:t>5</w:t>
              </w:r>
            </w:hyperlink>
            <w:hyperlink w:anchor="i3cf2598a11b748a48a85250cee27331c_421">
              <w:r>
                <w:rPr>
                  <w:rStyle w:val="InternetLink"/>
                  <w:rFonts w:ascii="Times New Roman;sans-serif" w:hAnsi="Times New Roman;sans-serif"/>
                  <w:b w:val="false"/>
                  <w:color w:val="000080"/>
                  <w:sz w:val="18"/>
                  <w:u w:val="single"/>
                </w:rPr>
                <w:t>7</w:t>
              </w:r>
            </w:hyperlink>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820191e5a5e4caaab6e50f6b441fcd8_202745">
              <w:r>
                <w:rPr>
                  <w:rStyle w:val="InternetLink"/>
                  <w:rFonts w:ascii="Times New Roman;sans-serif" w:hAnsi="Times New Roman;sans-serif"/>
                  <w:b w:val="false"/>
                  <w:color w:val="000080"/>
                  <w:sz w:val="18"/>
                  <w:u w:val="single"/>
                </w:rPr>
                <w:t>G</w:t>
              </w:r>
            </w:hyperlink>
            <w:hyperlink w:anchor="i3820191e5a5e4caaab6e50f6b441fcd8_202745">
              <w:r>
                <w:rPr>
                  <w:rStyle w:val="InternetLink"/>
                  <w:rFonts w:ascii="Times New Roman;sans-serif" w:hAnsi="Times New Roman;sans-serif"/>
                  <w:b w:val="false"/>
                  <w:color w:val="000080"/>
                  <w:sz w:val="18"/>
                  <w:u w:val="single"/>
                </w:rPr>
                <w:t>LOSSAR</w:t>
              </w:r>
            </w:hyperlink>
            <w:hyperlink w:anchor="i3820191e5a5e4caaab6e50f6b441fcd8_202745">
              <w:r>
                <w:rPr>
                  <w:rStyle w:val="InternetLink"/>
                  <w:rFonts w:ascii="Times New Roman;sans-serif" w:hAnsi="Times New Roman;sans-serif"/>
                  <w:b w:val="false"/>
                  <w:color w:val="000080"/>
                  <w:sz w:val="18"/>
                  <w:u w:val="single"/>
                </w:rPr>
                <w:t>Y</w:t>
              </w:r>
            </w:hyperlink>
            <w:hyperlink w:anchor="i3820191e5a5e4caaab6e50f6b441fcd8_202745">
              <w:r>
                <w:rPr>
                  <w:rStyle w:val="InternetLink"/>
                  <w:rFonts w:ascii="Times New Roman;sans-serif" w:hAnsi="Times New Roman;sans-serif"/>
                  <w:b w:val="false"/>
                  <w:color w:val="000080"/>
                  <w:sz w:val="18"/>
                  <w:u w:val="single"/>
                </w:rPr>
                <w:t xml:space="preserve"> OF TERMS</w:t>
              </w:r>
            </w:hyperlink>
            <w:hyperlink w:anchor="i3820191e5a5e4caaab6e50f6b441fcd8_202745">
              <w:r>
                <w:rPr>
                  <w:rStyle w:val="InternetLink"/>
                  <w:rFonts w:ascii="Times New Roman;sans-serif" w:hAnsi="Times New Roman;sans-serif"/>
                  <w:b w:val="false"/>
                  <w:color w:val="000080"/>
                  <w:sz w:val="18"/>
                  <w:u w:val="single"/>
                </w:rPr>
                <w:t xml:space="preserve"> AND</w:t>
              </w:r>
            </w:hyperlink>
            <w:hyperlink w:anchor="i3820191e5a5e4caaab6e50f6b441fcd8_202745">
              <w:r>
                <w:rPr>
                  <w:rStyle w:val="InternetLink"/>
                  <w:rFonts w:ascii="Times New Roman;sans-serif" w:hAnsi="Times New Roman;sans-serif"/>
                  <w:b w:val="false"/>
                  <w:color w:val="000080"/>
                  <w:sz w:val="18"/>
                  <w:u w:val="single"/>
                </w:rPr>
                <w:t xml:space="preserve"> </w:t>
              </w:r>
            </w:hyperlink>
            <w:hyperlink w:anchor="i3820191e5a5e4caaab6e50f6b441fcd8_202745">
              <w:r>
                <w:rPr>
                  <w:rStyle w:val="InternetLink"/>
                  <w:rFonts w:ascii="Times New Roman;sans-serif" w:hAnsi="Times New Roman;sans-serif"/>
                  <w:b w:val="false"/>
                  <w:color w:val="000080"/>
                  <w:sz w:val="18"/>
                  <w:u w:val="single"/>
                </w:rPr>
                <w:t>ABBREVIA</w:t>
              </w:r>
            </w:hyperlink>
            <w:hyperlink w:anchor="i3820191e5a5e4caaab6e50f6b441fcd8_202745">
              <w:r>
                <w:rPr>
                  <w:rStyle w:val="InternetLink"/>
                  <w:rFonts w:ascii="Times New Roman;sans-serif" w:hAnsi="Times New Roman;sans-serif"/>
                  <w:b w:val="false"/>
                  <w:color w:val="000080"/>
                  <w:sz w:val="18"/>
                  <w:u w:val="single"/>
                </w:rPr>
                <w:t>TIONS</w:t>
              </w:r>
            </w:hyperlink>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20191e5a5e4caaab6e50f6b441fcd8_202745">
              <w:r>
                <w:rPr>
                  <w:rStyle w:val="InternetLink"/>
                  <w:rFonts w:ascii="Times New Roman;sans-serif" w:hAnsi="Times New Roman;sans-serif"/>
                  <w:b w:val="false"/>
                  <w:color w:val="000080"/>
                  <w:sz w:val="18"/>
                  <w:u w:val="single"/>
                </w:rPr>
                <w:t>5</w:t>
              </w:r>
            </w:hyperlink>
            <w:hyperlink w:anchor="i3820191e5a5e4caaab6e50f6b441fcd8_202745">
              <w:r>
                <w:rPr>
                  <w:rStyle w:val="InternetLink"/>
                  <w:rFonts w:ascii="Times New Roman;sans-serif" w:hAnsi="Times New Roman;sans-serif"/>
                  <w:b w:val="false"/>
                  <w:color w:val="000080"/>
                  <w:sz w:val="18"/>
                  <w:u w:val="single"/>
                </w:rPr>
                <w:t>8</w:t>
              </w:r>
            </w:hyperlink>
          </w:p>
        </w:tc>
      </w:tr>
      <w:tr>
        <w:trPr/>
        <w:tc>
          <w:tcPr>
            <w:tcW w:w="968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ba4783cda89847ebb0ba13ce4a04ebf7_611">
              <w:r>
                <w:rPr>
                  <w:rStyle w:val="InternetLink"/>
                  <w:rFonts w:ascii="Times New Roman;sans-serif" w:hAnsi="Times New Roman;sans-serif"/>
                  <w:b w:val="false"/>
                  <w:color w:val="000080"/>
                  <w:sz w:val="18"/>
                  <w:u w:val="single"/>
                </w:rPr>
                <w:t>SIGN</w:t>
              </w:r>
            </w:hyperlink>
            <w:hyperlink w:anchor="iba4783cda89847ebb0ba13ce4a04ebf7_611">
              <w:r>
                <w:rPr>
                  <w:rStyle w:val="InternetLink"/>
                  <w:rFonts w:ascii="Times New Roman;sans-serif" w:hAnsi="Times New Roman;sans-serif"/>
                  <w:b w:val="false"/>
                  <w:color w:val="000080"/>
                  <w:sz w:val="18"/>
                  <w:u w:val="single"/>
                </w:rPr>
                <w:t>ATURES</w:t>
              </w:r>
            </w:hyperlink>
          </w:p>
        </w:tc>
        <w:tc>
          <w:tcPr>
            <w:tcW w:w="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ba4783cda89847ebb0ba13ce4a04ebf7_611">
              <w:r>
                <w:rPr>
                  <w:rStyle w:val="InternetLink"/>
                  <w:rFonts w:ascii="Times New Roman;sans-serif" w:hAnsi="Times New Roman;sans-serif"/>
                  <w:b w:val="false"/>
                  <w:color w:val="000080"/>
                  <w:sz w:val="18"/>
                  <w:u w:val="single"/>
                </w:rPr>
                <w:t>6</w:t>
              </w:r>
            </w:hyperlink>
            <w:hyperlink w:anchor="iba4783cda89847ebb0ba13ce4a04ebf7_611">
              <w:r>
                <w:rPr>
                  <w:rStyle w:val="InternetLink"/>
                  <w:rFonts w:ascii="Times New Roman;sans-serif" w:hAnsi="Times New Roman;sans-serif"/>
                  <w:b w:val="false"/>
                  <w:color w:val="000080"/>
                  <w:sz w:val="18"/>
                  <w:u w:val="single"/>
                </w:rPr>
                <w:t>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bookmarkStart w:id="0" w:name="idf08d5c8772847918ea60a8749a96b52_73730"/>
      <w:bookmarkEnd w:id="0"/>
      <w:r>
        <w:rPr>
          <w:rFonts w:ascii="Times New Roman;sans-serif" w:hAnsi="Times New Roman;sans-serif"/>
          <w:b/>
          <w:color w:val="000000"/>
          <w:sz w:val="20"/>
        </w:rPr>
        <w:t>CAUTIONARY NOTE REGARDING FORWARD-LOOKING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(this “Report”) contains forward-looking statements concerning expectations, beliefs, plans, objectives, goals, strategies, future events or performance and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risks, uncertainties and other factors that could cause actual results to differ materially from the forward-looking statements made by us include those discussed in this Report, as well as the items discussed in our Registration Statement and the included Annual Financial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Report primarily on our current expectations and assumptions about future events. Furthermore, statements that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bookmarkStart w:id="1" w:name="idf698714458246d88f58db56dc294163_458"/>
      <w:bookmarkEnd w:id="1"/>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bookmarkStart w:id="2" w:name="ib79423336b454da184714a9aed1bb7d2_92"/>
      <w:bookmarkEnd w:id="2"/>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050"/>
        <w:gridCol w:w="336"/>
        <w:gridCol w:w="337"/>
        <w:gridCol w:w="221"/>
        <w:gridCol w:w="526"/>
        <w:gridCol w:w="123"/>
        <w:gridCol w:w="109"/>
        <w:gridCol w:w="109"/>
        <w:gridCol w:w="109"/>
        <w:gridCol w:w="217"/>
        <w:gridCol w:w="516"/>
        <w:gridCol w:w="120"/>
        <w:gridCol w:w="109"/>
        <w:gridCol w:w="109"/>
        <w:gridCol w:w="109"/>
        <w:gridCol w:w="109"/>
        <w:gridCol w:w="109"/>
        <w:gridCol w:w="109"/>
        <w:gridCol w:w="272"/>
        <w:gridCol w:w="606"/>
        <w:gridCol w:w="152"/>
        <w:gridCol w:w="109"/>
        <w:gridCol w:w="109"/>
        <w:gridCol w:w="109"/>
        <w:gridCol w:w="109"/>
        <w:gridCol w:w="109"/>
        <w:gridCol w:w="109"/>
        <w:gridCol w:w="215"/>
        <w:gridCol w:w="610"/>
        <w:gridCol w:w="119"/>
        <w:gridCol w:w="109"/>
        <w:gridCol w:w="109"/>
        <w:gridCol w:w="109"/>
        <w:gridCol w:w="217"/>
        <w:gridCol w:w="516"/>
        <w:gridCol w:w="120"/>
        <w:gridCol w:w="109"/>
        <w:gridCol w:w="109"/>
        <w:gridCol w:w="109"/>
        <w:gridCol w:w="109"/>
        <w:gridCol w:w="109"/>
        <w:gridCol w:w="109"/>
        <w:gridCol w:w="275"/>
        <w:gridCol w:w="613"/>
        <w:gridCol w:w="154"/>
        <w:gridCol w:w="109"/>
        <w:gridCol w:w="165"/>
      </w:tblGrid>
      <w:tr>
        <w:trPr/>
        <w:tc>
          <w:tcPr>
            <w:tcW w:w="105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 except share data)</w:t>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Capacity revenues</w:t>
            </w:r>
          </w:p>
        </w:tc>
        <w:tc>
          <w:tcPr>
            <w:tcW w:w="221"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3"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0"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2"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19"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0"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and other revenues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Revenues</w:t>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489</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1,210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and energy purchases</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fuel amortization</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Energy Expenses</w:t>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maintenance and development</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Operational restructuring</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income (expense), net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funds gain (loss), net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Reorganization income (expense), net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assets, net (Note 17)</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non-operating income (expense), net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w:t>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Stockholders (Successor) / Member (Predecessor)</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431</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Common Share (Successor)</w:t>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Stockholders - Basic</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Stockholders - Diluted</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 (in thousands)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Diluted (in thousands)</w:t>
            </w:r>
          </w:p>
        </w:tc>
        <w:tc>
          <w:tcPr>
            <w:tcW w:w="7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59,775 </w:t>
            </w:r>
          </w:p>
        </w:tc>
        <w:tc>
          <w:tcPr>
            <w:tcW w:w="1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59,088 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60,269 </w:t>
            </w:r>
          </w:p>
        </w:tc>
        <w:tc>
          <w:tcPr>
            <w:tcW w:w="1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59,088 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792"/>
        <w:gridCol w:w="635"/>
        <w:gridCol w:w="403"/>
        <w:gridCol w:w="232"/>
        <w:gridCol w:w="517"/>
        <w:gridCol w:w="129"/>
        <w:gridCol w:w="109"/>
        <w:gridCol w:w="109"/>
        <w:gridCol w:w="109"/>
        <w:gridCol w:w="243"/>
        <w:gridCol w:w="430"/>
        <w:gridCol w:w="135"/>
        <w:gridCol w:w="109"/>
        <w:gridCol w:w="109"/>
        <w:gridCol w:w="109"/>
        <w:gridCol w:w="109"/>
        <w:gridCol w:w="109"/>
        <w:gridCol w:w="109"/>
        <w:gridCol w:w="279"/>
        <w:gridCol w:w="621"/>
        <w:gridCol w:w="156"/>
        <w:gridCol w:w="109"/>
        <w:gridCol w:w="109"/>
        <w:gridCol w:w="109"/>
        <w:gridCol w:w="109"/>
        <w:gridCol w:w="109"/>
        <w:gridCol w:w="109"/>
        <w:gridCol w:w="228"/>
        <w:gridCol w:w="509"/>
        <w:gridCol w:w="127"/>
        <w:gridCol w:w="109"/>
        <w:gridCol w:w="109"/>
        <w:gridCol w:w="109"/>
        <w:gridCol w:w="243"/>
        <w:gridCol w:w="430"/>
        <w:gridCol w:w="135"/>
        <w:gridCol w:w="109"/>
        <w:gridCol w:w="109"/>
        <w:gridCol w:w="109"/>
        <w:gridCol w:w="109"/>
        <w:gridCol w:w="109"/>
        <w:gridCol w:w="109"/>
        <w:gridCol w:w="283"/>
        <w:gridCol w:w="631"/>
        <w:gridCol w:w="158"/>
        <w:gridCol w:w="109"/>
        <w:gridCol w:w="164"/>
      </w:tblGrid>
      <w:tr>
        <w:trPr/>
        <w:tc>
          <w:tcPr>
            <w:tcW w:w="79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32"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7"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w:t>
            </w:r>
            <w:r>
              <w:rPr>
                <w:color w:val="000000"/>
              </w:rPr>
              <w:t> </w:t>
            </w:r>
          </w:p>
        </w:tc>
        <w:tc>
          <w:tcPr>
            <w:tcW w:w="129"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35"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21"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w:t>
            </w:r>
            <w:r>
              <w:rPr>
                <w:color w:val="000000"/>
              </w:rPr>
              <w:t> </w:t>
            </w:r>
          </w:p>
        </w:tc>
        <w:tc>
          <w:tcPr>
            <w:tcW w:w="156"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9"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777</w:t>
            </w:r>
            <w:r>
              <w:rPr>
                <w:color w:val="000000"/>
              </w:rPr>
              <w:t> </w:t>
            </w:r>
          </w:p>
        </w:tc>
        <w:tc>
          <w:tcPr>
            <w:tcW w:w="127"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35"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276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465</w:t>
            </w:r>
            <w:r>
              <w:rPr>
                <w:color w:val="000000"/>
              </w:rPr>
              <w:t> </w:t>
            </w:r>
          </w:p>
        </w:tc>
        <w:tc>
          <w:tcPr>
            <w:tcW w:w="158" w:type="dxa"/>
            <w:tcBorders>
              <w:top w:val="single" w:sz="8" w:space="0" w:color="00276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unrealized gain (loss), net</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arising during the period, net of tax</w:t>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unrealized (gain) loss, net</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Qualifying derivatives unrealized (gain) loss, net</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benefit actuarial (gain) loss, net</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Reclassifications from AOCI, net of tax</w:t>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w:t>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456</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w:t>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 Attributable to Stockholders (Successor) / Member (Predecessor)</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452</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742</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485</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8140" w:type="dxa"/>
        <w:jc w:val="left"/>
        <w:tblInd w:w="0" w:type="dxa"/>
        <w:tblLayout w:type="fixed"/>
        <w:tblCellMar>
          <w:top w:w="28" w:type="dxa"/>
          <w:left w:w="28" w:type="dxa"/>
          <w:bottom w:w="28" w:type="dxa"/>
          <w:right w:w="28" w:type="dxa"/>
        </w:tblCellMar>
      </w:tblPr>
      <w:tblGrid>
        <w:gridCol w:w="1864"/>
        <w:gridCol w:w="1637"/>
        <w:gridCol w:w="1643"/>
        <w:gridCol w:w="251"/>
        <w:gridCol w:w="733"/>
        <w:gridCol w:w="140"/>
        <w:gridCol w:w="109"/>
        <w:gridCol w:w="109"/>
        <w:gridCol w:w="109"/>
        <w:gridCol w:w="329"/>
        <w:gridCol w:w="958"/>
        <w:gridCol w:w="258"/>
      </w:tblGrid>
      <w:tr>
        <w:trPr/>
        <w:tc>
          <w:tcPr>
            <w:tcW w:w="186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 except share data)</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 (Note 16)</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(Note 4)</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net (Note 6)</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(Notes 3 and 12)</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current assets </w:t>
            </w:r>
            <w:r>
              <w:rPr>
                <w:rFonts w:ascii="Times New Roman;sans-serif" w:hAnsi="Times New Roman;sans-serif"/>
                <w:b w:val="false"/>
                <w:color w:val="000000"/>
                <w:sz w:val="12"/>
              </w:rPr>
              <w:t>(a)</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1,953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1,554</w:t>
            </w: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(Note 8)</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funds (Notes 7 and 12)</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(Notes 3 and 12)</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7,082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7,121</w:t>
            </w: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due within one year (Notes 11 and 12)</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(Notes 3 and 12)</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486</w:t>
            </w: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(Notes 11 and 12)</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 (Notes 3 and 12)</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benefit obligations (Note 13)</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 and accrued environmental costs (Note 9)</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(Note 5)</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4,510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4,587</w:t>
            </w: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10)</w:t>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Common stock ($0.001 par value 350,000,000 shares authorized) </w:t>
            </w:r>
            <w:r>
              <w:rPr>
                <w:rFonts w:ascii="Times New Roman;sans-serif" w:hAnsi="Times New Roman;sans-serif"/>
                <w:b w:val="false"/>
                <w:color w:val="000000"/>
                <w:sz w:val="12"/>
              </w:rPr>
              <w:t>(b) (c)</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retained earnings (deficit)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2,511</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2,457</w:t>
            </w: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Equity</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2,572</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2,534</w:t>
            </w: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Equity</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7,082</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7,121</w:t>
            </w:r>
            <w:r>
              <w:rPr>
                <w:color w:val="000000"/>
              </w:rPr>
              <w: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(a)Includes $300 million of proceeds from the Cumulus Data Campus Sale held in escrow.</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(b)As of June 30, 2024 (Successor): 53,259,981 shares issued, 53,254,954 shares outstanding, and 5,027 shares held as treasury stock.</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(c)As of December 31, 2023 (Successor): 59,028,843 shares issued and outstanding.</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1371"/>
        <w:gridCol w:w="1098"/>
        <w:gridCol w:w="1076"/>
        <w:gridCol w:w="473"/>
        <w:gridCol w:w="1016"/>
        <w:gridCol w:w="262"/>
        <w:gridCol w:w="109"/>
        <w:gridCol w:w="109"/>
        <w:gridCol w:w="109"/>
        <w:gridCol w:w="511"/>
        <w:gridCol w:w="867"/>
        <w:gridCol w:w="289"/>
        <w:gridCol w:w="109"/>
        <w:gridCol w:w="109"/>
        <w:gridCol w:w="109"/>
        <w:gridCol w:w="109"/>
        <w:gridCol w:w="109"/>
        <w:gridCol w:w="109"/>
        <w:gridCol w:w="508"/>
        <w:gridCol w:w="1092"/>
        <w:gridCol w:w="284"/>
        <w:gridCol w:w="109"/>
        <w:gridCol w:w="109"/>
        <w:gridCol w:w="159"/>
      </w:tblGrid>
      <w:tr>
        <w:trPr/>
        <w:tc>
          <w:tcPr>
            <w:tcW w:w="13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w:t>
            </w:r>
          </w:p>
        </w:tc>
        <w:tc>
          <w:tcPr>
            <w:tcW w:w="1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reconciliation adjustments:</w:t>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Unrealized (gains) losses on derivative instruments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Cumulus Data Campus Sale and ERCOT Sale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sales of assets,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Nuclear fuel amortization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Depreciation, amortization and accretion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NDT funds (gain) loss, net (excluding interest and fees)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Reorganization (income) expense, net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Changes in assets and liabilities:</w:t>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Inventory, net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assets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accrued liabilities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interest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cash provided by (used in) operating activities </w:t>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462</w:t>
            </w: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plant and equipment expenditures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Nuclear fuel expenditures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NDT funds investment sale proceeds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NDT funds investment purchases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investments in affiliates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Cumulus Data Campus Sale and ERCOT Sale (Note 17)</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sale of assets </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investing activities </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cash provided by (used in) investing activities </w:t>
            </w:r>
          </w:p>
        </w:tc>
        <w:tc>
          <w:tcPr>
            <w:tcW w:w="1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979</w:t>
            </w:r>
            <w:r>
              <w:rPr>
                <w:color w:val="000000"/>
              </w:rPr>
              <w:t> </w:t>
            </w:r>
          </w:p>
        </w:tc>
        <w:tc>
          <w:tcPr>
            <w:tcW w:w="2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w:t>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(157)</w:t>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1666"/>
        <w:gridCol w:w="1300"/>
        <w:gridCol w:w="1292"/>
        <w:gridCol w:w="371"/>
        <w:gridCol w:w="1110"/>
        <w:gridCol w:w="191"/>
        <w:gridCol w:w="109"/>
        <w:gridCol w:w="109"/>
        <w:gridCol w:w="109"/>
        <w:gridCol w:w="405"/>
        <w:gridCol w:w="923"/>
        <w:gridCol w:w="209"/>
        <w:gridCol w:w="109"/>
        <w:gridCol w:w="109"/>
        <w:gridCol w:w="109"/>
        <w:gridCol w:w="109"/>
        <w:gridCol w:w="109"/>
        <w:gridCol w:w="109"/>
        <w:gridCol w:w="435"/>
        <w:gridCol w:w="994"/>
        <w:gridCol w:w="328"/>
      </w:tblGrid>
      <w:tr>
        <w:trPr/>
        <w:tc>
          <w:tcPr>
            <w:tcW w:w="166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r>
      <w:tr>
        <w:trPr/>
        <w:tc>
          <w:tcPr>
            <w:tcW w:w="4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w:t>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Contributions from member </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Financing proceeds at Emergence, net of discount </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Repayment of Prepetition Secured Indebtedness </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make-whole premiums on Prepetition Secured Indebtedness</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LMBE-MC TLB payments </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Cumulus Digital TLF repayment</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 (Note 15)</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noncontrolling interest</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settlement of restricted stock units</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finance costs </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Derivatives with financing elements </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cash provided by (used in) financing activities </w:t>
            </w:r>
          </w:p>
        </w:tc>
        <w:tc>
          <w:tcPr>
            <w:tcW w:w="1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(539)</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and Cash Equivalents and Restricted Cash and Cash Equivalents</w:t>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214</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(234)</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 cash and cash equivalents and restricted cash and cash equivalents</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 cash and cash equivalents and restricted cash and cash equivalents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1,115</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715</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754</w:t>
            </w: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16 for supplemental cash flow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(UNAUDITED)</w:t>
      </w:r>
    </w:p>
    <w:tbl>
      <w:tblPr>
        <w:tblW w:w="10205" w:type="dxa"/>
        <w:jc w:val="left"/>
        <w:tblInd w:w="0" w:type="dxa"/>
        <w:tblLayout w:type="fixed"/>
        <w:tblCellMar>
          <w:top w:w="28" w:type="dxa"/>
          <w:left w:w="28" w:type="dxa"/>
          <w:bottom w:w="28" w:type="dxa"/>
          <w:right w:w="28" w:type="dxa"/>
        </w:tblCellMar>
      </w:tblPr>
      <w:tblGrid>
        <w:gridCol w:w="750"/>
        <w:gridCol w:w="322"/>
        <w:gridCol w:w="323"/>
        <w:gridCol w:w="430"/>
        <w:gridCol w:w="298"/>
        <w:gridCol w:w="299"/>
        <w:gridCol w:w="109"/>
        <w:gridCol w:w="109"/>
        <w:gridCol w:w="109"/>
        <w:gridCol w:w="225"/>
        <w:gridCol w:w="656"/>
        <w:gridCol w:w="125"/>
        <w:gridCol w:w="109"/>
        <w:gridCol w:w="109"/>
        <w:gridCol w:w="109"/>
        <w:gridCol w:w="317"/>
        <w:gridCol w:w="707"/>
        <w:gridCol w:w="178"/>
        <w:gridCol w:w="109"/>
        <w:gridCol w:w="109"/>
        <w:gridCol w:w="109"/>
        <w:gridCol w:w="196"/>
        <w:gridCol w:w="353"/>
        <w:gridCol w:w="109"/>
        <w:gridCol w:w="109"/>
        <w:gridCol w:w="109"/>
        <w:gridCol w:w="109"/>
        <w:gridCol w:w="225"/>
        <w:gridCol w:w="467"/>
        <w:gridCol w:w="126"/>
        <w:gridCol w:w="109"/>
        <w:gridCol w:w="109"/>
        <w:gridCol w:w="109"/>
        <w:gridCol w:w="109"/>
        <w:gridCol w:w="109"/>
        <w:gridCol w:w="292"/>
        <w:gridCol w:w="516"/>
        <w:gridCol w:w="164"/>
        <w:gridCol w:w="109"/>
        <w:gridCol w:w="109"/>
        <w:gridCol w:w="109"/>
        <w:gridCol w:w="199"/>
        <w:gridCol w:w="581"/>
        <w:gridCol w:w="167"/>
      </w:tblGrid>
      <w:tr>
        <w:trPr/>
        <w:tc>
          <w:tcPr>
            <w:tcW w:w="7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 except share data)</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Common stock shares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 (Successor)</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59,029</w:t>
            </w: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2,346</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2,534</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319</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Purchase of noncontrolling interest </w:t>
            </w:r>
            <w:r>
              <w:rPr>
                <w:rFonts w:ascii="Times New Roman;sans-serif" w:hAnsi="Times New Roman;sans-serif"/>
                <w:b w:val="false"/>
                <w:color w:val="000000"/>
                <w:sz w:val="12"/>
              </w:rPr>
              <w:t>(c)</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Cash distributions </w:t>
            </w:r>
            <w:r>
              <w:rPr>
                <w:rFonts w:ascii="Times New Roman;sans-serif" w:hAnsi="Times New Roman;sans-serif"/>
                <w:b w:val="false"/>
                <w:color w:val="000000"/>
                <w:sz w:val="12"/>
              </w:rPr>
              <w:t>(d)</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Non-cash distributions </w:t>
            </w:r>
            <w:r>
              <w:rPr>
                <w:rFonts w:ascii="Times New Roman;sans-serif" w:hAnsi="Times New Roman;sans-serif"/>
                <w:b w:val="false"/>
                <w:color w:val="000000"/>
                <w:sz w:val="12"/>
              </w:rPr>
              <w:t>(b)</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 (Successor)</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58,536</w:t>
            </w: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2,339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428</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2,766</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treasury stock</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settlement of restricted stock units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Non-cash distributions </w:t>
            </w:r>
            <w:r>
              <w:rPr>
                <w:rFonts w:ascii="Times New Roman;sans-serif" w:hAnsi="Times New Roman;sans-serif"/>
                <w:b w:val="false"/>
                <w:color w:val="000000"/>
                <w:sz w:val="12"/>
              </w:rPr>
              <w:t>(b)</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 (Successor)</w:t>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53,255</w:t>
            </w:r>
            <w:r>
              <w:rPr>
                <w:color w:val="000000"/>
              </w:rPr>
              <w:t>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2,092</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448</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2,572</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(a)Shares in thousands.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(b)Related primarily to distribution of Bitcoin to TeraWulf.</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(c)TES acquisition of remaining noncontrolling interests in Cumulus Digital Holdings. See Note 17 for additional information.</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(d)Distribution to noncontrolling interest owners of Cumulus Digital Holdings.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(UNAUDITED)</w:t>
      </w:r>
    </w:p>
    <w:tbl>
      <w:tblPr>
        <w:tblW w:w="10205" w:type="dxa"/>
        <w:jc w:val="left"/>
        <w:tblInd w:w="0" w:type="dxa"/>
        <w:tblLayout w:type="fixed"/>
        <w:tblCellMar>
          <w:top w:w="28" w:type="dxa"/>
          <w:left w:w="28" w:type="dxa"/>
          <w:bottom w:w="28" w:type="dxa"/>
          <w:right w:w="28" w:type="dxa"/>
        </w:tblCellMar>
      </w:tblPr>
      <w:tblGrid>
        <w:gridCol w:w="771"/>
        <w:gridCol w:w="338"/>
        <w:gridCol w:w="340"/>
        <w:gridCol w:w="255"/>
        <w:gridCol w:w="505"/>
        <w:gridCol w:w="136"/>
        <w:gridCol w:w="109"/>
        <w:gridCol w:w="109"/>
        <w:gridCol w:w="109"/>
        <w:gridCol w:w="223"/>
        <w:gridCol w:w="650"/>
        <w:gridCol w:w="124"/>
        <w:gridCol w:w="109"/>
        <w:gridCol w:w="109"/>
        <w:gridCol w:w="109"/>
        <w:gridCol w:w="328"/>
        <w:gridCol w:w="681"/>
        <w:gridCol w:w="183"/>
        <w:gridCol w:w="109"/>
        <w:gridCol w:w="109"/>
        <w:gridCol w:w="109"/>
        <w:gridCol w:w="196"/>
        <w:gridCol w:w="406"/>
        <w:gridCol w:w="109"/>
        <w:gridCol w:w="109"/>
        <w:gridCol w:w="109"/>
        <w:gridCol w:w="109"/>
        <w:gridCol w:w="109"/>
        <w:gridCol w:w="109"/>
        <w:gridCol w:w="228"/>
        <w:gridCol w:w="512"/>
        <w:gridCol w:w="128"/>
        <w:gridCol w:w="109"/>
        <w:gridCol w:w="109"/>
        <w:gridCol w:w="109"/>
        <w:gridCol w:w="255"/>
        <w:gridCol w:w="569"/>
        <w:gridCol w:w="142"/>
        <w:gridCol w:w="109"/>
        <w:gridCol w:w="109"/>
        <w:gridCol w:w="109"/>
        <w:gridCol w:w="199"/>
        <w:gridCol w:w="580"/>
        <w:gridCol w:w="167"/>
      </w:tblGrid>
      <w:tr>
        <w:trPr/>
        <w:tc>
          <w:tcPr>
            <w:tcW w:w="77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(Millions of Dollars, except share data)</w:t>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Common stock shares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Member's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 (Predecessor)</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Non-cash contributions </w:t>
            </w:r>
            <w:r>
              <w:rPr>
                <w:rFonts w:ascii="Times New Roman;sans-serif" w:hAnsi="Times New Roman;sans-serif"/>
                <w:b w:val="false"/>
                <w:color w:val="000000"/>
                <w:sz w:val="12"/>
              </w:rPr>
              <w:t>(c)</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Non-cash distribution, net </w:t>
            </w:r>
            <w:r>
              <w:rPr>
                <w:rFonts w:ascii="Times New Roman;sans-serif" w:hAnsi="Times New Roman;sans-serif"/>
                <w:b w:val="false"/>
                <w:color w:val="000000"/>
                <w:sz w:val="12"/>
              </w:rPr>
              <w:t>(d)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 (Predecessor)</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Cancellation of member’s equity </w:t>
            </w:r>
            <w:r>
              <w:rPr>
                <w:rFonts w:ascii="Times New Roman;sans-serif" w:hAnsi="Times New Roman;sans-serif"/>
                <w:b w:val="false"/>
                <w:color w:val="000000"/>
                <w:sz w:val="12"/>
              </w:rPr>
              <w:t>(b)</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member’s equity </w:t>
            </w:r>
            <w:r>
              <w:rPr>
                <w:rFonts w:ascii="Times New Roman;sans-serif" w:hAnsi="Times New Roman;sans-serif"/>
                <w:b w:val="false"/>
                <w:color w:val="000000"/>
                <w:sz w:val="12"/>
              </w:rPr>
              <w:t>(b)</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warrants </w:t>
            </w:r>
            <w:r>
              <w:rPr>
                <w:rFonts w:ascii="Times New Roman;sans-serif" w:hAnsi="Times New Roman;sans-serif"/>
                <w:b w:val="false"/>
                <w:color w:val="000000"/>
                <w:sz w:val="12"/>
              </w:rPr>
              <w:t>(b)</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equity from member's equity exchange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Non-cash distributions </w:t>
            </w:r>
            <w:r>
              <w:rPr>
                <w:rFonts w:ascii="Times New Roman;sans-serif" w:hAnsi="Times New Roman;sans-serif"/>
                <w:b w:val="false"/>
                <w:color w:val="000000"/>
                <w:sz w:val="12"/>
              </w:rPr>
              <w:t>(d)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May 17, 2023 (Predecessor)</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2,321</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2,431</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May 18, 2023 (Successor)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59,029</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110</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2,431</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Non-cash distribution </w:t>
            </w:r>
            <w:r>
              <w:rPr>
                <w:rFonts w:ascii="Times New Roman;sans-serif" w:hAnsi="Times New Roman;sans-serif"/>
                <w:b w:val="false"/>
                <w:color w:val="000000"/>
                <w:sz w:val="12"/>
              </w:rPr>
              <w:t>(d)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 (Successor)</w:t>
            </w:r>
          </w:p>
        </w:tc>
        <w:tc>
          <w:tcPr>
            <w:tcW w:w="7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59,029</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2,325</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2,460</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(a)Shares in thousands.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(b)Pursuant to the Plan of Reorganization: (i) existing equity interests were canceled; and (ii) new equity interests and equity-classified warrants were issued.</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(c)Relates to contributions of cryptocurrency mining machines by TeraWulf to Nautilus.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(d)Relates primarily to distributions of cryptocurrency mining machines or Bitcoin to TeraWulf.</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TALEN ENERGY CORPORATION AND SUBSIDIARIES</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THE INTERIM FINANCIAL STATEMENTS (UNAUDITED)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terms and abbreviations appearing in these Notes to the Interim Financial Statements are defined in the glossary. Dollars are in millions, unless otherwise noted. References to the “Annual Financial Statements” are to the audited Talen Energy Corporation 2023 Annual Financial Statements and Notes thereto, which are attached to the Registration Statement.</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“Emergence from Restructuring, Fresh Start Accounting, and Reverse Acquisition” in Note 2 for information on an accounting reverse acquisition that occurred at Emergence.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 owns and operates power infrastructure in the United States. We produce and sell electricity, capacity, and ancillary services into wholesale power markets in the United States primarily in PJM and WECC, with our generation fleet principally located in the Mid-Atlantic region of the United States and Montana. The majority of our generation is produced at our zero-carbon nuclear and lower-carbon gas-fired facilities. As of June 30, 2024 (Successor), our generation capacity was 10,665 MW (summer rating).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Interim Financial Statements, which are prepared in accordance with GAAP and pursuant to the rules and regulations of the SEC for Quarterly Reports on Form 10-Q,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 Consolidated Balance Sheet as of December 31, 2023 (Successor) is derived from the 2023 Consolidated Balance Sheet in the Annual Financial Statements.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other various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Emergence from Restructuring, Fresh Start Accounting, and Reverse Acquisition</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In May 2022, TES and 71 of its subsidiaries filed voluntary petitions seeking relief under Chapter 11 of the U.S. Bankruptcy Code. In December 2022, TEC became a debtor in the Restructuring in order to facilitate certain transactions contemplated by the Plan of Reorganization. The Plan of Reorganization was approved by the requisite parties in November 2022, was confirmed by the U.S. Bankruptcy Court in December 2022, and became effective in May 2023, when TEC, TES and the other debtors emerged from the Restructuring.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our Interim Financial Statements are issued under the name of TEC, the legal parent of TES and accounting acquiree, but represent the continuation of the financial statements of TES, the accounting acquirer.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May 17, 2023; and (ii) the Successor periods from May 18 through June 30, 2023, and from January 1 through June 30, 2024. The Interim Financial Statements and Notes thereto have been presented with a black line division to delineate the lack of comparability between the Predecessor and Successor.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Notes 2, 3 and 4 in Notes to the Annual Financial Statements for additional information on the reverse acquisition, the legal structure of the Restructuring transactions, and the impacts of fresh start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0" w:after="180"/>
        <w:jc w:val="left"/>
        <w:rPr/>
      </w:pPr>
      <w:r>
        <w:rPr>
          <w:rFonts w:ascii="Times New Roman;sans-serif" w:hAnsi="Times New Roman;sans-serif"/>
          <w:b w:val="false"/>
          <w:i/>
          <w:color w:val="000000"/>
          <w:sz w:val="20"/>
        </w:rPr>
        <w:t>Reclassifications.</w:t>
      </w:r>
      <w:r>
        <w:rPr>
          <w:color w:val="000000"/>
        </w:rPr>
        <w:t xml:space="preserve"> </w:t>
      </w:r>
      <w:r>
        <w:rPr>
          <w:rFonts w:ascii="Times New Roman;sans-serif" w:hAnsi="Times New Roman;sans-serif"/>
          <w:b w:val="false"/>
          <w:color w:val="000000"/>
          <w:sz w:val="20"/>
        </w:rPr>
        <w:t xml:space="preserve">Certain amounts in the prior period financial statements were reclassified to conform to the current period’s presentation. The reclassifications did not affect operating income, net income, total assets, total liabilities, net equity or cash flows. </w:t>
      </w:r>
    </w:p>
    <w:p>
      <w:pPr>
        <w:pStyle w:val="TextBody"/>
        <w:bidi w:val="0"/>
        <w:spacing w:lineRule="auto" w:line="288" w:before="0" w:after="180"/>
        <w:jc w:val="left"/>
        <w:rPr/>
      </w:pPr>
      <w:r>
        <w:rPr>
          <w:rFonts w:ascii="Times New Roman;sans-serif" w:hAnsi="Times New Roman;sans-serif"/>
          <w:b w:val="false"/>
          <w:i/>
          <w:color w:val="000000"/>
          <w:sz w:val="20"/>
        </w:rPr>
        <w:t>Use of Estimates.</w:t>
      </w:r>
      <w:r>
        <w:rPr>
          <w:color w:val="000000"/>
        </w:rPr>
        <w:t xml:space="preserve"> </w:t>
      </w: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could differ from those estimates.</w:t>
      </w:r>
    </w:p>
    <w:p>
      <w:pPr>
        <w:pStyle w:val="TextBody"/>
        <w:bidi w:val="0"/>
        <w:spacing w:lineRule="auto" w:line="288" w:before="0" w:after="180"/>
        <w:jc w:val="left"/>
        <w:rPr/>
      </w:pPr>
      <w:r>
        <w:rPr>
          <w:rFonts w:ascii="Times New Roman;sans-serif" w:hAnsi="Times New Roman;sans-serif"/>
          <w:b w:val="false"/>
          <w:i/>
          <w:color w:val="000000"/>
          <w:sz w:val="20"/>
        </w:rPr>
        <w:t>Treasury Stock and Retirement of Treasury Shares</w:t>
      </w:r>
      <w:r>
        <w:rPr>
          <w:rFonts w:ascii="Times New Roman;sans-serif" w:hAnsi="Times New Roman;sans-serif"/>
          <w:b w:val="false"/>
          <w:color w:val="000000"/>
          <w:sz w:val="20"/>
        </w:rPr>
        <w:t>. Share repurchases are accounted for under the cost method, which recognizes the entire cost of the acquired stock, including transaction costs and excise tax, as a reduction in additional paid-in-capital and are presented as “Treasury stock” on the Consolidated Balance Sheets. Share repurchases are recognized on a trade date basis when we are contractually obligated to purchase the shares. At retirement, the common stock balance is reduced for the par value of the shares. The excess of the acquisition cost of treasury shares over the par value is recognized in additional paid-in capital (up to the amount credited to additional paid-in capital upon original issuance of the shares), with any remaining cost deducted from retained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Nuclear PTCs.</w:t>
      </w:r>
      <w:r>
        <w:rPr>
          <w:color w:val="000000"/>
        </w:rPr>
        <w:t xml:space="preserve"> </w:t>
      </w:r>
      <w:r>
        <w:rPr>
          <w:rFonts w:ascii="Times New Roman;sans-serif" w:hAnsi="Times New Roman;sans-serif"/>
          <w:b w:val="false"/>
          <w:color w:val="000000"/>
          <w:sz w:val="20"/>
        </w:rPr>
        <w:t>The Nuclear PTC program provides qualified nuclear power generation facilities with transferable credits for electricity produced and 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4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six months ended June 30, 2024 (Successor). Additional guidance expected to be issued from the U.S. Treasury and IRS may impact the credit value received.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in Notes to the Annual Financial Statements for additional information on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Risk Management, Derivative Instruments and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Risk Management Objectives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arising from our business, including, but not limited to, market and commodity price risk, credit and liquidity risk and interest rate risk. The hedging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(including the risk committee) and management have established procedures to monitor, measure and manage hedging activities and credit risk in accordance with the risk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pStyle w:val="TextBody"/>
        <w:bidi w:val="0"/>
        <w:spacing w:lineRule="auto" w:line="288" w:before="0" w:after="180"/>
        <w:jc w:val="left"/>
        <w:rPr/>
      </w:pPr>
      <w:r>
        <w:rPr>
          <w:rFonts w:ascii="Times New Roman;sans-serif" w:hAnsi="Times New Roman;sans-serif"/>
          <w:b w:val="false"/>
          <w:i/>
          <w:color w:val="000000"/>
          <w:sz w:val="20"/>
        </w:rPr>
        <w:t>Market and Commodity Price Risk.</w:t>
      </w:r>
      <w:r>
        <w:rPr>
          <w:color w:val="000000"/>
        </w:rPr>
        <w:t xml:space="preserve"> </w:t>
      </w:r>
      <w:r>
        <w:rPr>
          <w:rFonts w:ascii="Times New Roman;sans-serif" w:hAnsi="Times New Roman;sans-serif"/>
          <w:b w:val="false"/>
          <w:color w:val="000000"/>
          <w:sz w:val="20"/>
        </w:rPr>
        <w:t>Volatility in the wholesale power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Open commodity purchase (sales) derivatives as of June 30, 2024 (Successor) range in maturity through 2026. The net notional volumes of open commodity derivatives were:</w:t>
      </w:r>
    </w:p>
    <w:tbl>
      <w:tblPr>
        <w:tblW w:w="5610" w:type="dxa"/>
        <w:jc w:val="left"/>
        <w:tblInd w:w="0" w:type="dxa"/>
        <w:tblLayout w:type="fixed"/>
        <w:tblCellMar>
          <w:top w:w="28" w:type="dxa"/>
          <w:left w:w="28" w:type="dxa"/>
          <w:bottom w:w="28" w:type="dxa"/>
          <w:right w:w="28" w:type="dxa"/>
        </w:tblCellMar>
      </w:tblPr>
      <w:tblGrid>
        <w:gridCol w:w="747"/>
        <w:gridCol w:w="658"/>
        <w:gridCol w:w="665"/>
        <w:gridCol w:w="518"/>
        <w:gridCol w:w="518"/>
        <w:gridCol w:w="432"/>
        <w:gridCol w:w="109"/>
        <w:gridCol w:w="109"/>
        <w:gridCol w:w="109"/>
        <w:gridCol w:w="518"/>
        <w:gridCol w:w="518"/>
        <w:gridCol w:w="709"/>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Successor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June 30, 2024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December 31, 2023 </w:t>
            </w:r>
            <w:r>
              <w:rPr>
                <w:rFonts w:ascii="Times New Roman;sans-serif" w:hAnsi="Times New Roman;sans-serif"/>
                <w:b/>
                <w:color w:val="000000"/>
                <w:sz w:val="10"/>
              </w:rPr>
              <w:t>(a)</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(MWh)</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(38,172,764)</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(27,557,871)</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(MMBtu)</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70,334,960 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8,314,060 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Emission allowances (tons)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(a)The volumes may be less than the contractual volumes, as the probability that option contracts will be exercised is considered in the volumes displayed. </w:t>
      </w:r>
    </w:p>
    <w:p>
      <w:pPr>
        <w:pStyle w:val="TextBody"/>
        <w:bidi w:val="0"/>
        <w:spacing w:lineRule="auto" w:line="288" w:before="0" w:after="180"/>
        <w:jc w:val="left"/>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 xml:space="preserve">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Open interest rate derivatives are related to the TLB indebtedness and range in maturity dates through 2026. The net notional volumes of open interest rate derivatives were:</w:t>
      </w:r>
    </w:p>
    <w:tbl>
      <w:tblPr>
        <w:tblW w:w="4855" w:type="dxa"/>
        <w:jc w:val="left"/>
        <w:tblInd w:w="0" w:type="dxa"/>
        <w:tblLayout w:type="fixed"/>
        <w:tblCellMar>
          <w:top w:w="28" w:type="dxa"/>
          <w:left w:w="28" w:type="dxa"/>
          <w:bottom w:w="28" w:type="dxa"/>
          <w:right w:w="28" w:type="dxa"/>
        </w:tblCellMar>
      </w:tblPr>
      <w:tblGrid>
        <w:gridCol w:w="673"/>
        <w:gridCol w:w="589"/>
        <w:gridCol w:w="597"/>
        <w:gridCol w:w="303"/>
        <w:gridCol w:w="652"/>
        <w:gridCol w:w="169"/>
        <w:gridCol w:w="109"/>
        <w:gridCol w:w="109"/>
        <w:gridCol w:w="109"/>
        <w:gridCol w:w="392"/>
        <w:gridCol w:w="843"/>
        <w:gridCol w:w="310"/>
      </w:tblGrid>
      <w:tr>
        <w:trPr/>
        <w:tc>
          <w:tcPr>
            <w:tcW w:w="6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3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(in millions)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Credit Risk.</w:t>
      </w:r>
      <w:r>
        <w:rPr>
          <w:color w:val="000000"/>
        </w:rPr>
        <w:t xml:space="preserve"> </w:t>
      </w:r>
      <w:r>
        <w:rPr>
          <w:rFonts w:ascii="Times New Roman;sans-serif" w:hAnsi="Times New Roman;sans-serif"/>
          <w:b w:val="false"/>
          <w:color w:val="000000"/>
          <w:sz w:val="20"/>
        </w:rPr>
        <w:t>Credit risk, which is the risk of financial loss if a customer, counterparty or financial institution is unable to perform or pay amounts due, is applicable to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LCs and credit insurance may be employed to mitigate credit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June 30, 2024 (Successor) and December 31, 2023 (Successor).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(Successor), Talen’s aggregate credit exposure, which excludes the effects of netting arrangements, cash collateral, LCs and any allowances for doubtful collections, was $437 million and its credit exposure net of such effects was $66 million. Excluding ISO and RTO counterparties, whose accounts receivable settlements are subject to applicable market controls, the ten largest single net credit exposures account for approximately 54% of Talen’s total net credit exposure, which are primarily with entities assigned investment grade credit ratings.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June 30, 2024 (Successor) and December 31, 2023 (Successor).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Derivative Instrument Presentation </w:t>
      </w:r>
    </w:p>
    <w:p>
      <w:pPr>
        <w:pStyle w:val="TextBody"/>
        <w:bidi w:val="0"/>
        <w:spacing w:lineRule="auto" w:line="288" w:before="0" w:after="180"/>
        <w:jc w:val="left"/>
        <w:rPr/>
      </w:pPr>
      <w:r>
        <w:rPr>
          <w:rFonts w:ascii="Times New Roman;sans-serif" w:hAnsi="Times New Roman;sans-serif"/>
          <w:b w:val="false"/>
          <w:i/>
          <w:color w:val="000000"/>
          <w:sz w:val="20"/>
        </w:rPr>
        <w:t xml:space="preserve">Balance Sheets Presentation. </w:t>
      </w:r>
      <w:r>
        <w:rPr>
          <w:rFonts w:ascii="Times New Roman;sans-serif" w:hAnsi="Times New Roman;sans-serif"/>
          <w:b w:val="false"/>
          <w:color w:val="000000"/>
          <w:sz w:val="20"/>
        </w:rPr>
        <w:t>The fair value of derivative instruments presented within assets and liabilities on the Consolidated Balance Sheets were:</w:t>
      </w:r>
    </w:p>
    <w:tbl>
      <w:tblPr>
        <w:tblW w:w="7205" w:type="dxa"/>
        <w:jc w:val="left"/>
        <w:tblInd w:w="0" w:type="dxa"/>
        <w:tblLayout w:type="fixed"/>
        <w:tblCellMar>
          <w:top w:w="28" w:type="dxa"/>
          <w:left w:w="28" w:type="dxa"/>
          <w:bottom w:w="28" w:type="dxa"/>
          <w:right w:w="28" w:type="dxa"/>
        </w:tblCellMar>
      </w:tblPr>
      <w:tblGrid>
        <w:gridCol w:w="1185"/>
        <w:gridCol w:w="1041"/>
        <w:gridCol w:w="1044"/>
        <w:gridCol w:w="196"/>
        <w:gridCol w:w="346"/>
        <w:gridCol w:w="109"/>
        <w:gridCol w:w="109"/>
        <w:gridCol w:w="109"/>
        <w:gridCol w:w="109"/>
        <w:gridCol w:w="249"/>
        <w:gridCol w:w="422"/>
        <w:gridCol w:w="140"/>
        <w:gridCol w:w="109"/>
        <w:gridCol w:w="109"/>
        <w:gridCol w:w="109"/>
        <w:gridCol w:w="196"/>
        <w:gridCol w:w="331"/>
        <w:gridCol w:w="109"/>
        <w:gridCol w:w="109"/>
        <w:gridCol w:w="109"/>
        <w:gridCol w:w="109"/>
        <w:gridCol w:w="241"/>
        <w:gridCol w:w="425"/>
        <w:gridCol w:w="190"/>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contracts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derivative instruments</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contracts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contracts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derivative instruments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12 for additional information on fair value. </w:t>
      </w:r>
    </w:p>
    <w:p>
      <w:pPr>
        <w:pStyle w:val="TextBody"/>
        <w:bidi w:val="0"/>
        <w:spacing w:lineRule="auto" w:line="288" w:before="0" w:after="180"/>
        <w:jc w:val="left"/>
        <w:rPr/>
      </w:pPr>
      <w:r>
        <w:rPr>
          <w:rFonts w:ascii="Times New Roman;sans-serif" w:hAnsi="Times New Roman;sans-serif"/>
          <w:b w:val="false"/>
          <w:i/>
          <w:color w:val="000000"/>
          <w:sz w:val="20"/>
        </w:rPr>
        <w:t>Effect of Netting.</w:t>
      </w:r>
      <w:r>
        <w:rPr>
          <w:color w:val="000000"/>
        </w:rPr>
        <w:t xml:space="preserve"> </w:t>
      </w:r>
      <w:r>
        <w:rPr>
          <w:rFonts w:ascii="Times New Roman;sans-serif" w:hAnsi="Times New Roman;sans-serif"/>
          <w:b w:val="false"/>
          <w:color w:val="000000"/>
          <w:sz w:val="20"/>
        </w:rPr>
        <w:t xml:space="preserve">Generally, the right of setoff within master netting arrangements permits the fair value of derivative assets to be offset with derivative liabilities. As an election, derivative assets and derivative liabilities are presented on the Consolidated Balance Sheets with the effect of such permitted netting as of June 30, 2024 (Successor) and December 31, 2023 (Successor).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net amounts of “Derivative instruments” presented as assets and liabilities on the Consolidated Balance Sheets considering the effect of permitted netting and where cash collateral is pledged in accordance with the underlying agreement were:</w:t>
      </w:r>
    </w:p>
    <w:tbl>
      <w:tblPr>
        <w:tblW w:w="10205" w:type="dxa"/>
        <w:jc w:val="left"/>
        <w:tblInd w:w="0" w:type="dxa"/>
        <w:tblLayout w:type="fixed"/>
        <w:tblCellMar>
          <w:top w:w="28" w:type="dxa"/>
          <w:left w:w="28" w:type="dxa"/>
          <w:bottom w:w="28" w:type="dxa"/>
          <w:right w:w="28" w:type="dxa"/>
        </w:tblCellMar>
      </w:tblPr>
      <w:tblGrid>
        <w:gridCol w:w="292"/>
        <w:gridCol w:w="257"/>
        <w:gridCol w:w="262"/>
        <w:gridCol w:w="520"/>
        <w:gridCol w:w="1119"/>
        <w:gridCol w:w="291"/>
        <w:gridCol w:w="109"/>
        <w:gridCol w:w="109"/>
        <w:gridCol w:w="109"/>
        <w:gridCol w:w="309"/>
        <w:gridCol w:w="769"/>
        <w:gridCol w:w="172"/>
        <w:gridCol w:w="109"/>
        <w:gridCol w:w="109"/>
        <w:gridCol w:w="109"/>
        <w:gridCol w:w="109"/>
        <w:gridCol w:w="109"/>
        <w:gridCol w:w="555"/>
        <w:gridCol w:w="939"/>
        <w:gridCol w:w="309"/>
        <w:gridCol w:w="109"/>
        <w:gridCol w:w="109"/>
        <w:gridCol w:w="109"/>
        <w:gridCol w:w="509"/>
        <w:gridCol w:w="1059"/>
        <w:gridCol w:w="286"/>
        <w:gridCol w:w="109"/>
        <w:gridCol w:w="109"/>
        <w:gridCol w:w="109"/>
        <w:gridCol w:w="294"/>
        <w:gridCol w:w="496"/>
        <w:gridCol w:w="241"/>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Eligible for Offset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Collateral (Posted)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847" w:type="dxa"/>
            <w:gridSpan w:val="2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 (Successor)</w:t>
            </w:r>
          </w:p>
        </w:tc>
        <w:tc>
          <w:tcPr>
            <w:tcW w:w="1358"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2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 (Successor)</w:t>
            </w:r>
          </w:p>
        </w:tc>
        <w:tc>
          <w:tcPr>
            <w:tcW w:w="1358" w:type="dxa"/>
            <w:gridSpan w:val="6"/>
            <w:tcBorders/>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Statements of Operations Presentation.</w:t>
      </w:r>
      <w:r>
        <w:rPr>
          <w:color w:val="000000"/>
        </w:rPr>
        <w:t xml:space="preserve"> </w:t>
      </w:r>
      <w:r>
        <w:rPr>
          <w:rFonts w:ascii="Times New Roman;sans-serif" w:hAnsi="Times New Roman;sans-serif"/>
          <w:b w:val="false"/>
          <w:color w:val="000000"/>
          <w:sz w:val="20"/>
        </w:rPr>
        <w:t>The location and pre-tax effect of “Derivative instruments” presented on the Consolidated Statements of Operations for the periods were:</w:t>
      </w:r>
    </w:p>
    <w:tbl>
      <w:tblPr>
        <w:tblW w:w="10205" w:type="dxa"/>
        <w:jc w:val="left"/>
        <w:tblInd w:w="0" w:type="dxa"/>
        <w:tblLayout w:type="fixed"/>
        <w:tblCellMar>
          <w:top w:w="28" w:type="dxa"/>
          <w:left w:w="28" w:type="dxa"/>
          <w:bottom w:w="28" w:type="dxa"/>
          <w:right w:w="28" w:type="dxa"/>
        </w:tblCellMar>
      </w:tblPr>
      <w:tblGrid>
        <w:gridCol w:w="518"/>
        <w:gridCol w:w="456"/>
        <w:gridCol w:w="457"/>
        <w:gridCol w:w="274"/>
        <w:gridCol w:w="464"/>
        <w:gridCol w:w="153"/>
        <w:gridCol w:w="109"/>
        <w:gridCol w:w="109"/>
        <w:gridCol w:w="109"/>
        <w:gridCol w:w="274"/>
        <w:gridCol w:w="464"/>
        <w:gridCol w:w="155"/>
        <w:gridCol w:w="109"/>
        <w:gridCol w:w="109"/>
        <w:gridCol w:w="109"/>
        <w:gridCol w:w="109"/>
        <w:gridCol w:w="109"/>
        <w:gridCol w:w="109"/>
        <w:gridCol w:w="346"/>
        <w:gridCol w:w="584"/>
        <w:gridCol w:w="192"/>
        <w:gridCol w:w="109"/>
        <w:gridCol w:w="109"/>
        <w:gridCol w:w="109"/>
        <w:gridCol w:w="109"/>
        <w:gridCol w:w="109"/>
        <w:gridCol w:w="109"/>
        <w:gridCol w:w="253"/>
        <w:gridCol w:w="544"/>
        <w:gridCol w:w="140"/>
        <w:gridCol w:w="109"/>
        <w:gridCol w:w="109"/>
        <w:gridCol w:w="109"/>
        <w:gridCol w:w="274"/>
        <w:gridCol w:w="464"/>
        <w:gridCol w:w="155"/>
        <w:gridCol w:w="109"/>
        <w:gridCol w:w="109"/>
        <w:gridCol w:w="109"/>
        <w:gridCol w:w="109"/>
        <w:gridCol w:w="109"/>
        <w:gridCol w:w="109"/>
        <w:gridCol w:w="310"/>
        <w:gridCol w:w="667"/>
        <w:gridCol w:w="173"/>
        <w:gridCol w:w="109"/>
        <w:gridCol w:w="163"/>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Realized gain (loss) on commodity contracts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Energy revenues </w:t>
            </w:r>
            <w:r>
              <w:rPr>
                <w:rFonts w:ascii="Times New Roman;sans-serif" w:hAnsi="Times New Roman;sans-serif"/>
                <w:b w:val="false"/>
                <w:color w:val="000000"/>
                <w:sz w:val="12"/>
              </w:rPr>
              <w:t>(a)</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Fuel and energy purchases </w:t>
            </w:r>
            <w:r>
              <w:rPr>
                <w:rFonts w:ascii="Times New Roman;sans-serif" w:hAnsi="Times New Roman;sans-serif"/>
                <w:b w:val="false"/>
                <w:color w:val="000000"/>
                <w:sz w:val="12"/>
              </w:rPr>
              <w:t>(a)</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Unrealized gain (loss) on commodity contracts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revenues </w:t>
            </w:r>
            <w:r>
              <w:rPr>
                <w:rFonts w:ascii="Times New Roman;sans-serif" w:hAnsi="Times New Roman;sans-serif"/>
                <w:b w:val="false"/>
                <w:color w:val="000000"/>
                <w:sz w:val="12"/>
              </w:rPr>
              <w:t>(b)</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Energy expenses </w:t>
            </w:r>
            <w:r>
              <w:rPr>
                <w:rFonts w:ascii="Times New Roman;sans-serif" w:hAnsi="Times New Roman;sans-serif"/>
                <w:b w:val="false"/>
                <w:color w:val="000000"/>
                <w:sz w:val="12"/>
              </w:rPr>
              <w:t>(b)</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Realized and unrealized gain (loss) on interest rate contracts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and other finance charges </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(a)Does not include those derivative instruments that settle through physical delivery.</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(b)Presented as “Unrealized gain (loss) on derivative instruments”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disaggregation of our operating revenues for the periods were: </w:t>
      </w:r>
    </w:p>
    <w:tbl>
      <w:tblPr>
        <w:tblW w:w="10205" w:type="dxa"/>
        <w:jc w:val="left"/>
        <w:tblInd w:w="0" w:type="dxa"/>
        <w:tblLayout w:type="fixed"/>
        <w:tblCellMar>
          <w:top w:w="28" w:type="dxa"/>
          <w:left w:w="28" w:type="dxa"/>
          <w:bottom w:w="28" w:type="dxa"/>
          <w:right w:w="28" w:type="dxa"/>
        </w:tblCellMar>
      </w:tblPr>
      <w:tblGrid>
        <w:gridCol w:w="538"/>
        <w:gridCol w:w="323"/>
        <w:gridCol w:w="324"/>
        <w:gridCol w:w="261"/>
        <w:gridCol w:w="581"/>
        <w:gridCol w:w="145"/>
        <w:gridCol w:w="109"/>
        <w:gridCol w:w="109"/>
        <w:gridCol w:w="109"/>
        <w:gridCol w:w="250"/>
        <w:gridCol w:w="557"/>
        <w:gridCol w:w="139"/>
        <w:gridCol w:w="109"/>
        <w:gridCol w:w="109"/>
        <w:gridCol w:w="109"/>
        <w:gridCol w:w="109"/>
        <w:gridCol w:w="109"/>
        <w:gridCol w:w="109"/>
        <w:gridCol w:w="299"/>
        <w:gridCol w:w="665"/>
        <w:gridCol w:w="167"/>
        <w:gridCol w:w="109"/>
        <w:gridCol w:w="109"/>
        <w:gridCol w:w="109"/>
        <w:gridCol w:w="109"/>
        <w:gridCol w:w="109"/>
        <w:gridCol w:w="109"/>
        <w:gridCol w:w="254"/>
        <w:gridCol w:w="566"/>
        <w:gridCol w:w="141"/>
        <w:gridCol w:w="109"/>
        <w:gridCol w:w="109"/>
        <w:gridCol w:w="109"/>
        <w:gridCol w:w="250"/>
        <w:gridCol w:w="557"/>
        <w:gridCol w:w="139"/>
        <w:gridCol w:w="109"/>
        <w:gridCol w:w="109"/>
        <w:gridCol w:w="109"/>
        <w:gridCol w:w="109"/>
        <w:gridCol w:w="109"/>
        <w:gridCol w:w="109"/>
        <w:gridCol w:w="260"/>
        <w:gridCol w:w="757"/>
        <w:gridCol w:w="145"/>
        <w:gridCol w:w="109"/>
        <w:gridCol w:w="162"/>
      </w:tblGrid>
      <w:tr>
        <w:trPr/>
        <w:tc>
          <w:tcPr>
            <w:tcW w:w="5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Capacity revenues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Electricity sales and ancillary services,</w:t>
              <w:br/>
              <w:t>ISO/RTO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Physical electricity sales, bilateral</w:t>
              <w:br/>
              <w:t>contracts,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 from customers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from contracts with</w:t>
              <w:br/>
              <w:t>customers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346</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177</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762</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177</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478</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and unrealized gain (loss) on</w:t>
              <w:br/>
              <w:t>derivative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Nuclear PTC and other revenue </w:t>
            </w:r>
            <w:r>
              <w:rPr>
                <w:rFonts w:ascii="Times New Roman;sans-serif" w:hAnsi="Times New Roman;sans-serif"/>
                <w:b w:val="false"/>
                <w:color w:val="000000"/>
                <w:sz w:val="12"/>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revenues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489</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998</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1,210</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(a)During the six months ended June 30, 2024, $51 million of estimated Nuclear PTCs were utilized as a credit against our federal income tax payable. See Note 5 for additional information on the tax impact of the Nuclear PTC.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 xml:space="preserve">Accounts receivable, net” presented on the Consolidated Balance Sheets were: </w:t>
      </w:r>
    </w:p>
    <w:tbl>
      <w:tblPr>
        <w:tblW w:w="5215" w:type="dxa"/>
        <w:jc w:val="left"/>
        <w:tblInd w:w="0" w:type="dxa"/>
        <w:tblLayout w:type="fixed"/>
        <w:tblCellMar>
          <w:top w:w="28" w:type="dxa"/>
          <w:left w:w="28" w:type="dxa"/>
          <w:bottom w:w="28" w:type="dxa"/>
          <w:right w:w="28" w:type="dxa"/>
        </w:tblCellMar>
      </w:tblPr>
      <w:tblGrid>
        <w:gridCol w:w="803"/>
        <w:gridCol w:w="707"/>
        <w:gridCol w:w="709"/>
        <w:gridCol w:w="297"/>
        <w:gridCol w:w="662"/>
        <w:gridCol w:w="165"/>
        <w:gridCol w:w="109"/>
        <w:gridCol w:w="109"/>
        <w:gridCol w:w="109"/>
        <w:gridCol w:w="385"/>
        <w:gridCol w:w="857"/>
        <w:gridCol w:w="303"/>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accounts receivable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accounts receivable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w:t>
            </w:r>
            <w:r>
              <w:rPr>
                <w:color w:val="000000"/>
              </w:rPr>
              <w:t>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During the six months ended June 30, 2024 (Successor), the period from May 18 through June 30, 2023 (Successor), and the period from January 1 through May 17, 2023 (Predecessor)</w:t>
      </w:r>
      <w:r>
        <w:rPr>
          <w:rFonts w:ascii="Times New Roman;sans-serif" w:hAnsi="Times New Roman;sans-serif"/>
          <w:b w:val="false"/>
          <w:color w:val="000000"/>
          <w:sz w:val="16"/>
        </w:rPr>
        <w:t xml:space="preserve">, </w:t>
      </w:r>
      <w:r>
        <w:rPr>
          <w:rFonts w:ascii="Times New Roman;sans-serif" w:hAnsi="Times New Roman;sans-serif"/>
          <w:b w:val="false"/>
          <w:color w:val="000000"/>
          <w:sz w:val="20"/>
        </w:rPr>
        <w:t xml:space="preserve">there were no significant changes in accounts receivable other than normal receivable recognition and collection transactions. See Note 3 for additional information on Talen’s credit risk on the carrying value of its receivables.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Future Performance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Talen has future performance obligations for capacity sales awarded through market-based capacity auctions and (or) for capacity sales under bilateral contractual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(Successor), the expected future period capacity revenues subject to unsatisfied or partially unsatisfied performance obligations were: </w:t>
      </w:r>
    </w:p>
    <w:tbl>
      <w:tblPr>
        <w:tblW w:w="6625" w:type="dxa"/>
        <w:jc w:val="left"/>
        <w:tblInd w:w="0" w:type="dxa"/>
        <w:tblLayout w:type="fixed"/>
        <w:tblCellMar>
          <w:top w:w="28" w:type="dxa"/>
          <w:left w:w="28" w:type="dxa"/>
          <w:bottom w:w="28" w:type="dxa"/>
          <w:right w:w="28" w:type="dxa"/>
        </w:tblCellMar>
      </w:tblPr>
      <w:tblGrid>
        <w:gridCol w:w="743"/>
        <w:gridCol w:w="654"/>
        <w:gridCol w:w="657"/>
        <w:gridCol w:w="196"/>
        <w:gridCol w:w="421"/>
        <w:gridCol w:w="109"/>
        <w:gridCol w:w="109"/>
        <w:gridCol w:w="109"/>
        <w:gridCol w:w="109"/>
        <w:gridCol w:w="196"/>
        <w:gridCol w:w="331"/>
        <w:gridCol w:w="109"/>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2024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capacity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(a)For the period from July 1 through December 31, 2024.</w:t>
      </w:r>
    </w:p>
    <w:p>
      <w:pPr>
        <w:pStyle w:val="TextBody"/>
        <w:bidi w:val="0"/>
        <w:spacing w:lineRule="auto" w:line="288" w:before="0" w:after="180"/>
        <w:jc w:val="left"/>
        <w:rPr/>
      </w:pPr>
      <w:r>
        <w:rPr>
          <w:rFonts w:ascii="Times New Roman;sans-serif" w:hAnsi="Times New Roman;sans-serif"/>
          <w:b w:val="false"/>
          <w:color w:val="000000"/>
          <w:sz w:val="20"/>
        </w:rPr>
        <w:t xml:space="preserve">The PJM capacity auction for the 2025/2026 PJM Capacity Year was held in July 2024. Talen cleared a total of 6,820 MW at a clearing price of $269.92 per MW-day for the MAAC, PPL, and PSEG locational deliverability areas. The PJM capacity auctions for any years thereafter have not yet been held. See </w:t>
      </w:r>
      <w:hyperlink w:anchor="if20e1f3d5a734e3eabbb6aa8f57c7562_162">
        <w:r>
          <w:rPr>
            <w:rStyle w:val="InternetLink"/>
            <w:rFonts w:ascii="Times New Roman;sans-serif" w:hAnsi="Times New Roman;sans-serif"/>
            <w:b w:val="false"/>
            <w:strike w:val="false"/>
            <w:dstrike w:val="false"/>
            <w:color w:val="000000"/>
            <w:sz w:val="20"/>
            <w:u w:val="none"/>
            <w:effect w:val="none"/>
          </w:rPr>
          <w:t xml:space="preserve">Note </w:t>
        </w:r>
      </w:hyperlink>
      <w:r>
        <w:rPr>
          <w:rFonts w:ascii="Times New Roman;sans-serif" w:hAnsi="Times New Roman;sans-serif"/>
          <w:b w:val="false"/>
          <w:color w:val="000000"/>
          <w:sz w:val="20"/>
        </w:rPr>
        <w:t>10 for additional information on the PJM RPM and auctions.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Income Taxes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Effective Tax Rate Reconciliations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reconciliations of the effective tax rate for the periods were:</w:t>
      </w:r>
    </w:p>
    <w:tbl>
      <w:tblPr>
        <w:tblW w:w="10205" w:type="dxa"/>
        <w:jc w:val="left"/>
        <w:tblInd w:w="0" w:type="dxa"/>
        <w:tblLayout w:type="fixed"/>
        <w:tblCellMar>
          <w:top w:w="28" w:type="dxa"/>
          <w:left w:w="28" w:type="dxa"/>
          <w:bottom w:w="28" w:type="dxa"/>
          <w:right w:w="28" w:type="dxa"/>
        </w:tblCellMar>
      </w:tblPr>
      <w:tblGrid>
        <w:gridCol w:w="1044"/>
        <w:gridCol w:w="332"/>
        <w:gridCol w:w="335"/>
        <w:gridCol w:w="231"/>
        <w:gridCol w:w="529"/>
        <w:gridCol w:w="128"/>
        <w:gridCol w:w="109"/>
        <w:gridCol w:w="109"/>
        <w:gridCol w:w="109"/>
        <w:gridCol w:w="230"/>
        <w:gridCol w:w="459"/>
        <w:gridCol w:w="128"/>
        <w:gridCol w:w="109"/>
        <w:gridCol w:w="109"/>
        <w:gridCol w:w="109"/>
        <w:gridCol w:w="109"/>
        <w:gridCol w:w="109"/>
        <w:gridCol w:w="109"/>
        <w:gridCol w:w="281"/>
        <w:gridCol w:w="625"/>
        <w:gridCol w:w="157"/>
        <w:gridCol w:w="109"/>
        <w:gridCol w:w="109"/>
        <w:gridCol w:w="109"/>
        <w:gridCol w:w="109"/>
        <w:gridCol w:w="109"/>
        <w:gridCol w:w="109"/>
        <w:gridCol w:w="227"/>
        <w:gridCol w:w="520"/>
        <w:gridCol w:w="126"/>
        <w:gridCol w:w="109"/>
        <w:gridCol w:w="109"/>
        <w:gridCol w:w="109"/>
        <w:gridCol w:w="230"/>
        <w:gridCol w:w="459"/>
        <w:gridCol w:w="128"/>
        <w:gridCol w:w="109"/>
        <w:gridCol w:w="109"/>
        <w:gridCol w:w="109"/>
        <w:gridCol w:w="109"/>
        <w:gridCol w:w="109"/>
        <w:gridCol w:w="109"/>
        <w:gridCol w:w="285"/>
        <w:gridCol w:w="636"/>
        <w:gridCol w:w="159"/>
        <w:gridCol w:w="109"/>
        <w:gridCol w:w="231"/>
      </w:tblGrid>
      <w:tr>
        <w:trPr/>
        <w:tc>
          <w:tcPr>
            <w:tcW w:w="104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0"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18"/>
              </w:rPr>
            </w:pPr>
            <w:r>
              <w:rPr>
                <w:rFonts w:ascii="Times New Roman;sans-serif" w:hAnsi="Times New Roman;sans-serif"/>
                <w:b/>
                <w:color w:val="000000"/>
                <w:sz w:val="18"/>
              </w:rPr>
              <w:t>Effective tax rate</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31.3%</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Federal income tax statutory tax rate</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 computed at the federal income tax statutory tax rate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increase (decrease) due to:</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taxes, net of federal benefit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tax credits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permanent differences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taxes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Reorganization adjustments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tax benefit (expense)</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(112)</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Valuation Allowance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whether it is more likely than not that sufficient future taxable income will be generated to permit use of existing deferred tax assets. The assessment of future taxable income includes the scheduled reversal of taxable temporary differences, projected future taxable income, tax planning strategies and results of recent operations. For the six months ended June 30, 2024 (Successor), Talen recognized a $34 million tax benefit for the reduction in federal and state valuation allowances, primarily related to year-to-date divestitures which increase the amount of tax attributes that can be utilized. See Note 17 for information on the sale transactions. At each period, management will continue to assess the available positive and negative evidence to determine the need for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Inventory</w:t>
      </w:r>
    </w:p>
    <w:tbl>
      <w:tblPr>
        <w:tblW w:w="5920" w:type="dxa"/>
        <w:jc w:val="left"/>
        <w:tblInd w:w="0" w:type="dxa"/>
        <w:tblLayout w:type="fixed"/>
        <w:tblCellMar>
          <w:top w:w="28" w:type="dxa"/>
          <w:left w:w="28" w:type="dxa"/>
          <w:bottom w:w="28" w:type="dxa"/>
          <w:right w:w="28" w:type="dxa"/>
        </w:tblCellMar>
      </w:tblPr>
      <w:tblGrid>
        <w:gridCol w:w="1057"/>
        <w:gridCol w:w="926"/>
        <w:gridCol w:w="941"/>
        <w:gridCol w:w="297"/>
        <w:gridCol w:w="662"/>
        <w:gridCol w:w="165"/>
        <w:gridCol w:w="109"/>
        <w:gridCol w:w="109"/>
        <w:gridCol w:w="109"/>
        <w:gridCol w:w="385"/>
        <w:gridCol w:w="857"/>
        <w:gridCol w:w="303"/>
      </w:tblGrid>
      <w:tr>
        <w:trPr/>
        <w:tc>
          <w:tcPr>
            <w:tcW w:w="105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Coal</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products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Fuel inventory for electric generation</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227</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 and supplies, net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products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Inventory, net</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280</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375</w:t>
            </w:r>
            <w:r>
              <w:rPr>
                <w:color w:val="000000"/>
              </w:rPr>
              <w:t>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 realizable value and obsolescence charges on coal and fuel oil inventories are presented as “Other operating income (expense), net” on the Consolidated Statements of Operations. Such non-cash charges were non-material for the six months ended June 30, 2024 (Successor), non-material for the period from May 18 through June 30, 2023 (Successor), and $37 million for the period from January 1 through May 17, 2023 (Predecessor)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Of the above charges incurred during the period from January 1 through May 17, 2023 (Predecessor), $24 million is related to Brandon Shores inventories. See Note 8 for additional information on the Brandon Shores recoverability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Nuclear Decommissioning Trust Funds</w:t>
      </w:r>
    </w:p>
    <w:tbl>
      <w:tblPr>
        <w:tblW w:w="10343" w:type="dxa"/>
        <w:jc w:val="left"/>
        <w:tblInd w:w="0" w:type="dxa"/>
        <w:tblLayout w:type="fixed"/>
        <w:tblCellMar>
          <w:top w:w="28" w:type="dxa"/>
          <w:left w:w="28" w:type="dxa"/>
          <w:bottom w:w="28" w:type="dxa"/>
          <w:right w:w="28" w:type="dxa"/>
        </w:tblCellMar>
      </w:tblPr>
      <w:tblGrid>
        <w:gridCol w:w="377"/>
        <w:gridCol w:w="291"/>
        <w:gridCol w:w="293"/>
        <w:gridCol w:w="196"/>
        <w:gridCol w:w="571"/>
        <w:gridCol w:w="109"/>
        <w:gridCol w:w="109"/>
        <w:gridCol w:w="109"/>
        <w:gridCol w:w="109"/>
        <w:gridCol w:w="234"/>
        <w:gridCol w:w="521"/>
        <w:gridCol w:w="131"/>
        <w:gridCol w:w="109"/>
        <w:gridCol w:w="109"/>
        <w:gridCol w:w="109"/>
        <w:gridCol w:w="244"/>
        <w:gridCol w:w="505"/>
        <w:gridCol w:w="137"/>
        <w:gridCol w:w="109"/>
        <w:gridCol w:w="109"/>
        <w:gridCol w:w="109"/>
        <w:gridCol w:w="196"/>
        <w:gridCol w:w="571"/>
        <w:gridCol w:w="109"/>
        <w:gridCol w:w="109"/>
        <w:gridCol w:w="109"/>
        <w:gridCol w:w="109"/>
        <w:gridCol w:w="196"/>
        <w:gridCol w:w="571"/>
        <w:gridCol w:w="109"/>
        <w:gridCol w:w="109"/>
        <w:gridCol w:w="109"/>
        <w:gridCol w:w="109"/>
        <w:gridCol w:w="234"/>
        <w:gridCol w:w="521"/>
        <w:gridCol w:w="131"/>
        <w:gridCol w:w="109"/>
        <w:gridCol w:w="109"/>
        <w:gridCol w:w="109"/>
        <w:gridCol w:w="244"/>
        <w:gridCol w:w="505"/>
        <w:gridCol w:w="137"/>
        <w:gridCol w:w="109"/>
        <w:gridCol w:w="109"/>
        <w:gridCol w:w="109"/>
        <w:gridCol w:w="196"/>
        <w:gridCol w:w="571"/>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(payables),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NDT funds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639</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585</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for additional information on the NDT fair value. There were no available-for-sale debt securities with credit losses as of June 30, 2024 (Successor) and December 31, 2023 (Successor).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June 30, 2024 (Successor) were:</w:t>
      </w:r>
    </w:p>
    <w:tbl>
      <w:tblPr>
        <w:tblW w:w="5689" w:type="dxa"/>
        <w:jc w:val="left"/>
        <w:tblInd w:w="0" w:type="dxa"/>
        <w:tblLayout w:type="fixed"/>
        <w:tblCellMar>
          <w:top w:w="28" w:type="dxa"/>
          <w:left w:w="28" w:type="dxa"/>
          <w:bottom w:w="28" w:type="dxa"/>
          <w:right w:w="28" w:type="dxa"/>
        </w:tblCellMar>
      </w:tblPr>
      <w:tblGrid>
        <w:gridCol w:w="1335"/>
        <w:gridCol w:w="1176"/>
        <w:gridCol w:w="1179"/>
        <w:gridCol w:w="196"/>
        <w:gridCol w:w="436"/>
        <w:gridCol w:w="109"/>
        <w:gridCol w:w="109"/>
        <w:gridCol w:w="109"/>
        <w:gridCol w:w="109"/>
        <w:gridCol w:w="301"/>
        <w:gridCol w:w="393"/>
        <w:gridCol w:w="237"/>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debt securities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debt securities in unrealized loss position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in an unrealized loss position for a duration of one year or longer as of June 30, 2024 (Successor):</w:t>
      </w:r>
    </w:p>
    <w:tbl>
      <w:tblPr>
        <w:tblW w:w="7579" w:type="dxa"/>
        <w:jc w:val="left"/>
        <w:tblInd w:w="0" w:type="dxa"/>
        <w:tblLayout w:type="fixed"/>
        <w:tblCellMar>
          <w:top w:w="28" w:type="dxa"/>
          <w:left w:w="28" w:type="dxa"/>
          <w:bottom w:w="28" w:type="dxa"/>
          <w:right w:w="28" w:type="dxa"/>
        </w:tblCellMar>
      </w:tblPr>
      <w:tblGrid>
        <w:gridCol w:w="2017"/>
        <w:gridCol w:w="1778"/>
        <w:gridCol w:w="1785"/>
        <w:gridCol w:w="196"/>
        <w:gridCol w:w="436"/>
        <w:gridCol w:w="109"/>
        <w:gridCol w:w="109"/>
        <w:gridCol w:w="109"/>
        <w:gridCol w:w="109"/>
        <w:gridCol w:w="301"/>
        <w:gridCol w:w="393"/>
        <w:gridCol w:w="237"/>
      </w:tblGrid>
      <w:tr>
        <w:trPr/>
        <w:tc>
          <w:tcPr>
            <w:tcW w:w="201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debt securities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 xml:space="preserve">Total debt securities in unrealized loss position for one year or longer </w:t>
            </w:r>
            <w:r>
              <w:rPr>
                <w:rFonts w:ascii="Times New Roman;sans-serif" w:hAnsi="Times New Roman;sans-serif"/>
                <w:b/>
                <w:color w:val="000000"/>
                <w:sz w:val="12"/>
              </w:rPr>
              <w:t>(a)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(a)Excludes corporate debt securities which, in the aggregate, had a fair value of $23 million, as the unrealized losses were non-material.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maturities for available-for-sale debt securities presented on the Consolidated Balance Sheets were: </w:t>
      </w:r>
    </w:p>
    <w:tbl>
      <w:tblPr>
        <w:tblW w:w="5560" w:type="dxa"/>
        <w:jc w:val="left"/>
        <w:tblInd w:w="0" w:type="dxa"/>
        <w:tblLayout w:type="fixed"/>
        <w:tblCellMar>
          <w:top w:w="28" w:type="dxa"/>
          <w:left w:w="28" w:type="dxa"/>
          <w:bottom w:w="28" w:type="dxa"/>
          <w:right w:w="28" w:type="dxa"/>
        </w:tblCellMar>
      </w:tblPr>
      <w:tblGrid>
        <w:gridCol w:w="927"/>
        <w:gridCol w:w="817"/>
        <w:gridCol w:w="820"/>
        <w:gridCol w:w="297"/>
        <w:gridCol w:w="662"/>
        <w:gridCol w:w="165"/>
        <w:gridCol w:w="109"/>
        <w:gridCol w:w="109"/>
        <w:gridCol w:w="109"/>
        <w:gridCol w:w="385"/>
        <w:gridCol w:w="857"/>
        <w:gridCol w:w="303"/>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within one year</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within two to five years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thereafter</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securities, fair value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598</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579</w:t>
            </w:r>
            <w:r>
              <w:rPr>
                <w:color w:val="000000"/>
              </w:rPr>
              <w:t>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sales proceeds, gains, and losses for available-for-sale debt securities for the periods were:</w:t>
      </w:r>
    </w:p>
    <w:tbl>
      <w:tblPr>
        <w:tblW w:w="10205" w:type="dxa"/>
        <w:jc w:val="left"/>
        <w:tblInd w:w="0" w:type="dxa"/>
        <w:tblLayout w:type="fixed"/>
        <w:tblCellMar>
          <w:top w:w="28" w:type="dxa"/>
          <w:left w:w="28" w:type="dxa"/>
          <w:bottom w:w="28" w:type="dxa"/>
          <w:right w:w="28" w:type="dxa"/>
        </w:tblCellMar>
      </w:tblPr>
      <w:tblGrid>
        <w:gridCol w:w="401"/>
        <w:gridCol w:w="351"/>
        <w:gridCol w:w="354"/>
        <w:gridCol w:w="263"/>
        <w:gridCol w:w="566"/>
        <w:gridCol w:w="146"/>
        <w:gridCol w:w="109"/>
        <w:gridCol w:w="109"/>
        <w:gridCol w:w="109"/>
        <w:gridCol w:w="252"/>
        <w:gridCol w:w="543"/>
        <w:gridCol w:w="140"/>
        <w:gridCol w:w="109"/>
        <w:gridCol w:w="109"/>
        <w:gridCol w:w="109"/>
        <w:gridCol w:w="109"/>
        <w:gridCol w:w="109"/>
        <w:gridCol w:w="109"/>
        <w:gridCol w:w="305"/>
        <w:gridCol w:w="656"/>
        <w:gridCol w:w="170"/>
        <w:gridCol w:w="109"/>
        <w:gridCol w:w="109"/>
        <w:gridCol w:w="109"/>
        <w:gridCol w:w="109"/>
        <w:gridCol w:w="109"/>
        <w:gridCol w:w="109"/>
        <w:gridCol w:w="243"/>
        <w:gridCol w:w="690"/>
        <w:gridCol w:w="135"/>
        <w:gridCol w:w="109"/>
        <w:gridCol w:w="109"/>
        <w:gridCol w:w="109"/>
        <w:gridCol w:w="252"/>
        <w:gridCol w:w="543"/>
        <w:gridCol w:w="140"/>
        <w:gridCol w:w="109"/>
        <w:gridCol w:w="109"/>
        <w:gridCol w:w="109"/>
        <w:gridCol w:w="109"/>
        <w:gridCol w:w="109"/>
        <w:gridCol w:w="109"/>
        <w:gridCol w:w="313"/>
        <w:gridCol w:w="674"/>
        <w:gridCol w:w="175"/>
        <w:gridCol w:w="109"/>
        <w:gridCol w:w="168"/>
      </w:tblGrid>
      <w:tr>
        <w:trPr/>
        <w:tc>
          <w:tcPr>
            <w:tcW w:w="4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355" w:type="dxa"/>
            <w:gridSpan w:val="17"/>
            <w:tcBorders/>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18"/>
              </w:rPr>
              <w:t xml:space="preserve">Sales proceeds of NDT funds investments </w:t>
            </w:r>
            <w:r>
              <w:rPr>
                <w:rFonts w:ascii="Times New Roman;sans-serif" w:hAnsi="Times New Roman;sans-serif"/>
                <w:b w:val="false"/>
                <w:color w:val="000000"/>
                <w:sz w:val="12"/>
              </w:rPr>
              <w:t>(a)</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realized gains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realized losses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(a)Sales proceeds are used to pay income taxes and trust management fees. Remaining proceeds are reinvested in the NDT.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Property, Plant and Equipment</w:t>
      </w:r>
    </w:p>
    <w:tbl>
      <w:tblPr>
        <w:tblW w:w="10205" w:type="dxa"/>
        <w:jc w:val="left"/>
        <w:tblInd w:w="0" w:type="dxa"/>
        <w:tblLayout w:type="fixed"/>
        <w:tblCellMar>
          <w:top w:w="28" w:type="dxa"/>
          <w:left w:w="28" w:type="dxa"/>
          <w:bottom w:w="28" w:type="dxa"/>
          <w:right w:w="28" w:type="dxa"/>
        </w:tblCellMar>
      </w:tblPr>
      <w:tblGrid>
        <w:gridCol w:w="605"/>
        <w:gridCol w:w="406"/>
        <w:gridCol w:w="409"/>
        <w:gridCol w:w="373"/>
        <w:gridCol w:w="373"/>
        <w:gridCol w:w="374"/>
        <w:gridCol w:w="109"/>
        <w:gridCol w:w="109"/>
        <w:gridCol w:w="109"/>
        <w:gridCol w:w="201"/>
        <w:gridCol w:w="586"/>
        <w:gridCol w:w="112"/>
        <w:gridCol w:w="109"/>
        <w:gridCol w:w="109"/>
        <w:gridCol w:w="109"/>
        <w:gridCol w:w="277"/>
        <w:gridCol w:w="618"/>
        <w:gridCol w:w="156"/>
        <w:gridCol w:w="109"/>
        <w:gridCol w:w="109"/>
        <w:gridCol w:w="109"/>
        <w:gridCol w:w="196"/>
        <w:gridCol w:w="571"/>
        <w:gridCol w:w="109"/>
        <w:gridCol w:w="109"/>
        <w:gridCol w:w="109"/>
        <w:gridCol w:w="109"/>
        <w:gridCol w:w="201"/>
        <w:gridCol w:w="586"/>
        <w:gridCol w:w="112"/>
        <w:gridCol w:w="109"/>
        <w:gridCol w:w="109"/>
        <w:gridCol w:w="109"/>
        <w:gridCol w:w="277"/>
        <w:gridCol w:w="618"/>
        <w:gridCol w:w="156"/>
        <w:gridCol w:w="109"/>
        <w:gridCol w:w="109"/>
        <w:gridCol w:w="109"/>
        <w:gridCol w:w="196"/>
        <w:gridCol w:w="571"/>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 generation</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fuel</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work in progress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3,586</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4,025</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3,839</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“Depreciation, amortization and accretion” presented on the Consolidated Statements of Operations for the periods were: </w:t>
      </w:r>
    </w:p>
    <w:tbl>
      <w:tblPr>
        <w:tblW w:w="10205" w:type="dxa"/>
        <w:jc w:val="left"/>
        <w:tblInd w:w="0" w:type="dxa"/>
        <w:tblLayout w:type="fixed"/>
        <w:tblCellMar>
          <w:top w:w="28" w:type="dxa"/>
          <w:left w:w="28" w:type="dxa"/>
          <w:bottom w:w="28" w:type="dxa"/>
          <w:right w:w="28" w:type="dxa"/>
        </w:tblCellMar>
      </w:tblPr>
      <w:tblGrid>
        <w:gridCol w:w="691"/>
        <w:gridCol w:w="384"/>
        <w:gridCol w:w="386"/>
        <w:gridCol w:w="287"/>
        <w:gridCol w:w="506"/>
        <w:gridCol w:w="159"/>
        <w:gridCol w:w="109"/>
        <w:gridCol w:w="109"/>
        <w:gridCol w:w="109"/>
        <w:gridCol w:w="282"/>
        <w:gridCol w:w="499"/>
        <w:gridCol w:w="157"/>
        <w:gridCol w:w="109"/>
        <w:gridCol w:w="109"/>
        <w:gridCol w:w="109"/>
        <w:gridCol w:w="109"/>
        <w:gridCol w:w="109"/>
        <w:gridCol w:w="109"/>
        <w:gridCol w:w="349"/>
        <w:gridCol w:w="615"/>
        <w:gridCol w:w="195"/>
        <w:gridCol w:w="109"/>
        <w:gridCol w:w="109"/>
        <w:gridCol w:w="109"/>
        <w:gridCol w:w="264"/>
        <w:gridCol w:w="588"/>
        <w:gridCol w:w="147"/>
        <w:gridCol w:w="109"/>
        <w:gridCol w:w="109"/>
        <w:gridCol w:w="109"/>
        <w:gridCol w:w="282"/>
        <w:gridCol w:w="499"/>
        <w:gridCol w:w="157"/>
        <w:gridCol w:w="109"/>
        <w:gridCol w:w="109"/>
        <w:gridCol w:w="109"/>
        <w:gridCol w:w="109"/>
        <w:gridCol w:w="109"/>
        <w:gridCol w:w="109"/>
        <w:gridCol w:w="316"/>
        <w:gridCol w:w="703"/>
        <w:gridCol w:w="176"/>
        <w:gridCol w:w="109"/>
        <w:gridCol w:w="165"/>
      </w:tblGrid>
      <w:tr>
        <w:trPr/>
        <w:tc>
          <w:tcPr>
            <w:tcW w:w="6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23" w:after="20"/>
              <w:ind w:left="0" w:right="0" w:hanging="180"/>
              <w:jc w:val="left"/>
              <w:rPr/>
            </w:pPr>
            <w:r>
              <w:rPr>
                <w:rFonts w:ascii="Times New Roman;sans-serif" w:hAnsi="Times New Roman;sans-serif"/>
                <w:b w:val="false"/>
                <w:color w:val="000000"/>
                <w:sz w:val="18"/>
              </w:rPr>
              <w:t xml:space="preserve">Depreciation expense </w:t>
            </w:r>
            <w:r>
              <w:rPr>
                <w:rFonts w:ascii="Times New Roman;sans-serif" w:hAnsi="Times New Roman;sans-serif"/>
                <w:b w:val="false"/>
                <w:color w:val="000000"/>
                <w:sz w:val="12"/>
              </w:rPr>
              <w:t>(a)</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ind w:left="0" w:right="0" w:hanging="180"/>
              <w:jc w:val="left"/>
              <w:rPr/>
            </w:pPr>
            <w:r>
              <w:rPr>
                <w:rFonts w:ascii="Times New Roman;sans-serif" w:hAnsi="Times New Roman;sans-serif"/>
                <w:b w:val="false"/>
                <w:color w:val="000000"/>
                <w:sz w:val="18"/>
              </w:rPr>
              <w:t xml:space="preserve">Amortization expense </w:t>
            </w:r>
            <w:r>
              <w:rPr>
                <w:rFonts w:ascii="Times New Roman;sans-serif" w:hAnsi="Times New Roman;sans-serif"/>
                <w:b w:val="false"/>
                <w:color w:val="000000"/>
                <w:sz w:val="12"/>
              </w:rPr>
              <w:t>(b)</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ind w:left="0" w:right="0" w:hanging="180"/>
              <w:jc w:val="left"/>
              <w:rPr/>
            </w:pPr>
            <w:r>
              <w:rPr>
                <w:rFonts w:ascii="Times New Roman;sans-serif" w:hAnsi="Times New Roman;sans-serif"/>
                <w:b w:val="false"/>
                <w:color w:val="000000"/>
                <w:sz w:val="18"/>
              </w:rPr>
              <w:t xml:space="preserve">Accretion expense </w:t>
            </w:r>
            <w:r>
              <w:rPr>
                <w:rFonts w:ascii="Times New Roman;sans-serif" w:hAnsi="Times New Roman;sans-serif"/>
                <w:b w:val="false"/>
                <w:color w:val="000000"/>
                <w:sz w:val="12"/>
              </w:rPr>
              <w:t>(c)</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amortization, and accretion</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75</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w:t>
            </w: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200</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(a)Electric generation and other property and equipment.</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(b)Intangible assets and capitalized software.</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(c)ARO and accrued environmental cost accretion. See Note 9 for additional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nuclear fuel is presented as “Nuclear fuel amortization”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Reliability Impact Assessments</w:t>
      </w:r>
    </w:p>
    <w:p>
      <w:pPr>
        <w:pStyle w:val="TextBody"/>
        <w:bidi w:val="0"/>
        <w:spacing w:lineRule="auto" w:line="288" w:before="0" w:after="180"/>
        <w:jc w:val="left"/>
        <w:rPr/>
      </w:pPr>
      <w:r>
        <w:rPr>
          <w:rFonts w:ascii="Times New Roman;sans-serif" w:hAnsi="Times New Roman;sans-serif"/>
          <w:b w:val="false"/>
          <w:i/>
          <w:color w:val="000000"/>
          <w:sz w:val="20"/>
        </w:rPr>
        <w:t xml:space="preserve">Reliability Impact Assessments. </w:t>
      </w:r>
      <w:r>
        <w:rPr>
          <w:rFonts w:ascii="Times New Roman;sans-serif" w:hAnsi="Times New Roman;sans-serif"/>
          <w:b w:val="false"/>
          <w:color w:val="000000"/>
          <w:sz w:val="20"/>
        </w:rPr>
        <w:t>In 2023, Talen provided notifications to PJM it intends to deactivate electric generation at both Brandon Shores and H.A. Wagner on June 1, 2025. PJM has notified Talen that the generation units at each facility are needed for reliability. In April 2024, cost-of-service rate schedules covering the period of June 1, 2025 through December 31, 2028 were filed at FERC for the continued Reliability-Must-Run operation and provision of service from Brandon Shores Units 1 and 2 and H.A Wagner Units 3 and 4. Each of the filed rate schedules sets forth the terms, conditions, and cost-based rates under which the applicable generation facility will agree to continue to operate its generation units. In June 2024: (i) FERC accepted each rate schedule, subject to refund; (ii) an administrative settlement judge was appointed; and (iii) settlement proceedings commenced. No assurance can be provided as to when, if at all, final rate schedules for each generation facility will be approved by FERC or how the rate schedules and resulting revenues may ultimately be modified in the course of settlement judge procedures, or, should they be necessary, in the course of any subsequent evidentiary hearing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2023 Impairment</w:t>
      </w:r>
    </w:p>
    <w:p>
      <w:pPr>
        <w:pStyle w:val="TextBody"/>
        <w:bidi w:val="0"/>
        <w:spacing w:lineRule="auto" w:line="288" w:before="0" w:after="180"/>
        <w:jc w:val="left"/>
        <w:rPr/>
      </w:pPr>
      <w:r>
        <w:rPr>
          <w:rFonts w:ascii="Times New Roman;sans-serif" w:hAnsi="Times New Roman;sans-serif"/>
          <w:b w:val="false"/>
          <w:i/>
          <w:color w:val="000000"/>
          <w:sz w:val="20"/>
        </w:rPr>
        <w:t>Brandon Shores Asset Group.</w:t>
      </w:r>
      <w:r>
        <w:rPr>
          <w:color w:val="000000"/>
        </w:rPr>
        <w:t xml:space="preserve"> </w:t>
      </w:r>
      <w:r>
        <w:rPr>
          <w:rFonts w:ascii="Times New Roman;sans-serif" w:hAnsi="Times New Roman;sans-serif"/>
          <w:b w:val="false"/>
          <w:color w:val="000000"/>
          <w:sz w:val="20"/>
        </w:rPr>
        <w:t>Brandon Shores is required by contract and permit to cease coal combustion by December 31, 2025. In the first quarter of 2023, Talen canceled its plan to convert Brandon Shores to an oil combustion facility due to an increase in expected conversion costs. This decision triggered a recoverability assessment of the carrying value of the Brandon Shores asset group.</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Accordingly, for the period from January 1 through May 17, 2023 (Predecessor), a $361 million non-cash pre-tax impairment charge on the asset group’s undepreciated property, plant and equipment is presented as “Impairments”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Asset Retirement Obligations and Accrued Environmental Costs</w:t>
      </w:r>
    </w:p>
    <w:tbl>
      <w:tblPr>
        <w:tblW w:w="9429" w:type="dxa"/>
        <w:jc w:val="left"/>
        <w:tblInd w:w="0" w:type="dxa"/>
        <w:tblLayout w:type="fixed"/>
        <w:tblCellMar>
          <w:top w:w="28" w:type="dxa"/>
          <w:left w:w="28" w:type="dxa"/>
          <w:bottom w:w="28" w:type="dxa"/>
          <w:right w:w="28" w:type="dxa"/>
        </w:tblCellMar>
      </w:tblPr>
      <w:tblGrid>
        <w:gridCol w:w="2328"/>
        <w:gridCol w:w="2050"/>
        <w:gridCol w:w="2056"/>
        <w:gridCol w:w="297"/>
        <w:gridCol w:w="662"/>
        <w:gridCol w:w="165"/>
        <w:gridCol w:w="109"/>
        <w:gridCol w:w="109"/>
        <w:gridCol w:w="109"/>
        <w:gridCol w:w="385"/>
        <w:gridCol w:w="857"/>
        <w:gridCol w:w="302"/>
      </w:tblGrid>
      <w:tr>
        <w:trPr/>
        <w:tc>
          <w:tcPr>
            <w:tcW w:w="232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6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environmental costs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obligations and accrued environmental costs</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pPr>
            <w:r>
              <w:rPr>
                <w:rFonts w:ascii="Times New Roman;sans-serif" w:hAnsi="Times New Roman;sans-serif"/>
                <w:b w:val="false"/>
                <w:color w:val="000000"/>
                <w:sz w:val="18"/>
              </w:rPr>
              <w:t xml:space="preserve">Less: asset retirement obligations and accrued environmental costs due within one year </w:t>
            </w:r>
            <w:r>
              <w:rPr>
                <w:rFonts w:ascii="Times New Roman;sans-serif" w:hAnsi="Times New Roman;sans-serif"/>
                <w:b w:val="false"/>
                <w:color w:val="000000"/>
                <w:sz w:val="12"/>
              </w:rPr>
              <w:t>(a)</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retirement obligations and accrued environmental costs due after one year</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473</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469</w:t>
            </w:r>
            <w:r>
              <w:rPr>
                <w:color w:val="000000"/>
              </w:rPr>
              <w:t>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(a)Presented as “Other current liabilities”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of the ARO carrying value were: </w:t>
      </w:r>
    </w:p>
    <w:tbl>
      <w:tblPr>
        <w:tblW w:w="4771" w:type="dxa"/>
        <w:jc w:val="left"/>
        <w:tblInd w:w="0" w:type="dxa"/>
        <w:tblLayout w:type="fixed"/>
        <w:tblCellMar>
          <w:top w:w="28" w:type="dxa"/>
          <w:left w:w="28" w:type="dxa"/>
          <w:bottom w:w="28" w:type="dxa"/>
          <w:right w:w="28" w:type="dxa"/>
        </w:tblCellMar>
      </w:tblPr>
      <w:tblGrid>
        <w:gridCol w:w="1346"/>
        <w:gridCol w:w="1183"/>
        <w:gridCol w:w="1191"/>
        <w:gridCol w:w="262"/>
        <w:gridCol w:w="582"/>
        <w:gridCol w:w="207"/>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ARO </w:t>
              <w:br/>
              <w:t>Rollforward</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Carrying value, December 31, 2023 (Successor)</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464</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settled</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Carrying value, June 30, 2024 (Successor)</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484</w:t>
            </w:r>
            <w:r>
              <w:rPr>
                <w:color w:val="000000"/>
              </w:rPr>
              <w:t>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for the ARO:</w:t>
      </w:r>
    </w:p>
    <w:tbl>
      <w:tblPr>
        <w:tblW w:w="4764" w:type="dxa"/>
        <w:jc w:val="left"/>
        <w:tblInd w:w="0" w:type="dxa"/>
        <w:tblLayout w:type="fixed"/>
        <w:tblCellMar>
          <w:top w:w="28" w:type="dxa"/>
          <w:left w:w="28" w:type="dxa"/>
          <w:bottom w:w="28" w:type="dxa"/>
          <w:right w:w="28" w:type="dxa"/>
        </w:tblCellMar>
      </w:tblPr>
      <w:tblGrid>
        <w:gridCol w:w="788"/>
        <w:gridCol w:w="691"/>
        <w:gridCol w:w="695"/>
        <w:gridCol w:w="297"/>
        <w:gridCol w:w="662"/>
        <w:gridCol w:w="165"/>
        <w:gridCol w:w="109"/>
        <w:gridCol w:w="109"/>
        <w:gridCol w:w="109"/>
        <w:gridCol w:w="284"/>
        <w:gridCol w:w="632"/>
        <w:gridCol w:w="223"/>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Information</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pPr>
            <w:r>
              <w:rPr>
                <w:rFonts w:ascii="Times New Roman;sans-serif" w:hAnsi="Times New Roman;sans-serif"/>
                <w:b w:val="false"/>
                <w:color w:val="000000"/>
                <w:sz w:val="18"/>
              </w:rPr>
              <w:t xml:space="preserve">Nuclear </w:t>
            </w:r>
            <w:r>
              <w:rPr>
                <w:rFonts w:ascii="Times New Roman;sans-serif" w:hAnsi="Times New Roman;sans-serif"/>
                <w:b w:val="false"/>
                <w:color w:val="000000"/>
                <w:sz w:val="12"/>
              </w:rPr>
              <w:t>(a)</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pPr>
            <w:r>
              <w:rPr>
                <w:rFonts w:ascii="Times New Roman;sans-serif" w:hAnsi="Times New Roman;sans-serif"/>
                <w:b w:val="false"/>
                <w:color w:val="000000"/>
                <w:sz w:val="18"/>
              </w:rPr>
              <w:t xml:space="preserve">Non-Nuclear </w:t>
            </w:r>
            <w:r>
              <w:rPr>
                <w:rFonts w:ascii="Times New Roman;sans-serif" w:hAnsi="Times New Roman;sans-serif"/>
                <w:b w:val="false"/>
                <w:color w:val="000000"/>
                <w:sz w:val="12"/>
              </w:rPr>
              <w:t>(b)</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Carrying value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484</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464</w:t>
            </w:r>
            <w:r>
              <w:rPr>
                <w:color w:val="000000"/>
              </w:rPr>
              <w:t>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(a)Obligations are expected to be settled with available funds in the NDT at the time of decommissioning.</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(b)Certain obligations are: (i) partially supported by surety bonds, some of which have been collateralized with cash and (or) LCs; or (ii) partially prefunded under phased installment agreements.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for additional information on Susquehanna’s NDT.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“Talen Montana Financial Assurance” in Note 10 for additional information on Talen Montana’s requirement to provide financial assurance related to certain environmental decommissioning and remediation liabilities related to the Colstrip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Legal Matters</w:t>
      </w:r>
    </w:p>
    <w:p>
      <w:pPr>
        <w:pStyle w:val="TextBody"/>
        <w:bidi w:val="0"/>
        <w:spacing w:lineRule="auto" w:line="288" w:before="0" w:after="180"/>
        <w:jc w:val="left"/>
        <w:rPr/>
      </w:pPr>
      <w:r>
        <w:rPr>
          <w:rFonts w:ascii="Times New Roman;sans-serif" w:hAnsi="Times New Roman;sans-serif"/>
          <w:b w:val="false"/>
          <w:i/>
          <w:color w:val="000000"/>
          <w:sz w:val="20"/>
        </w:rPr>
        <w:t xml:space="preserve">ERCOT Weather Event Lawsuits. </w:t>
      </w:r>
      <w:r>
        <w:rPr>
          <w:rFonts w:ascii="Times New Roman;sans-serif" w:hAnsi="Times New Roman;sans-serif"/>
          <w:b w:val="false"/>
          <w:color w:val="000000"/>
          <w:sz w:val="20"/>
        </w:rPr>
        <w:t xml:space="preserve">Beginning in March 2021, many power generation facility market participants, including the former Talen subsidiaries that at the time owned the Barney Davis, Nueces Bay and Laredo generation facilities, were sued in multiple Texas courts. In these suits, the plaintiffs: (i) allege, among other things, that they suffered losses due to the generation defendants’ failure to properly prepare their facilities to withstand extreme winter weather and other operational failures during Winter Storm Uri in February 2021, and (ii) seek unspecified compensatory, punitive and other damages. The lawsuits were consolidated into a multi-district litigation (“MDL”) pre-trial court. In January 2023, the court denied a motion to dismiss the MDL filed by the generation defendants. In December 2023, the Texas First Court of Appeals granted the generation defendants’ request for mandamus relief and ordered dismissal of the claims against the generation defendants. The plaintiffs have filed a motion seeking rehearing </w:t>
      </w:r>
      <w:r>
        <w:rPr>
          <w:rFonts w:ascii="Times New Roman;sans-serif" w:hAnsi="Times New Roman;sans-serif"/>
          <w:b w:val="false"/>
          <w:i/>
          <w:color w:val="000000"/>
          <w:sz w:val="20"/>
        </w:rPr>
        <w:t>en banc</w:t>
      </w:r>
      <w:r>
        <w:rPr>
          <w:color w:val="000000"/>
        </w:rPr>
        <w:t xml:space="preserve"> </w:t>
      </w:r>
      <w:r>
        <w:rPr>
          <w:rFonts w:ascii="Times New Roman;sans-serif" w:hAnsi="Times New Roman;sans-serif"/>
          <w:b w:val="false"/>
          <w:color w:val="000000"/>
          <w:sz w:val="20"/>
        </w:rPr>
        <w:t>with the First Court of Appeals. If unsuccessful, the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 See Note 17 for information on Talen’s sale of ERCOT generation assets.</w:t>
      </w:r>
    </w:p>
    <w:p>
      <w:pPr>
        <w:pStyle w:val="TextBody"/>
        <w:bidi w:val="0"/>
        <w:spacing w:lineRule="auto" w:line="288" w:before="0" w:after="180"/>
        <w:jc w:val="left"/>
        <w:rPr/>
      </w:pPr>
      <w:r>
        <w:rPr>
          <w:rFonts w:ascii="Times New Roman;sans-serif" w:hAnsi="Times New Roman;sans-serif"/>
          <w:b w:val="false"/>
          <w:color w:val="000000"/>
          <w:sz w:val="20"/>
        </w:rPr>
        <w:t xml:space="preserve">In June 2021, TEC intervened in five cases in which certain market participants are challenging the validity of two Public Utility Commission of Texas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sans-serif" w:hAnsi="Times New Roman;sans-serif"/>
          <w:b w:val="false"/>
          <w:i/>
          <w:color w:val="000000"/>
          <w:sz w:val="20"/>
        </w:rPr>
        <w:t>Luminant v. PUCT</w:t>
      </w:r>
      <w:r>
        <w:rPr>
          <w:color w:val="000000"/>
        </w:rPr>
        <w:t xml:space="preserve"> </w:t>
      </w:r>
      <w:r>
        <w:rPr>
          <w:rFonts w:ascii="Times New Roman;sans-serif" w:hAnsi="Times New Roman;sans-serif"/>
          <w:b w:val="false"/>
          <w:color w:val="000000"/>
          <w:sz w:val="20"/>
        </w:rPr>
        <w:t>that, in part, reversed and remanded the PUCT orders directing ERCOT to ensure prices were at their maximum of $9,000 per MWh during Winter Storm Uri. The PUCT (along with TEC and others) filed petitions for review with the Texas Supreme Court, which were granted in September 2023. In June 2024, the Texas Supreme Court reversed the judgment of the Texas Third Court of Appeals and affirmed the orders of the PUCT. The Court held that, in issuing its orders, the PUCT substantially complied with the Administrative Procedure Act’s procedural rulemaking requirements. Subject to any successful motion for rehearing in the Texas Supreme Court, this matter is effectively concluded in the Company’s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Resolved Legal Matters</w:t>
      </w:r>
    </w:p>
    <w:p>
      <w:pPr>
        <w:pStyle w:val="TextBody"/>
        <w:bidi w:val="0"/>
        <w:spacing w:lineRule="auto" w:line="288" w:before="0" w:after="180"/>
        <w:jc w:val="left"/>
        <w:rPr/>
      </w:pPr>
      <w:r>
        <w:rPr>
          <w:rFonts w:ascii="Times New Roman;sans-serif" w:hAnsi="Times New Roman;sans-serif"/>
          <w:b w:val="false"/>
          <w:i/>
          <w:color w:val="000000"/>
          <w:sz w:val="20"/>
        </w:rPr>
        <w:t>Pension Litigation.</w:t>
      </w:r>
      <w:r>
        <w:rPr>
          <w:color w:val="000000"/>
        </w:rPr>
        <w:t xml:space="preserve"> </w:t>
      </w:r>
      <w:r>
        <w:rPr>
          <w:rFonts w:ascii="Times New Roman;sans-serif" w:hAnsi="Times New Roman;sans-serif"/>
          <w:b w:val="false"/>
          <w:color w:val="000000"/>
          <w:sz w:val="20"/>
        </w:rPr>
        <w:t>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an agreement to settle all claims on a class-wide basis, inclusive of attorneys’ fees, in exchange for $20 million. The settlement was approved by the court and became final by its terms in July 2024. Approximately $14 million of the settlement will be paid by the TERP to class members, with the remainder paid by the Company, net of insurance recoveries, to the plaintiffs’ attorneys and for certain administrative costs of the settlement. TES, at its discretion, may elect to fund a contribution into the TERP to cover settlement payments paid by the TERP. The settlement amounts and the expected insurance recoveries are presented on the Consolidated Balance Sheets as of June 30,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in Notes to the Annual Financial Statements for additional resolved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Regulatory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 is subject to regulation by federal and state agencies and other bodies that exercise regulatory authority in the various regions where we conduct business, including but not limited to: FERC; the Department of Energy; the Federal Communications Commission; the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pStyle w:val="TextBody"/>
        <w:bidi w:val="0"/>
        <w:spacing w:lineRule="auto" w:line="288" w:before="0" w:after="180"/>
        <w:jc w:val="left"/>
        <w:rPr/>
      </w:pPr>
      <w:r>
        <w:rPr>
          <w:rFonts w:ascii="Times New Roman;sans-serif" w:hAnsi="Times New Roman;sans-serif"/>
          <w:b w:val="false"/>
          <w:i/>
          <w:color w:val="000000"/>
          <w:sz w:val="20"/>
        </w:rPr>
        <w:t xml:space="preserve">Susquehanna ISA Amendment. </w:t>
      </w:r>
      <w:r>
        <w:rPr>
          <w:rFonts w:ascii="Times New Roman;sans-serif" w:hAnsi="Times New Roman;sans-serif"/>
          <w:b w:val="false"/>
          <w:color w:val="000000"/>
          <w:sz w:val="20"/>
        </w:rPr>
        <w:t xml:space="preserve">In June 2024, PJM filed at FERC an Amended Interconnection Service Agreement (“Amended ISA”) executed by PJM, PPL Electric Utilities Corporation (“PPL Electric,” a subsidiary of PPL), and Susquehanna, to enable Susquehanna to decrease the amount of power it will provide to the grid and thus increase, up to 480 MW, power that can be sold and provided directly to load via transmission owned by that load and connected directly to Susquehanna (and not to the power grid). The current Interconnection Service Agreement, previously accepted by FERC and similarly approved and executed by PJM and PPL Electric, already allows Susquehanna to decrease power to the grid by up to 300 MW in order to sell and provide that power to load. The increase to 480 MW was studied by PJM, which confirmed that such increase would have no reliability impacts on the grid. PJM requested an effective date of August 3, 2024 for the Amended ISA filing. In June 2024, Exelon Corporation and AEP filed a protest, despite the Amended ISA not being in their service territories and despite PPL Electric’s agreement to the terms. The protest raised generic issues about the service of load behind generators and requests that FERC set the Amended ISA proceeding for hearing or, in the alternative, reject the filing. Talen believes nearly all issues raised by Exelon Corporation and AEP are not within FERC’s limited jurisdictional review and lack merit, and Talen intends to defend against them quickly and vigorously. In July 2024, Talen filed responses at FERC opposing the aforementioned protest and urging FERC to accept the Amended ISA. In August 2024, FERC issued a deficiency letter seeking a more information about the Amended ISA. Talen will work closely with PJM and PPL to respond quickly to the deficiency letter. Additionally, in a separate order, FERC opened a new proceeding through which it will hold a commissioner-led technical conference in Fall 2024 to discuss generic issues related to the co-location of large loads. Talen intends to fully participate in that process. </w:t>
      </w:r>
    </w:p>
    <w:p>
      <w:pPr>
        <w:pStyle w:val="TextBody"/>
        <w:bidi w:val="0"/>
        <w:spacing w:lineRule="auto" w:line="288" w:before="0" w:after="180"/>
        <w:jc w:val="left"/>
        <w:rPr/>
      </w:pPr>
      <w:r>
        <w:rPr>
          <w:rFonts w:ascii="Times New Roman;sans-serif" w:hAnsi="Times New Roman;sans-serif"/>
          <w:b w:val="false"/>
          <w:i/>
          <w:color w:val="000000"/>
          <w:sz w:val="20"/>
        </w:rPr>
        <w:t>PJM MOPR.</w:t>
      </w:r>
      <w:r>
        <w:rPr>
          <w:color w:val="000000"/>
        </w:rPr>
        <w:t xml:space="preserve"> </w:t>
      </w:r>
      <w:r>
        <w:rPr>
          <w:rFonts w:ascii="Times New Roman;sans-serif" w:hAnsi="Times New Roman;sans-serif"/>
          <w:b w:val="false"/>
          <w:color w:val="000000"/>
          <w:sz w:val="20"/>
        </w:rPr>
        <w:t>In July 2021, PJM filed proposed tariff language to significantly reduce the application of the existing PJM MOPR by applying it only when 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In March 2024, the Public Utilities Commission of Ohio filed at the U.S. Supreme Court a petition for certiorari asking the Court to review the Third Circuit’s December 2023 order, which the U.S. Supreme Court denied in May 2024. The final impacts on Talen’s financial condition, results of operations and liquidity are not known at this time.</w:t>
      </w:r>
    </w:p>
    <w:p>
      <w:pPr>
        <w:pStyle w:val="TextBody"/>
        <w:bidi w:val="0"/>
        <w:spacing w:lineRule="auto" w:line="288" w:before="0" w:after="180"/>
        <w:jc w:val="left"/>
        <w:rPr/>
      </w:pPr>
      <w:r>
        <w:rPr>
          <w:rFonts w:ascii="Times New Roman;sans-serif" w:hAnsi="Times New Roman;sans-serif"/>
          <w:b w:val="false"/>
          <w:i/>
          <w:color w:val="000000"/>
          <w:sz w:val="20"/>
        </w:rPr>
        <w:t>PJM Market Seller Offer Cap.</w:t>
      </w:r>
      <w:r>
        <w:rPr>
          <w:color w:val="000000"/>
        </w:rPr>
        <w:t xml:space="preserve"> </w:t>
      </w:r>
      <w:r>
        <w:rPr>
          <w:rFonts w:ascii="Times New Roman;sans-serif" w:hAnsi="Times New Roman;sans-serif"/>
          <w:b w:val="false"/>
          <w:color w:val="000000"/>
          <w:sz w:val="20"/>
        </w:rPr>
        <w:t>In March 2021, FERC responded to complaints filed by the PJM IMM on behalf of PJM and various consumer advocates 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In January 2024, the Electric Power Supply Association filed at the U.S. Supreme Court a petition for certiorari asking the Court to review the D.C. Circuit’s August 2023 order, which the U.S. Supreme Court denied in May 2024. The final impacts of this order on Talen’s financial condition, results of operations and liquidity are not known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PJM Capacity Market Reform.</w:t>
      </w:r>
      <w:r>
        <w:rPr>
          <w:color w:val="000000"/>
        </w:rPr>
        <w:t xml:space="preserve"> </w:t>
      </w:r>
      <w:r>
        <w:rPr>
          <w:rFonts w:ascii="Times New Roman;sans-serif" w:hAnsi="Times New Roman;sans-serif"/>
          <w:b w:val="false"/>
          <w:color w:val="000000"/>
          <w:sz w:val="20"/>
        </w:rPr>
        <w:t>In February 2023, the PJM Board of Managers directed PJM and its stakeholders to resolve: (i) key issues that address the energy transition taking place in PJM; and (ii) issues observed from Winter Storm Elliott. The PJM Board of Managers directive included reliability risks, risk drivers and resource availability. The stakeholder process is referred to as Critical Issue Fast Path (“CIFP”) on resource adequacy. In October 2023, PJM made two filings at FERC regarding certain capacity market reforms developed through the CIFP process. In January 2024, FERC accepted one of PJM’s filings, subject to the condition that PJM submit a compliance filing within 30 days. However, in February 2024, FERC rejected the second of PJM’s capacity market reform filings and approved a request from PJM for a 35-day delay of Base Residual Auction. PJM held the Base Residual Auction for the 2025/2026 Delivery Year in July 2024. At this time, Talen cannot fully predict the impacts of PJM’s reforms on its operations and 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FERC accepted a request by PJM to delay certain PJM Base Residual Auctions in order to propose additional changes to the PJM RPM. The delay scheduled the PJM Base Residual Auctions for 2026/2027 in December 2024, for 2027/2028 in June 2025, and for 2028/2029 in December 2025. Although PJM has established dates for the next three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pStyle w:val="TextBody"/>
        <w:bidi w:val="0"/>
        <w:spacing w:lineRule="auto" w:line="288" w:before="0" w:after="180"/>
        <w:jc w:val="left"/>
        <w:rPr/>
      </w:pPr>
      <w:r>
        <w:rPr>
          <w:rFonts w:ascii="Times New Roman;sans-serif" w:hAnsi="Times New Roman;sans-serif"/>
          <w:b w:val="false"/>
          <w:i/>
          <w:color w:val="000000"/>
          <w:sz w:val="20"/>
        </w:rPr>
        <w:t>Water and Waste.</w:t>
      </w:r>
      <w:r>
        <w:rPr>
          <w:color w:val="000000"/>
        </w:rPr>
        <w:t xml:space="preserve"> </w:t>
      </w:r>
      <w:r>
        <w:rPr>
          <w:rFonts w:ascii="Times New Roman;sans-serif" w:hAnsi="Times New Roman;sans-serif"/>
          <w:b w:val="false"/>
          <w:color w:val="000000"/>
          <w:sz w:val="20"/>
        </w:rPr>
        <w:t xml:space="preserve">Changes made by the EPA to the EPA CCR Rule and the EPA ELG Rule in 2020 allow coal generation facility operators to request an 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2023, the EPA proposed additional changes to the EPA ELG Rule and the EPA CCR Rule and finalized those changes in May 2024. The new EPA ELG Rule does not add treatment requirements to Talen’s coal-fired power generation facilities planning to cease burning coal by 2028, but it does establish discharge limits for waters collected from CCR units. Under the revised EPA CCR Rule, the EPA developed new categories of CCR units which are areas that were previously unregulated. These new CCR units, which are subject to the closure performance standards set by the EPA, are: (i) legacy CCR impoundments; and (ii) areas where CCR was disposed of or managed on land outside of regulated units called CCR management units (subject to a minimum threshold). Furthermore, the EPA’s interpretations of the EPA CCR Rule continue to evolve through litigation, enforcement, and other regulatory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 submitted formal comments on both proposed rules citing their flaws. A number of challenges against the EPA ELG Rule have been filed in multiple U.S. Courts of Appeals. The various challenges have been filed by 15 state attorneys general, environmental groups, and industry parties and groups, including the Utility Water Act Group (“UWAG”), of which Talen is a member. In June 2024, the U.S. Court of Appeals for the Eighth Circuit was selected to hear the consolidated petitions for review and UWAG filed a motion to stay the EPA ELG Rule during the pendency of the litigation.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Multiple parties have filed challenges to the EPA CCR Rule in the U.S. Court of Appeals for the District of Columbia, including USWAG”), of which Talen is a member. It is uncertain at this time whether the revised Rules will withstand the filed and anticipated legal challenges by power producers, industry groups, state attorneys general, and others.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review the rule’s provisions, perform the required applicability assessments, and await additional information and guidance from the EPA in order to sufficiently interpret the rule’s requirements. Accordingly, as of June 30, 2024 (Successor), the Company did not have sufficient information to determine the scope of work required under the rule’s provisions and associated estimates. As the Company completes its assessment and determines the scope of work on its properties imposed by the new rule, new AROs and (or) revisions to existing AROs could be required. Such AROs could be material, and as a result, may have a material impact on our results of operations and financial condition.</w:t>
      </w:r>
    </w:p>
    <w:p>
      <w:pPr>
        <w:pStyle w:val="TextBody"/>
        <w:bidi w:val="0"/>
        <w:spacing w:lineRule="auto" w:line="288" w:before="0" w:after="180"/>
        <w:jc w:val="left"/>
        <w:rPr/>
      </w:pPr>
      <w:r>
        <w:rPr>
          <w:rFonts w:ascii="Times New Roman;sans-serif" w:hAnsi="Times New Roman;sans-serif"/>
          <w:b w:val="false"/>
          <w:i/>
          <w:color w:val="000000"/>
          <w:sz w:val="20"/>
        </w:rPr>
        <w:t xml:space="preserve">Air. </w:t>
      </w:r>
      <w:r>
        <w:rPr>
          <w:rFonts w:ascii="Times New Roman;sans-serif" w:hAnsi="Times New Roman;sans-serif"/>
          <w:b w:val="false"/>
          <w:color w:val="000000"/>
          <w:sz w:val="20"/>
        </w:rPr>
        <w:t>Since 2016, the coal-fired generation facilities in which Talen has ownership, including Brunner Island, Montour, Keystone and Conemaugh, have been the subject of various efforts under the Clean Air Act to strengthen applicable nitrogen oxides (“NOx”) emission limits. These include Section 126 petitions by downwind states, recommendations by the Ozone Transport Commission, and a ruling on Pennsylvania’s Reasonably Available Control Technology (“RACT”) 2 program by the U.S. District Court for the Southern District of New York. Although the petitions and recommendations are not withdrawn, open concerns appear to have been addressed by the EPA’s issuance of a federal implementation plan with short-term RACT2 NOx limits at these plants in 2022 (resulting from the above court case) (“2022 NOx RACT2 FIP”) and the EPA’s “Good Neighbor Plan FIP” issued in June 2023. Both the 2022 NOx RACT2 FIP and the Good Neighbor Plan FIP are further discussed below. Concerns by upwind states regarding NOx controls were not limited to coal plants owned by Talen.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EPA’s 2022 NOx RACT2 FIP for Pennsylvania, which Talen supported, was challenged by other parties, on May 2, 2024, the U.S. Court of Appeals for the Third Circuit upheld the 2022 NOx RACT2 FIP, and the Pennsylvania DEP has now proposed a new state implementation plan (“SIP”) that is consistent with the 2022 NOx RACT2 FIP. In November 2022, Pennsylvania finalized its NOx RACT3 standards for all power generation facilities to address the EPA’s 2015 Ozone Standard. Affected Talen facilities have submitted permit applications demonstrating their compliance methods. At this time, Talen cannot predict the outcome of these potential rule changes on the operations of its generation facilities and its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address the EPA’s 2015 Ozone Standard, in June 2023, the EPA published a final rule covering the EPA CSAPR ozone season NOx allowance trading program for 2023 and beyond. The final rule is known as the Good Neighbor Plan FIP. The EPA made some reductions in allowance allocations, among other changes, to minimize NOx emissions during the Ozone Season. Talen’s plants in Texas had originally been covered by the Good Neighbor Plan FIP; however, Talen sold its Texas facilities in the second quarter of 2024 and therefore is no longer impacted by the rule in Texas. Talen’s facilities in Maryland, Pennsylvania and New Jersey remain subject to the new rule; however, the entire rule has been challenged by multiple parties, and the Good Neighbor Plan FIP was stayed in its entirety by the U.S. Supreme Court in June 2024 pending a complete review of the rule by the U.S. Court of Appeals for the D.C. Circuit. At this time, Talen cannot predict the long-term outcome of these rule changes on the operations of its generation facilities and its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EPA MATS Rule, which is the original EPA NESHAP for coal plants, has been in effect since 2012. In April 2023, the EPA proposed, and in May 2024, finalized, its Risk and Technology Review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in May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 submitted formal comments on the new PM standard and revisions to the EPA MATS Rule, citing the rule’s flaws. A number of challenges to the EPA MATS Rule have been filed in the U.S. Court of Appeals for the D.C. Circuit, including challenges by Talen and by 23 state attorneys general. Multiple motions to stay the EPA MATS Rule during the pendency of the litigation have been filed by Talen and other parties, and in August 2024 the stay motions were denied. In light of the on-going legal challenges, Talen cannot predict the full impact of the revised EPA MATS Rule on the operations of its coal-fired generation facilities and its results of operations.</w:t>
      </w:r>
    </w:p>
    <w:p>
      <w:pPr>
        <w:pStyle w:val="TextBody"/>
        <w:bidi w:val="0"/>
        <w:spacing w:lineRule="auto" w:line="288" w:before="0" w:after="180"/>
        <w:jc w:val="left"/>
        <w:rPr/>
      </w:pPr>
      <w:r>
        <w:rPr>
          <w:rFonts w:ascii="Times New Roman;sans-serif" w:hAnsi="Times New Roman;sans-serif"/>
          <w:b w:val="false"/>
          <w:i/>
          <w:color w:val="000000"/>
          <w:sz w:val="20"/>
        </w:rPr>
        <w:t>RGGI.</w:t>
      </w:r>
      <w:r>
        <w:rPr>
          <w:color w:val="000000"/>
        </w:rPr>
        <w:t xml:space="preserve"> </w:t>
      </w:r>
      <w:r>
        <w:rPr>
          <w:rFonts w:ascii="Times New Roman;sans-serif" w:hAnsi="Times New Roman;sans-serif"/>
          <w:b w:val="false"/>
          <w:color w:val="000000"/>
          <w:sz w:val="20"/>
        </w:rPr>
        <w:t>In April 2022, Pennsylvania formally entered the RGGI program, with compliance set to begin on July 1, 2022. However, certain third parties filed lawsuits and appeals questioning the legality of the regulation and the implementation of RGGI in Pennsylvania was stayed. In November 2023, the Commonwealth Court of Pennsylvania ruled RGGI was an invalid tax and voided the rulemaking. The Pennsylvania Department of Environmental Protection appealed this decision to the Pennsylvania Supreme Court in November 2023, and the following day filed notice with the court that the RGGI program would not be implemented while the appeal is pending. In July 2024, the Pennsylvania Supreme Court permitted certain non-profit environmental groups (including Citizens for Pennsylvania’s Future, Clean Air Council, Sierra Club, and the Environmental Defense Fund) to intervene in the litigation. At this time, Talen is unable to determine the full impact of the RGGI program, when and if implemented, on its results of operations and liquidity.</w:t>
      </w:r>
    </w:p>
    <w:p>
      <w:pPr>
        <w:pStyle w:val="TextBody"/>
        <w:bidi w:val="0"/>
        <w:spacing w:lineRule="auto" w:line="288" w:before="0" w:after="180"/>
        <w:jc w:val="left"/>
        <w:rPr/>
      </w:pPr>
      <w:r>
        <w:rPr>
          <w:rFonts w:ascii="Times New Roman;sans-serif" w:hAnsi="Times New Roman;sans-serif"/>
          <w:b w:val="false"/>
          <w:i/>
          <w:color w:val="000000"/>
          <w:sz w:val="20"/>
        </w:rPr>
        <w:t>Federal Climate Change Actions.</w:t>
      </w:r>
      <w:r>
        <w:rPr>
          <w:color w:val="000000"/>
        </w:rPr>
        <w:t xml:space="preserve"> </w:t>
      </w:r>
      <w:r>
        <w:rPr>
          <w:rFonts w:ascii="Times New Roman;sans-serif" w:hAnsi="Times New Roman;sans-serif"/>
          <w:b w:val="false"/>
          <w:color w:val="000000"/>
          <w:sz w:val="20"/>
        </w:rPr>
        <w:t>The current federal administration has identified climate change policy as a priority that includes, but is not limited to, greenhouse gas (“GHG”) emission reductions. In May 2024, the EPA issued a new rule under the Clean Air Act that establishes New Source Performance Standards for new electric generating units and GHG Emissions Guidelines for existing electric generating units (“EGUs”) for state implementation. The guidelines would allow all existing EGUs to continue to operate until at least the end of 2031 without having to meet new GHG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EPA MATS Rule. The EPA stated that it chose not to finalize emission guidelines for existing fossil fuel-fired combustion turbines (for example, Lower Mt. Bethel); however, the EPA intends to take further action on such emission guidelines at a later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2023, Talen submitted formal comments on the proposed EPA GHG Rule, citing the rule’s flaws. A number of petitions for review of the EPA GHG Rule have been filed in the U.S. Court of Appeals for the D.C. Circuit, including by coalitions representing 27 states and an ad hoc coalition of power producers, of which Talen is a member. Various parties, including the ad hoc coalition of power producers that includes Talen, filed motions to stay the EPA GHG Rule during the pendency of the litigation; however, in July 2024, the D.C. Circuit denied the motions to stay the rule. Shortly thereafter, the coalition of West Virginia and 24 other states and other petitioners, including the ad hoc coalition of power producers that includes Talen, filed at the U.S. Supreme Court requests for an emergency stay of the EPA GHG Rule. If the rule withstands these legal challenges by power producers (including Talen), industry groups, state attorneys general, and others, the EPA GHG Rule could materially impact Colstrip and Talen. Talen is currently evaluating that potential impact. At this time, Talen cannot predict the full impact of the EPA GHG Rule on the operations of its coal-fired generation facilities and its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val="false"/>
          <w:i/>
          <w:color w:val="000000"/>
          <w:sz w:val="20"/>
        </w:rPr>
        <w:t>Environmental Remediation.</w:t>
      </w:r>
      <w:r>
        <w:rPr>
          <w:color w:val="000000"/>
        </w:rPr>
        <w:t xml:space="preserve"> </w:t>
      </w:r>
      <w:r>
        <w:rPr>
          <w:rFonts w:ascii="Times New Roman;sans-serif" w:hAnsi="Times New Roman;sans-serif"/>
          <w:b w:val="false"/>
          <w:color w:val="000000"/>
          <w:sz w:val="20"/>
        </w:rPr>
        <w:t>From time-to-time, Talen undertakes investigative or remedial actions in response to notices of violations, spills or other 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Guarantees and Other Assurances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LCs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 </w:t>
      </w:r>
    </w:p>
    <w:p>
      <w:pPr>
        <w:pStyle w:val="TextBody"/>
        <w:bidi w:val="0"/>
        <w:spacing w:lineRule="auto" w:line="288" w:before="0" w:after="180"/>
        <w:jc w:val="left"/>
        <w:rPr/>
      </w:pPr>
      <w:r>
        <w:rPr>
          <w:rFonts w:ascii="Times New Roman;sans-serif" w:hAnsi="Times New Roman;sans-serif"/>
          <w:b w:val="false"/>
          <w:i/>
          <w:color w:val="000000"/>
          <w:sz w:val="20"/>
        </w:rPr>
        <w:t>Surety Bonds.</w:t>
      </w:r>
      <w:r>
        <w:rPr>
          <w:color w:val="000000"/>
        </w:rPr>
        <w:t xml:space="preserve"> </w:t>
      </w:r>
      <w:r>
        <w:rPr>
          <w:rFonts w:ascii="Times New Roman;sans-serif" w:hAnsi="Times New Roman;sans-serif"/>
          <w:b w:val="false"/>
          <w:color w:val="000000"/>
          <w:sz w:val="20"/>
        </w:rPr>
        <w:t>Surety bonds provide financial performance assurance to third parties on behalf of certain subsidiaries for obligations including, but not 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June 30, 2024 (Successor) and December 31, 2023 (Successor), the aggregate amount of surety bonds outstanding was $235 million and $240 million, respectively, including surety bonds posted on behalf of Talen Montana as discussed below.</w:t>
      </w:r>
    </w:p>
    <w:p>
      <w:pPr>
        <w:pStyle w:val="TextBody"/>
        <w:bidi w:val="0"/>
        <w:spacing w:lineRule="auto" w:line="288" w:before="0" w:after="180"/>
        <w:jc w:val="left"/>
        <w:rPr/>
      </w:pPr>
      <w:r>
        <w:rPr>
          <w:rFonts w:ascii="Times New Roman;sans-serif" w:hAnsi="Times New Roman;sans-serif"/>
          <w:b w:val="false"/>
          <w:i/>
          <w:color w:val="000000"/>
          <w:sz w:val="20"/>
        </w:rPr>
        <w:t>Talen Montana Financial Assurance.</w:t>
      </w:r>
      <w:r>
        <w:rPr>
          <w:color w:val="000000"/>
        </w:rPr>
        <w:t xml:space="preserve"> </w:t>
      </w:r>
      <w:r>
        <w:rPr>
          <w:rFonts w:ascii="Times New Roman;sans-serif" w:hAnsi="Times New Roman;sans-serif"/>
          <w:b w:val="false"/>
          <w:color w:val="000000"/>
          <w:sz w:val="20"/>
        </w:rPr>
        <w:t xml:space="preserve">Pursuant to the Colstrip AOC, Talen Montana, in its capacity as 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TES has posted an aggregate $125 million of surety bonds to the MDEQ on behalf of Talen Montana’s proportional share of remediation and closure activities as of June 30, 2024 (Successor) and $115 million as of December 31, 2023 (Successor). In April 2024, the MDEQ approved a modified work scope that required Talen Montana to post an additional $7 million of surety bonds or other financial assurance in the second quarter 2024.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 </w:t>
      </w:r>
    </w:p>
    <w:p>
      <w:pPr>
        <w:pStyle w:val="TextBody"/>
        <w:bidi w:val="0"/>
        <w:spacing w:lineRule="auto" w:line="288" w:before="0" w:after="180"/>
        <w:jc w:val="left"/>
        <w:rPr/>
      </w:pPr>
      <w:r>
        <w:rPr>
          <w:rFonts w:ascii="Times New Roman;sans-serif" w:hAnsi="Times New Roman;sans-serif"/>
          <w:b w:val="false"/>
          <w:i/>
          <w:color w:val="000000"/>
          <w:sz w:val="20"/>
        </w:rPr>
        <w:t>Cumulus Digital Assurances.</w:t>
      </w:r>
      <w:r>
        <w:rPr>
          <w:color w:val="000000"/>
        </w:rPr>
        <w:t xml:space="preserve"> </w:t>
      </w:r>
      <w:r>
        <w:rPr>
          <w:rFonts w:ascii="Times New Roman;sans-serif" w:hAnsi="Times New Roman;sans-serif"/>
          <w:b w:val="false"/>
          <w:color w:val="000000"/>
          <w:sz w:val="20"/>
        </w:rPr>
        <w:t xml:space="preserve">As of December 31, 2023 (Successor), TES had issued LCs in the aggregate amount of $50 million to the lenders of the Cumulus Digital TLF, which LCs could be drawn upon, among other events, the acceleration of the loan due to a bankruptcy or other event of default by Cumulus Digital. The LCs were cancelled upon the repayment in full of the Cumulus Digital TLF in March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in March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0" w:after="180"/>
        <w:jc w:val="left"/>
        <w:rPr/>
      </w:pPr>
      <w:r>
        <w:rPr>
          <w:rFonts w:ascii="Times New Roman;sans-serif" w:hAnsi="Times New Roman;sans-serif"/>
          <w:b w:val="false"/>
          <w:i/>
          <w:color w:val="000000"/>
          <w:sz w:val="20"/>
        </w:rPr>
        <w:t>Nuclear Insurance.</w:t>
      </w:r>
      <w:r>
        <w:rPr>
          <w:color w:val="000000"/>
        </w:rPr>
        <w:t xml:space="preserve"> </w:t>
      </w:r>
      <w:r>
        <w:rPr>
          <w:rFonts w:ascii="Times New Roman;sans-serif" w:hAnsi="Times New Roman;sans-serif"/>
          <w:b w:val="false"/>
          <w:color w:val="000000"/>
          <w:sz w:val="20"/>
        </w:rPr>
        <w:t>The Price-Anderson Act is a United States federal law that governs liability-related issues and ensures the availability of funds for public liability claims arising from a nuclear incident at any U.S. licensed nuclear facility. It also seeks to limit the liability of nuclear reactor owners for such claims from any single incident. As of June 30, 2024 (Successor), the liability limit per incident is $16.3 billion for such claims, which is funded by insurance coverage from American Nuclear Insurers (approximately $500 million in coverage), with the remainder covered by an industry retrospective assessment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Susquehanna purchases property insurance programs from Nuclear Electric Insurance Limited (“NEIL”), an industry mutual insurance company of which Susquehanna is a member. As of June 30, 2024 (Successor), facilities at Susquehanna are insured against nuclear property damage losses up to $2 billion and non-nuclear property damage losses up to $1 billion. Susquehanna also purchases an insurance program that provides coverage for the cost of replacement power during prolonged outages of nuclear units caused by certain specified conditions.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NEIL property and replacement power insurance programs, Susquehanna could be assessed retrospective premiums in the event of the insurers’ adverse loss experience. The maximum assessment for this premium is $48 million as of June 30, 2024 (Successor). Talen has additional coverage that, under certain conditions, may reduce this exposure. </w:t>
      </w:r>
    </w:p>
    <w:p>
      <w:pPr>
        <w:pStyle w:val="TextBody"/>
        <w:bidi w:val="0"/>
        <w:spacing w:lineRule="auto" w:line="288" w:before="0" w:after="180"/>
        <w:jc w:val="left"/>
        <w:rPr/>
      </w:pPr>
      <w:r>
        <w:rPr>
          <w:rFonts w:ascii="Times New Roman;sans-serif" w:hAnsi="Times New Roman;sans-serif"/>
          <w:b w:val="false"/>
          <w:i/>
          <w:color w:val="000000"/>
          <w:sz w:val="20"/>
        </w:rPr>
        <w:t>Talen Montana Fuel Supply.</w:t>
      </w:r>
      <w:r>
        <w:rPr>
          <w:color w:val="000000"/>
        </w:rPr>
        <w:t xml:space="preserve"> </w:t>
      </w:r>
      <w:r>
        <w:rPr>
          <w:rFonts w:ascii="Times New Roman;sans-serif" w:hAnsi="Times New Roman;sans-serif"/>
          <w:b w:val="false"/>
          <w:color w:val="000000"/>
          <w:sz w:val="20"/>
        </w:rPr>
        <w:t>Talen Montana purchases coal from the Rosebud Mine for its interest in Colstrip Units 3 and 4 under a full requirements contract with an unaffiliated coal mine operator. In 2015, the MDEQ issued the mine operator an amendment to one of its mine permits expanding the area authorized for mining. Certain parties challenged the permit amendment in a proceeding at the Montana Board of Environmental Review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the Montana Federal District Court entered an order upholding challenges to a third permit amendment expanding the area authorized for mining by the mine operator. The plaintiffs asserted that the U.S. Office of Surface Mining Reclamation and Enforcement (the “OSM”) violated the National Environmental Policy Act (“NEPA”) when preparing the Environmental Impact Statement (“the EIS”) for the permit amendment. The court ordered the OSM to complete an updated the EIS in accordance with NEPA’s requirements. The permit amendment will be vacated unless the OSM completes the updated the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Montana Environmental Information Center and the other plaintiffs moved to dismiss the appeal for lack of jurisdiction, and the federal defendants did not oppose the motion to dismiss. The appeal was dismissed in November 2023, and the federal defendants requested an extension of the deadline to complete the updated EIS until June 30, 2025. In April 2024, the District Court granted an extension, but only to January 31, 2025.</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Talen cannot predict the outcome of these matters or their effect on Talen Montana’s operations,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Long-Term Debt and Other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Long-Term Debt </w:t>
      </w:r>
    </w:p>
    <w:tbl>
      <w:tblPr>
        <w:tblW w:w="8859" w:type="dxa"/>
        <w:jc w:val="left"/>
        <w:tblInd w:w="0" w:type="dxa"/>
        <w:tblLayout w:type="fixed"/>
        <w:tblCellMar>
          <w:top w:w="28" w:type="dxa"/>
          <w:left w:w="28" w:type="dxa"/>
          <w:bottom w:w="28" w:type="dxa"/>
          <w:right w:w="28" w:type="dxa"/>
        </w:tblCellMar>
      </w:tblPr>
      <w:tblGrid>
        <w:gridCol w:w="1765"/>
        <w:gridCol w:w="1552"/>
        <w:gridCol w:w="1558"/>
        <w:gridCol w:w="220"/>
        <w:gridCol w:w="220"/>
        <w:gridCol w:w="221"/>
        <w:gridCol w:w="109"/>
        <w:gridCol w:w="109"/>
        <w:gridCol w:w="109"/>
        <w:gridCol w:w="251"/>
        <w:gridCol w:w="733"/>
        <w:gridCol w:w="140"/>
        <w:gridCol w:w="109"/>
        <w:gridCol w:w="109"/>
        <w:gridCol w:w="109"/>
        <w:gridCol w:w="329"/>
        <w:gridCol w:w="958"/>
        <w:gridCol w:w="258"/>
      </w:tblGrid>
      <w:tr>
        <w:trPr/>
        <w:tc>
          <w:tcPr>
            <w:tcW w:w="176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33" w:after="283"/>
              <w:jc w:val="center"/>
              <w:rPr>
                <w:rFonts w:ascii="Times New Roman;sans-serif" w:hAnsi="Times New Roman;sans-serif"/>
                <w:b/>
                <w:color w:val="000000"/>
                <w:sz w:val="16"/>
              </w:rPr>
            </w:pPr>
            <w:r>
              <w:rPr>
                <w:rFonts w:ascii="Times New Roman;sans-serif" w:hAnsi="Times New Roman;sans-serif"/>
                <w:b/>
                <w:color w:val="000000"/>
                <w:sz w:val="16"/>
              </w:rPr>
              <w:t>Interest</w:t>
            </w:r>
          </w:p>
          <w:p>
            <w:pPr>
              <w:pStyle w:val="TableContents"/>
              <w:bidi w:val="0"/>
              <w:spacing w:lineRule="auto" w:line="240" w:before="0" w:after="3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3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TLB</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TLC </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Notes</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PEDFA 2009B Bonds</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PEDFA 2009C Bonds</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ans-serif" w:hAnsi="Times New Roman;sans-serif"/>
                <w:b w:val="false"/>
                <w:color w:val="000000"/>
                <w:sz w:val="18"/>
              </w:rPr>
              <w:t xml:space="preserve">Cumulus Digital TLF, including paid-in-kind interest </w:t>
            </w:r>
            <w:r>
              <w:rPr>
                <w:rFonts w:ascii="Times New Roman;sans-serif" w:hAnsi="Times New Roman;sans-serif"/>
                <w:b w:val="false"/>
                <w:color w:val="000000"/>
                <w:sz w:val="12"/>
              </w:rPr>
              <w:t>(b)</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principal</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2,662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2,849</w:t>
            </w: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deferred finance costs and original issuance discounts</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carrying value</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2,626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2,820</w:t>
            </w: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long-term debt, due within one year</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2,617</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2,811</w:t>
            </w:r>
            <w:r>
              <w:rPr>
                <w:color w:val="000000"/>
              </w:rPr>
              <w: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(a)Computed interest rate as of June 30, 2024 (Successor).</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(b)Limited recourse to TES and TEC. See “Guarantees and Other Assurances - Cumulus Digital Assurances” in Note 10 for additional information. The Cumulus Digital TLF was repaid and extinguished in March 2024. See “2024 Transactions – Cumulus Digital TLF Repayment” below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long-term debt maturities, including amortization and early redemption provisions, as of June 30, 2024 (Successor) were:</w:t>
      </w:r>
    </w:p>
    <w:tbl>
      <w:tblPr>
        <w:tblW w:w="7781" w:type="dxa"/>
        <w:jc w:val="left"/>
        <w:tblInd w:w="0" w:type="dxa"/>
        <w:tblLayout w:type="fixed"/>
        <w:tblCellMar>
          <w:top w:w="28" w:type="dxa"/>
          <w:left w:w="28" w:type="dxa"/>
          <w:bottom w:w="28" w:type="dxa"/>
          <w:right w:w="28" w:type="dxa"/>
        </w:tblCellMar>
      </w:tblPr>
      <w:tblGrid>
        <w:gridCol w:w="440"/>
        <w:gridCol w:w="386"/>
        <w:gridCol w:w="388"/>
        <w:gridCol w:w="226"/>
        <w:gridCol w:w="278"/>
        <w:gridCol w:w="125"/>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201"/>
        <w:gridCol w:w="572"/>
        <w:gridCol w:w="113"/>
        <w:gridCol w:w="109"/>
        <w:gridCol w:w="109"/>
        <w:gridCol w:w="109"/>
        <w:gridCol w:w="196"/>
        <w:gridCol w:w="55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rFonts w:ascii="Times New Roman;sans-serif" w:hAnsi="Times New Roman;sans-serif"/>
                <w:b/>
                <w:color w:val="000000"/>
                <w:sz w:val="16"/>
              </w:rPr>
              <w:t xml:space="preserve">2024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    For the period from July 1 through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Revolving Credit and Other Facilities</w:t>
      </w:r>
    </w:p>
    <w:tbl>
      <w:tblPr>
        <w:tblW w:w="10205" w:type="dxa"/>
        <w:jc w:val="left"/>
        <w:tblInd w:w="0" w:type="dxa"/>
        <w:tblLayout w:type="fixed"/>
        <w:tblCellMar>
          <w:top w:w="28" w:type="dxa"/>
          <w:left w:w="28" w:type="dxa"/>
          <w:bottom w:w="28" w:type="dxa"/>
          <w:right w:w="28" w:type="dxa"/>
        </w:tblCellMar>
      </w:tblPr>
      <w:tblGrid>
        <w:gridCol w:w="384"/>
        <w:gridCol w:w="257"/>
        <w:gridCol w:w="257"/>
        <w:gridCol w:w="295"/>
        <w:gridCol w:w="295"/>
        <w:gridCol w:w="296"/>
        <w:gridCol w:w="109"/>
        <w:gridCol w:w="109"/>
        <w:gridCol w:w="109"/>
        <w:gridCol w:w="282"/>
        <w:gridCol w:w="826"/>
        <w:gridCol w:w="158"/>
        <w:gridCol w:w="109"/>
        <w:gridCol w:w="109"/>
        <w:gridCol w:w="109"/>
        <w:gridCol w:w="383"/>
        <w:gridCol w:w="796"/>
        <w:gridCol w:w="214"/>
        <w:gridCol w:w="109"/>
        <w:gridCol w:w="109"/>
        <w:gridCol w:w="109"/>
        <w:gridCol w:w="196"/>
        <w:gridCol w:w="436"/>
        <w:gridCol w:w="109"/>
        <w:gridCol w:w="109"/>
        <w:gridCol w:w="109"/>
        <w:gridCol w:w="109"/>
        <w:gridCol w:w="202"/>
        <w:gridCol w:w="450"/>
        <w:gridCol w:w="114"/>
        <w:gridCol w:w="109"/>
        <w:gridCol w:w="109"/>
        <w:gridCol w:w="109"/>
        <w:gridCol w:w="109"/>
        <w:gridCol w:w="383"/>
        <w:gridCol w:w="796"/>
        <w:gridCol w:w="214"/>
        <w:gridCol w:w="109"/>
        <w:gridCol w:w="109"/>
        <w:gridCol w:w="109"/>
        <w:gridCol w:w="196"/>
        <w:gridCol w:w="436"/>
        <w:gridCol w:w="159"/>
      </w:tblGrid>
      <w:tr>
        <w:trPr/>
        <w:tc>
          <w:tcPr>
            <w:tcW w:w="3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791" w:type="dxa"/>
            <w:gridSpan w:val="3"/>
            <w:tcBorders/>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Committed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LCs </w:t>
              <w:br/>
              <w:t>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w:t>
              <w:b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LCs </w:t>
              <w:br/>
              <w:t>Issued</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pPr>
            <w:r>
              <w:rPr>
                <w:rFonts w:ascii="Times New Roman;sans-serif" w:hAnsi="Times New Roman;sans-serif"/>
                <w:b w:val="false"/>
                <w:color w:val="000000"/>
                <w:sz w:val="18"/>
              </w:rPr>
              <w:t xml:space="preserve">RCF </w:t>
            </w:r>
            <w:r>
              <w:rPr>
                <w:rFonts w:ascii="Times New Roman;sans-serif" w:hAnsi="Times New Roman;sans-serif"/>
                <w:b w:val="false"/>
                <w:color w:val="000000"/>
                <w:sz w:val="12"/>
              </w:rPr>
              <w:t>(a)</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ans-serif" w:hAnsi="Times New Roman;sans-serif"/>
                <w:b w:val="false"/>
                <w:color w:val="000000"/>
                <w:sz w:val="18"/>
              </w:rPr>
              <w:t xml:space="preserve">TLC LCF </w:t>
            </w:r>
            <w:r>
              <w:rPr>
                <w:rFonts w:ascii="Times New Roman;sans-serif" w:hAnsi="Times New Roman;sans-serif"/>
                <w:b w:val="false"/>
                <w:color w:val="000000"/>
                <w:sz w:val="12"/>
              </w:rPr>
              <w:t xml:space="preserve">(b)(c) </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ans-serif" w:hAnsi="Times New Roman;sans-serif"/>
                <w:b w:val="false"/>
                <w:color w:val="000000"/>
                <w:sz w:val="18"/>
              </w:rPr>
              <w:t xml:space="preserve">Bilateral LCF </w:t>
            </w:r>
            <w:r>
              <w:rPr>
                <w:rFonts w:ascii="Times New Roman;sans-serif" w:hAnsi="Times New Roman;sans-serif"/>
                <w:b w:val="false"/>
                <w:color w:val="000000"/>
                <w:sz w:val="12"/>
              </w:rPr>
              <w:t>(b)</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1,245</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(a)Committed capacity includes $475 million of LC commitments. Outstanding direct cash borrowings under the RCF, when applicable, are presented as “Revolving credit facilities” on the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(b)Direct cash borrowings are not permitted under the facility.</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(c)These LCs are cash collateralized by $472 million as of June 30, 2024 (Successor) and December 31, 2023 (Successor), which is presented as “Restricted cash and cash equivalents”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2024 Transactions</w:t>
      </w:r>
    </w:p>
    <w:p>
      <w:pPr>
        <w:pStyle w:val="TextBody"/>
        <w:bidi w:val="0"/>
        <w:spacing w:lineRule="auto" w:line="288" w:before="0" w:after="180"/>
        <w:jc w:val="left"/>
        <w:rPr/>
      </w:pPr>
      <w:r>
        <w:rPr>
          <w:rFonts w:ascii="Times New Roman;sans-serif" w:hAnsi="Times New Roman;sans-serif"/>
          <w:b w:val="false"/>
          <w:i/>
          <w:color w:val="000000"/>
          <w:sz w:val="20"/>
        </w:rPr>
        <w:t xml:space="preserve">Cumulus Digital TLF Repayment. </w:t>
      </w:r>
      <w:r>
        <w:rPr>
          <w:rFonts w:ascii="Times New Roman;sans-serif" w:hAnsi="Times New Roman;sans-serif"/>
          <w:b w:val="false"/>
          <w:color w:val="000000"/>
          <w:sz w:val="20"/>
        </w:rPr>
        <w:t>In connection with the Cumulus Data Campus Sale, the Cumulus Digital TLF was paid in full in March 2024, together with all accrued interest and other outstanding amounts. See “Non-Recourse Debt and Other Credit Facilities – Cumulus Digital TLF” in Note 13 in Notes to the Annual Financial Statements for additional information on the related release of liens, termination of guarantees, and cancellation of LCs. See Note 17 for additional information on the Cumulus Data Campus Sale.</w:t>
      </w:r>
    </w:p>
    <w:p>
      <w:pPr>
        <w:pStyle w:val="TextBody"/>
        <w:bidi w:val="0"/>
        <w:spacing w:lineRule="auto" w:line="288" w:before="0" w:after="180"/>
        <w:jc w:val="left"/>
        <w:rPr/>
      </w:pPr>
      <w:r>
        <w:rPr>
          <w:rFonts w:ascii="Times New Roman;sans-serif" w:hAnsi="Times New Roman;sans-serif"/>
          <w:b w:val="false"/>
          <w:i/>
          <w:color w:val="000000"/>
          <w:sz w:val="20"/>
        </w:rPr>
        <w:t xml:space="preserve">Long-Term Debt Repricing. </w:t>
      </w:r>
      <w:r>
        <w:rPr>
          <w:rFonts w:ascii="Times New Roman;sans-serif" w:hAnsi="Times New Roman;sans-serif"/>
          <w:b w:val="false"/>
          <w:color w:val="000000"/>
          <w:sz w:val="20"/>
        </w:rPr>
        <w:t>In May 2024, the Company completed a repricing transaction with respect to the TLB and TLC. The new rate applicable to the TLB and TLC is the Standard Overnight Financing Rate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 See Note 17 for additional information on the ERCOT Sale. The repricing transaction is excluded from the Consolidated Statements of Cash Flows as a non-cash item.</w:t>
      </w:r>
    </w:p>
    <w:p>
      <w:pPr>
        <w:pStyle w:val="TextBody"/>
        <w:bidi w:val="0"/>
        <w:spacing w:lineRule="auto" w:line="288" w:before="0" w:after="180"/>
        <w:jc w:val="left"/>
        <w:rPr/>
      </w:pPr>
      <w:r>
        <w:rPr>
          <w:rFonts w:ascii="Times New Roman;sans-serif" w:hAnsi="Times New Roman;sans-serif"/>
          <w:b w:val="false"/>
          <w:i/>
          <w:color w:val="000000"/>
          <w:sz w:val="20"/>
        </w:rPr>
        <w:t>Remarketing of PEDFA Bonds.</w:t>
      </w:r>
      <w:r>
        <w:rPr>
          <w:color w:val="000000"/>
        </w:rPr>
        <w:t xml:space="preserve"> </w:t>
      </w:r>
      <w:r>
        <w:rPr>
          <w:rFonts w:ascii="Times New Roman;sans-serif" w:hAnsi="Times New Roman;sans-serif"/>
          <w:b w:val="false"/>
          <w:color w:val="000000"/>
          <w:sz w:val="20"/>
        </w:rPr>
        <w:t>In June 2024, the Company completed the remarketing of $50 million in aggregate principal amount of its PEDFA 2009B and $81 million in aggregate principal amount of its PEDFA 2009C Bonds. The bonds will now bear interest at 5.25% until the end of the new term rate period on June 1, 2027. In connection with the remarketing, $133 million of LCs issued under the TLC LCF that had previously supported the bonds were terminated, providing the Company with increased LC capacity under the TLC LCF. The remarketing transaction is excluded from the Consolidated Statements of Cash Flows as a non-cash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Talen Energy Supply Long-Term Debt, Revolving Credit and Other Facilities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(Successor), Talen was not in default under any of its debt agreements.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“Talen Energy Supply Post-Emergence Long-Term Debt, Revolving Credit and Other Facilities” in Note 13 in Notes to the Annual Financial Statements for a description of the material terms of our Credit Facilities, Secured Notes, PEDFA Bonds and Secured ISDAs.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“Security Interests, Guarantees, and Cross-Defaults on TES Post-Emergence Obligations” in Note 13 in Notes to the Annual Financial Statements for additional information on the security interests and guarantees supporting these obligations. In addition to the obligations outlined under “Long-Term Debt” and “Revolving Credit and Other Facilities” above, secured obligations included approximately $66 million under Secured ISDAs as of June 30, 2024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Fair Value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reported at fair value on a recurring basis primarily include energy commodity derivatives, interest rate derivatives, and investments held within the NDT.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classifications of recurring fair value measurements within the fair value hierarchy were:</w:t>
      </w:r>
    </w:p>
    <w:tbl>
      <w:tblPr>
        <w:tblW w:w="12380" w:type="dxa"/>
        <w:jc w:val="left"/>
        <w:tblInd w:w="0" w:type="dxa"/>
        <w:tblLayout w:type="fixed"/>
        <w:tblCellMar>
          <w:top w:w="28" w:type="dxa"/>
          <w:left w:w="28" w:type="dxa"/>
          <w:bottom w:w="28" w:type="dxa"/>
          <w:right w:w="28" w:type="dxa"/>
        </w:tblCellMar>
      </w:tblPr>
      <w:tblGrid>
        <w:gridCol w:w="421"/>
        <w:gridCol w:w="291"/>
        <w:gridCol w:w="294"/>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ind w:left="0" w:right="0" w:hanging="180"/>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4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0"/>
              <w:jc w:val="center"/>
              <w:rPr/>
            </w:pPr>
            <w:r>
              <w:rPr>
                <w:rFonts w:ascii="Times New Roman;sans-serif" w:hAnsi="Times New Roman;sans-serif"/>
                <w:b/>
                <w:color w:val="000000"/>
                <w:sz w:val="16"/>
              </w:rPr>
              <w:t xml:space="preserve">Netting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Netting </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Equity securities </w:t>
            </w:r>
            <w:r>
              <w:rPr>
                <w:rFonts w:ascii="Times New Roman;sans-serif" w:hAnsi="Times New Roman;sans-serif"/>
                <w:b w:val="false"/>
                <w:color w:val="000000"/>
                <w:sz w:val="12"/>
              </w:rPr>
              <w:t>(b)</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debt securities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 xml:space="preserve">Receivables (payables), net </w:t>
            </w:r>
            <w:r>
              <w:rPr>
                <w:rFonts w:ascii="Times New Roman;sans-serif" w:hAnsi="Times New Roman;sans-serif"/>
                <w:b w:val="false"/>
                <w:color w:val="000000"/>
                <w:sz w:val="12"/>
              </w:rPr>
              <w:t>(c)</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NDT funds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other</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(a)Amounts represent netting pursuant to master netting arrangements and cash collateral held or placed with the same counterparty.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(b)Includes commingled equity and fixed income funds and real estate investment trusts. </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(c)Represents: (i) interest and dividends earned but not received; and (ii) net sold or purchased investments, but not settled.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recurring fair value measurements classified as Level 3 as of June 30, 2024 (Successor) and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Nonrecurring Fair Value Measurements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nonrecurring fair value measurements related to impairments of long-lived assets during the six months ended June 30, 2024 (Successor). See Note 8 for information on the nonrecurring fair value measurement of Brandon Shores during the period from January 1 through May 17, 2023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Reported Fair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certain financial assets and liabilities on the Consolidated Balance Sheets, including “Cash and cash equivalents,” “Restricted cash and cash equivalents,” “Accounts receivable, net,” and “Accounts payable and other accrued liabilities” approximate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and fair value of indebtedness presented on the Consolidated Balance Sheets were:</w:t>
      </w:r>
    </w:p>
    <w:tbl>
      <w:tblPr>
        <w:tblW w:w="7818" w:type="dxa"/>
        <w:jc w:val="left"/>
        <w:tblInd w:w="0" w:type="dxa"/>
        <w:tblLayout w:type="fixed"/>
        <w:tblCellMar>
          <w:top w:w="28" w:type="dxa"/>
          <w:left w:w="28" w:type="dxa"/>
          <w:bottom w:w="28" w:type="dxa"/>
          <w:right w:w="28" w:type="dxa"/>
        </w:tblCellMar>
      </w:tblPr>
      <w:tblGrid>
        <w:gridCol w:w="890"/>
        <w:gridCol w:w="782"/>
        <w:gridCol w:w="788"/>
        <w:gridCol w:w="297"/>
        <w:gridCol w:w="843"/>
        <w:gridCol w:w="165"/>
        <w:gridCol w:w="109"/>
        <w:gridCol w:w="109"/>
        <w:gridCol w:w="109"/>
        <w:gridCol w:w="196"/>
        <w:gridCol w:w="556"/>
        <w:gridCol w:w="109"/>
        <w:gridCol w:w="109"/>
        <w:gridCol w:w="109"/>
        <w:gridCol w:w="109"/>
        <w:gridCol w:w="297"/>
        <w:gridCol w:w="843"/>
        <w:gridCol w:w="165"/>
        <w:gridCol w:w="109"/>
        <w:gridCol w:w="109"/>
        <w:gridCol w:w="109"/>
        <w:gridCol w:w="196"/>
        <w:gridCol w:w="55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Successor</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Long-term debt</w:t>
            </w:r>
            <w:r>
              <w:rPr>
                <w:color w:val="000000"/>
              </w:rPr>
              <w:t xml:space="preserve"> </w:t>
            </w:r>
            <w:r>
              <w:rPr>
                <w:rFonts w:ascii="Times New Roman;sans-serif" w:hAnsi="Times New Roman;sans-serif"/>
                <w:b w:val="false"/>
                <w:color w:val="000000"/>
                <w:sz w:val="12"/>
              </w:rPr>
              <w:t>(a)</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short-term indebtedness </w:t>
            </w:r>
            <w:r>
              <w:rPr>
                <w:rFonts w:ascii="Times New Roman;sans-serif" w:hAnsi="Times New Roman;sans-serif"/>
                <w:b w:val="false"/>
                <w:color w:val="000000"/>
                <w:sz w:val="12"/>
              </w:rPr>
              <w:t>(b)</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(a)Aggregate value of “Long-term debt” and “Long-term debt, due within one year” presented on the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(b)Presented as “Other current liabilities” on the Consolidated Balance Sheets.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Postretirement Benefit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TES and certain subsidiaries sponsor postemployment benefits which include defined benefit pension plans, health and welfare postretirement plans (other postretirement benefit plans), and defined contribution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costs for the periods were:</w:t>
      </w:r>
    </w:p>
    <w:tbl>
      <w:tblPr>
        <w:tblW w:w="10205" w:type="dxa"/>
        <w:jc w:val="left"/>
        <w:tblInd w:w="0" w:type="dxa"/>
        <w:tblLayout w:type="fixed"/>
        <w:tblCellMar>
          <w:top w:w="28" w:type="dxa"/>
          <w:left w:w="28" w:type="dxa"/>
          <w:bottom w:w="28" w:type="dxa"/>
          <w:right w:w="28" w:type="dxa"/>
        </w:tblCellMar>
      </w:tblPr>
      <w:tblGrid>
        <w:gridCol w:w="543"/>
        <w:gridCol w:w="410"/>
        <w:gridCol w:w="411"/>
        <w:gridCol w:w="329"/>
        <w:gridCol w:w="430"/>
        <w:gridCol w:w="185"/>
        <w:gridCol w:w="109"/>
        <w:gridCol w:w="109"/>
        <w:gridCol w:w="109"/>
        <w:gridCol w:w="263"/>
        <w:gridCol w:w="544"/>
        <w:gridCol w:w="146"/>
        <w:gridCol w:w="109"/>
        <w:gridCol w:w="109"/>
        <w:gridCol w:w="109"/>
        <w:gridCol w:w="109"/>
        <w:gridCol w:w="109"/>
        <w:gridCol w:w="109"/>
        <w:gridCol w:w="318"/>
        <w:gridCol w:w="660"/>
        <w:gridCol w:w="179"/>
        <w:gridCol w:w="109"/>
        <w:gridCol w:w="109"/>
        <w:gridCol w:w="109"/>
        <w:gridCol w:w="109"/>
        <w:gridCol w:w="109"/>
        <w:gridCol w:w="109"/>
        <w:gridCol w:w="267"/>
        <w:gridCol w:w="555"/>
        <w:gridCol w:w="148"/>
        <w:gridCol w:w="109"/>
        <w:gridCol w:w="109"/>
        <w:gridCol w:w="109"/>
        <w:gridCol w:w="263"/>
        <w:gridCol w:w="544"/>
        <w:gridCol w:w="146"/>
        <w:gridCol w:w="109"/>
        <w:gridCol w:w="109"/>
        <w:gridCol w:w="109"/>
        <w:gridCol w:w="109"/>
        <w:gridCol w:w="109"/>
        <w:gridCol w:w="109"/>
        <w:gridCol w:w="400"/>
        <w:gridCol w:w="522"/>
        <w:gridCol w:w="326"/>
      </w:tblGrid>
      <w:tr>
        <w:trPr/>
        <w:tc>
          <w:tcPr>
            <w:tcW w:w="5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Postretirement benefits service cost </w:t>
            </w:r>
            <w:r>
              <w:rPr>
                <w:rFonts w:ascii="Times New Roman;sans-serif" w:hAnsi="Times New Roman;sans-serif"/>
                <w:b w:val="false"/>
                <w:color w:val="000000"/>
                <w:sz w:val="12"/>
              </w:rPr>
              <w:t>(a)</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ans-serif" w:hAnsi="Times New Roman;sans-serif"/>
                <w:b w:val="false"/>
                <w:color w:val="000000"/>
                <w:sz w:val="18"/>
              </w:rPr>
              <w:t xml:space="preserve">Postretirement benefit (gain) loss, net </w:t>
            </w:r>
            <w:r>
              <w:rPr>
                <w:rFonts w:ascii="Times New Roman;sans-serif" w:hAnsi="Times New Roman;sans-serif"/>
                <w:b w:val="false"/>
                <w:color w:val="000000"/>
                <w:sz w:val="12"/>
              </w:rPr>
              <w:t>(b)</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periodic defined benefit cost (credit)</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(a)Activity presented as “Operation, maintenance and development” on the Consolidated Statements of Operations.</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(b)Activity presented as “Other non-operating income (expense), net” on the Consolidated Statements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for additional information on recently resolved litigation regarding certain of our defined benefit pension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$10 million of excess assets from the PA Mines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six months ended June 30, 2024 (Successor) and presented as “Other non-operating income (expense), net” on the Consolidated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14. Earnings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tbl>
      <w:tblPr>
        <w:tblW w:w="10205" w:type="dxa"/>
        <w:jc w:val="left"/>
        <w:tblInd w:w="0" w:type="dxa"/>
        <w:tblLayout w:type="fixed"/>
        <w:tblCellMar>
          <w:top w:w="28" w:type="dxa"/>
          <w:left w:w="28" w:type="dxa"/>
          <w:bottom w:w="28" w:type="dxa"/>
          <w:right w:w="28" w:type="dxa"/>
        </w:tblCellMar>
      </w:tblPr>
      <w:tblGrid>
        <w:gridCol w:w="954"/>
        <w:gridCol w:w="412"/>
        <w:gridCol w:w="413"/>
        <w:gridCol w:w="218"/>
        <w:gridCol w:w="519"/>
        <w:gridCol w:w="121"/>
        <w:gridCol w:w="109"/>
        <w:gridCol w:w="109"/>
        <w:gridCol w:w="109"/>
        <w:gridCol w:w="214"/>
        <w:gridCol w:w="510"/>
        <w:gridCol w:w="119"/>
        <w:gridCol w:w="109"/>
        <w:gridCol w:w="109"/>
        <w:gridCol w:w="109"/>
        <w:gridCol w:w="109"/>
        <w:gridCol w:w="109"/>
        <w:gridCol w:w="109"/>
        <w:gridCol w:w="270"/>
        <w:gridCol w:w="601"/>
        <w:gridCol w:w="151"/>
        <w:gridCol w:w="109"/>
        <w:gridCol w:w="109"/>
        <w:gridCol w:w="109"/>
        <w:gridCol w:w="109"/>
        <w:gridCol w:w="109"/>
        <w:gridCol w:w="109"/>
        <w:gridCol w:w="213"/>
        <w:gridCol w:w="604"/>
        <w:gridCol w:w="118"/>
        <w:gridCol w:w="109"/>
        <w:gridCol w:w="109"/>
        <w:gridCol w:w="109"/>
        <w:gridCol w:w="214"/>
        <w:gridCol w:w="510"/>
        <w:gridCol w:w="119"/>
        <w:gridCol w:w="109"/>
        <w:gridCol w:w="109"/>
        <w:gridCol w:w="109"/>
        <w:gridCol w:w="109"/>
        <w:gridCol w:w="109"/>
        <w:gridCol w:w="109"/>
        <w:gridCol w:w="273"/>
        <w:gridCol w:w="608"/>
        <w:gridCol w:w="152"/>
        <w:gridCol w:w="109"/>
        <w:gridCol w:w="167"/>
      </w:tblGrid>
      <w:tr>
        <w:trPr/>
        <w:tc>
          <w:tcPr>
            <w:tcW w:w="9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 (Millions of Dollars)</w:t>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Stockholders (Successor) / Member (Predecessor)</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431</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 (Thousands)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Number of Common Shares Outstanding - Basic</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57,434</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59,029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58,119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59,029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stock units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Number of Common Shares Outstanding - Diluted</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59,775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59,088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60,269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59,088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 Basic</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 Diluted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15.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the Board of Directors approved an increase of the remaining capacity under the Company’s share repurchase program to $1 billion. See Note 16 in Notes to the Annual Financial Statement for more information on the Company’s share repurchase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2024, the Company repurchased a total of 5,773,889 shares of the Company’s common stock, of which 5,275,862 shares were repurchased in a tender offer, at a weighted average price of $114.48 per share, for an aggregate purchase price of $661 million, inclusive of transaction costs and excise taxes. The shares repurchased in the tender offer represented 9% of the Company’s outstanding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retired 5,768,862 shares of treasury stock at a weighted average price of $114.58 per share with a carrying value of $661 million. The retired shares are now included in the pool of authorized but unissued shares. As of June 30, 2024 (Successor), the company had 53,254,954 shares outstanding.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the Company repurchased 2,413,793 shares of the Company’s common stock from affiliates of Rubric Capital Management LP at a price of $116.00 per share, for an aggregate purchase price of $280 million and retired the shares. There were de minimis transaction costs associated with this repurchase.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a former executive exercised equity-classified warrants to 457,142 shares of the Company’s common stock in a non-cash transaction. After giving effect to the non-cash exercise and related tax withholding, the Company issued 160,289 shares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AOCI for the periods were:</w:t>
      </w:r>
    </w:p>
    <w:tbl>
      <w:tblPr>
        <w:tblW w:w="10205" w:type="dxa"/>
        <w:jc w:val="left"/>
        <w:tblInd w:w="0" w:type="dxa"/>
        <w:tblLayout w:type="fixed"/>
        <w:tblCellMar>
          <w:top w:w="28" w:type="dxa"/>
          <w:left w:w="28" w:type="dxa"/>
          <w:bottom w:w="28" w:type="dxa"/>
          <w:right w:w="28" w:type="dxa"/>
        </w:tblCellMar>
      </w:tblPr>
      <w:tblGrid>
        <w:gridCol w:w="1320"/>
        <w:gridCol w:w="1020"/>
        <w:gridCol w:w="1027"/>
        <w:gridCol w:w="511"/>
        <w:gridCol w:w="1038"/>
        <w:gridCol w:w="284"/>
        <w:gridCol w:w="109"/>
        <w:gridCol w:w="109"/>
        <w:gridCol w:w="109"/>
        <w:gridCol w:w="489"/>
        <w:gridCol w:w="1015"/>
        <w:gridCol w:w="272"/>
        <w:gridCol w:w="109"/>
        <w:gridCol w:w="109"/>
        <w:gridCol w:w="109"/>
        <w:gridCol w:w="109"/>
        <w:gridCol w:w="109"/>
        <w:gridCol w:w="109"/>
        <w:gridCol w:w="523"/>
        <w:gridCol w:w="1165"/>
        <w:gridCol w:w="292"/>
        <w:gridCol w:w="109"/>
        <w:gridCol w:w="159"/>
      </w:tblGrid>
      <w:tr>
        <w:trPr/>
        <w:tc>
          <w:tcPr>
            <w:tcW w:w="13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arising during the period</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Reclassifications to Consolidated Statements of Operations </w:t>
            </w:r>
            <w:r>
              <w:rPr>
                <w:rFonts w:ascii="Times New Roman;sans-serif" w:hAnsi="Times New Roman;sans-serif"/>
                <w:b w:val="false"/>
                <w:color w:val="000000"/>
                <w:sz w:val="12"/>
              </w:rPr>
              <w:t>(a)</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(a)Primarily reclassification to “Nuclear decommission trust fund gain (loss), net”.</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AOCI, net of tax, at June 30 were:</w:t>
      </w:r>
    </w:p>
    <w:tbl>
      <w:tblPr>
        <w:tblW w:w="6633" w:type="dxa"/>
        <w:jc w:val="left"/>
        <w:tblInd w:w="0" w:type="dxa"/>
        <w:tblLayout w:type="fixed"/>
        <w:tblCellMar>
          <w:top w:w="28" w:type="dxa"/>
          <w:left w:w="28" w:type="dxa"/>
          <w:bottom w:w="28" w:type="dxa"/>
          <w:right w:w="28" w:type="dxa"/>
        </w:tblCellMar>
      </w:tblPr>
      <w:tblGrid>
        <w:gridCol w:w="1435"/>
        <w:gridCol w:w="1259"/>
        <w:gridCol w:w="1265"/>
        <w:gridCol w:w="239"/>
        <w:gridCol w:w="423"/>
        <w:gridCol w:w="134"/>
        <w:gridCol w:w="109"/>
        <w:gridCol w:w="109"/>
        <w:gridCol w:w="109"/>
        <w:gridCol w:w="109"/>
        <w:gridCol w:w="109"/>
        <w:gridCol w:w="109"/>
        <w:gridCol w:w="335"/>
        <w:gridCol w:w="438"/>
        <w:gridCol w:w="188"/>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unrealized gain (loss), net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benefit actuarial gain (loss),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 xml:space="preserve">The postretirement obligations components of AOCI are not presented in their entirety on the Consolidated Statements of Operations during the periods; rather, they are included in the computation of net periodic defined benefit costs (credits). See </w:t>
      </w:r>
      <w:hyperlink w:anchor="if20e1f3d5a734e3eabbb6aa8f57c7562_222">
        <w:r>
          <w:rPr>
            <w:rStyle w:val="InternetLink"/>
            <w:rFonts w:ascii="Times New Roman;sans-serif" w:hAnsi="Times New Roman;sans-serif"/>
            <w:b w:val="false"/>
            <w:strike w:val="false"/>
            <w:dstrike w:val="false"/>
            <w:color w:val="000000"/>
            <w:sz w:val="20"/>
            <w:u w:val="none"/>
            <w:effect w:val="none"/>
          </w:rPr>
          <w:t xml:space="preserve">Note </w:t>
        </w:r>
      </w:hyperlink>
      <w:r>
        <w:rPr>
          <w:rFonts w:ascii="Times New Roman;sans-serif" w:hAnsi="Times New Roman;sans-serif"/>
          <w:b w:val="false"/>
          <w:color w:val="000000"/>
          <w:sz w:val="20"/>
        </w:rPr>
        <w:t>13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16. Supplemental Cash Flow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for the Consolidated Statements of Cash Flows for the periods were:</w:t>
      </w:r>
    </w:p>
    <w:tbl>
      <w:tblPr>
        <w:tblW w:w="10205" w:type="dxa"/>
        <w:jc w:val="left"/>
        <w:tblInd w:w="0" w:type="dxa"/>
        <w:tblLayout w:type="fixed"/>
        <w:tblCellMar>
          <w:top w:w="28" w:type="dxa"/>
          <w:left w:w="28" w:type="dxa"/>
          <w:bottom w:w="28" w:type="dxa"/>
          <w:right w:w="28" w:type="dxa"/>
        </w:tblCellMar>
      </w:tblPr>
      <w:tblGrid>
        <w:gridCol w:w="1733"/>
        <w:gridCol w:w="1253"/>
        <w:gridCol w:w="1258"/>
        <w:gridCol w:w="409"/>
        <w:gridCol w:w="910"/>
        <w:gridCol w:w="227"/>
        <w:gridCol w:w="109"/>
        <w:gridCol w:w="109"/>
        <w:gridCol w:w="109"/>
        <w:gridCol w:w="406"/>
        <w:gridCol w:w="842"/>
        <w:gridCol w:w="226"/>
        <w:gridCol w:w="109"/>
        <w:gridCol w:w="109"/>
        <w:gridCol w:w="109"/>
        <w:gridCol w:w="109"/>
        <w:gridCol w:w="109"/>
        <w:gridCol w:w="109"/>
        <w:gridCol w:w="447"/>
        <w:gridCol w:w="995"/>
        <w:gridCol w:w="249"/>
        <w:gridCol w:w="109"/>
        <w:gridCol w:w="160"/>
      </w:tblGrid>
      <w:tr>
        <w:trPr/>
        <w:tc>
          <w:tcPr>
            <w:tcW w:w="173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Cash paid (received) during the period</w:t>
            </w:r>
            <w:r>
              <w:rPr>
                <w:color w:val="000000"/>
              </w:rPr>
              <w:t xml:space="preserve"> </w:t>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and other finance charges, net of capitalized interest </w:t>
            </w:r>
            <w:r>
              <w:rPr>
                <w:rFonts w:ascii="Times New Roman;sans-serif" w:hAnsi="Times New Roman;sans-serif"/>
                <w:b w:val="false"/>
                <w:color w:val="000000"/>
                <w:sz w:val="12"/>
              </w:rPr>
              <w:t>(a)</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net</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operating activities</w:t>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accrual increase (decrease)</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amortization and accretion included on the Statements of Operations:</w:t>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Amortization of deferred finance costs and original issuance discounts (interest expense) </w:t>
            </w:r>
            <w:r>
              <w:rPr>
                <w:rFonts w:ascii="Times New Roman;sans-serif" w:hAnsi="Times New Roman;sans-serif"/>
                <w:b w:val="false"/>
                <w:color w:val="000000"/>
                <w:sz w:val="12"/>
              </w:rPr>
              <w:t>(b)</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depreciation, amortization and accretion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144</w:t>
            </w: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208</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financing/investing activities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Non-cash increase to PP&amp;E and decrease to other current assets for transfer of miners by Cumulus Coin </w:t>
            </w:r>
            <w:r>
              <w:rPr>
                <w:rFonts w:ascii="Times New Roman;sans-serif" w:hAnsi="Times New Roman;sans-serif"/>
                <w:b w:val="false"/>
                <w:color w:val="000000"/>
                <w:sz w:val="12"/>
              </w:rPr>
              <w:t>(b)</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decrease to PP&amp;E and decrease to noncontrolling interest for transfer of miners to TeraWulf</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Non-cash increase to PP&amp;E and increase to noncontrolling interest for transfer of miners by TeraWulf </w:t>
            </w:r>
            <w:r>
              <w:rPr>
                <w:rFonts w:ascii="Times New Roman;sans-serif" w:hAnsi="Times New Roman;sans-serif"/>
                <w:b w:val="false"/>
                <w:color w:val="000000"/>
                <w:sz w:val="12"/>
              </w:rPr>
              <w:t>(b)</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Unrealized (gain) loss on derivatives: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contracts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unrealized (gain) loss on derivatives</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w:t>
            </w: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 reconciliation adjustments, other:</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defined benefit cost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option premium amortization</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Bitcoin revenue</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Nonrecourse paid-in-kind interest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Mark-to-market on warrants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restructuring (gain) loss, net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Total</w:t>
            </w:r>
            <w:r>
              <w:rPr>
                <w:color w:val="000000"/>
              </w:rPr>
              <w:t xml:space="preserve"> </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w:t>
            </w:r>
            <w:r>
              <w:rPr>
                <w:color w:val="000000"/>
              </w:rPr>
              <w:t>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(a)Capitalized interest totaled $3 million for the six months ended June 30, 2024 (Successor); $3 million for May 18 through June 30, 2023 (Successor); and $12 million for January 1 through May 17, 2023 (Predecessor).</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(b)In 2023, each of the joint venture partners of Nautilus made non-cash contributions to Nautilus of cryptocurrency miners that increased PP&amp;E.</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and Restricted Cash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 reconciliation of “Cash and cash equivalents” and “Restricted cash and cash equivalents” presented on the Consolidated Statements of Cash Flows to line items within the Consolidated Balance Sheets: </w:t>
      </w:r>
    </w:p>
    <w:tbl>
      <w:tblPr>
        <w:tblW w:w="6310" w:type="dxa"/>
        <w:jc w:val="left"/>
        <w:tblInd w:w="0" w:type="dxa"/>
        <w:tblLayout w:type="fixed"/>
        <w:tblCellMar>
          <w:top w:w="28" w:type="dxa"/>
          <w:left w:w="28" w:type="dxa"/>
          <w:bottom w:w="28" w:type="dxa"/>
          <w:right w:w="28" w:type="dxa"/>
        </w:tblCellMar>
      </w:tblPr>
      <w:tblGrid>
        <w:gridCol w:w="1201"/>
        <w:gridCol w:w="1053"/>
        <w:gridCol w:w="1061"/>
        <w:gridCol w:w="251"/>
        <w:gridCol w:w="733"/>
        <w:gridCol w:w="140"/>
        <w:gridCol w:w="109"/>
        <w:gridCol w:w="109"/>
        <w:gridCol w:w="109"/>
        <w:gridCol w:w="385"/>
        <w:gridCol w:w="857"/>
        <w:gridCol w:w="302"/>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400</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 and cash equivalents: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TES TLC debt restricted deposits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3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Nautilus project restricted deposits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exchange margin deposits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Cumulus Digital Holdings restricted deposits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 and cash equivalents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501</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Total</w:t>
            </w:r>
            <w:r>
              <w:rPr>
                <w:color w:val="000000"/>
              </w:rPr>
              <w:t xml:space="preserve">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1,115</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901</w:t>
            </w:r>
            <w:r>
              <w:rPr>
                <w:color w:val="000000"/>
              </w:rPr>
              <w:t>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17. Acquisitions and Divestitures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Completed Divestitures</w:t>
      </w:r>
    </w:p>
    <w:p>
      <w:pPr>
        <w:pStyle w:val="TextBody"/>
        <w:bidi w:val="0"/>
        <w:spacing w:lineRule="auto" w:line="288" w:before="0" w:after="180"/>
        <w:jc w:val="left"/>
        <w:rPr/>
      </w:pPr>
      <w:r>
        <w:rPr>
          <w:rFonts w:ascii="Times New Roman;sans-serif" w:hAnsi="Times New Roman;sans-serif"/>
          <w:b w:val="false"/>
          <w:i/>
          <w:color w:val="000000"/>
          <w:sz w:val="20"/>
        </w:rPr>
        <w:t>ERCOT Sale.</w:t>
      </w:r>
      <w:r>
        <w:rPr>
          <w:color w:val="000000"/>
        </w:rPr>
        <w:t xml:space="preserve"> </w:t>
      </w:r>
      <w:r>
        <w:rPr>
          <w:rFonts w:ascii="Times New Roman;sans-serif" w:hAnsi="Times New Roman;sans-serif"/>
          <w:b w:val="false"/>
          <w:color w:val="000000"/>
          <w:sz w:val="20"/>
        </w:rPr>
        <w:t>In March 2024, the Company and CPS Energy entered into an agreement for CPS Energy to acquire the Company’s 1,710 MW Texas generation portfolio located within the ERCOT market for $785 million, subject to customary net working capital adjustments. The sale closed in May 2024. A gain on sale of $563 million is presented as “Gain (loss) on sale of assets, net” on the Consolidated Statements of Operations.</w:t>
      </w:r>
    </w:p>
    <w:p>
      <w:pPr>
        <w:pStyle w:val="TextBody"/>
        <w:bidi w:val="0"/>
        <w:spacing w:lineRule="auto" w:line="288" w:before="0" w:after="180"/>
        <w:jc w:val="left"/>
        <w:rPr/>
      </w:pPr>
      <w:r>
        <w:rPr>
          <w:rFonts w:ascii="Times New Roman;sans-serif" w:hAnsi="Times New Roman;sans-serif"/>
          <w:b w:val="false"/>
          <w:i/>
          <w:color w:val="000000"/>
          <w:sz w:val="20"/>
        </w:rPr>
        <w:t>Cumulus Data Campus Sale</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In March 2024, AWS purchased substantially all the assets of Cumulus Data and certain other assets for gross proceeds of $650 million. Gross proceeds of $350 million were initially received at closing with the remaining $300 million of variable consideration, presented as “Other current assets” on the Consolidated Balance Sheets, expected to be received from escrow at the completion of certain development milestones. Cumulus Digital Holdings distributed $109 million of the initial net proceeds from the sale to its members, including $108 million to 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Cumulus Data Campus Sale, the Company entered into a power purchase agreement with AWS, pursuant to which (i) the Company agreed to supply up to 960 MW of long-term, carbon-free power to the Cumulus Data Campus from Susquehanna; (ii) the parties agreed to fixed-price power commitments that increase in 120 MW increments over several years; and (iii) AWS, under certain conditions, has the option to cap their commitments at 480 MW. AWS also became lessor under the ground lease agreement with Nautilus.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(Successor), a $324 million net gain on sale is presented as “Gain (loss) on sale of assets, net” on the Consolidated Statements of Operations.</w:t>
      </w:r>
    </w:p>
    <w:p>
      <w:pPr>
        <w:pStyle w:val="TextBody"/>
        <w:bidi w:val="0"/>
        <w:spacing w:lineRule="auto" w:line="288" w:before="0" w:after="180"/>
        <w:jc w:val="left"/>
        <w:rPr/>
      </w:pPr>
      <w:r>
        <w:rPr>
          <w:rFonts w:ascii="Times New Roman;sans-serif" w:hAnsi="Times New Roman;sans-serif"/>
          <w:b w:val="false"/>
          <w:i/>
          <w:color w:val="000000"/>
          <w:sz w:val="20"/>
        </w:rPr>
        <w:t xml:space="preserve">Pennsylvania Minerals Divestiture. </w:t>
      </w:r>
      <w:r>
        <w:rPr>
          <w:rFonts w:ascii="Times New Roman;sans-serif" w:hAnsi="Times New Roman;sans-serif"/>
          <w:b w:val="false"/>
          <w:color w:val="000000"/>
          <w:sz w:val="20"/>
        </w:rPr>
        <w:t>In March 2023, Talen sold certain mineral interests located in Pennsylvania for $29 million, while preserving the right to certain royalty payments from existing and future producing natural gas wells. For the period from January 1 through May 17, 2023 (Predecessor), a $29 million gain was presented as “Gain (loss) on sale of assets, net” on the Consolidated Statements of Operations.</w:t>
      </w:r>
    </w:p>
    <w:p>
      <w:pPr>
        <w:pStyle w:val="TextBody"/>
        <w:bidi w:val="0"/>
        <w:spacing w:lineRule="auto" w:line="288" w:before="0" w:after="180"/>
        <w:jc w:val="left"/>
        <w:rPr/>
      </w:pPr>
      <w:r>
        <w:rPr>
          <w:rFonts w:ascii="Times New Roman;sans-serif" w:hAnsi="Times New Roman;sans-serif"/>
          <w:b w:val="false"/>
          <w:i/>
          <w:color w:val="000000"/>
          <w:sz w:val="20"/>
        </w:rPr>
        <w:t xml:space="preserve">Western Gas Book Divestiture. </w:t>
      </w:r>
      <w:r>
        <w:rPr>
          <w:rFonts w:ascii="Times New Roman;sans-serif" w:hAnsi="Times New Roman;sans-serif"/>
          <w:b w:val="false"/>
          <w:color w:val="000000"/>
          <w:sz w:val="20"/>
        </w:rPr>
        <w:t>In April 2023, Talen sold certain contracts relating to the transportation of natural gas in the southwestern United States for approximately $15 million. For the period from January 1 through May 17, 2023 (Predecessor), a $15 million gain was presented as “Gain (loss) on sale of assets, net”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Acquisition of Noncontrolling Interests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TES acquired all of the equity units of Cumulus Digital Holdings held by affiliates of Orion and two former members of Talen senior management in exchange for an aggregate of $39 million. Following these transactions, TES owns 100% of the equity of Cumulus Digital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18. Segments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Talen’s operating segments are based on the market areas in which our generation facilities operate and reflect the manner in which our chief operating decision maker review results and allocate resources. Adjusted EBITDA is the key profit metric used to measure financial performance of each segment. Total assets or other asset metrics are not considered a key metric or reviewed by the chief operating decision makers.</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PJM” is engaged in electricity generation, marketing activities, commodity risk and fuel management within the PJM RTO or ISO markets and is comprised of Susquehanna and Talen’s natural gas and coal generation facilities.</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Other” represents a non-reportable segment that includes the operating and marketing activities of Talen Montana’s proportionate share of the Colstrip Units in the WECC market, the operating activities of Nautilus, and other non-material operating and development activities. The Other segment also included the operating activities of our Texas power generation facilities in the ERCOT market prior to their disposal in May 2024. We have determined it appropriate to aggregate results of Talen’s remaining non-reportable segments and other operating activities.</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 xml:space="preserve">Corporate and Eliminations” represents a non-reportable segment represents the remaining grouping that includes: (i) General and administrative expenses incurred by our corporate and commercial functions that are not allocated to our reportable segments; (ii) other non-material components that are not regularly reviewed by our chief operating decision maker; and (iii) intercompany eliminations. This grouping is presented to reconcile the reportable segments to our consolidated results.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the segments and reconciliation to consolidated results are:</w:t>
      </w:r>
    </w:p>
    <w:tbl>
      <w:tblPr>
        <w:tblW w:w="9099" w:type="dxa"/>
        <w:jc w:val="left"/>
        <w:tblInd w:w="0" w:type="dxa"/>
        <w:tblLayout w:type="fixed"/>
        <w:tblCellMar>
          <w:top w:w="28" w:type="dxa"/>
          <w:left w:w="28" w:type="dxa"/>
          <w:bottom w:w="28" w:type="dxa"/>
          <w:right w:w="28" w:type="dxa"/>
        </w:tblCellMar>
      </w:tblPr>
      <w:tblGrid>
        <w:gridCol w:w="1368"/>
        <w:gridCol w:w="1202"/>
        <w:gridCol w:w="1210"/>
        <w:gridCol w:w="196"/>
        <w:gridCol w:w="421"/>
        <w:gridCol w:w="109"/>
        <w:gridCol w:w="109"/>
        <w:gridCol w:w="109"/>
        <w:gridCol w:w="109"/>
        <w:gridCol w:w="196"/>
        <w:gridCol w:w="406"/>
        <w:gridCol w:w="109"/>
        <w:gridCol w:w="109"/>
        <w:gridCol w:w="109"/>
        <w:gridCol w:w="109"/>
        <w:gridCol w:w="639"/>
        <w:gridCol w:w="1131"/>
        <w:gridCol w:w="360"/>
        <w:gridCol w:w="109"/>
        <w:gridCol w:w="109"/>
        <w:gridCol w:w="109"/>
        <w:gridCol w:w="196"/>
        <w:gridCol w:w="4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593" w:type="dxa"/>
            <w:gridSpan w:val="18"/>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2024 (Successor)</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May 18 through June 30, 2023 (Successor)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April 1 through May 17, 2023 (Predecessor)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tbl>
      <w:tblPr>
        <w:tblW w:w="9309" w:type="dxa"/>
        <w:jc w:val="left"/>
        <w:tblInd w:w="0" w:type="dxa"/>
        <w:tblLayout w:type="fixed"/>
        <w:tblCellMar>
          <w:top w:w="28" w:type="dxa"/>
          <w:left w:w="28" w:type="dxa"/>
          <w:bottom w:w="28" w:type="dxa"/>
          <w:right w:w="28" w:type="dxa"/>
        </w:tblCellMar>
      </w:tblPr>
      <w:tblGrid>
        <w:gridCol w:w="1341"/>
        <w:gridCol w:w="1178"/>
        <w:gridCol w:w="1186"/>
        <w:gridCol w:w="196"/>
        <w:gridCol w:w="556"/>
        <w:gridCol w:w="109"/>
        <w:gridCol w:w="109"/>
        <w:gridCol w:w="109"/>
        <w:gridCol w:w="109"/>
        <w:gridCol w:w="196"/>
        <w:gridCol w:w="421"/>
        <w:gridCol w:w="109"/>
        <w:gridCol w:w="109"/>
        <w:gridCol w:w="109"/>
        <w:gridCol w:w="109"/>
        <w:gridCol w:w="639"/>
        <w:gridCol w:w="1131"/>
        <w:gridCol w:w="360"/>
        <w:gridCol w:w="109"/>
        <w:gridCol w:w="109"/>
        <w:gridCol w:w="109"/>
        <w:gridCol w:w="196"/>
        <w:gridCol w:w="55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743" w:type="dxa"/>
            <w:gridSpan w:val="18"/>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 (Successor)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May 18 through June 30, 2023 (Successor)</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January 1 through May 17, 2023 (Predecessor)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9"/>
        <w:gridCol w:w="321"/>
        <w:gridCol w:w="322"/>
        <w:gridCol w:w="215"/>
        <w:gridCol w:w="478"/>
        <w:gridCol w:w="119"/>
        <w:gridCol w:w="109"/>
        <w:gridCol w:w="109"/>
        <w:gridCol w:w="109"/>
        <w:gridCol w:w="226"/>
        <w:gridCol w:w="400"/>
        <w:gridCol w:w="126"/>
        <w:gridCol w:w="109"/>
        <w:gridCol w:w="109"/>
        <w:gridCol w:w="109"/>
        <w:gridCol w:w="109"/>
        <w:gridCol w:w="109"/>
        <w:gridCol w:w="109"/>
        <w:gridCol w:w="267"/>
        <w:gridCol w:w="594"/>
        <w:gridCol w:w="149"/>
        <w:gridCol w:w="109"/>
        <w:gridCol w:w="109"/>
        <w:gridCol w:w="109"/>
        <w:gridCol w:w="109"/>
        <w:gridCol w:w="109"/>
        <w:gridCol w:w="109"/>
        <w:gridCol w:w="213"/>
        <w:gridCol w:w="474"/>
        <w:gridCol w:w="118"/>
        <w:gridCol w:w="109"/>
        <w:gridCol w:w="109"/>
        <w:gridCol w:w="109"/>
        <w:gridCol w:w="226"/>
        <w:gridCol w:w="400"/>
        <w:gridCol w:w="126"/>
        <w:gridCol w:w="109"/>
        <w:gridCol w:w="109"/>
        <w:gridCol w:w="109"/>
        <w:gridCol w:w="109"/>
        <w:gridCol w:w="109"/>
        <w:gridCol w:w="109"/>
        <w:gridCol w:w="269"/>
        <w:gridCol w:w="599"/>
        <w:gridCol w:w="150"/>
        <w:gridCol w:w="109"/>
        <w:gridCol w:w="109"/>
        <w:gridCol w:w="109"/>
        <w:gridCol w:w="109"/>
        <w:gridCol w:w="109"/>
        <w:gridCol w:w="109"/>
        <w:gridCol w:w="109"/>
        <w:gridCol w:w="165"/>
      </w:tblGrid>
      <w:tr>
        <w:trPr/>
        <w:tc>
          <w:tcPr>
            <w:tcW w:w="8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PJM</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Adjusted EBITDA</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725</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Reconciling Items:</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fuel amortization</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Reorganization gain (loss), net</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commodity derivative contracts</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funds gain (loss), net</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asset sales, net</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impairments</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Operational and other restructuring activities</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expenses</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inventory net realizable value, obsolescence, and other charges</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Eliminations</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777</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465</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bookmarkStart w:id="3" w:name="ie114f4b8bc1c4c389f6ef5596a2d5b6a_1428"/>
      <w:bookmarkEnd w:id="3"/>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should be read in conjunction with the Interim Financial Statements, the Annual Financial Statements, and their accompanying notes. In addition, the following discussion contains forward-looking statements, which involve risks and uncertainties. See “Cautionary Note Regarding Forward-Looking Information” for additional information on forward-looking statements. Capitalized terms and abbreviations are defined in the glossary. Dollars are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Talen owns and operates power infrastructure in the United States. We produce and sell electricity, capacity, and ancillary services into wholesale power markets in the United States primarily in PJM and WECC, with our generation fleet principally located in the Mid-Atlantic region of the United States and Montana. The majority of our generation is produced at our zero-carbon nuclear and lower-carbon gas-fired facilities. As of June 30, 2024 (Successor), our generation capacity was 10,665 MW (summer rating).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Common Stock Transactions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2024 (Successor), the company repurchased a total of 5,773,889 shares of the Company’s common stock under the share repurchase program for an aggregate purchase price of $661 million, inclusive of transaction costs and excise taxes, at a weighted average per share price of $114.48. Of the total shares repurchased, 5,275,862 shares were the result of the tender offer executed in June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the Company retired 5,768,862 shares of treasury stock repurchased during the six months ended June 30, 2024 (Successor).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the Company repurchased 2,413,793 shares from affiliates of Rubric Capital Management LP at a purchase price of $116.00 per share for an aggregate purchase price of $280 million and retired the shares. There were de minimis transaction costs associated with this repurchase.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a former executive exercised equity-classified warrants to 457,142 shares of the Company’s common stock in a non-cash transaction. After giving effect to tax impacts, the Company issued 160,289 shares of the Company’s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13, 2024, the Company has 51,001,450 shares of common stock outstanding.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15 in Notes to the Interim Financial Statements for more information related to share repurchases and the retirement of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PJM 2025/2026 Base Residual Auction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PJM reported the results of the PJM Base Residual Auction for the 2025/2026 planning year. Talen cleared a total of 6,820 MW at a clearing price of $269.92 per MW-day for the MAAC, PPL, and PSEG locational deliverability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Remarketing of PEDFA Bonds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completed the remarketing of $50 million in aggregate principal amount of its PEDFA 2009B and $81 million in aggregate principal amount of its PEDFA 2009C Bonds. The bonds will bear interest at 5.25% until the end of the new term rate period on June 1, 2027. In connection with the remarketing, $133 million of LCs issued under the TLC LCF that had previously supported the bonds were terminated, providing the Company with increased LC capacity under the TLC LCF.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Term Loan Repricing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80"/>
        <w:jc w:val="left"/>
        <w:rPr>
          <w:rFonts w:ascii="Times New Roman;sans-serif" w:hAnsi="Times New Roman;sans-serif"/>
          <w:b/>
          <w:i/>
          <w:color w:val="000000"/>
          <w:sz w:val="20"/>
        </w:rPr>
      </w:pPr>
      <w:r>
        <w:rPr>
          <w:rFonts w:ascii="Times New Roman;sans-serif" w:hAnsi="Times New Roman;sans-serif"/>
          <w:b/>
          <w:i/>
          <w:color w:val="000000"/>
          <w:sz w:val="20"/>
        </w:rPr>
        <w:t>ERCOT Sale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and CPS Energy entered into an agreement for CPS Energy to acquire the Company’s 1,710 MW Texas generation portfolio located within the ERCOT market for $785 million, subject to customary net working capital adjustments. The sale closed in May 2024. A net gain of $563 million is presented as “Gain (loss) on sale of assets, net” on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Factors Affecting Our Financial Condition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in future periods are subject to various uncertainties and risks. See “Cautionary Note Regarding Forward-Looking Information” and Notes 3 and 10 in Notes to the Interim Financial Statements for additional information on our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Generation Facility Updates </w:t>
      </w:r>
    </w:p>
    <w:p>
      <w:pPr>
        <w:pStyle w:val="TextBody"/>
        <w:bidi w:val="0"/>
        <w:spacing w:lineRule="auto" w:line="288" w:before="0" w:after="180"/>
        <w:jc w:val="left"/>
        <w:rPr/>
      </w:pPr>
      <w:r>
        <w:rPr>
          <w:rFonts w:ascii="Times New Roman;sans-serif" w:hAnsi="Times New Roman;sans-serif"/>
          <w:b w:val="false"/>
          <w:i/>
          <w:color w:val="000000"/>
          <w:sz w:val="20"/>
        </w:rPr>
        <w:t>Reliability Impact Assessments.</w:t>
      </w:r>
      <w:r>
        <w:rPr>
          <w:color w:val="000000"/>
        </w:rPr>
        <w:t xml:space="preserve"> </w:t>
      </w:r>
      <w:r>
        <w:rPr>
          <w:rFonts w:ascii="Times New Roman;sans-serif" w:hAnsi="Times New Roman;sans-serif"/>
          <w:b w:val="false"/>
          <w:color w:val="000000"/>
          <w:sz w:val="20"/>
        </w:rPr>
        <w:t xml:space="preserve">In the first quarter 2023, the project to convert Brandon Shores’ fuel source from coal to fuel oil was canceled for economic reasons, which resulted in non-cash impairment charges related to property, plant, and equipment and inventories. In April 2023, Brandon Shores notified PJM that it will deactivate electric generation on June 1, 2025. In June 2023, PJM notified Brandon Shores that its generation Units 1 and 2 are needed for transmission reliability. In October 2023, for economic reasons, the Company provided a notice to PJM that it intends to deactivate H.A. Wagner on June 1, 2025. In January 2024, PJM notified H.A Wagner that its generation Units 3 and 4 are needed for transmission reliability.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generation facility has filed a cost-of-servicer rate schedule at FERC, which was accepted in June 2024, subject to refund. Additionally, an administrative settlement judge was appointed in June 2024 and settlement proceedings have commenced. No assurance can be provided as to when, if at all, a final rate schedule will be approved by FERC or how the rate schedule and resulting revenues may be modified in the course of settlement judge procedures, or, should they be necessary, in the course of any subsequent evidential hearing. See Note 8 in Notes to the Interim Financial Statements for additional information on the reliability assessments and additional information on the Brandon Shores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Commodity Markets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average on-peak power prices and natural gas prices for the PJM market for the three months ended June 30, 2024 (Successor) and 2023 (Predecessor). During the second quarter of 2024, natural gas prices for Texas Eastern M-3 settled below its ten-year average resulting from storage levels above the five-year range and ample supply. In PJM, higher than normal temperatures during the quarter contributed to increased power load resulting in higher settled on-peak power prices compared to the same period in the prior year. </w:t>
      </w:r>
    </w:p>
    <w:p>
      <w:pPr>
        <w:pStyle w:val="TextBody"/>
        <w:bidi w:val="0"/>
        <w:spacing w:lineRule="auto" w:line="288" w:before="0" w:after="180"/>
        <w:jc w:val="left"/>
        <w:rPr/>
      </w:pPr>
      <w:r>
        <w:rPr>
          <w:rFonts w:ascii="Times New Roman;sans-serif" w:hAnsi="Times New Roman;sans-serif"/>
          <w:b w:val="false"/>
          <w:i/>
          <w:color w:val="000000"/>
          <w:sz w:val="20"/>
        </w:rPr>
        <w:t>PJM.</w:t>
      </w:r>
      <w:r>
        <w:rPr>
          <w:color w:val="000000"/>
        </w:rPr>
        <w:t xml:space="preserve"> </w:t>
      </w:r>
      <w:r>
        <w:rPr>
          <w:rFonts w:ascii="Times New Roman;sans-serif" w:hAnsi="Times New Roman;sans-serif"/>
          <w:b w:val="false"/>
          <w:color w:val="000000"/>
          <w:sz w:val="20"/>
        </w:rPr>
        <w:t xml:space="preserve">The average settled market prices for the three months ended June 30 were: </w:t>
      </w:r>
    </w:p>
    <w:tbl>
      <w:tblPr>
        <w:tblW w:w="6002" w:type="dxa"/>
        <w:jc w:val="left"/>
        <w:tblInd w:w="0" w:type="dxa"/>
        <w:tblLayout w:type="fixed"/>
        <w:tblCellMar>
          <w:top w:w="28" w:type="dxa"/>
          <w:left w:w="28" w:type="dxa"/>
          <w:bottom w:w="28" w:type="dxa"/>
          <w:right w:w="28" w:type="dxa"/>
        </w:tblCellMar>
      </w:tblPr>
      <w:tblGrid>
        <w:gridCol w:w="1282"/>
        <w:gridCol w:w="1125"/>
        <w:gridCol w:w="1133"/>
        <w:gridCol w:w="211"/>
        <w:gridCol w:w="616"/>
        <w:gridCol w:w="109"/>
        <w:gridCol w:w="109"/>
        <w:gridCol w:w="109"/>
        <w:gridCol w:w="109"/>
        <w:gridCol w:w="211"/>
        <w:gridCol w:w="616"/>
        <w:gridCol w:w="109"/>
        <w:gridCol w:w="109"/>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PJM West Hub Day Ahead Peak - $/MWh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PJM PPL Zone Day Ahead Peak - $/MWh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PJM BGE Zone Day Ahead Peak - $/MWh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Eastern M-3 - $/MMBtu</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PJM West Hub Day Ahead Peak 2024 quarter average settled prices increased approximately 6% compared to the prior year.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forward market prices for the periods from July 1 through December 31 as of June 30:</w:t>
      </w:r>
    </w:p>
    <w:tbl>
      <w:tblPr>
        <w:tblW w:w="5378" w:type="dxa"/>
        <w:jc w:val="left"/>
        <w:tblInd w:w="0" w:type="dxa"/>
        <w:tblLayout w:type="fixed"/>
        <w:tblCellMar>
          <w:top w:w="28" w:type="dxa"/>
          <w:left w:w="28" w:type="dxa"/>
          <w:bottom w:w="28" w:type="dxa"/>
          <w:right w:w="28" w:type="dxa"/>
        </w:tblCellMar>
      </w:tblPr>
      <w:tblGrid>
        <w:gridCol w:w="1135"/>
        <w:gridCol w:w="996"/>
        <w:gridCol w:w="1003"/>
        <w:gridCol w:w="211"/>
        <w:gridCol w:w="616"/>
        <w:gridCol w:w="109"/>
        <w:gridCol w:w="109"/>
        <w:gridCol w:w="109"/>
        <w:gridCol w:w="109"/>
        <w:gridCol w:w="211"/>
        <w:gridCol w:w="61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PJM West Hub ATC - $/MWh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Eastern M-3 - $/MMBtu</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PJM West Hub ATC Spark Spreads </w:t>
            </w:r>
            <w:r>
              <w:rPr>
                <w:rFonts w:ascii="Times New Roman;sans-serif" w:hAnsi="Times New Roman;sans-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(a)Spark spreads are computed based on day-ahead West Hub ATC prices, TETCO M-3 gas prices, and a heat rate of 7 MMBtu/MWh.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Capacity Markets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reserve margin targets and adjustments to PJM MSOC as determined by the PJM IMM.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i/>
          <w:color w:val="000000"/>
          <w:sz w:val="20"/>
        </w:rPr>
        <w:t>PJM Capacity Auctions.</w:t>
      </w:r>
      <w:r>
        <w:rPr>
          <w:color w:val="000000"/>
        </w:rPr>
        <w:t xml:space="preserve"> </w:t>
      </w:r>
      <w:r>
        <w:rPr>
          <w:rFonts w:ascii="Times New Roman;sans-serif" w:hAnsi="Times New Roman;sans-serif"/>
          <w:b w:val="false"/>
          <w:color w:val="000000"/>
          <w:sz w:val="20"/>
        </w:rPr>
        <w:t>Under the RPM, PJM conducts a series of capacity auctions. Most capacity is procured in the auctions conducted each May for the delivery of generation capacity for the PJM Capacity Year, which is three years from the date of the auction. Capacity auctions have recently been delayed, resulting in the auctions being held with less than 3 years between the auctions and the PJM Capacity Year, with the most recent auction held in July 2024. The capacity market construct provides generation owners the opportunity for some revenue visibility on a multiyear basis. The results of each of these auctions impacts Talen's capacity revenues in the specific PJM Capacity Year.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“Capacity Prices” below for additional information on capacity prices and see Note 10 in Notes to the Interim Financial Statements for additional information on the PJM RPM and other PJM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i/>
          <w:color w:val="000000"/>
          <w:sz w:val="20"/>
        </w:rPr>
        <w:t xml:space="preserve">Capacity Prices. </w:t>
      </w:r>
      <w:r>
        <w:rPr>
          <w:rFonts w:ascii="Times New Roman;sans-serif" w:hAnsi="Times New Roman;sans-serif"/>
          <w:b w:val="false"/>
          <w:color w:val="000000"/>
          <w:sz w:val="20"/>
        </w:rPr>
        <w:t>The following table displays the PJM Base Residual Auction’s cleared capacity prices for the markets and zones in which we primarily operate:</w:t>
      </w:r>
    </w:p>
    <w:tbl>
      <w:tblPr>
        <w:tblW w:w="8647" w:type="dxa"/>
        <w:jc w:val="left"/>
        <w:tblInd w:w="0" w:type="dxa"/>
        <w:tblLayout w:type="fixed"/>
        <w:tblCellMar>
          <w:top w:w="28" w:type="dxa"/>
          <w:left w:w="28" w:type="dxa"/>
          <w:bottom w:w="28" w:type="dxa"/>
          <w:right w:w="28" w:type="dxa"/>
        </w:tblCellMar>
      </w:tblPr>
      <w:tblGrid>
        <w:gridCol w:w="1288"/>
        <w:gridCol w:w="1130"/>
        <w:gridCol w:w="1136"/>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2025/2026 </w:t>
            </w:r>
            <w:r>
              <w:rPr>
                <w:rFonts w:ascii="Times New Roman;sans-serif" w:hAnsi="Times New Roman;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PJM Capacity Performance ($/MW-day) </w:t>
            </w:r>
            <w:r>
              <w:rPr>
                <w:rFonts w:ascii="Times New Roman;sans-serif" w:hAnsi="Times New Roman;sans-serif"/>
                <w:b w:val="false"/>
                <w:color w:val="000000"/>
                <w:sz w:val="13"/>
              </w:rPr>
              <w: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MAAC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(a)Displayed prices are from the applicable market publications.</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(b)2025/2026 prices were released on July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Nuclear Production Tax Credit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was signed into law in August 2022. Among the Act’s provisions are amendments to the Internal Revenue Code of 1986 to create a Nuclear PTC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Nuclear PTC program provides qualified nuclear power generation facilities with a $3 per MWh transferable credit for electricity produced and sold to an unrelated party during each tax year. Electricity produced and sold by Susquehanna after December 31, 2023 through December 31, 2032 will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approximately 18 million MWh in each of the calendar years 2023, 2022 and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would be:</w:t>
      </w:r>
    </w:p>
    <w:tbl>
      <w:tblPr>
        <w:tblW w:w="9462" w:type="dxa"/>
        <w:jc w:val="left"/>
        <w:tblInd w:w="0" w:type="dxa"/>
        <w:tblLayout w:type="fixed"/>
        <w:tblCellMar>
          <w:top w:w="28" w:type="dxa"/>
          <w:left w:w="28" w:type="dxa"/>
          <w:bottom w:w="28" w:type="dxa"/>
          <w:right w:w="28" w:type="dxa"/>
        </w:tblCellMar>
      </w:tblPr>
      <w:tblGrid>
        <w:gridCol w:w="826"/>
        <w:gridCol w:w="723"/>
        <w:gridCol w:w="731"/>
        <w:gridCol w:w="109"/>
        <w:gridCol w:w="109"/>
        <w:gridCol w:w="109"/>
        <w:gridCol w:w="2000"/>
        <w:gridCol w:w="2000"/>
        <w:gridCol w:w="2855"/>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Gross Receipts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Amount</w:t>
            </w:r>
          </w:p>
        </w:tc>
      </w:tr>
      <w:tr>
        <w:trPr/>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per MWh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per MWh</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$25 per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Ratably reduced until gross receipts equal $43.75 per MWh, $0 after that threshold</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Act’s provisions are subject to implementation regulations, whose terms are not yet known. No assurance can be provided as to the magnitude of the benefit to Susquehanna as the Inflation Reduction Act’s provisions, including the computations of the Nuclear PTC, are subject to implementation regulations. As such, Talen cannot fully predict the realization of any minimum price for Susquehanna’s generation and (or) impacts to Talen’s liquidity or results of operations. See Note 4 in Notes to the Interim Financial Statements for additional information on Nuclear PTC revenue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Seasonality/Scheduled Maintenance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on a seasonal basis, with peak power generation during the winter in the Mid-Atlantic region.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recurring maintenance project is the annual spring refueling outage at Susquehanna. The outages normally occur during late March and into April each year. Susquehanna Unit 1 entered its spring refueling outage on March 25, 2024 and successfully completed the outage on April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the Interim Financial Statements, the Annual Financial Statements, and their respective notes. Our financial results for the three months ended June 30, 2024, the six months ended June 30, 2024, and for the period May 18 through June 30, 2023 are referred to as the “Successor” periods. Our financial results for the period April 1 through May 17, 2023 and for the period from January 1 through May 17, 2023 are referred to as the “Predecessor” periods. The operating results for the three and six months ended June 30, 2024 cannot be adequately compared with any of the previous periods reported in the Interim Financial Statements or Annual Financial Statements. Our results of operations as reported in the Interim Financial Statements are prepared in accordance with GAAP.</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explanations below,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Bitcoin revenue and Nuclear PTC revenue. “Fuel and energy purchases” includes costs for fuel to generate electricity and settlements of financial and physical transactions related to fuel and energy purchases.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unrealized gains (losses) on derivatives instruments resulting from changes in fair value during the period and are presented separately as revenues within “Operating Revenues” and expenses within “Total Energy Expenses” in the Interim Financial Statements. We evaluate them collectively because they represent the changes in fair value of Talen’s economic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Results for the Three Months Ended June 30, 2024 (Successor), May 18 through June 30, 2023 (Successor), and January 1 through May 17, 2023 (Predecessor)</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and subsequent sections display the results of operations for the Successor and Predecessor periods: </w:t>
      </w:r>
    </w:p>
    <w:tbl>
      <w:tblPr>
        <w:tblW w:w="10205" w:type="dxa"/>
        <w:jc w:val="left"/>
        <w:tblInd w:w="0" w:type="dxa"/>
        <w:tblLayout w:type="fixed"/>
        <w:tblCellMar>
          <w:top w:w="28" w:type="dxa"/>
          <w:left w:w="28" w:type="dxa"/>
          <w:bottom w:w="28" w:type="dxa"/>
          <w:right w:w="28" w:type="dxa"/>
        </w:tblCellMar>
      </w:tblPr>
      <w:tblGrid>
        <w:gridCol w:w="1554"/>
        <w:gridCol w:w="1068"/>
        <w:gridCol w:w="1073"/>
        <w:gridCol w:w="425"/>
        <w:gridCol w:w="947"/>
        <w:gridCol w:w="236"/>
        <w:gridCol w:w="109"/>
        <w:gridCol w:w="109"/>
        <w:gridCol w:w="109"/>
        <w:gridCol w:w="433"/>
        <w:gridCol w:w="765"/>
        <w:gridCol w:w="241"/>
        <w:gridCol w:w="109"/>
        <w:gridCol w:w="109"/>
        <w:gridCol w:w="109"/>
        <w:gridCol w:w="109"/>
        <w:gridCol w:w="109"/>
        <w:gridCol w:w="109"/>
        <w:gridCol w:w="412"/>
        <w:gridCol w:w="918"/>
        <w:gridCol w:w="230"/>
        <w:gridCol w:w="109"/>
        <w:gridCol w:w="109"/>
        <w:gridCol w:w="109"/>
        <w:gridCol w:w="109"/>
        <w:gridCol w:w="109"/>
        <w:gridCol w:w="109"/>
        <w:gridCol w:w="109"/>
        <w:gridCol w:w="159"/>
      </w:tblGrid>
      <w:tr>
        <w:trPr/>
        <w:tc>
          <w:tcPr>
            <w:tcW w:w="155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7"/>
            <w:tcBorders/>
          </w:tcPr>
          <w:p>
            <w:pPr>
              <w:pStyle w:val="TableContents"/>
              <w:bidi w:val="0"/>
              <w:spacing w:before="0" w:after="283"/>
              <w:jc w:val="left"/>
              <w:rPr>
                <w:sz w:val="4"/>
                <w:szCs w:val="4"/>
              </w:rPr>
            </w:pPr>
            <w:r>
              <w:rPr>
                <w:sz w:val="4"/>
                <w:szCs w:val="4"/>
              </w:rPr>
            </w:r>
          </w:p>
        </w:tc>
      </w:tr>
      <w:tr>
        <w:trPr/>
        <w:tc>
          <w:tcPr>
            <w:tcW w:w="3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(Millions of Dollars, except share data)</w:t>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Capacity revenues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and other revenues</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Revenues</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489</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and energy purchases</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fuel amortization</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Energy Expenses</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(176)</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(87)</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maintenance and development</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Operational restructuring</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income (expense), net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funds gain (loss), net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Reorganization income (expense), net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assets, net</w:t>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non-operating income (expense), net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570</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617</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w:t>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3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Stockholders (Successor) / Member (Predecessor)</w:t>
            </w:r>
          </w:p>
        </w:tc>
        <w:tc>
          <w:tcPr>
            <w:tcW w:w="4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454</w:t>
            </w:r>
            <w:r>
              <w:rPr>
                <w:color w:val="000000"/>
              </w:rPr>
              <w:t>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431</w:t>
            </w:r>
            <w:r>
              <w:rPr>
                <w:color w:val="000000"/>
              </w:rPr>
              <w:t> </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5"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Successor Period — Three Months Ended June 30, 2024</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Stockholders totaled $454 million for the three months ended June 30, 2024 (Successor). Results were driven by: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Capacity Revenues</w:t>
      </w:r>
      <w:r>
        <w:rPr>
          <w:color w:val="000000"/>
        </w:rPr>
        <w:t xml:space="preserve"> </w:t>
      </w:r>
      <w:r>
        <w:rPr>
          <w:rFonts w:ascii="Times New Roman;sans-serif" w:hAnsi="Times New Roman;sans-serif"/>
          <w:b w:val="false"/>
          <w:color w:val="000000"/>
          <w:sz w:val="20"/>
        </w:rPr>
        <w:t>totaled $46 million. This primarily included earned capacity awards based on resource clearing prices received from the PJM Base Residual Auction for the 2024/2025 and 2023/2024 delivery periods.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Energy and Other Revenues, net of Fuel and Energy Purchases</w:t>
      </w:r>
      <w:r>
        <w:rPr>
          <w:color w:val="000000"/>
        </w:rPr>
        <w:t xml:space="preserve"> </w:t>
      </w:r>
      <w:r>
        <w:rPr>
          <w:rFonts w:ascii="Times New Roman;sans-serif" w:hAnsi="Times New Roman;sans-serif"/>
          <w:b w:val="false"/>
          <w:color w:val="000000"/>
          <w:sz w:val="20"/>
        </w:rPr>
        <w:t xml:space="preserve">totaled $204 million. This primarily consisted of: (i) $271 million in third-party wholesale electricity sales and ancillary revenues; (ii) $72 million in other revenue primarily related to Nautilus operations and Nuclear PTC; and (iii) $17 million in net realized gains from hedging activities. Such amounts were partially offset by $(155) million in fuel and purchased power costs.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Unrealized Gain (Loss) on Derivative Instruments</w:t>
      </w:r>
      <w:r>
        <w:rPr>
          <w:color w:val="000000"/>
        </w:rPr>
        <w:t xml:space="preserve"> </w:t>
      </w:r>
      <w:r>
        <w:rPr>
          <w:rFonts w:ascii="Times New Roman;sans-serif" w:hAnsi="Times New Roman;sans-serif"/>
          <w:b w:val="false"/>
          <w:color w:val="000000"/>
          <w:sz w:val="20"/>
        </w:rPr>
        <w:t>totaled $91 million gain, net. This consisted of: (i) unrealized gains incurred as a result of decreases in forward power prices; and (ii) unrealized gains from the reversal of positions previously recognized as mark-to-market liabilities which settled during the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Fuel Amortization</w:t>
      </w:r>
      <w:r>
        <w:rPr>
          <w:color w:val="000000"/>
        </w:rPr>
        <w:t xml:space="preserve"> </w:t>
      </w:r>
      <w:r>
        <w:rPr>
          <w:rFonts w:ascii="Times New Roman;sans-serif" w:hAnsi="Times New Roman;sans-serif"/>
          <w:b w:val="false"/>
          <w:color w:val="000000"/>
          <w:sz w:val="20"/>
        </w:rPr>
        <w:t>totaled $(28) million. This consisted of the periodic expense of nuclear fuel costs capitalized as property, plant and equipment. Activity also included $8 million of amortization on certain nuclear fuel contracts that were recognized at fair value at Emergence.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Operation, Maintenance, and Development</w:t>
      </w:r>
      <w:r>
        <w:rPr>
          <w:color w:val="000000"/>
        </w:rPr>
        <w:t xml:space="preserve"> </w:t>
      </w:r>
      <w:r>
        <w:rPr>
          <w:rFonts w:ascii="Times New Roman;sans-serif" w:hAnsi="Times New Roman;sans-serif"/>
          <w:b w:val="false"/>
          <w:color w:val="000000"/>
          <w:sz w:val="20"/>
        </w:rPr>
        <w:t>totaled $(164) million. This consisted of generation facility operating costs, including wages and benefits for employees, the costs of removal, repairs and maintenance that are not capitalized, contractor costs, and certain materials and supplies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Depreciation, Amortization and Accretion</w:t>
      </w:r>
      <w:r>
        <w:rPr>
          <w:color w:val="000000"/>
        </w:rPr>
        <w:t xml:space="preserve"> </w:t>
      </w:r>
      <w:r>
        <w:rPr>
          <w:rFonts w:ascii="Times New Roman;sans-serif" w:hAnsi="Times New Roman;sans-serif"/>
          <w:b w:val="false"/>
          <w:color w:val="000000"/>
          <w:sz w:val="20"/>
        </w:rPr>
        <w:t>totaled $(75) million. This consisted of the periodic expense of long-lived property, plant and equipment and ARO accretion.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Decommissioning Trust Funds Gain (Loss)</w:t>
      </w:r>
      <w:r>
        <w:rPr>
          <w:rFonts w:ascii="Times New Roman;sans-serif" w:hAnsi="Times New Roman;sans-serif"/>
          <w:b w:val="false"/>
          <w:color w:val="000000"/>
          <w:sz w:val="20"/>
        </w:rPr>
        <w:t xml:space="preserve">, net, totaled $27 million. This consisted of realized gains and losses on debt and equity securities, unrealized gains on equity securities, dividends, and interest income on investments in the NDT. See Notes 7 and 12 in Notes to the Interim Financial Statements for additional information.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Interest Expense and Other Finance Charges</w:t>
      </w:r>
      <w:r>
        <w:rPr>
          <w:color w:val="000000"/>
        </w:rPr>
        <w:t xml:space="preserve"> </w:t>
      </w:r>
      <w:r>
        <w:rPr>
          <w:rFonts w:ascii="Times New Roman;sans-serif" w:hAnsi="Times New Roman;sans-serif"/>
          <w:b w:val="false"/>
          <w:color w:val="000000"/>
          <w:sz w:val="20"/>
        </w:rPr>
        <w:t>totaled $(62) million. This primarily consisted of interest expense incurred on the Secured Notes and Term Loans.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Gain (loss) on Sale of Assets, net</w:t>
      </w:r>
      <w:r>
        <w:rPr>
          <w:color w:val="000000"/>
        </w:rPr>
        <w:t xml:space="preserve"> </w:t>
      </w:r>
      <w:r>
        <w:rPr>
          <w:rFonts w:ascii="Times New Roman;sans-serif" w:hAnsi="Times New Roman;sans-serif"/>
          <w:b w:val="false"/>
          <w:color w:val="000000"/>
          <w:sz w:val="20"/>
        </w:rPr>
        <w:t>totaled $561 million This is primarily related to the ERCOT Sale that closed in May 2024. See Note 17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Other Non-operating Income (Expense)</w:t>
      </w:r>
      <w:r>
        <w:rPr>
          <w:rFonts w:ascii="Times New Roman;sans-serif" w:hAnsi="Times New Roman;sans-serif"/>
          <w:b w:val="false"/>
          <w:color w:val="000000"/>
          <w:sz w:val="20"/>
        </w:rPr>
        <w:t>, net totaled $17 million. This is primarily related to interest income.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Income Tax Benefit (Expense)</w:t>
      </w:r>
      <w:r>
        <w:rPr>
          <w:color w:val="000000"/>
        </w:rPr>
        <w:t xml:space="preserve"> </w:t>
      </w:r>
      <w:r>
        <w:rPr>
          <w:rFonts w:ascii="Times New Roman;sans-serif" w:hAnsi="Times New Roman;sans-serif"/>
          <w:b w:val="false"/>
          <w:color w:val="000000"/>
          <w:sz w:val="20"/>
        </w:rPr>
        <w:t>totaled $(112) million. This primarily consisted of federal and state income taxes, effects of permanent nondeductible items, trust tax on the nuclear decommissioning trust income, and changes in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Successor Period — May 18 through June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“Successor Period - May 18 through June 30, 2023” within “Results for the Six Months Ended June 30, 2024 (Successor)” below for a discussion of the results of operations for the above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Predecessor Period — April 1 through May 17,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Member totaled $431 million for the period April 1 through May 17, 2023. Results were driven by: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Capacity Revenues</w:t>
      </w:r>
      <w:r>
        <w:rPr>
          <w:color w:val="000000"/>
        </w:rPr>
        <w:t xml:space="preserve"> </w:t>
      </w:r>
      <w:r>
        <w:rPr>
          <w:rFonts w:ascii="Times New Roman;sans-serif" w:hAnsi="Times New Roman;sans-serif"/>
          <w:b w:val="false"/>
          <w:color w:val="000000"/>
          <w:sz w:val="20"/>
        </w:rPr>
        <w:t>totaled $42 million for the period and were primarily based on resource clearing prices received from the PJM Base Residual Auction for the 2022/2023 delivery period.</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Energy and Other Revenues, net of Fuel and Energy Purchases, </w:t>
      </w:r>
      <w:r>
        <w:rPr>
          <w:rFonts w:ascii="Times New Roman;sans-serif" w:hAnsi="Times New Roman;sans-serif"/>
          <w:b w:val="false"/>
          <w:color w:val="000000"/>
          <w:sz w:val="20"/>
        </w:rPr>
        <w:t>totaled $111 million. This consisted of: (i) $98 million in third-party wholesale electricity sales and ancillary revenues; (ii) $52 million in net realized gains from hedging activities; and (iii) $18 million in other revenue primarily related to Nautilus operations. Such amounts were partially offset by $(57) million in fuel and purchased power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Unrealized Gain (Loss) on Derivative Instruments</w:t>
      </w:r>
      <w:r>
        <w:rPr>
          <w:color w:val="000000"/>
        </w:rPr>
        <w:t xml:space="preserve"> </w:t>
      </w:r>
      <w:r>
        <w:rPr>
          <w:rFonts w:ascii="Times New Roman;sans-serif" w:hAnsi="Times New Roman;sans-serif"/>
          <w:b w:val="false"/>
          <w:color w:val="000000"/>
          <w:sz w:val="20"/>
        </w:rPr>
        <w:t>totaled $(94) million. This consisted of: (i) unrealized losses incurred as a result of increases in forward power prices; coupled with (ii) unrealized losses from the reversal of positions previously recognized as mark-to-market assets which settled during the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Fuel Amortization</w:t>
      </w:r>
      <w:r>
        <w:rPr>
          <w:color w:val="000000"/>
        </w:rPr>
        <w:t xml:space="preserve"> </w:t>
      </w:r>
      <w:r>
        <w:rPr>
          <w:rFonts w:ascii="Times New Roman;sans-serif" w:hAnsi="Times New Roman;sans-serif"/>
          <w:b w:val="false"/>
          <w:color w:val="000000"/>
          <w:sz w:val="20"/>
        </w:rPr>
        <w:t>totaled $(9) million. This consisted of the periodic expense of nuclear fuel costs capitalized as property, plant and equipment.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Operation, Maintenance, and Development</w:t>
      </w:r>
      <w:r>
        <w:rPr>
          <w:color w:val="000000"/>
        </w:rPr>
        <w:t xml:space="preserve"> </w:t>
      </w:r>
      <w:r>
        <w:rPr>
          <w:rFonts w:ascii="Times New Roman;sans-serif" w:hAnsi="Times New Roman;sans-serif"/>
          <w:b w:val="false"/>
          <w:color w:val="000000"/>
          <w:sz w:val="20"/>
        </w:rPr>
        <w:t>totaled $(108) million. This consisted of generation facility operating costs, including wages and benefits for employees, the costs of removal, repairs and maintenance that are not capitalized, contractor costs, and certain materials and supplies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Depreciation, Amortization and Accretion</w:t>
      </w:r>
      <w:r>
        <w:rPr>
          <w:color w:val="000000"/>
        </w:rPr>
        <w:t xml:space="preserve"> </w:t>
      </w:r>
      <w:r>
        <w:rPr>
          <w:rFonts w:ascii="Times New Roman;sans-serif" w:hAnsi="Times New Roman;sans-serif"/>
          <w:b w:val="false"/>
          <w:color w:val="000000"/>
          <w:sz w:val="20"/>
        </w:rPr>
        <w:t>totaled $(68) million. This consisted of the periodic expense of long-lived property, plant and equipment, and ARO accretion.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Decommissioning Trust Funds Gain (Loss), net,</w:t>
      </w:r>
      <w:r>
        <w:rPr>
          <w:color w:val="000000"/>
        </w:rPr>
        <w:t xml:space="preserve"> </w:t>
      </w:r>
      <w:r>
        <w:rPr>
          <w:rFonts w:ascii="Times New Roman;sans-serif" w:hAnsi="Times New Roman;sans-serif"/>
          <w:b w:val="false"/>
          <w:color w:val="000000"/>
          <w:sz w:val="20"/>
        </w:rPr>
        <w:t>totaled $11 million. This consisted of realized gains on debt and equity securities, unrealized losses on equity securities, dividends, and interest income on investments in the NDT. See Notes 7 and 12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Other Operating Income (Expense), net,</w:t>
      </w:r>
      <w:r>
        <w:rPr>
          <w:color w:val="000000"/>
        </w:rPr>
        <w:t xml:space="preserve"> </w:t>
      </w:r>
      <w:r>
        <w:rPr>
          <w:rFonts w:ascii="Times New Roman;sans-serif" w:hAnsi="Times New Roman;sans-serif"/>
          <w:b w:val="false"/>
          <w:color w:val="000000"/>
          <w:sz w:val="20"/>
        </w:rPr>
        <w:t>totaled $(28) million, primarily due to fuel inventory net realizable value adjustment expense. See Note 6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Reorganization Income (Expense), net,</w:t>
      </w:r>
      <w:r>
        <w:rPr>
          <w:color w:val="000000"/>
        </w:rPr>
        <w:t xml:space="preserve"> </w:t>
      </w:r>
      <w:r>
        <w:rPr>
          <w:rFonts w:ascii="Times New Roman;sans-serif" w:hAnsi="Times New Roman;sans-serif"/>
          <w:b w:val="false"/>
          <w:color w:val="000000"/>
          <w:sz w:val="20"/>
        </w:rPr>
        <w:t>totaled $838 million for the period, primarily due to the $1,459 million gain on debt discharge recognized upon Emergence, partially offset by a $460 million loss on revaluation adjustments. See Note 2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Interest Expense and Other Finance Charges</w:t>
      </w:r>
      <w:r>
        <w:rPr>
          <w:color w:val="000000"/>
        </w:rPr>
        <w:t xml:space="preserve"> </w:t>
      </w:r>
      <w:r>
        <w:rPr>
          <w:rFonts w:ascii="Times New Roman;sans-serif" w:hAnsi="Times New Roman;sans-serif"/>
          <w:b w:val="false"/>
          <w:color w:val="000000"/>
          <w:sz w:val="20"/>
        </w:rPr>
        <w:t>totaled $(59) million. This primarily consisted of interest expense incurred on prepetition debt and certain LC fees.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Gain (loss) on Sale of Assets, net, </w:t>
      </w:r>
      <w:r>
        <w:rPr>
          <w:rFonts w:ascii="Times New Roman;sans-serif" w:hAnsi="Times New Roman;sans-serif"/>
          <w:b w:val="false"/>
          <w:color w:val="000000"/>
          <w:sz w:val="20"/>
        </w:rPr>
        <w:t>totaled $15 million. This is primarily due to non-recurring sales during the period. See Note 17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Income Tax Benefit (Expense)</w:t>
      </w:r>
      <w:r>
        <w:rPr>
          <w:color w:val="000000"/>
        </w:rPr>
        <w:t xml:space="preserve"> </w:t>
      </w:r>
      <w:r>
        <w:rPr>
          <w:rFonts w:ascii="Times New Roman;sans-serif" w:hAnsi="Times New Roman;sans-serif"/>
          <w:b w:val="false"/>
          <w:color w:val="000000"/>
          <w:sz w:val="20"/>
        </w:rPr>
        <w:t>totaled $(198) million. This primarily consisted of federal and state income taxes, changes in the valuation allowance, and reorganization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Results for the Six Months Ended June 30, 2024 (Successor), May 18 through June 30, 2023 (Successor), and January 1 through May 17, 2023 (Predecessor)</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and subsequent sections display the results of operations for the Successor and Predecessor periods:</w:t>
      </w:r>
    </w:p>
    <w:tbl>
      <w:tblPr>
        <w:tblW w:w="10205" w:type="dxa"/>
        <w:jc w:val="left"/>
        <w:tblInd w:w="0" w:type="dxa"/>
        <w:tblLayout w:type="fixed"/>
        <w:tblCellMar>
          <w:top w:w="28" w:type="dxa"/>
          <w:left w:w="28" w:type="dxa"/>
          <w:bottom w:w="28" w:type="dxa"/>
          <w:right w:w="28" w:type="dxa"/>
        </w:tblCellMar>
      </w:tblPr>
      <w:tblGrid>
        <w:gridCol w:w="1446"/>
        <w:gridCol w:w="934"/>
        <w:gridCol w:w="939"/>
        <w:gridCol w:w="109"/>
        <w:gridCol w:w="109"/>
        <w:gridCol w:w="109"/>
        <w:gridCol w:w="109"/>
        <w:gridCol w:w="109"/>
        <w:gridCol w:w="109"/>
        <w:gridCol w:w="109"/>
        <w:gridCol w:w="109"/>
        <w:gridCol w:w="369"/>
        <w:gridCol w:w="821"/>
        <w:gridCol w:w="205"/>
        <w:gridCol w:w="109"/>
        <w:gridCol w:w="109"/>
        <w:gridCol w:w="109"/>
        <w:gridCol w:w="397"/>
        <w:gridCol w:w="701"/>
        <w:gridCol w:w="221"/>
        <w:gridCol w:w="320"/>
        <w:gridCol w:w="320"/>
        <w:gridCol w:w="321"/>
        <w:gridCol w:w="109"/>
        <w:gridCol w:w="109"/>
        <w:gridCol w:w="109"/>
        <w:gridCol w:w="375"/>
        <w:gridCol w:w="835"/>
        <w:gridCol w:w="208"/>
        <w:gridCol w:w="109"/>
        <w:gridCol w:w="158"/>
      </w:tblGrid>
      <w:tr>
        <w:trPr/>
        <w:tc>
          <w:tcPr>
            <w:tcW w:w="14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4619" w:type="dxa"/>
            <w:gridSpan w:val="17"/>
            <w:tcBorders/>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5"/>
            <w:tcBorders/>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(Millions of Dollars,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Capacity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998</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w:t>
            </w: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1,210</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and energy 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fuel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Energy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(388)</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(128)</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maintenance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Operational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w:t>
            </w: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(76)</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funds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Reorganization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non-operating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958</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w:t>
            </w: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677</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777</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465</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276B"/>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Stockholders (Successor) / Member (Predecessor)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748</w:t>
            </w: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w:t>
            </w:r>
            <w:r>
              <w:rPr>
                <w:color w:val="000000"/>
              </w:rPr>
              <w:t> </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276B"/>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w:t>
            </w:r>
            <w:r>
              <w:rPr>
                <w:color w:val="000000"/>
              </w:rPr>
              <w:t> </w:t>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Successor Period — Six Months Ended June 30, 2024</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Stockholders totaled $748 million for the six months ended June 30, 2024. Results were driven by: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Capacity Revenues</w:t>
      </w:r>
      <w:r>
        <w:rPr>
          <w:color w:val="000000"/>
        </w:rPr>
        <w:t xml:space="preserve"> </w:t>
      </w:r>
      <w:r>
        <w:rPr>
          <w:rFonts w:ascii="Times New Roman;sans-serif" w:hAnsi="Times New Roman;sans-serif"/>
          <w:b w:val="false"/>
          <w:color w:val="000000"/>
          <w:sz w:val="20"/>
        </w:rPr>
        <w:t>totaled $91 million. This primarily included earned capacity awards based on resource clearing prices received from the PJM Base Residual Auction for the 2023/2024 and 2024/2025 delivery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Energy and Other Revenues, net of Fuel and Energy Purchases,</w:t>
      </w:r>
      <w:r>
        <w:rPr>
          <w:color w:val="000000"/>
        </w:rPr>
        <w:t xml:space="preserve"> </w:t>
      </w:r>
      <w:r>
        <w:rPr>
          <w:rFonts w:ascii="Times New Roman;sans-serif" w:hAnsi="Times New Roman;sans-serif"/>
          <w:b w:val="false"/>
          <w:color w:val="000000"/>
          <w:sz w:val="20"/>
        </w:rPr>
        <w:t>totaled $626 million. This consisted of: (i) $600 million in third-party wholesale electricity sales and ancillary revenues; (ii) $150 million in other revenue primarily related to Nautilus operations and Nuclear PTC; and (iii) $182 million in net realized gains from hedging activities. Such amounts were partially offset by $(306) million in fuel and purchased power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Unrealized Gain (Loss) on Derivative Instruments</w:t>
      </w:r>
      <w:r>
        <w:rPr>
          <w:color w:val="000000"/>
        </w:rPr>
        <w:t xml:space="preserve"> </w:t>
      </w:r>
      <w:r>
        <w:rPr>
          <w:rFonts w:ascii="Times New Roman;sans-serif" w:hAnsi="Times New Roman;sans-serif"/>
          <w:b w:val="false"/>
          <w:color w:val="000000"/>
          <w:sz w:val="20"/>
        </w:rPr>
        <w:t>totaled $(44) million loss, net. This consisted of: (i) unrealized losses from the reversal of positions previously recognized as mark-to-market assets which settled during the period; partially offset by (ii)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Fuel Amortization</w:t>
      </w:r>
      <w:r>
        <w:rPr>
          <w:color w:val="000000"/>
        </w:rPr>
        <w:t xml:space="preserve"> </w:t>
      </w:r>
      <w:r>
        <w:rPr>
          <w:rFonts w:ascii="Times New Roman;sans-serif" w:hAnsi="Times New Roman;sans-serif"/>
          <w:b w:val="false"/>
          <w:color w:val="000000"/>
          <w:sz w:val="20"/>
        </w:rPr>
        <w:t>totaled $(63) million. This consisted of the periodic expense of nuclear fuel costs capitalized as property, plant and equipment. Activity also included $19 million of amortization on certain nuclear fuel contracts that were recognized at fair value at Emergence.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Operation, Maintenance, and Development</w:t>
      </w:r>
      <w:r>
        <w:rPr>
          <w:color w:val="000000"/>
        </w:rPr>
        <w:t xml:space="preserve"> </w:t>
      </w:r>
      <w:r>
        <w:rPr>
          <w:rFonts w:ascii="Times New Roman;sans-serif" w:hAnsi="Times New Roman;sans-serif"/>
          <w:b w:val="false"/>
          <w:color w:val="000000"/>
          <w:sz w:val="20"/>
        </w:rPr>
        <w:t>totaled $(318) million. This consisted of generation facility operating costs, including wages and benefits for employees,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Depreciation, Amortization and Accretion</w:t>
      </w:r>
      <w:r>
        <w:rPr>
          <w:color w:val="000000"/>
        </w:rPr>
        <w:t xml:space="preserve"> </w:t>
      </w:r>
      <w:r>
        <w:rPr>
          <w:rFonts w:ascii="Times New Roman;sans-serif" w:hAnsi="Times New Roman;sans-serif"/>
          <w:b w:val="false"/>
          <w:color w:val="000000"/>
          <w:sz w:val="20"/>
        </w:rPr>
        <w:t>totaled $(150) million This consisted of the periodic expense of long-lived property, plant and equipment and ARO accretion.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Decommissioning Trust Funds Gain (Loss), net,</w:t>
      </w:r>
      <w:r>
        <w:rPr>
          <w:color w:val="000000"/>
        </w:rPr>
        <w:t xml:space="preserve"> </w:t>
      </w:r>
      <w:r>
        <w:rPr>
          <w:rFonts w:ascii="Times New Roman;sans-serif" w:hAnsi="Times New Roman;sans-serif"/>
          <w:b w:val="false"/>
          <w:color w:val="000000"/>
          <w:sz w:val="20"/>
        </w:rPr>
        <w:t>totaled $102 million. This consisted of realized gains and losses on debt and equity securities, unrealized gains on equity securities, dividends, and interest income on investments in the NDT. See Notes 7 and 12 in Notes to the Interim Financial Statements for additional information.</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i/>
          <w:color w:val="000000"/>
          <w:sz w:val="20"/>
        </w:rPr>
        <w:t>Interest Expense and Other Finance Charges</w:t>
      </w:r>
      <w:r>
        <w:rPr>
          <w:color w:val="000000"/>
        </w:rPr>
        <w:t xml:space="preserve"> </w:t>
      </w:r>
      <w:r>
        <w:rPr>
          <w:rFonts w:ascii="Times New Roman;sans-serif" w:hAnsi="Times New Roman;sans-serif"/>
          <w:b w:val="false"/>
          <w:color w:val="000000"/>
          <w:sz w:val="20"/>
        </w:rPr>
        <w:t>totaled $(121) million. This primarily consisted of interest expense incurred on the Secured Notes and Term Loans.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Gain (Loss) on Sale of Assets, net</w:t>
      </w:r>
      <w:r>
        <w:rPr>
          <w:color w:val="000000"/>
        </w:rPr>
        <w:t xml:space="preserve"> </w:t>
      </w:r>
      <w:r>
        <w:rPr>
          <w:rFonts w:ascii="Times New Roman;sans-serif" w:hAnsi="Times New Roman;sans-serif"/>
          <w:b w:val="false"/>
          <w:color w:val="000000"/>
          <w:sz w:val="20"/>
        </w:rPr>
        <w:t>totaled $885 million. This is primarily comprised of the $563 million gain from the ERCOT Sale that closed in May 2024 and the $324 million gain from the Cumulus Data Campus Sale that closed in March 2024. See Note 17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Other Non-operating Income (Expense)</w:t>
      </w:r>
      <w:r>
        <w:rPr>
          <w:rFonts w:ascii="Times New Roman;sans-serif" w:hAnsi="Times New Roman;sans-serif"/>
          <w:b w:val="false"/>
          <w:color w:val="000000"/>
          <w:sz w:val="20"/>
        </w:rPr>
        <w:t>, net, totaled $40 million. This is primarily due to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333"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Successor Period — May 18 through June 30, 2023</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Stockholders totaled $29 million for the period from May 18 through June 30, 2023. Results were driven by: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Capacity Revenues </w:t>
      </w:r>
      <w:r>
        <w:rPr>
          <w:rFonts w:ascii="Times New Roman;sans-serif" w:hAnsi="Times New Roman;sans-serif"/>
          <w:b w:val="false"/>
          <w:color w:val="000000"/>
          <w:sz w:val="20"/>
        </w:rPr>
        <w:t>totaled $26 million and were primarily based on resource clearing prices received from the PJM Base Residual Auction for the 2023/2024 and 2022/2023 delivery periods.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Energy and Other Revenues, net of Fuel and Energy Purchases, </w:t>
      </w:r>
      <w:r>
        <w:rPr>
          <w:rFonts w:ascii="Times New Roman;sans-serif" w:hAnsi="Times New Roman;sans-serif"/>
          <w:b w:val="false"/>
          <w:color w:val="000000"/>
          <w:sz w:val="20"/>
        </w:rPr>
        <w:t>totaled $131 million. This consisted of: (i) $136 million in third-party wholesale electricity sales and ancillary revenues; (ii) $16 million in net realized gains from hedging activities; and (iii) $15 million in other revenue primarily related to Nautilus operations. Such amounts were partially offset by $(36) million in fuel and purchased power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Unrealized Gain (Loss) on Derivative Instruments</w:t>
      </w:r>
      <w:r>
        <w:rPr>
          <w:color w:val="000000"/>
        </w:rPr>
        <w:t xml:space="preserve"> </w:t>
      </w:r>
      <w:r>
        <w:rPr>
          <w:rFonts w:ascii="Times New Roman;sans-serif" w:hAnsi="Times New Roman;sans-serif"/>
          <w:b w:val="false"/>
          <w:color w:val="000000"/>
          <w:sz w:val="20"/>
        </w:rPr>
        <w:t>totaled $41 million gain, net. This consisted of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Fuel Amortization</w:t>
      </w:r>
      <w:r>
        <w:rPr>
          <w:color w:val="000000"/>
        </w:rPr>
        <w:t xml:space="preserve"> </w:t>
      </w:r>
      <w:r>
        <w:rPr>
          <w:rFonts w:ascii="Times New Roman;sans-serif" w:hAnsi="Times New Roman;sans-serif"/>
          <w:b w:val="false"/>
          <w:color w:val="000000"/>
          <w:sz w:val="20"/>
        </w:rPr>
        <w:t>totaled $(25) million. This consisted of the periodic expense of nuclear fuel costs capitalized as property, plant and equipment. Activity also included $(14) million of amortization on certain nuclear fuel contracts that were recognized at fair value at Emergence.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Operation, Maintenance, and Development</w:t>
      </w:r>
      <w:r>
        <w:rPr>
          <w:color w:val="000000"/>
        </w:rPr>
        <w:t xml:space="preserve"> </w:t>
      </w:r>
      <w:r>
        <w:rPr>
          <w:rFonts w:ascii="Times New Roman;sans-serif" w:hAnsi="Times New Roman;sans-serif"/>
          <w:b w:val="false"/>
          <w:color w:val="000000"/>
          <w:sz w:val="20"/>
        </w:rPr>
        <w:t>totaled $(69) million. This consisted of generation facility operating costs, including wages and benefits for employees, the costs of removal, repairs and maintenance that are not capitalized, contractor costs, and certain materials and supplies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Depreciation, Amortization and Accretion</w:t>
      </w:r>
      <w:r>
        <w:rPr>
          <w:color w:val="000000"/>
        </w:rPr>
        <w:t xml:space="preserve"> </w:t>
      </w:r>
      <w:r>
        <w:rPr>
          <w:rFonts w:ascii="Times New Roman;sans-serif" w:hAnsi="Times New Roman;sans-serif"/>
          <w:b w:val="false"/>
          <w:color w:val="000000"/>
          <w:sz w:val="20"/>
        </w:rPr>
        <w:t>totaled $(28) million. This consisted of the periodic expense of long-lived property, plant and equipment and ARO accretion.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Decommissioning Trust Funds Gain (Loss), net,</w:t>
      </w:r>
      <w:r>
        <w:rPr>
          <w:color w:val="000000"/>
        </w:rPr>
        <w:t xml:space="preserve"> </w:t>
      </w:r>
      <w:r>
        <w:rPr>
          <w:rFonts w:ascii="Times New Roman;sans-serif" w:hAnsi="Times New Roman;sans-serif"/>
          <w:b w:val="false"/>
          <w:color w:val="000000"/>
          <w:sz w:val="20"/>
        </w:rPr>
        <w:t>totaled $39 million. This consisted of realized losses on debt and equity securities, unrealized gains on equity securities, dividends, and interest income on investments in the NDT. See Notes 7 and 12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Interest Expense and Other Finance Charges</w:t>
      </w:r>
      <w:r>
        <w:rPr>
          <w:color w:val="000000"/>
        </w:rPr>
        <w:t xml:space="preserve"> </w:t>
      </w:r>
      <w:r>
        <w:rPr>
          <w:rFonts w:ascii="Times New Roman;sans-serif" w:hAnsi="Times New Roman;sans-serif"/>
          <w:b w:val="false"/>
          <w:color w:val="000000"/>
          <w:sz w:val="20"/>
        </w:rPr>
        <w:t>totaled $(33) million. This primarily consisted of interest expense incurred on prepetition debt and certain LC fees.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Other Non-operating Income (Expense), net,</w:t>
      </w:r>
      <w:r>
        <w:rPr>
          <w:color w:val="000000"/>
        </w:rPr>
        <w:t xml:space="preserve"> </w:t>
      </w:r>
      <w:r>
        <w:rPr>
          <w:rFonts w:ascii="Times New Roman;sans-serif" w:hAnsi="Times New Roman;sans-serif"/>
          <w:b w:val="false"/>
          <w:color w:val="000000"/>
          <w:sz w:val="20"/>
        </w:rPr>
        <w:t>totaled $(11) million, primarily due to mark-to-market adjustments for warrants issued in 2023.</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Income Tax Benefit (Expense) </w:t>
      </w:r>
      <w:r>
        <w:rPr>
          <w:rFonts w:ascii="Times New Roman;sans-serif" w:hAnsi="Times New Roman;sans-serif"/>
          <w:b w:val="false"/>
          <w:color w:val="000000"/>
          <w:sz w:val="20"/>
        </w:rPr>
        <w:t>totaled $(19) million. This primarily consisted of federal and state income taxes and trust tax on nuclear decommissioning trust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Predecessor Period — January 1 through May 17,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Member totaled $479 million for the period from January 1 through May 17, 2023. Results were driven by:</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Capacity Revenues</w:t>
      </w:r>
      <w:r>
        <w:rPr>
          <w:color w:val="000000"/>
        </w:rPr>
        <w:t xml:space="preserve"> </w:t>
      </w:r>
      <w:r>
        <w:rPr>
          <w:rFonts w:ascii="Times New Roman;sans-serif" w:hAnsi="Times New Roman;sans-serif"/>
          <w:b w:val="false"/>
          <w:color w:val="000000"/>
          <w:sz w:val="20"/>
        </w:rPr>
        <w:t>totaled $108 million for the period and were primarily based on resource clearing prices received from the PJM Base Residual Auction for the 2022/2023 delivery period. Capacity revenues were negatively impacted by $(13) million of net PJM capacity penalties related to Winter Storm Elliot.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Energy and Other Revenues, net of Fuel and Energy Purchases,</w:t>
      </w:r>
      <w:r>
        <w:rPr>
          <w:color w:val="000000"/>
        </w:rPr>
        <w:t xml:space="preserve"> </w:t>
      </w:r>
      <w:r>
        <w:rPr>
          <w:rFonts w:ascii="Times New Roman;sans-serif" w:hAnsi="Times New Roman;sans-serif"/>
          <w:b w:val="false"/>
          <w:color w:val="000000"/>
          <w:sz w:val="20"/>
        </w:rPr>
        <w:t>totaled $866 million for the period and consisted of $637 million in net realized gains from hedging activities, coupled with $343 million in third-party wholesale electricity sales and ancillary revenues and $27 million in other revenue, partially offset by $(141) million in fuel and purchased power costs. Other revenues relate to operations of Nautilus that commenced operations in February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Unrealized Gain (Loss) on Derivative Instruments</w:t>
      </w:r>
      <w:r>
        <w:rPr>
          <w:color w:val="000000"/>
        </w:rPr>
        <w:t xml:space="preserve"> </w:t>
      </w:r>
      <w:r>
        <w:rPr>
          <w:rFonts w:ascii="Times New Roman;sans-serif" w:hAnsi="Times New Roman;sans-serif"/>
          <w:b w:val="false"/>
          <w:color w:val="000000"/>
          <w:sz w:val="20"/>
        </w:rPr>
        <w:t>totaled $(63) million loss, net. This consisted of (i) unrealized losses from the reversal of positions previously recognized as mark-to-market assets which settled during the period; partially offset by (ii)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Fuel Amortization</w:t>
      </w:r>
      <w:r>
        <w:rPr>
          <w:color w:val="000000"/>
        </w:rPr>
        <w:t xml:space="preserve"> </w:t>
      </w:r>
      <w:r>
        <w:rPr>
          <w:rFonts w:ascii="Times New Roman;sans-serif" w:hAnsi="Times New Roman;sans-serif"/>
          <w:b w:val="false"/>
          <w:color w:val="000000"/>
          <w:sz w:val="20"/>
        </w:rPr>
        <w:t>totaled $(33) million. This consisted of the periodic expense of nuclear fuel costs capitalized as property, plant and equipment.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Operation, Maintenance, and Development</w:t>
      </w:r>
      <w:r>
        <w:rPr>
          <w:color w:val="000000"/>
        </w:rPr>
        <w:t xml:space="preserve"> </w:t>
      </w:r>
      <w:r>
        <w:rPr>
          <w:rFonts w:ascii="Times New Roman;sans-serif" w:hAnsi="Times New Roman;sans-serif"/>
          <w:b w:val="false"/>
          <w:color w:val="000000"/>
          <w:sz w:val="20"/>
        </w:rPr>
        <w:t>totaled $(285) million for the period. This consisted of generation facility operating costs, including salary and benefit costs,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Depreciation, Amortization and Accretion</w:t>
      </w:r>
      <w:r>
        <w:rPr>
          <w:color w:val="000000"/>
        </w:rPr>
        <w:t xml:space="preserve"> </w:t>
      </w:r>
      <w:r>
        <w:rPr>
          <w:rFonts w:ascii="Times New Roman;sans-serif" w:hAnsi="Times New Roman;sans-serif"/>
          <w:b w:val="false"/>
          <w:color w:val="000000"/>
          <w:sz w:val="20"/>
        </w:rPr>
        <w:t>totaled $(200) million for the period and consisted of depreciation of long-lived property, plant and equipment, intangibles and accretion related to AROs. The period was impacted by new depreciation rates related to a change in useful lives for the generation facilities.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Impairments </w:t>
      </w:r>
      <w:r>
        <w:rPr>
          <w:rFonts w:ascii="Times New Roman;sans-serif" w:hAnsi="Times New Roman;sans-serif"/>
          <w:b w:val="false"/>
          <w:color w:val="000000"/>
          <w:sz w:val="20"/>
        </w:rPr>
        <w:t xml:space="preserve">totaled $(381) million in the period and primarily consisted of the assessment of Brandon Shores asset group recoverability associated with a decision to deactivate Brandon Shores on June 1, 2025. See Note 8 in Notes to the Interim Financial Statements for additional information.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Other Operating Income (Expense), net,</w:t>
      </w:r>
      <w:r>
        <w:rPr>
          <w:color w:val="000000"/>
        </w:rPr>
        <w:t xml:space="preserve"> </w:t>
      </w:r>
      <w:r>
        <w:rPr>
          <w:rFonts w:ascii="Times New Roman;sans-serif" w:hAnsi="Times New Roman;sans-serif"/>
          <w:b w:val="false"/>
          <w:color w:val="000000"/>
          <w:sz w:val="20"/>
        </w:rPr>
        <w:t>totaled $(37) million for the period, reflecting fuel inventory net realizable value adjustment expense. See Note 6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Nuclear Decommissioning Trust Funds Gain (Loss), net,</w:t>
      </w:r>
      <w:r>
        <w:rPr>
          <w:color w:val="000000"/>
        </w:rPr>
        <w:t xml:space="preserve"> </w:t>
      </w:r>
      <w:r>
        <w:rPr>
          <w:rFonts w:ascii="Times New Roman;sans-serif" w:hAnsi="Times New Roman;sans-serif"/>
          <w:b w:val="false"/>
          <w:color w:val="000000"/>
          <w:sz w:val="20"/>
        </w:rPr>
        <w:t>was $57 million for the period. This consisted of realized gains and losses on debt and equity securities, unrealized gains on equity securities, dividends and interest income on investments in the NDT. See Notes 7 and 12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Interest Expense and Other Finance Charges</w:t>
      </w:r>
      <w:r>
        <w:rPr>
          <w:color w:val="000000"/>
        </w:rPr>
        <w:t xml:space="preserve"> </w:t>
      </w:r>
      <w:r>
        <w:rPr>
          <w:rFonts w:ascii="Times New Roman;sans-serif" w:hAnsi="Times New Roman;sans-serif"/>
          <w:b w:val="false"/>
          <w:color w:val="000000"/>
          <w:sz w:val="20"/>
        </w:rPr>
        <w:t>totaled $(163) million for the period and primarily consisted of interest expense incurred on the Prepetition Secured Notes, Prepetition RCF, Prepetition TLB, LMBE-MC TLB and certain LC fees.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Reorganization Income (Expense), net,</w:t>
      </w:r>
      <w:r>
        <w:rPr>
          <w:color w:val="000000"/>
        </w:rPr>
        <w:t xml:space="preserve"> </w:t>
      </w:r>
      <w:r>
        <w:rPr>
          <w:rFonts w:ascii="Times New Roman;sans-serif" w:hAnsi="Times New Roman;sans-serif"/>
          <w:b w:val="false"/>
          <w:color w:val="000000"/>
          <w:sz w:val="20"/>
        </w:rPr>
        <w:t>totaled $799 million for the period, primarily due to the $1,459 million gain on debt discharge recognized upon Emergence partially offset by a $460 million loss on revaluation adjustments, $70 million in backstop commitment letters and $57 million in professional fees. See Note 2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Gain (loss) on Sale of Assets, net, </w:t>
      </w:r>
      <w:r>
        <w:rPr>
          <w:rFonts w:ascii="Times New Roman;sans-serif" w:hAnsi="Times New Roman;sans-serif"/>
          <w:b w:val="false"/>
          <w:color w:val="000000"/>
          <w:sz w:val="20"/>
        </w:rPr>
        <w:t>totaled $50 million, primarily due to non-recurring sales during the period. See Note 17 in Notes to the Interim Financial Statements for additional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Income Tax Benefit (Expense)</w:t>
      </w:r>
      <w:r>
        <w:rPr>
          <w:color w:val="000000"/>
        </w:rPr>
        <w:t xml:space="preserve"> </w:t>
      </w:r>
      <w:r>
        <w:rPr>
          <w:rFonts w:ascii="Times New Roman;sans-serif" w:hAnsi="Times New Roman;sans-serif"/>
          <w:b w:val="false"/>
          <w:color w:val="000000"/>
          <w:sz w:val="20"/>
        </w:rPr>
        <w:t>totaled $(212) million for the period and was primarily related to federal/state income taxes, reorganization adjustments and changes in the valuation allowance. See Note 5 in Notes to the Interim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and capital requirements are generally a function of: (i) debt service requirements; (ii) capital expenditures; (iii) maintenance activities; (iv) liquidity requirements for our commercial and hedging activities, including cash collateral and other forms of credit support; (v) legacy environmental obligations; and (vi) other working capital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include available cash deposits, cash flows from operations, amounts available under our debt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posting requirements. Additionally, there are lower overall hedging needs given the cash-flow stability afforded by the Nuclear PTC and significantly reduced debt service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using available cash deposits, the Company completed a tender offer which resulted in the purchase of 5,275,862 shares of its common stock for $612 million, exclusive of transaction costs.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2024, the Company repurchased $2,413,793 shares from affiliates of Rubric Capital Management LP for an aggregate purchase price of $280 million. There were de minimis transaction costs associated with this repurchase.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Notes 3, 9 and 16 in Notes to the Interim Financial Statements for additional information regarding various liquidity topics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80"/>
        <w:jc w:val="left"/>
        <w:rPr>
          <w:rFonts w:ascii="Times New Roman;sans-serif" w:hAnsi="Times New Roman;sans-serif"/>
          <w:b/>
          <w:i/>
          <w:color w:val="000000"/>
          <w:sz w:val="20"/>
        </w:rPr>
      </w:pPr>
      <w:r>
        <w:rPr>
          <w:rFonts w:ascii="Times New Roman;sans-serif" w:hAnsi="Times New Roman;sans-serif"/>
          <w:b/>
          <w:i/>
          <w:color w:val="000000"/>
          <w:sz w:val="20"/>
        </w:rPr>
        <w:t>Talen Liquidity</w:t>
      </w:r>
    </w:p>
    <w:tbl>
      <w:tblPr>
        <w:tblW w:w="5891" w:type="dxa"/>
        <w:jc w:val="left"/>
        <w:tblInd w:w="0" w:type="dxa"/>
        <w:tblLayout w:type="fixed"/>
        <w:tblCellMar>
          <w:top w:w="28" w:type="dxa"/>
          <w:left w:w="28" w:type="dxa"/>
          <w:bottom w:w="28" w:type="dxa"/>
          <w:right w:w="28" w:type="dxa"/>
        </w:tblCellMar>
      </w:tblPr>
      <w:tblGrid>
        <w:gridCol w:w="1048"/>
        <w:gridCol w:w="922"/>
        <w:gridCol w:w="925"/>
        <w:gridCol w:w="251"/>
        <w:gridCol w:w="733"/>
        <w:gridCol w:w="140"/>
        <w:gridCol w:w="109"/>
        <w:gridCol w:w="109"/>
        <w:gridCol w:w="109"/>
        <w:gridCol w:w="329"/>
        <w:gridCol w:w="958"/>
        <w:gridCol w:w="258"/>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unrestricted</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RCF</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liquidity</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1,272</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1,038</w:t>
            </w:r>
            <w:r>
              <w:rPr>
                <w:color w:val="000000"/>
              </w:rPr>
              <w: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333"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Financial Performance Assurances</w:t>
      </w:r>
    </w:p>
    <w:tbl>
      <w:tblPr>
        <w:tblW w:w="4946" w:type="dxa"/>
        <w:jc w:val="left"/>
        <w:tblInd w:w="0" w:type="dxa"/>
        <w:tblLayout w:type="fixed"/>
        <w:tblCellMar>
          <w:top w:w="28" w:type="dxa"/>
          <w:left w:w="28" w:type="dxa"/>
          <w:bottom w:w="28" w:type="dxa"/>
          <w:right w:w="28" w:type="dxa"/>
        </w:tblCellMar>
      </w:tblPr>
      <w:tblGrid>
        <w:gridCol w:w="706"/>
        <w:gridCol w:w="620"/>
        <w:gridCol w:w="624"/>
        <w:gridCol w:w="303"/>
        <w:gridCol w:w="652"/>
        <w:gridCol w:w="169"/>
        <w:gridCol w:w="109"/>
        <w:gridCol w:w="109"/>
        <w:gridCol w:w="109"/>
        <w:gridCol w:w="393"/>
        <w:gridCol w:w="844"/>
        <w:gridCol w:w="308"/>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surety bonds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80"/>
        <w:jc w:val="left"/>
        <w:rPr>
          <w:rFonts w:ascii="Times New Roman;sans-serif" w:hAnsi="Times New Roman;sans-serif"/>
          <w:b/>
          <w:i/>
          <w:color w:val="000000"/>
          <w:sz w:val="20"/>
        </w:rPr>
      </w:pPr>
      <w:r>
        <w:rPr>
          <w:rFonts w:ascii="Times New Roman;sans-serif" w:hAnsi="Times New Roman;sans-serif"/>
          <w:b/>
          <w:i/>
          <w:color w:val="000000"/>
          <w:sz w:val="20"/>
        </w:rPr>
        <w:t>Forecasted Uses of Cash</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in the Annual Financial Statements attached to the Registration Statement for information regarding forecasted uses of cash related to capital expenditures and forecasted spending on AROs and accrued environmental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Indebtedness</w:t>
      </w:r>
    </w:p>
    <w:p>
      <w:pPr>
        <w:pStyle w:val="TextBody"/>
        <w:bidi w:val="0"/>
        <w:spacing w:lineRule="auto" w:line="288" w:before="0" w:after="180"/>
        <w:jc w:val="left"/>
        <w:rPr/>
      </w:pPr>
      <w:r>
        <w:rPr>
          <w:rFonts w:ascii="Times New Roman;sans-serif" w:hAnsi="Times New Roman;sans-serif"/>
          <w:b w:val="false"/>
          <w:i/>
          <w:color w:val="000000"/>
          <w:sz w:val="20"/>
        </w:rPr>
        <w:t>Long-Term Debt Repricing.</w:t>
      </w:r>
      <w:r>
        <w:rPr>
          <w:color w:val="000000"/>
        </w:rPr>
        <w:t xml:space="preserve"> </w:t>
      </w:r>
      <w:r>
        <w:rPr>
          <w:rFonts w:ascii="Times New Roman;sans-serif" w:hAnsi="Times New Roman;sans-serif"/>
          <w:b w:val="false"/>
          <w:color w:val="000000"/>
          <w:sz w:val="20"/>
        </w:rPr>
        <w:t>In May 2024, the Company completed a repricing of the TLB and TLC. The lenders agreed to, among other things lower the interest charges by 100 basis points and waive the prepayment obligation in connection with the ERCOT Sale.</w:t>
      </w:r>
    </w:p>
    <w:p>
      <w:pPr>
        <w:pStyle w:val="TextBody"/>
        <w:bidi w:val="0"/>
        <w:spacing w:lineRule="auto" w:line="288" w:before="0" w:after="180"/>
        <w:jc w:val="left"/>
        <w:rPr/>
      </w:pPr>
      <w:r>
        <w:rPr>
          <w:rFonts w:ascii="Times New Roman;sans-serif" w:hAnsi="Times New Roman;sans-serif"/>
          <w:b w:val="false"/>
          <w:i/>
          <w:color w:val="000000"/>
          <w:sz w:val="20"/>
        </w:rPr>
        <w:t xml:space="preserve">Remarketing of PEDFA Bonds. </w:t>
      </w:r>
      <w:r>
        <w:rPr>
          <w:rFonts w:ascii="Times New Roman;sans-serif" w:hAnsi="Times New Roman;sans-serif"/>
          <w:b w:val="false"/>
          <w:color w:val="000000"/>
          <w:sz w:val="20"/>
        </w:rPr>
        <w:t>In June 2024, the Company completed the remarketing of $50 million in aggregate principal amount of its PEDFA 2009B and $81 million in aggregate principal amount of its PEDFA 2009C Bonds. The bonds will bear interest at 5.25% until the end of the new term rate period on June 2027. In connection with the remarketing, $133 million of LCs issued under the TLC LCF that had previously supported the bonds were terminated, providing the Company with increased LC capacity under the TLC LCF.</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in Notes to the Interim Financial Statements for additional information on the repricing and Talen’s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net cash provided by (used in) operating, investing and financing activities for the six months ended June 30 were:</w:t>
      </w:r>
    </w:p>
    <w:tbl>
      <w:tblPr>
        <w:tblW w:w="10090" w:type="dxa"/>
        <w:jc w:val="left"/>
        <w:tblInd w:w="0" w:type="dxa"/>
        <w:tblLayout w:type="fixed"/>
        <w:tblCellMar>
          <w:top w:w="28" w:type="dxa"/>
          <w:left w:w="28" w:type="dxa"/>
          <w:bottom w:w="28" w:type="dxa"/>
          <w:right w:w="28" w:type="dxa"/>
        </w:tblCellMar>
      </w:tblPr>
      <w:tblGrid>
        <w:gridCol w:w="537"/>
        <w:gridCol w:w="473"/>
        <w:gridCol w:w="474"/>
        <w:gridCol w:w="668"/>
        <w:gridCol w:w="1435"/>
        <w:gridCol w:w="371"/>
        <w:gridCol w:w="109"/>
        <w:gridCol w:w="109"/>
        <w:gridCol w:w="109"/>
        <w:gridCol w:w="820"/>
        <w:gridCol w:w="1075"/>
        <w:gridCol w:w="459"/>
        <w:gridCol w:w="109"/>
        <w:gridCol w:w="109"/>
        <w:gridCol w:w="109"/>
        <w:gridCol w:w="109"/>
        <w:gridCol w:w="109"/>
        <w:gridCol w:w="109"/>
        <w:gridCol w:w="683"/>
        <w:gridCol w:w="1469"/>
        <w:gridCol w:w="382"/>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2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Successor Period — Six Months Ended June 30, 2024</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Operating Cash Flows.</w:t>
      </w:r>
      <w:r>
        <w:rPr>
          <w:color w:val="000000"/>
        </w:rPr>
        <w:t xml:space="preserve"> </w:t>
      </w:r>
      <w:r>
        <w:rPr>
          <w:rFonts w:ascii="Times New Roman;sans-serif" w:hAnsi="Times New Roman;sans-serif"/>
          <w:b w:val="false"/>
          <w:color w:val="000000"/>
          <w:sz w:val="20"/>
        </w:rPr>
        <w:t xml:space="preserve">Cash provided by (used in) operating activities totaled $150 million. This primarily consisted of cash provided from operations of the Company.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Investing Cash Flows.</w:t>
      </w:r>
      <w:r>
        <w:rPr>
          <w:color w:val="000000"/>
        </w:rPr>
        <w:t xml:space="preserve"> </w:t>
      </w:r>
      <w:r>
        <w:rPr>
          <w:rFonts w:ascii="Times New Roman;sans-serif" w:hAnsi="Times New Roman;sans-serif"/>
          <w:b w:val="false"/>
          <w:color w:val="000000"/>
          <w:sz w:val="20"/>
        </w:rPr>
        <w:t>Cash provided by (used in) investing activities totaled $979 million. Talen received $339 million of initial net proceeds from the Cumulus Data Campus Sale in the first quarter of 2024 and $754 million of initial net proceeds from the ERCOT Sale in the second quarter of 2024. Partially offsetting these inflows were capital expenditures of $(90) million that primarily consisted of $(45) million for nuclear fuel expenditures. See Note 17 in Notes to the Interim Financial Statements for additional information on the Cumulus Data Campus Sale and the ERCOT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Financing Cash Flows. </w:t>
      </w:r>
      <w:r>
        <w:rPr>
          <w:rFonts w:ascii="Times New Roman;sans-serif" w:hAnsi="Times New Roman;sans-serif"/>
          <w:b w:val="false"/>
          <w:color w:val="000000"/>
          <w:sz w:val="20"/>
        </w:rPr>
        <w:t>Cash provided by (used in) financing activities totaled $(915) million. This primarily consisted of $(182) million for the repayment of the Cumulus Digital TLF in the first quarter of 2024 using a portion of the proceeds from the Cumulus Data Campus Sale; $(39) million in the first quarter of 2024 for the repurchase of noncontrolling interests held by affiliates of Orion and two former members of Talen senior management; and $(654) million in the six months ended June 30, 2024 (Successor) to repurchase common stock shares. See “Recent Developments - Shares Repurchases” above for additional information on share repurchases. In addition, an outflow of $(28) million occurred to cash settle restricted stock units upon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Successor Period — May 18 through June 30, 2023</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Investing Cash Flows.</w:t>
      </w:r>
      <w:r>
        <w:rPr>
          <w:color w:val="000000"/>
        </w:rPr>
        <w:t xml:space="preserve"> </w:t>
      </w:r>
      <w:r>
        <w:rPr>
          <w:rFonts w:ascii="Times New Roman;sans-serif" w:hAnsi="Times New Roman;sans-serif"/>
          <w:b w:val="false"/>
          <w:color w:val="000000"/>
          <w:sz w:val="20"/>
        </w:rPr>
        <w:t xml:space="preserve">Cash provided by (used in) investing activities totaled $(38) million and primarily consisted of capital expenditures. Capital expenditures outflows, including those for nuclear fuel, totaled $(34) million and consisted of: $(20) million for fuel conversion projects and Cumulus Data Campus project; and $(14) million related to nuclear fuel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Predecessor Period — January 1 through May 17, 2023</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Operating Cash Flows.</w:t>
      </w:r>
      <w:r>
        <w:rPr>
          <w:color w:val="000000"/>
        </w:rPr>
        <w:t xml:space="preserve"> </w:t>
      </w:r>
      <w:r>
        <w:rPr>
          <w:rFonts w:ascii="Times New Roman;sans-serif" w:hAnsi="Times New Roman;sans-serif"/>
          <w:b w:val="false"/>
          <w:color w:val="000000"/>
          <w:sz w:val="20"/>
        </w:rPr>
        <w:t>Cash provided by (used in) operating activities totaled $462 million and consisted of cash provided from the operations of the Company, including declines in accounts receivable, partially offset by payments made for accrued interest and other claims at Emergence.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Investing Cash Flows.</w:t>
      </w:r>
      <w:r>
        <w:rPr>
          <w:color w:val="000000"/>
        </w:rPr>
        <w:t xml:space="preserve"> </w:t>
      </w:r>
      <w:r>
        <w:rPr>
          <w:rFonts w:ascii="Times New Roman;sans-serif" w:hAnsi="Times New Roman;sans-serif"/>
          <w:b w:val="false"/>
          <w:color w:val="000000"/>
          <w:sz w:val="20"/>
        </w:rPr>
        <w:t>Cash provided by (used in) investing activities totaled $(157) million and consisted of capital expenditures offset by $46 million in proceeds from the sale of assets.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Capital expenditures, including those for nuclear fuel, totaled $(187) million and consisted of: $(138) million across the Company for current projects including the Montour gas conversion project, the Cumulus Data Campus and Nautilus crypto mining projects and projects at Susquehanna; and $(49) million related to nuclear fuel expenditures.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Financing Cash Flows. </w:t>
      </w:r>
      <w:r>
        <w:rPr>
          <w:rFonts w:ascii="Times New Roman;sans-serif" w:hAnsi="Times New Roman;sans-serif"/>
          <w:b w:val="false"/>
          <w:color w:val="000000"/>
          <w:sz w:val="20"/>
        </w:rPr>
        <w:t>Cash provided by (used in) financing activities totaled $(539) million and consisted of the net effect of issuances and repayments of prepetition debt and make-whole premiums of about $(1.9) billion net cash outflow partially offset by $1.4 billion cash inflow for a contribution from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Guarantees of Subsidiary Obligations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TES guarantees certain agreements and obligations for its subsidiaries. Certain agreements may contingently require payments to a guaranteed or indemnified party. See Note 10 in Notes to the Interim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include Adjusted EBITDA, which the Company uses as a measure of its performance and is not a financial measure prepared under GAAP, in these Interim Financial Statements.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readers of this financial information not to place undue reliance on this non-GAAP financial measure, but to also consider them along with their most directly comparable GAAP financial measure. Non-GAAP measures have limitations as an analytical tool and should not be considered in isolation or as a substitute for analyzing our results as reported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the Company’s annual short-term incentive compensation; and (v) assess compliance with our indebtedness.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the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GAAP financial measure of “Net Income (Loss)” presented on the Consolidated Statements of Operations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955"/>
        <w:gridCol w:w="264"/>
        <w:gridCol w:w="265"/>
        <w:gridCol w:w="210"/>
        <w:gridCol w:w="469"/>
        <w:gridCol w:w="117"/>
        <w:gridCol w:w="109"/>
        <w:gridCol w:w="109"/>
        <w:gridCol w:w="109"/>
        <w:gridCol w:w="222"/>
        <w:gridCol w:w="392"/>
        <w:gridCol w:w="124"/>
        <w:gridCol w:w="109"/>
        <w:gridCol w:w="109"/>
        <w:gridCol w:w="109"/>
        <w:gridCol w:w="109"/>
        <w:gridCol w:w="109"/>
        <w:gridCol w:w="109"/>
        <w:gridCol w:w="264"/>
        <w:gridCol w:w="588"/>
        <w:gridCol w:w="147"/>
        <w:gridCol w:w="109"/>
        <w:gridCol w:w="109"/>
        <w:gridCol w:w="109"/>
        <w:gridCol w:w="109"/>
        <w:gridCol w:w="109"/>
        <w:gridCol w:w="109"/>
        <w:gridCol w:w="209"/>
        <w:gridCol w:w="465"/>
        <w:gridCol w:w="116"/>
        <w:gridCol w:w="109"/>
        <w:gridCol w:w="109"/>
        <w:gridCol w:w="109"/>
        <w:gridCol w:w="222"/>
        <w:gridCol w:w="392"/>
        <w:gridCol w:w="124"/>
        <w:gridCol w:w="109"/>
        <w:gridCol w:w="109"/>
        <w:gridCol w:w="109"/>
        <w:gridCol w:w="109"/>
        <w:gridCol w:w="109"/>
        <w:gridCol w:w="109"/>
        <w:gridCol w:w="266"/>
        <w:gridCol w:w="592"/>
        <w:gridCol w:w="148"/>
        <w:gridCol w:w="109"/>
        <w:gridCol w:w="109"/>
        <w:gridCol w:w="109"/>
        <w:gridCol w:w="109"/>
        <w:gridCol w:w="109"/>
        <w:gridCol w:w="109"/>
        <w:gridCol w:w="109"/>
        <w:gridCol w:w="109"/>
        <w:gridCol w:w="166"/>
      </w:tblGrid>
      <w:tr>
        <w:trPr/>
        <w:tc>
          <w:tcPr>
            <w:tcW w:w="9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2044" w:type="dxa"/>
            <w:gridSpan w:val="1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18 through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777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465</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Adjustments</w:t>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fuel amortization</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43" w:after="20"/>
              <w:ind w:left="0" w:right="0" w:hanging="180"/>
              <w:jc w:val="left"/>
              <w:rPr/>
            </w:pPr>
            <w:r>
              <w:rPr>
                <w:rFonts w:ascii="Times New Roman;sans-serif" w:hAnsi="Times New Roman;sans-serif"/>
                <w:b w:val="false"/>
                <w:color w:val="000000"/>
                <w:sz w:val="18"/>
              </w:rPr>
              <w:t xml:space="preserve">Reorganization (gain) loss, net </w:t>
            </w:r>
            <w:r>
              <w:rPr>
                <w:rFonts w:ascii="Times New Roman;sans-serif" w:hAnsi="Times New Roman;sans-serif"/>
                <w:b w:val="false"/>
                <w:color w:val="000000"/>
                <w:sz w:val="12"/>
              </w:rPr>
              <w:t>(a)</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commodity derivative contracts</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Nuclear decommissioning trust funds (gain) loss, net</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43" w:after="2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43" w:after="20"/>
              <w:ind w:left="0" w:right="0" w:hanging="180"/>
              <w:jc w:val="left"/>
              <w:rPr/>
            </w:pPr>
            <w:r>
              <w:rPr>
                <w:rFonts w:ascii="Times New Roman;sans-serif" w:hAnsi="Times New Roman;sans-serif"/>
                <w:b w:val="false"/>
                <w:color w:val="000000"/>
                <w:sz w:val="18"/>
              </w:rPr>
              <w:t>(Gain) loss on asset sales, net</w:t>
            </w:r>
            <w:r>
              <w:rPr>
                <w:color w:val="000000"/>
              </w:rPr>
              <w:t xml:space="preserve"> </w:t>
            </w:r>
            <w:r>
              <w:rPr>
                <w:rFonts w:ascii="Times New Roman;sans-serif" w:hAnsi="Times New Roman;sans-serif"/>
                <w:b w:val="false"/>
                <w:color w:val="000000"/>
                <w:sz w:val="12"/>
              </w:rPr>
              <w:t>(b)</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43" w:after="20"/>
              <w:ind w:left="0" w:right="0" w:hanging="180"/>
              <w:jc w:val="left"/>
              <w:rPr/>
            </w:pPr>
            <w:r>
              <w:rPr>
                <w:rFonts w:ascii="Times New Roman;sans-serif" w:hAnsi="Times New Roman;sans-serif"/>
                <w:b w:val="false"/>
                <w:color w:val="000000"/>
                <w:sz w:val="18"/>
              </w:rPr>
              <w:t xml:space="preserve">Non-cash impairments </w:t>
            </w:r>
            <w:r>
              <w:rPr>
                <w:rFonts w:ascii="Times New Roman;sans-serif" w:hAnsi="Times New Roman;sans-serif"/>
                <w:b w:val="false"/>
                <w:color w:val="000000"/>
                <w:sz w:val="12"/>
              </w:rPr>
              <w:t>(c)</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Operational and other restructuring activities</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expenses</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43" w:after="20"/>
              <w:ind w:left="0" w:right="0" w:hanging="180"/>
              <w:jc w:val="left"/>
              <w:rPr/>
            </w:pPr>
            <w:r>
              <w:rPr>
                <w:rFonts w:ascii="Times New Roman;sans-serif" w:hAnsi="Times New Roman;sans-serif"/>
                <w:b w:val="false"/>
                <w:color w:val="000000"/>
                <w:sz w:val="18"/>
              </w:rPr>
              <w:t xml:space="preserve">Non-cash inventory net realizable value, obsolescence, and other charges </w:t>
            </w:r>
            <w:r>
              <w:rPr>
                <w:rFonts w:ascii="Times New Roman;sans-serif" w:hAnsi="Times New Roman;sans-serif"/>
                <w:b w:val="false"/>
                <w:color w:val="000000"/>
                <w:sz w:val="12"/>
              </w:rPr>
              <w:t>(d)</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Adjusted EBITDA</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87</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376</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695</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(a)See Note 2 in Notes to the Interim Financial Statements for additional information.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(b)See Note 17 in Notes to the Interim Financial Statements for additional information.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(c)See Note 8 in Notes to the Interim Financial Statements for additional information.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(d)See Note 6 in Notes to the Interim Financial Statements for additional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are prepared in conformity with GAAP, which require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the Annual Financial Statements attached to the Registration Statement for a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ans-serif" w:hAnsi="Times New Roman;sans-serif"/>
          <w:b/>
          <w:color w:val="000000"/>
          <w:sz w:val="20"/>
        </w:rPr>
      </w:pPr>
      <w:bookmarkStart w:id="4" w:name="iefc6e2d7ef3043c28caef0f602713585_3083"/>
      <w:bookmarkEnd w:id="4"/>
      <w:r>
        <w:rPr>
          <w:rFonts w:ascii="Times New Roman;sans-serif" w:hAnsi="Times New Roman;sans-serif"/>
          <w:b/>
          <w:color w:val="000000"/>
          <w:sz w:val="20"/>
        </w:rPr>
        <w:t>ITEM 3. QUANTITATIVE AND QUALITATIVE DISCLOSURES ABOUT MARKET RISK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in Notes to the Interim Financial Statements for a description of our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bookmarkStart w:id="5" w:name="ib4f82f200d17434a9b8b42cd0b95952c_5906"/>
      <w:bookmarkEnd w:id="5"/>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as of the end of the period covered by this Report.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that the information required to be disclosed by us in reports that we file or submit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June 30, 2024 (Successor).</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that occurred during the three months ended June 30, 2024 (Successor)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ans-serif" w:hAnsi="Times New Roman;sans-serif"/>
          <w:b/>
          <w:color w:val="000000"/>
          <w:sz w:val="20"/>
        </w:rPr>
      </w:pPr>
      <w:bookmarkStart w:id="6" w:name="id4e4ce2cbe9c4f4eb2694fa668e425f1_92"/>
      <w:bookmarkEnd w:id="6"/>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bookmarkStart w:id="7" w:name="i77862db41d154f51ad1b8969ca6e2821_32562"/>
      <w:bookmarkEnd w:id="7"/>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pending administrative and judicial proceedings involving regulatory, environmental and other matters, which information is incorporated by reference into this Part II, see Note 10 in Notes to the Interim Financial Statements for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bookmarkStart w:id="8" w:name="i616f6e04e5a1455d85eaf2a2a69c99d6_1046"/>
      <w:bookmarkEnd w:id="8"/>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risk factors as described in the section titled “Risk Factors”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bookmarkStart w:id="9" w:name="i01b7de8c1c1b4b6eaea363d7ec3d0431_25449"/>
      <w:bookmarkEnd w:id="9"/>
      <w:r>
        <w:rPr>
          <w:rFonts w:ascii="Times New Roman;sans-serif" w:hAnsi="Times New Roman;sans-serif"/>
          <w:b/>
          <w:color w:val="000000"/>
          <w:sz w:val="20"/>
        </w:rPr>
        <w:t>ITEM 2. UNREGISTERED SALES OF EQUITY AND USE OF PROCEEDS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Tender Offer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the Company commenced a modified “Dutch auction” tender offer (the “Tender Offer”) to purchase shares of the Company’s common stock for cash. The Tender Offer resulted in the purchase for cash of 5,275,862 shares of its common stock, representing 9.0% of the Company’s outstanding common stock, at a clearing price per share of $116.00, or an aggregate of $612 million, exclusive of transaction costs. The Tender Offer was part of the Company’s share repurchase program discussed below.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Upsizing of Share Repurchase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regarding our purchases of our common stock during the three months ended June 30, 2024:</w:t>
      </w:r>
    </w:p>
    <w:tbl>
      <w:tblPr>
        <w:tblW w:w="10205" w:type="dxa"/>
        <w:jc w:val="left"/>
        <w:tblInd w:w="0" w:type="dxa"/>
        <w:tblLayout w:type="fixed"/>
        <w:tblCellMar>
          <w:top w:w="28" w:type="dxa"/>
          <w:left w:w="28" w:type="dxa"/>
          <w:bottom w:w="28" w:type="dxa"/>
          <w:right w:w="28" w:type="dxa"/>
        </w:tblCellMar>
      </w:tblPr>
      <w:tblGrid>
        <w:gridCol w:w="476"/>
        <w:gridCol w:w="418"/>
        <w:gridCol w:w="423"/>
        <w:gridCol w:w="784"/>
        <w:gridCol w:w="642"/>
        <w:gridCol w:w="644"/>
        <w:gridCol w:w="109"/>
        <w:gridCol w:w="109"/>
        <w:gridCol w:w="109"/>
        <w:gridCol w:w="285"/>
        <w:gridCol w:w="963"/>
        <w:gridCol w:w="158"/>
        <w:gridCol w:w="109"/>
        <w:gridCol w:w="109"/>
        <w:gridCol w:w="109"/>
        <w:gridCol w:w="1184"/>
        <w:gridCol w:w="2634"/>
        <w:gridCol w:w="940"/>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Average Share Price </w:t>
            </w:r>
            <w:r>
              <w:rPr>
                <w:rFonts w:ascii="Times New Roman;sans-serif" w:hAnsi="Times New Roman;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6"/>
              </w:rPr>
              <w:t xml:space="preserve">Approximate Dollar Value of Shares that May Yet be Purchased Under the Plans or Programs (millions) </w:t>
            </w:r>
            <w:r>
              <w:rPr>
                <w:rFonts w:ascii="Times New Roman;sans-serif" w:hAnsi="Times New Roman;sans-serif"/>
                <w:b/>
                <w:color w:val="000000"/>
                <w:sz w:val="10"/>
              </w:rPr>
              <w:t>(c)</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to April 30, 2024</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to May 31, 2024</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9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to June 30, 2024</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5,280,889 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9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5,280,889</w:t>
            </w:r>
            <w:r>
              <w:rPr>
                <w:color w:val="000000"/>
              </w:rPr>
              <w:t> </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115.99</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2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387</w:t>
            </w:r>
            <w:r>
              <w:rPr>
                <w:color w:val="000000"/>
              </w:rPr>
              <w:t> </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(a)All open-market purchases were made under authorization from our Board of Directors to purchase up to $1 billion of additional shares of our common stock.</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(b)Average price paid per share for open market transactions excludes transaction costs and excise taxes.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(c)Represents the approximate dollar value (in millions) of the remaining capacity under the Company’s share repurchase program.</w:t>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limitations on the payment of our dividends, see Note 2 to the Annual Financial Statements attached to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ans-serif" w:hAnsi="Times New Roman;sans-serif"/>
          <w:b/>
          <w:color w:val="000000"/>
          <w:sz w:val="20"/>
        </w:rPr>
      </w:pPr>
      <w:bookmarkStart w:id="10" w:name="i81eaa164d8a44d26999b2082a3331595_356"/>
      <w:bookmarkEnd w:id="10"/>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bookmarkStart w:id="11" w:name="i029e02ee5b44422289f62612912cfb6f_304"/>
      <w:bookmarkEnd w:id="11"/>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bookmarkStart w:id="12" w:name="id5e43fe0a7804ae698a62ef95c615d6e_1377"/>
      <w:bookmarkEnd w:id="12"/>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directors or “officers” (as such term is defined in Rule 16(a)-1(f) under the Exchange Act) adopted or terminated a “Rule 10b5-1 trading agreement” or “non-Rule 10b5-1 trading arrangement” (each as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13" w:name="i3cf2598a11b748a48a85250cee27331c_421"/>
      <w:bookmarkEnd w:id="13"/>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5"/>
        <w:gridCol w:w="242"/>
        <w:gridCol w:w="243"/>
        <w:gridCol w:w="109"/>
        <w:gridCol w:w="109"/>
        <w:gridCol w:w="109"/>
        <w:gridCol w:w="2751"/>
        <w:gridCol w:w="2623"/>
        <w:gridCol w:w="374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Certificate of Incorporation of Talen Energy Corporation (incorporated by reference to Exhibit 3.1 to the Registrant’s Registration Statement on Form S-1 (File No. 333-280341) filed with the SEC on June 20, 2024).</w:t>
              </w:r>
            </w:hyperlink>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 of Talen Energy Corporation (incorporated by reference to Exhibit 3.2 to the Registrant’s Registration Statement on Form S-1 (File No. 333-280341) filed with the SEC on June 20, 2024).</w:t>
              </w:r>
            </w:hyperlink>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2 and Waiver to Credit Agreement, dated as of May 8, 2024, by and among Talen Energy Supply, LLC, as borrower, the subsidiary guarantors party thereto, the lenders party thereto and Citibank N.A., as administrative agent, collateral agent and replacement lender (incorporated by reference to Exhibit 10.3 to the Registrant’s Registration Statement on Form S-1 (File No. 333-280341) filed with the SEC on June 20, 2024).</w:t>
              </w:r>
            </w:hyperlink>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ec-20240630exh311302certi.htm">
              <w:r>
                <w:rPr>
                  <w:rStyle w:val="InternetLink"/>
                  <w:rFonts w:ascii="Times New Roman;sans-serif" w:hAnsi="Times New Roman;sans-serif"/>
                  <w:b w:val="false"/>
                  <w:color w:val="0000FF"/>
                  <w:sz w:val="20"/>
                  <w:u w:val="single"/>
                </w:rPr>
                <w:t xml:space="preserve">Certification of Chief Executive Officer (Principal Executive Officer) Pursuant to Rules 13a-14(a) and 15d-14(a) under the Securities Exchange Act of 1934, as Adopted Pursuant to Section 302 of the Sarbanes-Oxley Act of 2002. </w:t>
              </w:r>
            </w:hyperlink>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ec-20240630exh312302certi.htm">
              <w:r>
                <w:rPr>
                  <w:rStyle w:val="InternetLink"/>
                  <w:rFonts w:ascii="Times New Roman;sans-serif" w:hAnsi="Times New Roman;sans-serif"/>
                  <w:b w:val="false"/>
                  <w:color w:val="000080"/>
                  <w:sz w:val="20"/>
                  <w:u w:val="single"/>
                </w:rPr>
                <w:t>Certification of Chief Financial Officer (Principal Financial</w:t>
              </w:r>
            </w:hyperlink>
            <w:hyperlink w:anchor="tec-20240630exh312302certi.htm">
              <w:r>
                <w:rPr>
                  <w:rStyle w:val="InternetLink"/>
                  <w:rFonts w:ascii="Times New Roman;sans-serif" w:hAnsi="Times New Roman;sans-serif"/>
                  <w:b w:val="false"/>
                  <w:color w:val="000080"/>
                  <w:sz w:val="20"/>
                  <w:u w:val="single"/>
                </w:rPr>
                <w:t xml:space="preserve"> </w:t>
              </w:r>
            </w:hyperlink>
            <w:hyperlink w:anchor="tec-20240630exh312302certi.htm">
              <w:r>
                <w:rPr>
                  <w:rStyle w:val="InternetLink"/>
                  <w:rFonts w:ascii="Times New Roman;sans-serif" w:hAnsi="Times New Roman;sans-serif"/>
                  <w:b w:val="false"/>
                  <w:color w:val="000080"/>
                  <w:sz w:val="20"/>
                  <w:u w:val="single"/>
                </w:rPr>
                <w:t xml:space="preserve">Officer) Pursuant to Rules 13a-14(a) and 15d-14(a) under the Securities Exchange Act of 1934, as Adopted Pursuant to Section 302 of the Sarbanes-Oxley Act of 2002. </w:t>
              </w:r>
            </w:hyperlink>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ec-20240630exh321906certi.htm">
              <w:r>
                <w:rPr>
                  <w:rStyle w:val="InternetLink"/>
                  <w:rFonts w:ascii="Times New Roman;sans-serif" w:hAnsi="Times New Roman;sans-serif"/>
                  <w:b w:val="false"/>
                  <w:color w:val="000080"/>
                  <w:sz w:val="20"/>
                  <w:u w:val="single"/>
                </w:rPr>
                <w:t>Certification of Chief Executive Officer (Principal Executive Officer)</w:t>
              </w:r>
            </w:hyperlink>
            <w:hyperlink w:anchor="tec-20240630exh321906certi.htm">
              <w:r>
                <w:rPr>
                  <w:rStyle w:val="InternetLink"/>
                  <w:rFonts w:ascii="Times New Roman;sans-serif" w:hAnsi="Times New Roman;sans-serif"/>
                  <w:b w:val="false"/>
                  <w:color w:val="000080"/>
                  <w:sz w:val="20"/>
                  <w:u w:val="single"/>
                </w:rPr>
                <w:t xml:space="preserve"> and </w:t>
              </w:r>
            </w:hyperlink>
            <w:hyperlink w:anchor="tec-20240630exh321906certi.htm">
              <w:r>
                <w:rPr>
                  <w:rStyle w:val="InternetLink"/>
                  <w:rFonts w:ascii="Times New Roman;sans-serif" w:hAnsi="Times New Roman;sans-serif"/>
                  <w:b w:val="false"/>
                  <w:color w:val="000080"/>
                  <w:sz w:val="20"/>
                  <w:u w:val="single"/>
                </w:rPr>
                <w:t>Chief Financial Officer (Principal Financial</w:t>
              </w:r>
            </w:hyperlink>
            <w:hyperlink w:anchor="tec-20240630exh321906certi.htm">
              <w:r>
                <w:rPr>
                  <w:rStyle w:val="InternetLink"/>
                  <w:rFonts w:ascii="Times New Roman;sans-serif" w:hAnsi="Times New Roman;sans-serif"/>
                  <w:b w:val="false"/>
                  <w:color w:val="000080"/>
                  <w:sz w:val="20"/>
                  <w:u w:val="single"/>
                </w:rPr>
                <w:t xml:space="preserve"> </w:t>
              </w:r>
            </w:hyperlink>
            <w:hyperlink w:anchor="tec-20240630exh321906certi.htm">
              <w:r>
                <w:rPr>
                  <w:rStyle w:val="InternetLink"/>
                  <w:rFonts w:ascii="Times New Roman;sans-serif" w:hAnsi="Times New Roman;sans-serif"/>
                  <w:b w:val="false"/>
                  <w:color w:val="000080"/>
                  <w:sz w:val="20"/>
                  <w:u w:val="single"/>
                </w:rPr>
                <w:t>Officer)</w:t>
              </w:r>
            </w:hyperlink>
            <w:hyperlink w:anchor="tec-20240630exh321906certi.htm">
              <w:r>
                <w:rPr>
                  <w:rStyle w:val="InternetLink"/>
                  <w:rFonts w:ascii="Times New Roman;sans-serif" w:hAnsi="Times New Roman;sans-serif"/>
                  <w:b w:val="false"/>
                  <w:color w:val="000080"/>
                  <w:sz w:val="20"/>
                  <w:u w:val="single"/>
                </w:rPr>
                <w:t xml:space="preserve"> Pursuant to 18 U.S.C. Section 1350, as Adopted Pursuant to Section 906 of the Sarbanes-Oxley Act of 2002. </w:t>
              </w:r>
            </w:hyperlink>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herein.</w:t>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the agreement have been omitted pursuant to Item 601(a)(5) of Regulation S-K. A copy of any omitted schedule or exhibit will be furnished to the SEC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bookmarkStart w:id="14" w:name="i3820191e5a5e4caaab6e50f6b441fcd8_202745"/>
      <w:bookmarkEnd w:id="14"/>
      <w:r>
        <w:rPr>
          <w:rFonts w:ascii="Times New Roman;sans-serif" w:hAnsi="Times New Roman;sans-serif"/>
          <w:b/>
          <w:color w:val="000000"/>
          <w:sz w:val="20"/>
        </w:rPr>
        <w:t>GLOSSARY OF TERMS AND ABBREVIATIONS</w:t>
      </w:r>
    </w:p>
    <w:p>
      <w:pPr>
        <w:pStyle w:val="TextBody"/>
        <w:bidi w:val="0"/>
        <w:spacing w:lineRule="auto" w:line="288" w:before="0" w:after="180"/>
        <w:jc w:val="left"/>
        <w:rPr/>
      </w:pPr>
      <w:r>
        <w:rPr>
          <w:rFonts w:ascii="Times New Roman;sans-serif" w:hAnsi="Times New Roman;sans-serif"/>
          <w:b/>
          <w:i/>
          <w:color w:val="000000"/>
          <w:sz w:val="20"/>
        </w:rPr>
        <w:t>Adjusted EBITDA.</w:t>
      </w:r>
      <w:r>
        <w:rPr>
          <w:color w:val="000000"/>
        </w:rPr>
        <w:t xml:space="preserve"> </w:t>
      </w:r>
      <w:r>
        <w:rPr>
          <w:rFonts w:ascii="Times New Roman;sans-serif" w:hAnsi="Times New Roman;sans-serif"/>
          <w:b w:val="false"/>
          <w:color w:val="000000"/>
          <w:sz w:val="20"/>
        </w:rPr>
        <w:t>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noncontrolling interests;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pStyle w:val="TextBody"/>
        <w:bidi w:val="0"/>
        <w:spacing w:lineRule="auto" w:line="288" w:before="0" w:after="180"/>
        <w:jc w:val="left"/>
        <w:rPr/>
      </w:pPr>
      <w:r>
        <w:rPr>
          <w:rFonts w:ascii="Times New Roman;sans-serif" w:hAnsi="Times New Roman;sans-serif"/>
          <w:b/>
          <w:i/>
          <w:color w:val="000000"/>
          <w:sz w:val="20"/>
        </w:rPr>
        <w:t>Annual Financial Statements.</w:t>
      </w:r>
      <w:r>
        <w:rPr>
          <w:color w:val="000000"/>
        </w:rPr>
        <w:t xml:space="preserve"> </w:t>
      </w:r>
      <w:r>
        <w:rPr>
          <w:rFonts w:ascii="Times New Roman;sans-serif" w:hAnsi="Times New Roman;sans-serif"/>
          <w:b w:val="false"/>
          <w:color w:val="000000"/>
          <w:sz w:val="20"/>
        </w:rPr>
        <w:t>The audited Consolidated Balance Sheets of TEC as of December 31, 2023 (Successor) and TES as of December 31, 2022 (Predecessor); the related audited consolidated statements of operations, statements of comprehensive income, statements of cash flows, and statements of equity for the period from May 18, 2023 through December 31, 2023 (Successor), and for the period from January 1, 2023 through May 17, 2023 and the years ended 2022 and 2021 (Predecessor); and the related notes. The Annual Financial Statements are attached to the Registration Statement.</w:t>
      </w:r>
    </w:p>
    <w:p>
      <w:pPr>
        <w:pStyle w:val="TextBody"/>
        <w:bidi w:val="0"/>
        <w:spacing w:lineRule="auto" w:line="288" w:before="0" w:after="180"/>
        <w:jc w:val="left"/>
        <w:rPr/>
      </w:pPr>
      <w:r>
        <w:rPr>
          <w:rFonts w:ascii="Times New Roman;sans-serif" w:hAnsi="Times New Roman;sans-serif"/>
          <w:b/>
          <w:i/>
          <w:color w:val="000000"/>
          <w:sz w:val="20"/>
        </w:rPr>
        <w:t xml:space="preserve">AOCI. </w:t>
      </w:r>
      <w:r>
        <w:rPr>
          <w:rFonts w:ascii="Times New Roman;sans-serif" w:hAnsi="Times New Roman;sans-serif"/>
          <w:b w:val="false"/>
          <w:color w:val="000000"/>
          <w:sz w:val="20"/>
        </w:rPr>
        <w:t>Accumulated other comprehensive income or loss, which is a component of stockholder’s equity on the Consolidated Balance Sheets.</w:t>
      </w:r>
    </w:p>
    <w:p>
      <w:pPr>
        <w:pStyle w:val="TextBody"/>
        <w:bidi w:val="0"/>
        <w:spacing w:lineRule="auto" w:line="288" w:before="0" w:after="180"/>
        <w:jc w:val="left"/>
        <w:rPr/>
      </w:pPr>
      <w:r>
        <w:rPr>
          <w:rFonts w:ascii="Times New Roman;sans-serif" w:hAnsi="Times New Roman;sans-serif"/>
          <w:b/>
          <w:i/>
          <w:color w:val="000000"/>
          <w:sz w:val="20"/>
        </w:rPr>
        <w:t>ARO.</w:t>
      </w:r>
      <w:r>
        <w:rPr>
          <w:color w:val="000000"/>
        </w:rPr>
        <w:t xml:space="preserve"> </w:t>
      </w:r>
      <w:r>
        <w:rPr>
          <w:rFonts w:ascii="Times New Roman;sans-serif" w:hAnsi="Times New Roman;sans-serif"/>
          <w:b w:val="false"/>
          <w:color w:val="000000"/>
          <w:sz w:val="20"/>
        </w:rPr>
        <w:t>Asset retirement obligation.</w:t>
      </w:r>
    </w:p>
    <w:p>
      <w:pPr>
        <w:pStyle w:val="TextBody"/>
        <w:bidi w:val="0"/>
        <w:spacing w:lineRule="auto" w:line="288" w:before="0" w:after="180"/>
        <w:jc w:val="left"/>
        <w:rPr/>
      </w:pPr>
      <w:r>
        <w:rPr>
          <w:rFonts w:ascii="Times New Roman;sans-serif" w:hAnsi="Times New Roman;sans-serif"/>
          <w:b/>
          <w:i/>
          <w:color w:val="000000"/>
          <w:sz w:val="20"/>
        </w:rPr>
        <w:t>AWS</w:t>
      </w:r>
      <w:r>
        <w:rPr>
          <w:rFonts w:ascii="Times New Roman;sans-serif" w:hAnsi="Times New Roman;sans-serif"/>
          <w:b w:val="false"/>
          <w:color w:val="000000"/>
          <w:sz w:val="20"/>
        </w:rPr>
        <w:t>. Amazon Web Services, Inc. and its affiliates.</w:t>
      </w:r>
    </w:p>
    <w:p>
      <w:pPr>
        <w:pStyle w:val="TextBody"/>
        <w:bidi w:val="0"/>
        <w:spacing w:lineRule="auto" w:line="288" w:before="0" w:after="180"/>
        <w:jc w:val="left"/>
        <w:rPr/>
      </w:pPr>
      <w:r>
        <w:rPr>
          <w:rFonts w:ascii="Times New Roman;sans-serif" w:hAnsi="Times New Roman;sans-serif"/>
          <w:b/>
          <w:i/>
          <w:color w:val="000000"/>
          <w:sz w:val="20"/>
        </w:rPr>
        <w:t>Bankruptcy Court.</w:t>
      </w:r>
      <w:r>
        <w:rPr>
          <w:color w:val="000000"/>
        </w:rPr>
        <w:t xml:space="preserve"> </w:t>
      </w:r>
      <w:r>
        <w:rPr>
          <w:rFonts w:ascii="Times New Roman;sans-serif" w:hAnsi="Times New Roman;sans-serif"/>
          <w:b w:val="false"/>
          <w:color w:val="000000"/>
          <w:sz w:val="20"/>
        </w:rPr>
        <w:t>The United States Bankruptcy Court for the Southern District of Texas, Houston Division.</w:t>
      </w:r>
    </w:p>
    <w:p>
      <w:pPr>
        <w:pStyle w:val="TextBody"/>
        <w:bidi w:val="0"/>
        <w:spacing w:lineRule="auto" w:line="288" w:before="0" w:after="180"/>
        <w:jc w:val="left"/>
        <w:rPr/>
      </w:pPr>
      <w:r>
        <w:rPr>
          <w:rFonts w:ascii="Times New Roman;sans-serif" w:hAnsi="Times New Roman;sans-serif"/>
          <w:b/>
          <w:i/>
          <w:color w:val="000000"/>
          <w:sz w:val="20"/>
        </w:rPr>
        <w:t>Bilateral LC Agreement.</w:t>
      </w:r>
      <w:r>
        <w:rPr>
          <w:color w:val="000000"/>
        </w:rPr>
        <w:t xml:space="preserve"> </w:t>
      </w:r>
      <w:r>
        <w:rPr>
          <w:rFonts w:ascii="Times New Roman;sans-serif" w:hAnsi="Times New Roman;sans-serif"/>
          <w:b w:val="false"/>
          <w:color w:val="000000"/>
          <w:sz w:val="20"/>
        </w:rPr>
        <w:t>The Letter of Credit Facility Agreement, dated as of May 17, 2023, by and among TES, as borrower, Barclays Bank PLC, as administrative agent and LC issuer, and Citibank, N.A., as collateral agent, which governs the Bilateral LCF, as the same may be amended, amended and restated, supplemented or otherwise modified from time-to-time.</w:t>
      </w:r>
    </w:p>
    <w:p>
      <w:pPr>
        <w:pStyle w:val="TextBody"/>
        <w:bidi w:val="0"/>
        <w:spacing w:lineRule="auto" w:line="288" w:before="0" w:after="180"/>
        <w:jc w:val="left"/>
        <w:rPr/>
      </w:pPr>
      <w:r>
        <w:rPr>
          <w:rFonts w:ascii="Times New Roman;sans-serif" w:hAnsi="Times New Roman;sans-serif"/>
          <w:b/>
          <w:i/>
          <w:color w:val="000000"/>
          <w:sz w:val="20"/>
        </w:rPr>
        <w:t>Bilateral LCF.</w:t>
      </w:r>
      <w:r>
        <w:rPr>
          <w:color w:val="000000"/>
        </w:rPr>
        <w:t xml:space="preserve"> </w:t>
      </w:r>
      <w:r>
        <w:rPr>
          <w:rFonts w:ascii="Times New Roman;sans-serif" w:hAnsi="Times New Roman;sans-serif"/>
          <w:b w:val="false"/>
          <w:color w:val="000000"/>
          <w:sz w:val="20"/>
        </w:rPr>
        <w:t>The senior secured bilateral letter of credit facility in an aggregate committed amount of $75 million under the Bilateral LC Agreement, which is available for the issuance of standby LCs. Obligations under the Bilateral LCF are guaranteed by the Subsidiary Guarantors and secured by a first priority lien and security interest in substantially all of the assets of TES and the Subsidiary Guarantors.</w:t>
      </w:r>
    </w:p>
    <w:p>
      <w:pPr>
        <w:pStyle w:val="TextBody"/>
        <w:bidi w:val="0"/>
        <w:spacing w:lineRule="auto" w:line="288" w:before="0" w:after="180"/>
        <w:jc w:val="left"/>
        <w:rPr/>
      </w:pPr>
      <w:r>
        <w:rPr>
          <w:rFonts w:ascii="Times New Roman;sans-serif" w:hAnsi="Times New Roman;sans-serif"/>
          <w:b/>
          <w:i/>
          <w:color w:val="000000"/>
          <w:sz w:val="20"/>
        </w:rPr>
        <w:t>Board of Directors.</w:t>
      </w:r>
      <w:r>
        <w:rPr>
          <w:color w:val="000000"/>
        </w:rPr>
        <w:t xml:space="preserve"> </w:t>
      </w:r>
      <w:r>
        <w:rPr>
          <w:rFonts w:ascii="Times New Roman;sans-serif" w:hAnsi="Times New Roman;sans-serif"/>
          <w:b w:val="false"/>
          <w:color w:val="000000"/>
          <w:sz w:val="20"/>
        </w:rPr>
        <w:t>The board of directors of Talen Energy Corporation.</w:t>
      </w:r>
    </w:p>
    <w:p>
      <w:pPr>
        <w:pStyle w:val="TextBody"/>
        <w:bidi w:val="0"/>
        <w:spacing w:lineRule="auto" w:line="288" w:before="0" w:after="180"/>
        <w:jc w:val="left"/>
        <w:rPr/>
      </w:pPr>
      <w:r>
        <w:rPr>
          <w:rFonts w:ascii="Times New Roman;sans-serif" w:hAnsi="Times New Roman;sans-serif"/>
          <w:b/>
          <w:i/>
          <w:color w:val="000000"/>
          <w:sz w:val="20"/>
        </w:rPr>
        <w:t xml:space="preserve">Brandon Shores. </w:t>
      </w:r>
      <w:r>
        <w:rPr>
          <w:rFonts w:ascii="Times New Roman;sans-serif" w:hAnsi="Times New Roman;sans-serif"/>
          <w:b w:val="false"/>
          <w:color w:val="000000"/>
          <w:sz w:val="20"/>
        </w:rPr>
        <w:t>A Talen-owned and operated generation facility in Curtis Bay, Maryland.</w:t>
      </w:r>
    </w:p>
    <w:p>
      <w:pPr>
        <w:pStyle w:val="TextBody"/>
        <w:bidi w:val="0"/>
        <w:spacing w:lineRule="auto" w:line="288" w:before="0" w:after="180"/>
        <w:jc w:val="left"/>
        <w:rPr/>
      </w:pPr>
      <w:r>
        <w:rPr>
          <w:rFonts w:ascii="Times New Roman;sans-serif" w:hAnsi="Times New Roman;sans-serif"/>
          <w:b/>
          <w:i/>
          <w:color w:val="000000"/>
          <w:sz w:val="20"/>
        </w:rPr>
        <w:t xml:space="preserve">Brunner Island. </w:t>
      </w:r>
      <w:r>
        <w:rPr>
          <w:rFonts w:ascii="Times New Roman;sans-serif" w:hAnsi="Times New Roman;sans-serif"/>
          <w:b w:val="false"/>
          <w:color w:val="000000"/>
          <w:sz w:val="20"/>
        </w:rPr>
        <w:t>A Talen-owned and operated generation facility in York Haven, Pennsylvania.</w:t>
      </w:r>
    </w:p>
    <w:p>
      <w:pPr>
        <w:pStyle w:val="TextBody"/>
        <w:bidi w:val="0"/>
        <w:spacing w:lineRule="auto" w:line="288" w:before="0" w:after="180"/>
        <w:jc w:val="left"/>
        <w:rPr/>
      </w:pPr>
      <w:r>
        <w:rPr>
          <w:rFonts w:ascii="Times New Roman;sans-serif" w:hAnsi="Times New Roman;sans-serif"/>
          <w:b/>
          <w:i/>
          <w:color w:val="000000"/>
          <w:sz w:val="20"/>
        </w:rPr>
        <w:t xml:space="preserve">Camden. </w:t>
      </w:r>
      <w:r>
        <w:rPr>
          <w:rFonts w:ascii="Times New Roman;sans-serif" w:hAnsi="Times New Roman;sans-serif"/>
          <w:b w:val="false"/>
          <w:color w:val="000000"/>
          <w:sz w:val="20"/>
        </w:rPr>
        <w:t>A Talen-owned and operated generation facility in Camden, New Jersey.</w:t>
      </w:r>
    </w:p>
    <w:p>
      <w:pPr>
        <w:pStyle w:val="TextBody"/>
        <w:bidi w:val="0"/>
        <w:spacing w:lineRule="auto" w:line="288" w:before="0" w:after="180"/>
        <w:jc w:val="left"/>
        <w:rPr/>
      </w:pPr>
      <w:r>
        <w:rPr>
          <w:rFonts w:ascii="Times New Roman;sans-serif" w:hAnsi="Times New Roman;sans-serif"/>
          <w:b/>
          <w:i/>
          <w:color w:val="000000"/>
          <w:sz w:val="20"/>
        </w:rPr>
        <w:t>Capacity Performance.</w:t>
      </w:r>
      <w:r>
        <w:rPr>
          <w:color w:val="000000"/>
        </w:rPr>
        <w:t xml:space="preserve"> </w:t>
      </w:r>
      <w:r>
        <w:rPr>
          <w:rFonts w:ascii="Times New Roman;sans-serif" w:hAnsi="Times New Roman;sans-serif"/>
          <w:b w:val="false"/>
          <w:color w:val="000000"/>
          <w:sz w:val="20"/>
        </w:rPr>
        <w:t>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pStyle w:val="TextBody"/>
        <w:bidi w:val="0"/>
        <w:spacing w:lineRule="auto" w:line="288" w:before="0" w:after="180"/>
        <w:jc w:val="left"/>
        <w:rPr/>
      </w:pPr>
      <w:r>
        <w:rPr>
          <w:rFonts w:ascii="Times New Roman;sans-serif" w:hAnsi="Times New Roman;sans-serif"/>
          <w:b/>
          <w:i/>
          <w:color w:val="000000"/>
          <w:sz w:val="20"/>
        </w:rPr>
        <w:t>CCR.</w:t>
      </w:r>
      <w:r>
        <w:rPr>
          <w:color w:val="000000"/>
        </w:rPr>
        <w:t xml:space="preserve"> </w:t>
      </w:r>
      <w:r>
        <w:rPr>
          <w:rFonts w:ascii="Times New Roman;sans-serif" w:hAnsi="Times New Roman;sans-serif"/>
          <w:b w:val="false"/>
          <w:color w:val="000000"/>
          <w:sz w:val="20"/>
        </w:rPr>
        <w:t>Coal Combustion Residuals, including but not limited to fly ash, bottom ash and gypsum, that are produced from coal-fired electric generation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 xml:space="preserve">Colstrip. </w:t>
      </w:r>
      <w:r>
        <w:rPr>
          <w:rFonts w:ascii="Times New Roman;sans-serif" w:hAnsi="Times New Roman;sans-serif"/>
          <w:b w:val="false"/>
          <w:color w:val="000000"/>
          <w:sz w:val="20"/>
        </w:rPr>
        <w:t>A generation facility comprised of four coal-fired generation units located in Colstrip, Montana (collectively, the “Colstrip Units”). Talen Montana operates the Colstrip Units, owns an undivided interest in Colstrip Unit 3, and has an economic interest in Colstrip Unit 4. Colstrip Units 1 and 2 were permanently retired in January 2020. See Note 10 in Notes to the Annual Financial Statements for additional information on jointly owned facilities and Talen Montana’s ownership interests in the Colstrip Units.</w:t>
      </w:r>
    </w:p>
    <w:p>
      <w:pPr>
        <w:pStyle w:val="TextBody"/>
        <w:bidi w:val="0"/>
        <w:spacing w:lineRule="auto" w:line="288" w:before="0" w:after="180"/>
        <w:jc w:val="left"/>
        <w:rPr/>
      </w:pPr>
      <w:r>
        <w:rPr>
          <w:rFonts w:ascii="Times New Roman;sans-serif" w:hAnsi="Times New Roman;sans-serif"/>
          <w:b/>
          <w:i/>
          <w:color w:val="000000"/>
          <w:sz w:val="20"/>
        </w:rPr>
        <w:t>Colstrip AOC.</w:t>
      </w:r>
      <w:r>
        <w:rPr>
          <w:color w:val="000000"/>
        </w:rPr>
        <w:t xml:space="preserve"> </w:t>
      </w:r>
      <w:r>
        <w:rPr>
          <w:rFonts w:ascii="Times New Roman;sans-serif" w:hAnsi="Times New Roman;sans-serif"/>
          <w:b w:val="false"/>
          <w:color w:val="000000"/>
          <w:sz w:val="20"/>
        </w:rPr>
        <w:t>The “Administrative Order on Consent” entered into in 2012 (with minor amendments in 2017) between Talen Montana (on behalf of the co-owners of the Colstrip Units and in its capacity as the operator of Colstrip) and the Montana Department of Environmental Quality.</w:t>
      </w:r>
    </w:p>
    <w:p>
      <w:pPr>
        <w:pStyle w:val="TextBody"/>
        <w:bidi w:val="0"/>
        <w:spacing w:lineRule="auto" w:line="288" w:before="0" w:after="180"/>
        <w:jc w:val="left"/>
        <w:rPr/>
      </w:pPr>
      <w:r>
        <w:rPr>
          <w:rFonts w:ascii="Times New Roman;sans-serif" w:hAnsi="Times New Roman;sans-serif"/>
          <w:b/>
          <w:i/>
          <w:color w:val="000000"/>
          <w:sz w:val="20"/>
        </w:rPr>
        <w:t xml:space="preserve">Conemaugh. </w:t>
      </w:r>
      <w:r>
        <w:rPr>
          <w:rFonts w:ascii="Times New Roman;sans-serif" w:hAnsi="Times New Roman;sans-serif"/>
          <w:b w:val="false"/>
          <w:color w:val="000000"/>
          <w:sz w:val="20"/>
        </w:rPr>
        <w:t>A generation facility located in New Florence, Pennsylvania, in which Talen Generation, through a direct subsidiary, owns a 22.22% undivided interest. Conemaugh is operated by an unaffiliated party. See Note 10 in Notes to the Annual Financial Statements for additional information on jointly owned facilities.</w:t>
      </w:r>
    </w:p>
    <w:p>
      <w:pPr>
        <w:pStyle w:val="TextBody"/>
        <w:bidi w:val="0"/>
        <w:spacing w:lineRule="auto" w:line="288" w:before="0" w:after="180"/>
        <w:jc w:val="left"/>
        <w:rPr/>
      </w:pPr>
      <w:r>
        <w:rPr>
          <w:rFonts w:ascii="Times New Roman;sans-serif" w:hAnsi="Times New Roman;sans-serif"/>
          <w:b/>
          <w:i/>
          <w:color w:val="000000"/>
          <w:sz w:val="20"/>
        </w:rPr>
        <w:t>Credit Agreement.</w:t>
      </w:r>
      <w:r>
        <w:rPr>
          <w:color w:val="000000"/>
        </w:rPr>
        <w:t xml:space="preserve"> </w:t>
      </w:r>
      <w:r>
        <w:rPr>
          <w:rFonts w:ascii="Times New Roman;sans-serif" w:hAnsi="Times New Roman;sans-serif"/>
          <w:b w:val="false"/>
          <w:color w:val="000000"/>
          <w:sz w:val="20"/>
        </w:rPr>
        <w:t>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the Term Loans and the TLC LCF, as the same may be amended, amended and restated, supplemented or otherwise modified from time-to-time.</w:t>
      </w:r>
    </w:p>
    <w:p>
      <w:pPr>
        <w:pStyle w:val="TextBody"/>
        <w:bidi w:val="0"/>
        <w:spacing w:lineRule="auto" w:line="288" w:before="0" w:after="180"/>
        <w:jc w:val="left"/>
        <w:rPr/>
      </w:pPr>
      <w:r>
        <w:rPr>
          <w:rFonts w:ascii="Times New Roman;sans-serif" w:hAnsi="Times New Roman;sans-serif"/>
          <w:b/>
          <w:i/>
          <w:color w:val="000000"/>
          <w:sz w:val="20"/>
        </w:rPr>
        <w:t>Credit Facilities.</w:t>
      </w:r>
      <w:r>
        <w:rPr>
          <w:color w:val="000000"/>
        </w:rPr>
        <w:t xml:space="preserve"> </w:t>
      </w:r>
      <w:r>
        <w:rPr>
          <w:rFonts w:ascii="Times New Roman;sans-serif" w:hAnsi="Times New Roman;sans-serif"/>
          <w:b w:val="false"/>
          <w:color w:val="000000"/>
          <w:sz w:val="20"/>
        </w:rPr>
        <w:t>Collectively, the RCF, the Term Loans, the TLC LCF and the Bilateral LCF.</w:t>
      </w:r>
    </w:p>
    <w:p>
      <w:pPr>
        <w:pStyle w:val="TextBody"/>
        <w:bidi w:val="0"/>
        <w:spacing w:lineRule="auto" w:line="288" w:before="0" w:after="180"/>
        <w:jc w:val="left"/>
        <w:rPr/>
      </w:pPr>
      <w:r>
        <w:rPr>
          <w:rFonts w:ascii="Times New Roman;sans-serif" w:hAnsi="Times New Roman;sans-serif"/>
          <w:b/>
          <w:i/>
          <w:color w:val="000000"/>
          <w:sz w:val="20"/>
        </w:rPr>
        <w:t xml:space="preserve">Cumulus Coin. </w:t>
      </w:r>
      <w:r>
        <w:rPr>
          <w:rFonts w:ascii="Times New Roman;sans-serif" w:hAnsi="Times New Roman;sans-serif"/>
          <w:b w:val="false"/>
          <w:color w:val="000000"/>
          <w:sz w:val="20"/>
        </w:rPr>
        <w:t>Cumulus Coin LLC, an indirect subsidiary of Cumulus Digital Holdings that owns a 75% equity interest in Nautilus as of June 30, 2024.</w:t>
      </w:r>
    </w:p>
    <w:p>
      <w:pPr>
        <w:pStyle w:val="TextBody"/>
        <w:bidi w:val="0"/>
        <w:spacing w:lineRule="auto" w:line="288" w:before="0" w:after="180"/>
        <w:jc w:val="left"/>
        <w:rPr/>
      </w:pPr>
      <w:r>
        <w:rPr>
          <w:rFonts w:ascii="Times New Roman;sans-serif" w:hAnsi="Times New Roman;sans-serif"/>
          <w:b/>
          <w:i/>
          <w:color w:val="000000"/>
          <w:sz w:val="20"/>
        </w:rPr>
        <w:t xml:space="preserve">Cumulus Data. </w:t>
      </w:r>
      <w:r>
        <w:rPr>
          <w:rFonts w:ascii="Times New Roman;sans-serif" w:hAnsi="Times New Roman;sans-serif"/>
          <w:b w:val="false"/>
          <w:color w:val="000000"/>
          <w:sz w:val="20"/>
        </w:rPr>
        <w:t>Cumulus Data LLC, an indirect subsidiary of Cumulus Digital Holdings that initially developed the Cumulus Data Campus. See Note 17 for information on the sale of the Cumulus Data Campus to AWS.</w:t>
      </w:r>
    </w:p>
    <w:p>
      <w:pPr>
        <w:pStyle w:val="TextBody"/>
        <w:bidi w:val="0"/>
        <w:spacing w:lineRule="auto" w:line="288" w:before="0" w:after="180"/>
        <w:jc w:val="left"/>
        <w:rPr/>
      </w:pPr>
      <w:r>
        <w:rPr>
          <w:rFonts w:ascii="Times New Roman;sans-serif" w:hAnsi="Times New Roman;sans-serif"/>
          <w:b/>
          <w:i/>
          <w:color w:val="000000"/>
          <w:sz w:val="20"/>
        </w:rPr>
        <w:t xml:space="preserve">Cumulus Data Campus. </w:t>
      </w:r>
      <w:r>
        <w:rPr>
          <w:rFonts w:ascii="Times New Roman;sans-serif" w:hAnsi="Times New Roman;sans-serif"/>
          <w:b w:val="false"/>
          <w:color w:val="000000"/>
          <w:sz w:val="20"/>
        </w:rPr>
        <w:t>The zero-carbon data center campus initially developed by Cumulus Data adjacent to Susquehanna See Note 17 for information on the sale of the Cumulus Data Campus to AWS.</w:t>
      </w:r>
    </w:p>
    <w:p>
      <w:pPr>
        <w:pStyle w:val="TextBody"/>
        <w:bidi w:val="0"/>
        <w:spacing w:lineRule="auto" w:line="288" w:before="0" w:after="180"/>
        <w:jc w:val="left"/>
        <w:rPr/>
      </w:pPr>
      <w:r>
        <w:rPr>
          <w:rFonts w:ascii="Times New Roman;sans-serif" w:hAnsi="Times New Roman;sans-serif"/>
          <w:b/>
          <w:i/>
          <w:color w:val="000000"/>
          <w:sz w:val="20"/>
        </w:rPr>
        <w:t>Cumulus Data Campus Sale</w:t>
      </w:r>
      <w:r>
        <w:rPr>
          <w:rFonts w:ascii="Times New Roman;sans-serif" w:hAnsi="Times New Roman;sans-serif"/>
          <w:b w:val="false"/>
          <w:color w:val="000000"/>
          <w:sz w:val="20"/>
        </w:rPr>
        <w:t>. The Company’s sale, in March 2024, of certain assets of Cumulus Data, which included all of the land, power infrastructure, powered shell and intangibles of Cumulus Data Campus, to AWS for gross proceeds of $650 million, $300 million of which is to be released from escrow upon achievement of certain development milestones. See Note 17 for more information.</w:t>
      </w:r>
    </w:p>
    <w:p>
      <w:pPr>
        <w:pStyle w:val="TextBody"/>
        <w:bidi w:val="0"/>
        <w:spacing w:lineRule="auto" w:line="288" w:before="0" w:after="180"/>
        <w:jc w:val="left"/>
        <w:rPr/>
      </w:pPr>
      <w:r>
        <w:rPr>
          <w:rFonts w:ascii="Times New Roman;sans-serif" w:hAnsi="Times New Roman;sans-serif"/>
          <w:b/>
          <w:i/>
          <w:color w:val="000000"/>
          <w:sz w:val="20"/>
        </w:rPr>
        <w:t>Cumulus Digital.</w:t>
      </w:r>
      <w:r>
        <w:rPr>
          <w:color w:val="000000"/>
        </w:rPr>
        <w:t xml:space="preserve"> </w:t>
      </w:r>
      <w:r>
        <w:rPr>
          <w:rFonts w:ascii="Times New Roman;sans-serif" w:hAnsi="Times New Roman;sans-serif"/>
          <w:b w:val="false"/>
          <w:color w:val="000000"/>
          <w:sz w:val="20"/>
        </w:rPr>
        <w:t>Cumulus Digital LLC, a direct subsidiary of Cumulus Digital Holdings and the indirect parent of Cumulus Data and Cumulus Coin.</w:t>
      </w:r>
    </w:p>
    <w:p>
      <w:pPr>
        <w:pStyle w:val="TextBody"/>
        <w:bidi w:val="0"/>
        <w:spacing w:lineRule="auto" w:line="288" w:before="0" w:after="0"/>
        <w:jc w:val="left"/>
        <w:rPr/>
      </w:pPr>
      <w:r>
        <w:rPr>
          <w:rFonts w:ascii="Times New Roman;sans-serif" w:hAnsi="Times New Roman;sans-serif"/>
          <w:b/>
          <w:i/>
          <w:color w:val="000000"/>
          <w:sz w:val="20"/>
        </w:rPr>
        <w:t>Cumulus Digital Holdings.</w:t>
      </w:r>
      <w:r>
        <w:rPr>
          <w:color w:val="000000"/>
        </w:rPr>
        <w:t xml:space="preserve"> </w:t>
      </w:r>
      <w:r>
        <w:rPr>
          <w:rFonts w:ascii="Times New Roman;sans-serif" w:hAnsi="Times New Roman;sans-serif"/>
          <w:b w:val="false"/>
          <w:color w:val="000000"/>
          <w:sz w:val="20"/>
        </w:rPr>
        <w:t>Cumulus Digital Holdings LLC, a subsidiary of TES and the direct parent of Cumulus Digital.</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i/>
          <w:color w:val="000000"/>
          <w:sz w:val="20"/>
        </w:rPr>
        <w:t>Cumulus Digital TLF.</w:t>
      </w:r>
      <w:r>
        <w:rPr>
          <w:color w:val="FF0000"/>
        </w:rPr>
        <w:t xml:space="preserve"> </w:t>
      </w:r>
      <w:r>
        <w:rPr>
          <w:rFonts w:ascii="Times New Roman;sans-serif" w:hAnsi="Times New Roman;sans-serif"/>
          <w:b w:val="false"/>
          <w:color w:val="000000"/>
          <w:sz w:val="20"/>
        </w:rPr>
        <w:t>The Cumulus Digital term loan facility, due September 2027, under which Cumulus Digital borrowed $175 million from affiliates of Orion to support Cumulus Coin’s required contributions to Nautilus, as well as Cumulus Data’s construction of certain shared infrastructure supporting both Nautilus and the Cumulus Data Campus. The Cumulus Digital TLF was repaid in full and terminated in March 2024.</w:t>
      </w:r>
    </w:p>
    <w:p>
      <w:pPr>
        <w:pStyle w:val="TextBody"/>
        <w:bidi w:val="0"/>
        <w:spacing w:lineRule="auto" w:line="288" w:before="0" w:after="180"/>
        <w:jc w:val="left"/>
        <w:rPr/>
      </w:pPr>
      <w:r>
        <w:rPr>
          <w:rFonts w:ascii="Times New Roman;sans-serif" w:hAnsi="Times New Roman;sans-serif"/>
          <w:b/>
          <w:i/>
          <w:color w:val="000000"/>
          <w:sz w:val="20"/>
        </w:rPr>
        <w:t xml:space="preserve">Dartmouth. </w:t>
      </w:r>
      <w:r>
        <w:rPr>
          <w:rFonts w:ascii="Times New Roman;sans-serif" w:hAnsi="Times New Roman;sans-serif"/>
          <w:b w:val="false"/>
          <w:color w:val="000000"/>
          <w:sz w:val="20"/>
        </w:rPr>
        <w:t>A Talen-owned and operated generation facility in Dartmouth, Massachusetts.</w:t>
      </w:r>
    </w:p>
    <w:p>
      <w:pPr>
        <w:pStyle w:val="TextBody"/>
        <w:bidi w:val="0"/>
        <w:spacing w:lineRule="auto" w:line="268" w:before="0" w:after="0"/>
        <w:jc w:val="left"/>
        <w:rPr/>
      </w:pPr>
      <w:r>
        <w:rPr>
          <w:rFonts w:ascii="Times New Roman;sans-serif" w:hAnsi="Times New Roman;sans-serif"/>
          <w:b/>
          <w:i/>
          <w:color w:val="000000"/>
          <w:sz w:val="20"/>
        </w:rPr>
        <w:t>Emergence.</w:t>
      </w:r>
      <w:r>
        <w:rPr>
          <w:color w:val="000000"/>
        </w:rPr>
        <w:t xml:space="preserve"> </w:t>
      </w:r>
      <w:r>
        <w:rPr>
          <w:rFonts w:ascii="Times New Roman;sans-serif" w:hAnsi="Times New Roman;sans-serif"/>
          <w:b w:val="false"/>
          <w:color w:val="000000"/>
          <w:sz w:val="20"/>
        </w:rPr>
        <w:t>May 17, 2023, the date that the Plan of Reorganization became effective in accordance with the terms thereof and TEC, TES and the other debtors emerged from the Restructuring.</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i/>
          <w:color w:val="000000"/>
          <w:sz w:val="20"/>
        </w:rPr>
        <w:t>EPA.</w:t>
      </w:r>
      <w:r>
        <w:rPr>
          <w:color w:val="000000"/>
        </w:rPr>
        <w:t xml:space="preserve"> </w:t>
      </w:r>
      <w:r>
        <w:rPr>
          <w:rFonts w:ascii="Times New Roman;sans-serif" w:hAnsi="Times New Roman;sans-serif"/>
          <w:b w:val="false"/>
          <w:color w:val="000000"/>
          <w:sz w:val="20"/>
        </w:rPr>
        <w:t>U.S. Environmental Protection Agency.</w:t>
      </w:r>
    </w:p>
    <w:p>
      <w:pPr>
        <w:pStyle w:val="TextBody"/>
        <w:bidi w:val="0"/>
        <w:spacing w:lineRule="auto" w:line="288" w:before="0" w:after="180"/>
        <w:jc w:val="left"/>
        <w:rPr/>
      </w:pPr>
      <w:r>
        <w:rPr>
          <w:rFonts w:ascii="Times New Roman;sans-serif" w:hAnsi="Times New Roman;sans-serif"/>
          <w:b/>
          <w:i/>
          <w:color w:val="000000"/>
          <w:sz w:val="20"/>
        </w:rPr>
        <w:t>EPA 2015 Ozone Standard.</w:t>
      </w:r>
      <w:r>
        <w:rPr>
          <w:color w:val="000000"/>
        </w:rPr>
        <w:t xml:space="preserve"> </w:t>
      </w:r>
      <w:r>
        <w:rPr>
          <w:rFonts w:ascii="Times New Roman;sans-serif" w:hAnsi="Times New Roman;sans-serif"/>
          <w:b w:val="false"/>
          <w:color w:val="000000"/>
          <w:sz w:val="20"/>
        </w:rPr>
        <w:t xml:space="preserve">The EPA’s 2015 revision to the 8-hour ozone National Ambient Air Quality Standards for ground-level ozone to 70 parts per billion, based on extensive scientific evidence about ozone’s effects on public health and welfare.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EPA CCR Rule.</w:t>
      </w:r>
      <w:r>
        <w:rPr>
          <w:color w:val="000000"/>
        </w:rPr>
        <w:t xml:space="preserve"> </w:t>
      </w:r>
      <w:r>
        <w:rPr>
          <w:rFonts w:ascii="Times New Roman;sans-serif" w:hAnsi="Times New Roman;sans-serif"/>
          <w:b w:val="false"/>
          <w:color w:val="000000"/>
          <w:sz w:val="20"/>
        </w:rPr>
        <w:t>National regulatory standards required by the EPA for the management of CCRs in landfills and surface impoundments.</w:t>
      </w:r>
    </w:p>
    <w:p>
      <w:pPr>
        <w:pStyle w:val="TextBody"/>
        <w:bidi w:val="0"/>
        <w:spacing w:lineRule="auto" w:line="288" w:before="0" w:after="180"/>
        <w:jc w:val="left"/>
        <w:rPr/>
      </w:pPr>
      <w:r>
        <w:rPr>
          <w:rFonts w:ascii="Times New Roman;sans-serif" w:hAnsi="Times New Roman;sans-serif"/>
          <w:b/>
          <w:i/>
          <w:color w:val="000000"/>
          <w:sz w:val="20"/>
        </w:rPr>
        <w:t xml:space="preserve">EPA CSAPR.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Cross-State Air Pollution Rule, which requires 28 states in the eastern half of the U.S. to reduce power plant emissions that cross state lines and contribute to ground-level ozone and fine particle pollution in other states. A cap-and-trade system is used to reduce the target pollutants — sulfur dioxide and nitrogen oxides.</w:t>
      </w:r>
    </w:p>
    <w:p>
      <w:pPr>
        <w:pStyle w:val="TextBody"/>
        <w:bidi w:val="0"/>
        <w:spacing w:lineRule="auto" w:line="288" w:before="0" w:after="180"/>
        <w:jc w:val="left"/>
        <w:rPr/>
      </w:pPr>
      <w:r>
        <w:rPr>
          <w:rFonts w:ascii="Times New Roman;sans-serif" w:hAnsi="Times New Roman;sans-serif"/>
          <w:b/>
          <w:i/>
          <w:color w:val="000000"/>
          <w:sz w:val="20"/>
        </w:rPr>
        <w:t>EPA ELG Rule.</w:t>
      </w:r>
      <w:r>
        <w:rPr>
          <w:color w:val="000000"/>
        </w:rPr>
        <w:t xml:space="preserve"> </w:t>
      </w:r>
      <w:r>
        <w:rPr>
          <w:rFonts w:ascii="Times New Roman;sans-serif" w:hAnsi="Times New Roman;sans-serif"/>
          <w:b w:val="false"/>
          <w:color w:val="000000"/>
          <w:sz w:val="20"/>
        </w:rPr>
        <w:t>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pStyle w:val="TextBody"/>
        <w:bidi w:val="0"/>
        <w:spacing w:lineRule="auto" w:line="288" w:before="0" w:after="180"/>
        <w:jc w:val="left"/>
        <w:rPr/>
      </w:pPr>
      <w:r>
        <w:rPr>
          <w:rFonts w:ascii="Times New Roman;sans-serif" w:hAnsi="Times New Roman;sans-serif"/>
          <w:b/>
          <w:i/>
          <w:color w:val="000000"/>
          <w:sz w:val="20"/>
        </w:rPr>
        <w:t>EPA GHG Rule.</w:t>
      </w:r>
      <w:r>
        <w:rPr>
          <w:color w:val="000000"/>
        </w:rPr>
        <w:t xml:space="preserve"> </w:t>
      </w:r>
      <w:r>
        <w:rPr>
          <w:rFonts w:ascii="Times New Roman;sans-serif" w:hAnsi="Times New Roman;sans-serif"/>
          <w:b w:val="false"/>
          <w:color w:val="000000"/>
          <w:sz w:val="20"/>
        </w:rPr>
        <w:t xml:space="preserve">New Source Performance Standards (NSPS) and emission guidelines for certain electric generating units established by the EPA to address greenhouse gas (GHG) emissions. </w:t>
      </w:r>
    </w:p>
    <w:p>
      <w:pPr>
        <w:pStyle w:val="TextBody"/>
        <w:bidi w:val="0"/>
        <w:spacing w:lineRule="auto" w:line="288" w:before="0" w:after="180"/>
        <w:jc w:val="left"/>
        <w:rPr/>
      </w:pPr>
      <w:r>
        <w:rPr>
          <w:rFonts w:ascii="Times New Roman;sans-serif" w:hAnsi="Times New Roman;sans-serif"/>
          <w:b/>
          <w:i/>
          <w:color w:val="000000"/>
          <w:sz w:val="20"/>
        </w:rPr>
        <w:t>EPA MATS Rule.</w:t>
      </w:r>
      <w:r>
        <w:rPr>
          <w:color w:val="000000"/>
        </w:rPr>
        <w:t xml:space="preserve"> </w:t>
      </w:r>
      <w:r>
        <w:rPr>
          <w:rFonts w:ascii="Times New Roman;sans-serif" w:hAnsi="Times New Roman;sans-serif"/>
          <w:b w:val="false"/>
          <w:color w:val="000000"/>
          <w:sz w:val="20"/>
        </w:rPr>
        <w:t>Mercury and Air Toxics Standards, EPA technology-based emissions standards for mercury and other hazardous air pollutants emitted by generation units with a capacity of more than 25 megawatts.</w:t>
      </w:r>
    </w:p>
    <w:p>
      <w:pPr>
        <w:pStyle w:val="TextBody"/>
        <w:bidi w:val="0"/>
        <w:spacing w:lineRule="auto" w:line="288" w:before="0" w:after="180"/>
        <w:jc w:val="left"/>
        <w:rPr/>
      </w:pPr>
      <w:r>
        <w:rPr>
          <w:rFonts w:ascii="Times New Roman;sans-serif" w:hAnsi="Times New Roman;sans-serif"/>
          <w:b/>
          <w:i/>
          <w:color w:val="000000"/>
          <w:sz w:val="20"/>
        </w:rPr>
        <w:t>EPA NESHAP.</w:t>
      </w:r>
      <w:r>
        <w:rPr>
          <w:color w:val="000000"/>
        </w:rPr>
        <w:t xml:space="preserve"> </w:t>
      </w:r>
      <w:r>
        <w:rPr>
          <w:rFonts w:ascii="Times New Roman;sans-serif" w:hAnsi="Times New Roman;sans-serif"/>
          <w:b w:val="false"/>
          <w:color w:val="000000"/>
          <w:sz w:val="20"/>
        </w:rPr>
        <w:t>National Emissions Standards for Hazardous Air Pollutants, an EPA standard that is applicable to the emissions of hazardous air pollutants produced by corporations, institutions and government agencies.</w:t>
      </w:r>
    </w:p>
    <w:p>
      <w:pPr>
        <w:pStyle w:val="TextBody"/>
        <w:bidi w:val="0"/>
        <w:spacing w:lineRule="auto" w:line="288" w:before="0" w:after="180"/>
        <w:jc w:val="left"/>
        <w:rPr/>
      </w:pPr>
      <w:r>
        <w:rPr>
          <w:rFonts w:ascii="Times New Roman;sans-serif" w:hAnsi="Times New Roman;sans-serif"/>
          <w:b/>
          <w:i/>
          <w:color w:val="000000"/>
          <w:sz w:val="20"/>
        </w:rPr>
        <w:t>EPS.</w:t>
      </w:r>
      <w:r>
        <w:rPr>
          <w:color w:val="000000"/>
        </w:rPr>
        <w:t xml:space="preserve"> </w:t>
      </w:r>
      <w:r>
        <w:rPr>
          <w:rFonts w:ascii="Times New Roman;sans-serif" w:hAnsi="Times New Roman;sans-serif"/>
          <w:b w:val="false"/>
          <w:color w:val="000000"/>
          <w:sz w:val="20"/>
        </w:rPr>
        <w:t xml:space="preserve">Earnings per share. </w:t>
      </w:r>
    </w:p>
    <w:p>
      <w:pPr>
        <w:pStyle w:val="TextBody"/>
        <w:bidi w:val="0"/>
        <w:spacing w:lineRule="auto" w:line="288" w:before="0" w:after="180"/>
        <w:jc w:val="left"/>
        <w:rPr/>
      </w:pPr>
      <w:r>
        <w:rPr>
          <w:rFonts w:ascii="Times New Roman;sans-serif" w:hAnsi="Times New Roman;sans-serif"/>
          <w:b/>
          <w:i/>
          <w:color w:val="000000"/>
          <w:sz w:val="20"/>
        </w:rPr>
        <w:t xml:space="preserve">ERCOT. </w:t>
      </w:r>
      <w:r>
        <w:rPr>
          <w:rFonts w:ascii="Times New Roman;sans-serif" w:hAnsi="Times New Roman;sans-serif"/>
          <w:b w:val="false"/>
          <w:color w:val="000000"/>
          <w:sz w:val="20"/>
        </w:rPr>
        <w:t>The Electric Reliability Council of Texas, operator of the electricity transmission network and electricity energy market in most of Texas, which is responsible for, among other things, scheduling electric deliveries and performing financial settlements for the competitive wholesale bulk-power market.</w:t>
      </w:r>
    </w:p>
    <w:p>
      <w:pPr>
        <w:pStyle w:val="TextBody"/>
        <w:bidi w:val="0"/>
        <w:spacing w:lineRule="auto" w:line="288" w:before="0" w:after="180"/>
        <w:jc w:val="left"/>
        <w:rPr/>
      </w:pPr>
      <w:r>
        <w:rPr>
          <w:rFonts w:ascii="Times New Roman;sans-serif" w:hAnsi="Times New Roman;sans-serif"/>
          <w:b/>
          <w:i/>
          <w:color w:val="000000"/>
          <w:sz w:val="20"/>
        </w:rPr>
        <w:t xml:space="preserve">ERCOT Sale. </w:t>
      </w:r>
      <w:r>
        <w:rPr>
          <w:rFonts w:ascii="Times New Roman;sans-serif" w:hAnsi="Times New Roman;sans-serif"/>
          <w:b w:val="false"/>
          <w:color w:val="000000"/>
          <w:sz w:val="20"/>
        </w:rPr>
        <w:t>The sale of our ERCOT fleet to CPS Energy in May 2024.</w:t>
      </w:r>
    </w:p>
    <w:p>
      <w:pPr>
        <w:pStyle w:val="TextBody"/>
        <w:bidi w:val="0"/>
        <w:spacing w:lineRule="auto" w:line="288" w:before="0" w:after="180"/>
        <w:jc w:val="left"/>
        <w:rPr/>
      </w:pPr>
      <w:r>
        <w:rPr>
          <w:rFonts w:ascii="Times New Roman;sans-serif" w:hAnsi="Times New Roman;sans-serif"/>
          <w:b/>
          <w:i/>
          <w:color w:val="000000"/>
          <w:sz w:val="20"/>
        </w:rPr>
        <w:t xml:space="preserve">Exchange Act. </w:t>
      </w:r>
      <w:r>
        <w:rPr>
          <w:rFonts w:ascii="Times New Roman;sans-serif" w:hAnsi="Times New Roman;sans-serif"/>
          <w:b w:val="false"/>
          <w:color w:val="000000"/>
          <w:sz w:val="20"/>
        </w:rPr>
        <w:t>The Securities Exchange Act of 1934, as amended.</w:t>
      </w:r>
    </w:p>
    <w:p>
      <w:pPr>
        <w:pStyle w:val="TextBody"/>
        <w:bidi w:val="0"/>
        <w:spacing w:lineRule="auto" w:line="288" w:before="0" w:after="180"/>
        <w:jc w:val="left"/>
        <w:rPr/>
      </w:pPr>
      <w:r>
        <w:rPr>
          <w:rFonts w:ascii="Times New Roman;sans-serif" w:hAnsi="Times New Roman;sans-serif"/>
          <w:b/>
          <w:i/>
          <w:color w:val="000000"/>
          <w:sz w:val="20"/>
        </w:rPr>
        <w:t xml:space="preserve">FERC. </w:t>
      </w:r>
      <w:r>
        <w:rPr>
          <w:rFonts w:ascii="Times New Roman;sans-serif" w:hAnsi="Times New Roman;sans-serif"/>
          <w:b w:val="false"/>
          <w:color w:val="000000"/>
          <w:sz w:val="20"/>
        </w:rPr>
        <w:t>U.S. Federal Energy Regulatory Commission. FERC regulates interstate transmission and wholesale sales of electricity, interstate transportation of natural gas and oil, hydropower projects and natural gas terminals.</w:t>
      </w:r>
    </w:p>
    <w:p>
      <w:pPr>
        <w:pStyle w:val="TextBody"/>
        <w:bidi w:val="0"/>
        <w:spacing w:lineRule="auto" w:line="288" w:before="0" w:after="180"/>
        <w:jc w:val="left"/>
        <w:rPr/>
      </w:pPr>
      <w:r>
        <w:rPr>
          <w:rFonts w:ascii="Times New Roman;sans-serif" w:hAnsi="Times New Roman;sans-serif"/>
          <w:b/>
          <w:i/>
          <w:color w:val="000000"/>
          <w:sz w:val="20"/>
        </w:rPr>
        <w:t xml:space="preserve">GAAP. </w:t>
      </w:r>
      <w:r>
        <w:rPr>
          <w:rFonts w:ascii="Times New Roman;sans-serif" w:hAnsi="Times New Roman;sans-serif"/>
          <w:b w:val="false"/>
          <w:color w:val="000000"/>
          <w:sz w:val="20"/>
        </w:rPr>
        <w:t>Generally Accepted Accounting Principles in the United States.</w:t>
      </w:r>
    </w:p>
    <w:p>
      <w:pPr>
        <w:pStyle w:val="TextBody"/>
        <w:bidi w:val="0"/>
        <w:spacing w:lineRule="auto" w:line="288" w:before="0" w:after="180"/>
        <w:jc w:val="left"/>
        <w:rPr/>
      </w:pPr>
      <w:r>
        <w:rPr>
          <w:rFonts w:ascii="Times New Roman;sans-serif" w:hAnsi="Times New Roman;sans-serif"/>
          <w:b/>
          <w:i/>
          <w:color w:val="000000"/>
          <w:sz w:val="20"/>
        </w:rPr>
        <w:t xml:space="preserve">H.A. Wagner. </w:t>
      </w:r>
      <w:r>
        <w:rPr>
          <w:rFonts w:ascii="Times New Roman;sans-serif" w:hAnsi="Times New Roman;sans-serif"/>
          <w:b w:val="false"/>
          <w:color w:val="000000"/>
          <w:sz w:val="20"/>
        </w:rPr>
        <w:t>A Talen-owned and operated generation facility in Curtis Bay, Maryland.</w:t>
      </w:r>
    </w:p>
    <w:p>
      <w:pPr>
        <w:pStyle w:val="TextBody"/>
        <w:bidi w:val="0"/>
        <w:spacing w:lineRule="auto" w:line="288" w:before="0" w:after="180"/>
        <w:jc w:val="left"/>
        <w:rPr/>
      </w:pPr>
      <w:r>
        <w:rPr>
          <w:rFonts w:ascii="Times New Roman;sans-serif" w:hAnsi="Times New Roman;sans-serif"/>
          <w:b/>
          <w:i/>
          <w:color w:val="000000"/>
          <w:sz w:val="20"/>
        </w:rPr>
        <w:t xml:space="preserve">Inflation Reduction Act. </w:t>
      </w:r>
      <w:r>
        <w:rPr>
          <w:rFonts w:ascii="Times New Roman;sans-serif" w:hAnsi="Times New Roman;sans-serif"/>
          <w:b w:val="false"/>
          <w:color w:val="000000"/>
          <w:sz w:val="20"/>
        </w:rPr>
        <w:t>The Inflation Reduction Act of 2022, which was signed into law in August 2022. Among the Inflation Reduction Act’s provisions are: (i) amendments to the Internal Revenue Code of 1986 to create a nuclear production tax credit program; (ii) the creation, extension and modification of tax credit programs for certain clean energy projects, such as solar, wind and battery storage; and (iii) adjustments to corporate tax rates.</w:t>
      </w:r>
    </w:p>
    <w:p>
      <w:pPr>
        <w:pStyle w:val="TextBody"/>
        <w:bidi w:val="0"/>
        <w:spacing w:lineRule="auto" w:line="288" w:before="0" w:after="180"/>
        <w:jc w:val="left"/>
        <w:rPr/>
      </w:pPr>
      <w:r>
        <w:rPr>
          <w:rFonts w:ascii="Times New Roman;sans-serif" w:hAnsi="Times New Roman;sans-serif"/>
          <w:b/>
          <w:i/>
          <w:color w:val="000000"/>
          <w:sz w:val="20"/>
        </w:rPr>
        <w:t xml:space="preserve">ISO. </w:t>
      </w:r>
      <w:r>
        <w:rPr>
          <w:rFonts w:ascii="Times New Roman;sans-serif" w:hAnsi="Times New Roman;sans-serif"/>
          <w:b w:val="false"/>
          <w:color w:val="000000"/>
          <w:sz w:val="20"/>
        </w:rPr>
        <w:t>Independent System Operator.</w:t>
      </w:r>
    </w:p>
    <w:p>
      <w:pPr>
        <w:pStyle w:val="TextBody"/>
        <w:bidi w:val="0"/>
        <w:spacing w:lineRule="auto" w:line="288" w:before="0" w:after="180"/>
        <w:jc w:val="left"/>
        <w:rPr/>
      </w:pPr>
      <w:r>
        <w:rPr>
          <w:rFonts w:ascii="Times New Roman;sans-serif" w:hAnsi="Times New Roman;sans-serif"/>
          <w:b/>
          <w:i/>
          <w:color w:val="000000"/>
          <w:sz w:val="20"/>
        </w:rPr>
        <w:t xml:space="preserve">Keystone. </w:t>
      </w:r>
      <w:r>
        <w:rPr>
          <w:rFonts w:ascii="Times New Roman;sans-serif" w:hAnsi="Times New Roman;sans-serif"/>
          <w:b w:val="false"/>
          <w:color w:val="000000"/>
          <w:sz w:val="20"/>
        </w:rPr>
        <w:t>A generation facility located in Shelocta, Pennsylvania, in which Talen Generation, through a direct subsidiary, owns a 12.34% undivided interest. Keystone is operated by an unaffiliated party. See Note 10 in Notes to the Annual Financial Statements for additional information on jointly owned facilities.</w:t>
      </w:r>
    </w:p>
    <w:p>
      <w:pPr>
        <w:pStyle w:val="TextBody"/>
        <w:bidi w:val="0"/>
        <w:spacing w:lineRule="auto" w:line="288" w:before="0" w:after="180"/>
        <w:jc w:val="left"/>
        <w:rPr/>
      </w:pPr>
      <w:r>
        <w:rPr>
          <w:rFonts w:ascii="Times New Roman;sans-serif" w:hAnsi="Times New Roman;sans-serif"/>
          <w:b/>
          <w:i/>
          <w:color w:val="000000"/>
          <w:sz w:val="20"/>
        </w:rPr>
        <w:t xml:space="preserve">LC. </w:t>
      </w:r>
      <w:r>
        <w:rPr>
          <w:rFonts w:ascii="Times New Roman;sans-serif" w:hAnsi="Times New Roman;sans-serif"/>
          <w:b w:val="false"/>
          <w:color w:val="000000"/>
          <w:sz w:val="20"/>
        </w:rPr>
        <w:t>Letter of credit.</w:t>
      </w:r>
    </w:p>
    <w:p>
      <w:pPr>
        <w:pStyle w:val="TextBody"/>
        <w:bidi w:val="0"/>
        <w:spacing w:lineRule="auto" w:line="288" w:before="0" w:after="180"/>
        <w:jc w:val="left"/>
        <w:rPr/>
      </w:pPr>
      <w:r>
        <w:rPr>
          <w:rFonts w:ascii="Times New Roman;sans-serif" w:hAnsi="Times New Roman;sans-serif"/>
          <w:b/>
          <w:i/>
          <w:color w:val="000000"/>
          <w:sz w:val="20"/>
        </w:rPr>
        <w:t>LMBE-MC TLB</w:t>
      </w:r>
      <w:r>
        <w:rPr>
          <w:rFonts w:ascii="Times New Roman;sans-serif" w:hAnsi="Times New Roman;sans-serif"/>
          <w:b w:val="false"/>
          <w:color w:val="000000"/>
          <w:sz w:val="20"/>
        </w:rPr>
        <w:t>. The term loan B facility, due December 2025, under which certain subsidiaries holding the Lower Mt. Bethel and Martins Creek facilities borrowed $777 from affiliates of MUFG. Obligations under the LMBE-MC TLB were guaranteed by those subsidiaries and secured by a first priority lien and security interest in substantially all of their assets. The LMBE-MC TLB was repaid in full and terminated in August 2023. See Note 13 in Notes to the Annual Financial Statements for additional information.</w:t>
      </w:r>
    </w:p>
    <w:p>
      <w:pPr>
        <w:pStyle w:val="TextBody"/>
        <w:bidi w:val="0"/>
        <w:spacing w:lineRule="auto" w:line="288" w:before="0" w:after="180"/>
        <w:jc w:val="left"/>
        <w:rPr/>
      </w:pPr>
      <w:r>
        <w:rPr>
          <w:rFonts w:ascii="Times New Roman;sans-serif" w:hAnsi="Times New Roman;sans-serif"/>
          <w:b/>
          <w:i/>
          <w:color w:val="000000"/>
          <w:sz w:val="20"/>
        </w:rPr>
        <w:t>Lower Mt. Bethel.</w:t>
      </w:r>
      <w:r>
        <w:rPr>
          <w:color w:val="000000"/>
        </w:rPr>
        <w:t xml:space="preserve"> </w:t>
      </w:r>
      <w:r>
        <w:rPr>
          <w:rFonts w:ascii="Times New Roman;sans-serif" w:hAnsi="Times New Roman;sans-serif"/>
          <w:b w:val="false"/>
          <w:color w:val="000000"/>
          <w:sz w:val="20"/>
        </w:rPr>
        <w:t>A Talen-owned and operated generation facility in Bangor, Pennsylvania.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Martins Creek.</w:t>
      </w:r>
      <w:r>
        <w:rPr>
          <w:color w:val="000000"/>
        </w:rPr>
        <w:t xml:space="preserve"> </w:t>
      </w:r>
      <w:r>
        <w:rPr>
          <w:rFonts w:ascii="Times New Roman;sans-serif" w:hAnsi="Times New Roman;sans-serif"/>
          <w:b w:val="false"/>
          <w:color w:val="000000"/>
          <w:sz w:val="20"/>
        </w:rPr>
        <w:t>A Talen-owned and operated generation facility in Bangor, Pennsylvania.</w:t>
      </w:r>
    </w:p>
    <w:p>
      <w:pPr>
        <w:pStyle w:val="TextBody"/>
        <w:bidi w:val="0"/>
        <w:spacing w:lineRule="auto" w:line="288" w:before="0" w:after="180"/>
        <w:jc w:val="left"/>
        <w:rPr/>
      </w:pPr>
      <w:r>
        <w:rPr>
          <w:rFonts w:ascii="Times New Roman;sans-serif" w:hAnsi="Times New Roman;sans-serif"/>
          <w:b/>
          <w:i/>
          <w:color w:val="000000"/>
          <w:sz w:val="20"/>
        </w:rPr>
        <w:t xml:space="preserve">MMBtu. </w:t>
      </w:r>
      <w:r>
        <w:rPr>
          <w:rFonts w:ascii="Times New Roman;sans-serif" w:hAnsi="Times New Roman;sans-serif"/>
          <w:b w:val="false"/>
          <w:color w:val="000000"/>
          <w:sz w:val="20"/>
        </w:rPr>
        <w:t>One million British Thermal Units.</w:t>
      </w:r>
    </w:p>
    <w:p>
      <w:pPr>
        <w:pStyle w:val="TextBody"/>
        <w:bidi w:val="0"/>
        <w:spacing w:lineRule="auto" w:line="288" w:before="0" w:after="180"/>
        <w:jc w:val="left"/>
        <w:rPr/>
      </w:pPr>
      <w:r>
        <w:rPr>
          <w:rFonts w:ascii="Times New Roman;sans-serif" w:hAnsi="Times New Roman;sans-serif"/>
          <w:b/>
          <w:i/>
          <w:color w:val="000000"/>
          <w:sz w:val="20"/>
        </w:rPr>
        <w:t xml:space="preserve">Montour. </w:t>
      </w:r>
      <w:r>
        <w:rPr>
          <w:rFonts w:ascii="Times New Roman;sans-serif" w:hAnsi="Times New Roman;sans-serif"/>
          <w:b w:val="false"/>
          <w:color w:val="000000"/>
          <w:sz w:val="20"/>
        </w:rPr>
        <w:t>A Talen-owned and operated generation facility in Washingtonville, Pennsylvania.</w:t>
      </w:r>
    </w:p>
    <w:p>
      <w:pPr>
        <w:pStyle w:val="TextBody"/>
        <w:bidi w:val="0"/>
        <w:spacing w:lineRule="auto" w:line="288" w:before="0" w:after="180"/>
        <w:jc w:val="left"/>
        <w:rPr/>
      </w:pPr>
      <w:r>
        <w:rPr>
          <w:rFonts w:ascii="Times New Roman;sans-serif" w:hAnsi="Times New Roman;sans-serif"/>
          <w:b/>
          <w:i/>
          <w:color w:val="000000"/>
          <w:sz w:val="20"/>
        </w:rPr>
        <w:t>MW.</w:t>
      </w:r>
      <w:r>
        <w:rPr>
          <w:color w:val="000000"/>
        </w:rPr>
        <w:t xml:space="preserve"> </w:t>
      </w:r>
      <w:r>
        <w:rPr>
          <w:rFonts w:ascii="Times New Roman;sans-serif" w:hAnsi="Times New Roman;sans-serif"/>
          <w:b w:val="false"/>
          <w:color w:val="000000"/>
          <w:sz w:val="20"/>
        </w:rPr>
        <w:t>Megawatt, one thousand kilowatts (one million watts) of electric power.</w:t>
      </w:r>
    </w:p>
    <w:p>
      <w:pPr>
        <w:pStyle w:val="TextBody"/>
        <w:bidi w:val="0"/>
        <w:spacing w:lineRule="auto" w:line="288" w:before="0" w:after="180"/>
        <w:jc w:val="left"/>
        <w:rPr/>
      </w:pPr>
      <w:r>
        <w:rPr>
          <w:rFonts w:ascii="Times New Roman;sans-serif" w:hAnsi="Times New Roman;sans-serif"/>
          <w:b/>
          <w:i/>
          <w:color w:val="000000"/>
          <w:sz w:val="20"/>
        </w:rPr>
        <w:t>MWh.</w:t>
      </w:r>
      <w:r>
        <w:rPr>
          <w:color w:val="000000"/>
        </w:rPr>
        <w:t xml:space="preserve"> </w:t>
      </w:r>
      <w:r>
        <w:rPr>
          <w:rFonts w:ascii="Times New Roman;sans-serif" w:hAnsi="Times New Roman;sans-serif"/>
          <w:b w:val="false"/>
          <w:color w:val="000000"/>
          <w:sz w:val="20"/>
        </w:rPr>
        <w:t>Megawatt hour, or megawatts of electric power per hour.</w:t>
      </w:r>
    </w:p>
    <w:p>
      <w:pPr>
        <w:pStyle w:val="TextBody"/>
        <w:bidi w:val="0"/>
        <w:spacing w:lineRule="auto" w:line="288" w:before="0" w:after="180"/>
        <w:jc w:val="left"/>
        <w:rPr/>
      </w:pPr>
      <w:r>
        <w:rPr>
          <w:rFonts w:ascii="Times New Roman;sans-serif" w:hAnsi="Times New Roman;sans-serif"/>
          <w:b/>
          <w:i/>
          <w:color w:val="000000"/>
          <w:sz w:val="20"/>
        </w:rPr>
        <w:t xml:space="preserve">Nautilus. </w:t>
      </w:r>
      <w:r>
        <w:rPr>
          <w:rFonts w:ascii="Times New Roman;sans-serif" w:hAnsi="Times New Roman;sans-serif"/>
          <w:b w:val="false"/>
          <w:color w:val="000000"/>
          <w:sz w:val="20"/>
        </w:rPr>
        <w:t>Nautilus Cryptomine LLC, a joint venture owned, as of June 30, 2024, 75% by Cumulus Coin and 25% by TeraWulf, which owns and operates a cryptomining project on land leased from AWS at the Cumulus Data Campus.</w:t>
      </w:r>
    </w:p>
    <w:p>
      <w:pPr>
        <w:pStyle w:val="TextBody"/>
        <w:bidi w:val="0"/>
        <w:spacing w:lineRule="auto" w:line="288" w:before="0" w:after="180"/>
        <w:jc w:val="left"/>
        <w:rPr/>
      </w:pPr>
      <w:r>
        <w:rPr>
          <w:rFonts w:ascii="Times New Roman;sans-serif" w:hAnsi="Times New Roman;sans-serif"/>
          <w:b/>
          <w:i/>
          <w:color w:val="000000"/>
          <w:sz w:val="20"/>
        </w:rPr>
        <w:t xml:space="preserve">NAV. </w:t>
      </w:r>
      <w:r>
        <w:rPr>
          <w:rFonts w:ascii="Times New Roman;sans-serif" w:hAnsi="Times New Roman;sans-serif"/>
          <w:b w:val="false"/>
          <w:color w:val="000000"/>
          <w:sz w:val="20"/>
        </w:rPr>
        <w:t>Net asset value.</w:t>
      </w:r>
    </w:p>
    <w:p>
      <w:pPr>
        <w:pStyle w:val="TextBody"/>
        <w:bidi w:val="0"/>
        <w:spacing w:lineRule="auto" w:line="288" w:before="0" w:after="180"/>
        <w:jc w:val="left"/>
        <w:rPr/>
      </w:pPr>
      <w:r>
        <w:rPr>
          <w:rFonts w:ascii="Times New Roman;sans-serif" w:hAnsi="Times New Roman;sans-serif"/>
          <w:b/>
          <w:i/>
          <w:color w:val="000000"/>
          <w:sz w:val="20"/>
        </w:rPr>
        <w:t>NCI.</w:t>
      </w:r>
      <w:r>
        <w:rPr>
          <w:color w:val="000000"/>
        </w:rPr>
        <w:t xml:space="preserve"> </w:t>
      </w:r>
      <w:r>
        <w:rPr>
          <w:rFonts w:ascii="Times New Roman;sans-serif" w:hAnsi="Times New Roman;sans-serif"/>
          <w:b w:val="false"/>
          <w:color w:val="000000"/>
          <w:sz w:val="20"/>
        </w:rPr>
        <w:t>Noncontrolling interest.</w:t>
      </w:r>
    </w:p>
    <w:p>
      <w:pPr>
        <w:pStyle w:val="TextBody"/>
        <w:bidi w:val="0"/>
        <w:spacing w:lineRule="auto" w:line="288" w:before="0" w:after="180"/>
        <w:jc w:val="left"/>
        <w:rPr/>
      </w:pPr>
      <w:r>
        <w:rPr>
          <w:rFonts w:ascii="Times New Roman;sans-serif" w:hAnsi="Times New Roman;sans-serif"/>
          <w:b/>
          <w:i/>
          <w:color w:val="000000"/>
          <w:sz w:val="20"/>
        </w:rPr>
        <w:t xml:space="preserve">NDT. </w:t>
      </w:r>
      <w:r>
        <w:rPr>
          <w:rFonts w:ascii="Times New Roman;sans-serif" w:hAnsi="Times New Roman;sans-serif"/>
          <w:b w:val="false"/>
          <w:color w:val="000000"/>
          <w:sz w:val="20"/>
        </w:rPr>
        <w:t>Nuclear facility decommissioning trust for Susquehanna.</w:t>
      </w:r>
    </w:p>
    <w:p>
      <w:pPr>
        <w:pStyle w:val="TextBody"/>
        <w:bidi w:val="0"/>
        <w:spacing w:lineRule="auto" w:line="288" w:before="0" w:after="180"/>
        <w:jc w:val="left"/>
        <w:rPr/>
      </w:pPr>
      <w:r>
        <w:rPr>
          <w:rFonts w:ascii="Times New Roman;sans-serif" w:hAnsi="Times New Roman;sans-serif"/>
          <w:b/>
          <w:i/>
          <w:color w:val="000000"/>
          <w:sz w:val="20"/>
        </w:rPr>
        <w:t>NERC.</w:t>
      </w:r>
      <w:r>
        <w:rPr>
          <w:color w:val="000000"/>
        </w:rPr>
        <w:t xml:space="preserve"> </w:t>
      </w:r>
      <w:r>
        <w:rPr>
          <w:rFonts w:ascii="Times New Roman;sans-serif" w:hAnsi="Times New Roman;sans-serif"/>
          <w:b w:val="false"/>
          <w:color w:val="000000"/>
          <w:sz w:val="20"/>
        </w:rPr>
        <w:t>North American Electric Reliability Corporation, a not-for-profit international regulatory authority whose mission is to assure the effective and efficient reduction of risks to the reliability and security of the grid.</w:t>
      </w:r>
    </w:p>
    <w:p>
      <w:pPr>
        <w:pStyle w:val="TextBody"/>
        <w:bidi w:val="0"/>
        <w:spacing w:lineRule="auto" w:line="288" w:before="0" w:after="180"/>
        <w:jc w:val="left"/>
        <w:rPr/>
      </w:pPr>
      <w:r>
        <w:rPr>
          <w:rFonts w:ascii="Times New Roman;sans-serif" w:hAnsi="Times New Roman;sans-serif"/>
          <w:b/>
          <w:i/>
          <w:color w:val="000000"/>
          <w:sz w:val="20"/>
        </w:rPr>
        <w:t>NRC.</w:t>
      </w:r>
      <w:r>
        <w:rPr>
          <w:color w:val="000000"/>
        </w:rPr>
        <w:t xml:space="preserve"> </w:t>
      </w:r>
      <w:r>
        <w:rPr>
          <w:rFonts w:ascii="Times New Roman;sans-serif" w:hAnsi="Times New Roman;sans-serif"/>
          <w:b w:val="false"/>
          <w:color w:val="000000"/>
          <w:sz w:val="20"/>
        </w:rPr>
        <w:t>U.S. Nuclear Regulatory Commission, which was created as an independent agency by Congress in 1974 to ensure the safe use of radioactive materials for beneficial civilian purposes while protecting people and the environment. The NRC regulates commercial nuclear power plants and other uses of nuclear materials, such as in nuclear medicine, through licensing, inspection and enforcement of its requirements.</w:t>
      </w:r>
    </w:p>
    <w:p>
      <w:pPr>
        <w:pStyle w:val="TextBody"/>
        <w:bidi w:val="0"/>
        <w:spacing w:lineRule="auto" w:line="288" w:before="0" w:after="180"/>
        <w:jc w:val="left"/>
        <w:rPr/>
      </w:pPr>
      <w:r>
        <w:rPr>
          <w:rFonts w:ascii="Times New Roman;sans-serif" w:hAnsi="Times New Roman;sans-serif"/>
          <w:b/>
          <w:i/>
          <w:color w:val="000000"/>
          <w:sz w:val="20"/>
        </w:rPr>
        <w:t>Nuclear PTC.</w:t>
      </w:r>
      <w:r>
        <w:rPr>
          <w:color w:val="000000"/>
        </w:rPr>
        <w:t xml:space="preserve"> </w:t>
      </w:r>
      <w:r>
        <w:rPr>
          <w:rFonts w:ascii="Times New Roman;sans-serif" w:hAnsi="Times New Roman;sans-serif"/>
          <w:b w:val="false"/>
          <w:color w:val="000000"/>
          <w:sz w:val="20"/>
        </w:rPr>
        <w:t>The nuclear production tax credit under the Inflation Reduction Act.</w:t>
      </w:r>
    </w:p>
    <w:p>
      <w:pPr>
        <w:pStyle w:val="TextBody"/>
        <w:bidi w:val="0"/>
        <w:spacing w:lineRule="auto" w:line="288" w:before="0" w:after="180"/>
        <w:jc w:val="left"/>
        <w:rPr/>
      </w:pPr>
      <w:r>
        <w:rPr>
          <w:rFonts w:ascii="Times New Roman;sans-serif" w:hAnsi="Times New Roman;sans-serif"/>
          <w:b/>
          <w:i/>
          <w:color w:val="000000"/>
          <w:sz w:val="20"/>
        </w:rPr>
        <w:t xml:space="preserve">Orion. </w:t>
      </w:r>
      <w:r>
        <w:rPr>
          <w:rFonts w:ascii="Times New Roman;sans-serif" w:hAnsi="Times New Roman;sans-serif"/>
          <w:b w:val="false"/>
          <w:color w:val="000000"/>
          <w:sz w:val="20"/>
        </w:rPr>
        <w:t>Orion Energy Partners, whose affiliates were third-party lenders under the Cumulus Digital TLF.</w:t>
      </w:r>
    </w:p>
    <w:p>
      <w:pPr>
        <w:pStyle w:val="TextBody"/>
        <w:bidi w:val="0"/>
        <w:spacing w:lineRule="auto" w:line="288" w:before="0" w:after="180"/>
        <w:jc w:val="left"/>
        <w:rPr/>
      </w:pPr>
      <w:r>
        <w:rPr>
          <w:rFonts w:ascii="Times New Roman;sans-serif" w:hAnsi="Times New Roman;sans-serif"/>
          <w:b/>
          <w:i/>
          <w:color w:val="000000"/>
          <w:sz w:val="20"/>
        </w:rPr>
        <w:t>Ozone Season.</w:t>
      </w:r>
      <w:r>
        <w:rPr>
          <w:color w:val="000000"/>
        </w:rPr>
        <w:t xml:space="preserve"> </w:t>
      </w:r>
      <w:r>
        <w:rPr>
          <w:rFonts w:ascii="Times New Roman;sans-serif" w:hAnsi="Times New Roman;sans-serif"/>
          <w:b w:val="false"/>
          <w:color w:val="000000"/>
          <w:sz w:val="20"/>
        </w:rPr>
        <w:t>A period of time in which ground-level ozone reaches its highest concentrations in the air.</w:t>
      </w:r>
    </w:p>
    <w:p>
      <w:pPr>
        <w:pStyle w:val="TextBody"/>
        <w:bidi w:val="0"/>
        <w:spacing w:lineRule="auto" w:line="288" w:before="0" w:after="180"/>
        <w:jc w:val="left"/>
        <w:rPr/>
      </w:pPr>
      <w:r>
        <w:rPr>
          <w:rFonts w:ascii="Times New Roman;sans-serif" w:hAnsi="Times New Roman;sans-serif"/>
          <w:b/>
          <w:i/>
          <w:color w:val="000000"/>
          <w:sz w:val="20"/>
        </w:rPr>
        <w:t xml:space="preserve">Ozone Transport Commission. </w:t>
      </w:r>
      <w:r>
        <w:rPr>
          <w:rFonts w:ascii="Times New Roman;sans-serif" w:hAnsi="Times New Roman;sans-serif"/>
          <w:b w:val="false"/>
          <w:color w:val="000000"/>
          <w:sz w:val="20"/>
        </w:rPr>
        <w:t>A multi-state organization created under the Clean Air Act responsible for advising the EPA and implementing regional solutions to ground-level ozone issues.</w:t>
      </w:r>
    </w:p>
    <w:p>
      <w:pPr>
        <w:pStyle w:val="TextBody"/>
        <w:bidi w:val="0"/>
        <w:spacing w:lineRule="auto" w:line="288" w:before="0" w:after="180"/>
        <w:jc w:val="left"/>
        <w:rPr/>
      </w:pPr>
      <w:r>
        <w:rPr>
          <w:rFonts w:ascii="Times New Roman;sans-serif" w:hAnsi="Times New Roman;sans-serif"/>
          <w:b/>
          <w:i/>
          <w:color w:val="000000"/>
          <w:sz w:val="20"/>
        </w:rPr>
        <w:t>PEDFA Bonds.</w:t>
      </w:r>
      <w:r>
        <w:rPr>
          <w:color w:val="000000"/>
        </w:rPr>
        <w:t xml:space="preserve"> </w:t>
      </w:r>
      <w:r>
        <w:rPr>
          <w:rFonts w:ascii="Times New Roman;sans-serif" w:hAnsi="Times New Roman;sans-serif"/>
          <w:b w:val="false"/>
          <w:color w:val="000000"/>
          <w:sz w:val="20"/>
        </w:rPr>
        <w:t>The following series of</w:t>
      </w:r>
      <w:r>
        <w:rPr>
          <w:color w:val="000000"/>
        </w:rPr>
        <w:t xml:space="preserve"> </w:t>
      </w:r>
      <w:r>
        <w:rPr>
          <w:rFonts w:ascii="Times New Roman;sans-serif" w:hAnsi="Times New Roman;sans-serif"/>
          <w:b w:val="false"/>
          <w:color w:val="000000"/>
          <w:sz w:val="20"/>
        </w:rPr>
        <w:t>Pennsylvania Economic Development Financing Authority (“PEDFA”) Exempt Facilities Revenue Refunding Bonds: Series 2009A due December 2038 (“PEDFA 2009A Bonds”); Series 2009B due December 2038 (“PEDFA 2009B Bonds”); and Series 2009C due December 2037 (“PEDFA 2009C Bonds”). Holders of the PEDFA 2009A Bonds received TEC common stock in connection with the Restructuring in satisfaction of their claims. The PEDFA 2009B Bonds and PEDFA 2009C Bonds currently remain outstanding and are guaranteed by certain of the Subsidiary Guarantors.</w:t>
      </w:r>
    </w:p>
    <w:p>
      <w:pPr>
        <w:pStyle w:val="TextBody"/>
        <w:bidi w:val="0"/>
        <w:spacing w:lineRule="auto" w:line="288" w:before="0" w:after="180"/>
        <w:jc w:val="left"/>
        <w:rPr/>
      </w:pPr>
      <w:r>
        <w:rPr>
          <w:rFonts w:ascii="Times New Roman;sans-serif" w:hAnsi="Times New Roman;sans-serif"/>
          <w:b/>
          <w:i/>
          <w:color w:val="000000"/>
          <w:sz w:val="20"/>
        </w:rPr>
        <w:t xml:space="preserve">PJM. </w:t>
      </w:r>
      <w:r>
        <w:rPr>
          <w:rFonts w:ascii="Times New Roman;sans-serif" w:hAnsi="Times New Roman;sans-serif"/>
          <w:b w:val="false"/>
          <w:color w:val="000000"/>
          <w:sz w:val="20"/>
        </w:rPr>
        <w:t>PJM Interconnection, L.L.C., the RTO that operates the electricity transmission network and wholesale power market in all or parts of Delaware, Illinois, Indiana, Kentucky, Maryland, Michigan, New Jersey, North Carolina, Ohio, Pennsylvania, Tennessee, Virginia, West Virginia and the District of Columbia.</w:t>
      </w:r>
    </w:p>
    <w:p>
      <w:pPr>
        <w:pStyle w:val="TextBody"/>
        <w:bidi w:val="0"/>
        <w:spacing w:lineRule="auto" w:line="288" w:before="0" w:after="180"/>
        <w:jc w:val="left"/>
        <w:rPr/>
      </w:pPr>
      <w:r>
        <w:rPr>
          <w:rFonts w:ascii="Times New Roman;sans-serif" w:hAnsi="Times New Roman;sans-serif"/>
          <w:b/>
          <w:i/>
          <w:color w:val="000000"/>
          <w:sz w:val="20"/>
        </w:rPr>
        <w:t>PJM ACR.</w:t>
      </w:r>
      <w:r>
        <w:rPr>
          <w:color w:val="000000"/>
        </w:rPr>
        <w:t xml:space="preserve"> </w:t>
      </w:r>
      <w:r>
        <w:rPr>
          <w:rFonts w:ascii="Times New Roman;sans-serif" w:hAnsi="Times New Roman;sans-serif"/>
          <w:b w:val="false"/>
          <w:color w:val="000000"/>
          <w:sz w:val="20"/>
        </w:rPr>
        <w:t>PJM’s “Avoidable Cost Rate” defined under the PJM Open Access Transmission Tariff, if the formula that serves as the PJM MSOC.</w:t>
      </w:r>
    </w:p>
    <w:p>
      <w:pPr>
        <w:pStyle w:val="TextBody"/>
        <w:bidi w:val="0"/>
        <w:spacing w:lineRule="auto" w:line="288" w:before="0" w:after="180"/>
        <w:jc w:val="left"/>
        <w:rPr/>
      </w:pPr>
      <w:r>
        <w:rPr>
          <w:rFonts w:ascii="Times New Roman;sans-serif" w:hAnsi="Times New Roman;sans-serif"/>
          <w:b/>
          <w:i/>
          <w:color w:val="000000"/>
          <w:sz w:val="20"/>
        </w:rPr>
        <w:t xml:space="preserve">PJM Base Residual Auction. </w:t>
      </w:r>
      <w:r>
        <w:rPr>
          <w:rFonts w:ascii="Times New Roman;sans-serif" w:hAnsi="Times New Roman;sans-serif"/>
          <w:b w:val="false"/>
          <w:color w:val="000000"/>
          <w:sz w:val="20"/>
        </w:rPr>
        <w:t>A component of the PJM RPM, the PJM Base Residual Auction, is intended to secure power supply resources from market participants in advance of the PJM Capacity Year. It is usually held during the month of May three years prior to the start of the PJM Capacity Year.</w:t>
      </w:r>
    </w:p>
    <w:p>
      <w:pPr>
        <w:pStyle w:val="TextBody"/>
        <w:bidi w:val="0"/>
        <w:spacing w:lineRule="auto" w:line="288" w:before="0" w:after="180"/>
        <w:jc w:val="left"/>
        <w:rPr/>
      </w:pPr>
      <w:r>
        <w:rPr>
          <w:rFonts w:ascii="Times New Roman;sans-serif" w:hAnsi="Times New Roman;sans-serif"/>
          <w:b/>
          <w:i/>
          <w:color w:val="000000"/>
          <w:sz w:val="20"/>
        </w:rPr>
        <w:t xml:space="preserve">PJM Capacity Year. </w:t>
      </w:r>
      <w:r>
        <w:rPr>
          <w:rFonts w:ascii="Times New Roman;sans-serif" w:hAnsi="Times New Roman;sans-serif"/>
          <w:b w:val="false"/>
          <w:color w:val="000000"/>
          <w:sz w:val="20"/>
        </w:rPr>
        <w:t>PJM capacity revenues delivery years cover the period from June 1 to May 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 xml:space="preserve">PJM IMM. </w:t>
      </w:r>
      <w:r>
        <w:rPr>
          <w:rFonts w:ascii="Times New Roman;sans-serif" w:hAnsi="Times New Roman;sans-serif"/>
          <w:b w:val="false"/>
          <w:color w:val="000000"/>
          <w:sz w:val="20"/>
        </w:rPr>
        <w:t>Independent Market Monitor for PJM, who is intended to operate independently from PJM staff and members to objectively monitor, investigate, evaluate and report on PJM’s markets and is responsible for guarding against the exercise of market power.</w:t>
      </w:r>
    </w:p>
    <w:p>
      <w:pPr>
        <w:pStyle w:val="TextBody"/>
        <w:bidi w:val="0"/>
        <w:spacing w:lineRule="auto" w:line="288" w:before="0" w:after="180"/>
        <w:jc w:val="left"/>
        <w:rPr/>
      </w:pPr>
      <w:r>
        <w:rPr>
          <w:rFonts w:ascii="Times New Roman;sans-serif" w:hAnsi="Times New Roman;sans-serif"/>
          <w:b/>
          <w:i/>
          <w:color w:val="000000"/>
          <w:sz w:val="20"/>
        </w:rPr>
        <w:t>PJM MOPR.</w:t>
      </w:r>
      <w:r>
        <w:rPr>
          <w:color w:val="000000"/>
        </w:rPr>
        <w:t xml:space="preserve"> </w:t>
      </w:r>
      <w:r>
        <w:rPr>
          <w:rFonts w:ascii="Times New Roman;sans-serif" w:hAnsi="Times New Roman;sans-serif"/>
          <w:b w:val="false"/>
          <w:color w:val="000000"/>
          <w:sz w:val="20"/>
        </w:rPr>
        <w:t>Minimum Offer Price Rule, which limits the minimum price at which certain units can bid into the auction due to certain external subsidization.</w:t>
      </w:r>
    </w:p>
    <w:p>
      <w:pPr>
        <w:pStyle w:val="TextBody"/>
        <w:bidi w:val="0"/>
        <w:spacing w:lineRule="auto" w:line="288" w:before="0" w:after="180"/>
        <w:jc w:val="left"/>
        <w:rPr/>
      </w:pPr>
      <w:r>
        <w:rPr>
          <w:rFonts w:ascii="Times New Roman;sans-serif" w:hAnsi="Times New Roman;sans-serif"/>
          <w:b/>
          <w:i/>
          <w:color w:val="000000"/>
          <w:sz w:val="20"/>
        </w:rPr>
        <w:t>PJM MSOC.</w:t>
      </w:r>
      <w:r>
        <w:rPr>
          <w:color w:val="000000"/>
        </w:rPr>
        <w:t xml:space="preserve"> </w:t>
      </w:r>
      <w:r>
        <w:rPr>
          <w:rFonts w:ascii="Times New Roman;sans-serif" w:hAnsi="Times New Roman;sans-serif"/>
          <w:b w:val="false"/>
          <w:color w:val="000000"/>
          <w:sz w:val="20"/>
        </w:rPr>
        <w:t>PJM Market Seller Offer Cap, which is the price ceiling applied by PJM to certain capacity sell offers and is based on the PJM ACR.</w:t>
      </w:r>
    </w:p>
    <w:p>
      <w:pPr>
        <w:pStyle w:val="TextBody"/>
        <w:bidi w:val="0"/>
        <w:spacing w:lineRule="auto" w:line="288" w:before="0" w:after="180"/>
        <w:jc w:val="left"/>
        <w:rPr/>
      </w:pPr>
      <w:r>
        <w:rPr>
          <w:rFonts w:ascii="Times New Roman;sans-serif" w:hAnsi="Times New Roman;sans-serif"/>
          <w:b/>
          <w:i/>
          <w:color w:val="000000"/>
          <w:sz w:val="20"/>
        </w:rPr>
        <w:t>PJM RPM.</w:t>
      </w:r>
      <w:r>
        <w:rPr>
          <w:color w:val="000000"/>
        </w:rPr>
        <w:t xml:space="preserve"> </w:t>
      </w:r>
      <w:r>
        <w:rPr>
          <w:rFonts w:ascii="Times New Roman;sans-serif" w:hAnsi="Times New Roman;sans-serif"/>
          <w:b w:val="false"/>
          <w:color w:val="000000"/>
          <w:sz w:val="20"/>
        </w:rPr>
        <w:t>PJM’s capacity market, or the Reliable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pStyle w:val="TextBody"/>
        <w:bidi w:val="0"/>
        <w:spacing w:lineRule="auto" w:line="288" w:before="0" w:after="180"/>
        <w:jc w:val="left"/>
        <w:rPr/>
      </w:pPr>
      <w:r>
        <w:rPr>
          <w:rFonts w:ascii="Times New Roman;sans-serif" w:hAnsi="Times New Roman;sans-serif"/>
          <w:b/>
          <w:i/>
          <w:color w:val="000000"/>
          <w:sz w:val="20"/>
        </w:rPr>
        <w:t xml:space="preserve">Plan of Reorganization. </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Joint Chapter 11 Plan of Reorganization of Talen Energy Supply, LLC and Its Affiliated Debtors</w:t>
      </w:r>
      <w:r>
        <w:rPr>
          <w:color w:val="000000"/>
        </w:rPr>
        <w:t xml:space="preserve"> </w:t>
      </w:r>
      <w:r>
        <w:rPr>
          <w:rFonts w:ascii="Times New Roman;sans-serif" w:hAnsi="Times New Roman;sans-serif"/>
          <w:b w:val="false"/>
          <w:color w:val="000000"/>
          <w:sz w:val="20"/>
        </w:rPr>
        <w:t>(Docket No. 1206), as subsequently amended, supplemented or otherwise modified, and any exhibits or schedules thereto.</w:t>
      </w:r>
    </w:p>
    <w:p>
      <w:pPr>
        <w:pStyle w:val="TextBody"/>
        <w:bidi w:val="0"/>
        <w:spacing w:lineRule="auto" w:line="288" w:before="0" w:after="180"/>
        <w:jc w:val="left"/>
        <w:rPr/>
      </w:pPr>
      <w:r>
        <w:rPr>
          <w:rFonts w:ascii="Times New Roman;sans-serif" w:hAnsi="Times New Roman;sans-serif"/>
          <w:b/>
          <w:i/>
          <w:color w:val="000000"/>
          <w:sz w:val="20"/>
        </w:rPr>
        <w:t xml:space="preserve">PP&amp;E. </w:t>
      </w:r>
      <w:r>
        <w:rPr>
          <w:rFonts w:ascii="Times New Roman;sans-serif" w:hAnsi="Times New Roman;sans-serif"/>
          <w:b w:val="false"/>
          <w:color w:val="000000"/>
          <w:sz w:val="20"/>
        </w:rPr>
        <w:t>Property, plant and equipment.</w:t>
      </w:r>
    </w:p>
    <w:p>
      <w:pPr>
        <w:pStyle w:val="TextBody"/>
        <w:bidi w:val="0"/>
        <w:spacing w:lineRule="auto" w:line="288" w:before="0" w:after="180"/>
        <w:jc w:val="left"/>
        <w:rPr/>
      </w:pPr>
      <w:r>
        <w:rPr>
          <w:rFonts w:ascii="Times New Roman;sans-serif" w:hAnsi="Times New Roman;sans-serif"/>
          <w:b/>
          <w:i/>
          <w:color w:val="000000"/>
          <w:sz w:val="20"/>
        </w:rPr>
        <w:t xml:space="preserve">PPL. </w:t>
      </w:r>
      <w:r>
        <w:rPr>
          <w:rFonts w:ascii="Times New Roman;sans-serif" w:hAnsi="Times New Roman;sans-serif"/>
          <w:b w:val="false"/>
          <w:color w:val="000000"/>
          <w:sz w:val="20"/>
        </w:rPr>
        <w:t>PPL Corporation, the former indirect parent holding company of Talen Energy Supply and Talen Energy Corporation until 2015.</w:t>
      </w:r>
    </w:p>
    <w:p>
      <w:pPr>
        <w:pStyle w:val="TextBody"/>
        <w:bidi w:val="0"/>
        <w:spacing w:lineRule="auto" w:line="288" w:before="0" w:after="180"/>
        <w:jc w:val="left"/>
        <w:rPr/>
      </w:pPr>
      <w:r>
        <w:rPr>
          <w:rFonts w:ascii="Times New Roman;sans-serif" w:hAnsi="Times New Roman;sans-serif"/>
          <w:b/>
          <w:i/>
          <w:color w:val="000000"/>
          <w:sz w:val="20"/>
        </w:rPr>
        <w:t>Predecessor.</w:t>
      </w:r>
      <w:r>
        <w:rPr>
          <w:color w:val="000000"/>
        </w:rPr>
        <w:t xml:space="preserve"> </w:t>
      </w:r>
      <w:r>
        <w:rPr>
          <w:rFonts w:ascii="Times New Roman;sans-serif" w:hAnsi="Times New Roman;sans-serif"/>
          <w:b w:val="false"/>
          <w:color w:val="000000"/>
          <w:sz w:val="20"/>
        </w:rPr>
        <w:t>Relates to the financial position or results of operations of Talen Energy Supply for periods prior to Emergence, or May 17, 2023.</w:t>
      </w:r>
    </w:p>
    <w:p>
      <w:pPr>
        <w:pStyle w:val="TextBody"/>
        <w:bidi w:val="0"/>
        <w:spacing w:lineRule="auto" w:line="288" w:before="0" w:after="180"/>
        <w:jc w:val="left"/>
        <w:rPr/>
      </w:pPr>
      <w:r>
        <w:rPr>
          <w:rFonts w:ascii="Times New Roman;sans-serif" w:hAnsi="Times New Roman;sans-serif"/>
          <w:b/>
          <w:i/>
          <w:color w:val="000000"/>
          <w:sz w:val="20"/>
        </w:rPr>
        <w:t>Prepetition RCF</w:t>
      </w:r>
      <w:r>
        <w:rPr>
          <w:rFonts w:ascii="Times New Roman;sans-serif" w:hAnsi="Times New Roman;sans-serif"/>
          <w:b w:val="false"/>
          <w:color w:val="000000"/>
          <w:sz w:val="20"/>
        </w:rPr>
        <w:t>. The Credit Agreement dated as of June 1, 2015, as subsequently amended, supplemented or otherwise modified, among Talen Energy Supply, as borrower, Citibank, N.A., as administrative agent and collateral trustee, and the lenders party thereto, which established a senior secured revolving credit facility, including an LC sub-facility, which was subsequently amended to an LC-only facility.</w:t>
      </w:r>
    </w:p>
    <w:p>
      <w:pPr>
        <w:pStyle w:val="TextBody"/>
        <w:bidi w:val="0"/>
        <w:spacing w:lineRule="auto" w:line="288" w:before="0" w:after="180"/>
        <w:jc w:val="left"/>
        <w:rPr/>
      </w:pPr>
      <w:r>
        <w:rPr>
          <w:rFonts w:ascii="Times New Roman;sans-serif" w:hAnsi="Times New Roman;sans-serif"/>
          <w:b/>
          <w:i/>
          <w:color w:val="000000"/>
          <w:sz w:val="20"/>
        </w:rPr>
        <w:t xml:space="preserve">Prepetition Secured Indebtedness. </w:t>
      </w:r>
      <w:r>
        <w:rPr>
          <w:rFonts w:ascii="Times New Roman;sans-serif" w:hAnsi="Times New Roman;sans-serif"/>
          <w:b w:val="false"/>
          <w:color w:val="000000"/>
          <w:sz w:val="20"/>
        </w:rPr>
        <w:t>Collectively, the Prepetition RCF, Prepetition TLB, Prepetition CAF and Prepetition Secured Notes.</w:t>
      </w:r>
    </w:p>
    <w:p>
      <w:pPr>
        <w:pStyle w:val="TextBody"/>
        <w:bidi w:val="0"/>
        <w:spacing w:lineRule="auto" w:line="288" w:before="0" w:after="180"/>
        <w:jc w:val="left"/>
        <w:rPr/>
      </w:pPr>
      <w:r>
        <w:rPr>
          <w:rFonts w:ascii="Times New Roman;sans-serif" w:hAnsi="Times New Roman;sans-serif"/>
          <w:b/>
          <w:i/>
          <w:color w:val="000000"/>
          <w:sz w:val="20"/>
        </w:rPr>
        <w:t>Prepetition Secured Notes.</w:t>
      </w:r>
      <w:r>
        <w:rPr>
          <w:color w:val="000000"/>
        </w:rPr>
        <w:t xml:space="preserve"> </w:t>
      </w:r>
      <w:r>
        <w:rPr>
          <w:rFonts w:ascii="Times New Roman;sans-serif" w:hAnsi="Times New Roman;sans-serif"/>
          <w:b w:val="false"/>
          <w:color w:val="000000"/>
          <w:sz w:val="20"/>
        </w:rPr>
        <w:t>The following series of prepetition senior secured notes issued by Talen Energy Supply: (i) 7.25% Senior Secured Notes due 2027; (ii) 6.625% Senior Secured Notes due 2028; and (iii) 7.625% Senior Secured Notes due 2028.</w:t>
      </w:r>
    </w:p>
    <w:p>
      <w:pPr>
        <w:pStyle w:val="TextBody"/>
        <w:bidi w:val="0"/>
        <w:spacing w:lineRule="auto" w:line="288" w:before="0" w:after="180"/>
        <w:jc w:val="left"/>
        <w:rPr/>
      </w:pPr>
      <w:r>
        <w:rPr>
          <w:rFonts w:ascii="Times New Roman;sans-serif" w:hAnsi="Times New Roman;sans-serif"/>
          <w:b/>
          <w:i/>
          <w:color w:val="000000"/>
          <w:sz w:val="20"/>
        </w:rPr>
        <w:t>Prepetition TLB</w:t>
      </w:r>
      <w:r>
        <w:rPr>
          <w:rFonts w:ascii="Times New Roman;sans-serif" w:hAnsi="Times New Roman;sans-serif"/>
          <w:b w:val="false"/>
          <w:color w:val="000000"/>
          <w:sz w:val="20"/>
        </w:rPr>
        <w:t>. The Term Loan Credit Agreement, dated as of July 8, 2019, as subsequently amended, supplemented or otherwise modified, among Talen Energy Supply, as borrower, JPMorgan Chase Bank, N.A., as administrative agent, and the lenders party thereto, which established a senior secured term loan B facility.</w:t>
      </w:r>
    </w:p>
    <w:p>
      <w:pPr>
        <w:pStyle w:val="TextBody"/>
        <w:bidi w:val="0"/>
        <w:spacing w:lineRule="auto" w:line="288" w:before="0" w:after="180"/>
        <w:jc w:val="left"/>
        <w:rPr/>
      </w:pPr>
      <w:r>
        <w:rPr>
          <w:rFonts w:ascii="Times New Roman;sans-serif" w:hAnsi="Times New Roman;sans-serif"/>
          <w:b/>
          <w:i/>
          <w:color w:val="000000"/>
          <w:sz w:val="20"/>
        </w:rPr>
        <w:t>RCF.</w:t>
      </w:r>
      <w:r>
        <w:rPr>
          <w:color w:val="000000"/>
        </w:rPr>
        <w:t xml:space="preserve"> </w:t>
      </w:r>
      <w:r>
        <w:rPr>
          <w:rFonts w:ascii="Times New Roman;sans-serif" w:hAnsi="Times New Roman;sans-serif"/>
          <w:b w:val="false"/>
          <w:color w:val="000000"/>
          <w:sz w:val="20"/>
        </w:rPr>
        <w:t>The senior secured revolving credit facility that provides aggregate revolving commitments of $700 million, including letter of credit commitments of $475 million, under the Credit Agreement. Obligations under the RCF are guaranteed by the Subsidiary Guarantors and secured by a first priority lien and security interest in substantially all of the assets of Talen Energy Supply and the Subsidiary Guarantors.</w:t>
      </w:r>
    </w:p>
    <w:p>
      <w:pPr>
        <w:pStyle w:val="TextBody"/>
        <w:bidi w:val="0"/>
        <w:spacing w:lineRule="auto" w:line="288" w:before="0" w:after="180"/>
        <w:jc w:val="left"/>
        <w:rPr/>
      </w:pPr>
      <w:r>
        <w:rPr>
          <w:rFonts w:ascii="Times New Roman;sans-serif" w:hAnsi="Times New Roman;sans-serif"/>
          <w:b/>
          <w:i/>
          <w:color w:val="000000"/>
          <w:sz w:val="20"/>
        </w:rPr>
        <w:t xml:space="preserve">Registration Statement. </w:t>
      </w:r>
      <w:r>
        <w:rPr>
          <w:rFonts w:ascii="Times New Roman;sans-serif" w:hAnsi="Times New Roman;sans-serif"/>
          <w:b w:val="false"/>
          <w:color w:val="000000"/>
          <w:sz w:val="20"/>
        </w:rPr>
        <w:t>The TEC registration statement on Form S-1 pursuant to the Securities Exchange Act of 1933 as filed with the SEC on June 20, 2024 (file number 333-280341).</w:t>
      </w:r>
    </w:p>
    <w:p>
      <w:pPr>
        <w:pStyle w:val="TextBody"/>
        <w:bidi w:val="0"/>
        <w:spacing w:lineRule="auto" w:line="288" w:before="0" w:after="180"/>
        <w:jc w:val="left"/>
        <w:rPr/>
      </w:pPr>
      <w:r>
        <w:rPr>
          <w:rFonts w:ascii="Times New Roman;sans-serif" w:hAnsi="Times New Roman;sans-serif"/>
          <w:b/>
          <w:i/>
          <w:color w:val="000000"/>
          <w:sz w:val="20"/>
        </w:rPr>
        <w:t>Reliability-Must-Run.</w:t>
      </w:r>
      <w:r>
        <w:rPr>
          <w:color w:val="000000"/>
        </w:rPr>
        <w:t xml:space="preserve"> </w:t>
      </w:r>
      <w:r>
        <w:rPr>
          <w:rFonts w:ascii="Times New Roman;sans-serif" w:hAnsi="Times New Roman;sans-serif"/>
          <w:b w:val="false"/>
          <w:color w:val="000000"/>
          <w:sz w:val="20"/>
        </w:rPr>
        <w:t>Refers to a generating unit that is slated to be retired by its owners but is needed to be available for reasons of reliability. It is typically requested to remain operational beyond its proposed retirement date until transmission upgrades are completed. These arrangements have been used to keep certain power plants operating past their planned retirement dates in order to prevent reliability problems.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jc w:val="left"/>
        <w:rPr/>
      </w:pPr>
      <w:r>
        <w:rPr/>
      </w:r>
    </w:p>
    <w:p>
      <w:pPr>
        <w:pStyle w:val="TextBody"/>
        <w:bidi w:val="0"/>
        <w:spacing w:lineRule="auto" w:line="268" w:before="0" w:after="0"/>
        <w:jc w:val="left"/>
        <w:rPr/>
      </w:pPr>
      <w:r>
        <w:rPr>
          <w:rFonts w:ascii="Times New Roman;sans-serif" w:hAnsi="Times New Roman;sans-serif"/>
          <w:b/>
          <w:i/>
          <w:color w:val="000000"/>
          <w:sz w:val="20"/>
        </w:rPr>
        <w:t>Restructuring.</w:t>
      </w:r>
      <w:r>
        <w:rPr>
          <w:color w:val="000000"/>
        </w:rPr>
        <w:t xml:space="preserve"> </w:t>
      </w:r>
      <w:r>
        <w:rPr>
          <w:rFonts w:ascii="Times New Roman;sans-serif" w:hAnsi="Times New Roman;sans-serif"/>
          <w:b w:val="false"/>
          <w:color w:val="000000"/>
          <w:sz w:val="20"/>
        </w:rPr>
        <w:t>The voluntary cases commenced by TEC, TES and the other debtors under Chapter 11 of the U.S Bankruptcy Code, together with the related financial restructuring of the existing debt, existing equity interests and certain other obligations pursuant to the Plan of Reorganization.</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i/>
          <w:color w:val="000000"/>
          <w:sz w:val="20"/>
        </w:rPr>
        <w:t xml:space="preserve">RGGI. </w:t>
      </w:r>
      <w:r>
        <w:rPr>
          <w:rFonts w:ascii="Times New Roman;sans-serif" w:hAnsi="Times New Roman;sans-serif"/>
          <w:b w:val="false"/>
          <w:color w:val="000000"/>
          <w:sz w:val="20"/>
        </w:rPr>
        <w:t>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RGGI allowances, as issued by each participating state, represent an authorization for a power generation facility to emit one short ton of carbon dioxide. Allowances may be acquired by auction or through secondary markets. Pennsylvania has proposed joining this market-based program.</w:t>
      </w:r>
    </w:p>
    <w:p>
      <w:pPr>
        <w:pStyle w:val="TextBody"/>
        <w:bidi w:val="0"/>
        <w:spacing w:lineRule="auto" w:line="288" w:before="0" w:after="180"/>
        <w:jc w:val="left"/>
        <w:rPr/>
      </w:pPr>
      <w:r>
        <w:rPr>
          <w:rFonts w:ascii="Times New Roman;sans-serif" w:hAnsi="Times New Roman;sans-serif"/>
          <w:b/>
          <w:i/>
          <w:color w:val="000000"/>
          <w:sz w:val="20"/>
        </w:rPr>
        <w:t xml:space="preserve">Riverstone. </w:t>
      </w:r>
      <w:r>
        <w:rPr>
          <w:rFonts w:ascii="Times New Roman;sans-serif" w:hAnsi="Times New Roman;sans-serif"/>
          <w:b w:val="false"/>
          <w:color w:val="000000"/>
          <w:sz w:val="20"/>
        </w:rPr>
        <w:t>Riverstone Holdings LLC and certain of its affiliates.</w:t>
      </w:r>
    </w:p>
    <w:p>
      <w:pPr>
        <w:pStyle w:val="TextBody"/>
        <w:bidi w:val="0"/>
        <w:spacing w:lineRule="auto" w:line="288" w:before="0" w:after="180"/>
        <w:jc w:val="left"/>
        <w:rPr/>
      </w:pPr>
      <w:r>
        <w:rPr>
          <w:rFonts w:ascii="Times New Roman;sans-serif" w:hAnsi="Times New Roman;sans-serif"/>
          <w:b/>
          <w:i/>
          <w:color w:val="000000"/>
          <w:sz w:val="20"/>
        </w:rPr>
        <w:t>Rosebud Mine.</w:t>
      </w:r>
      <w:r>
        <w:rPr>
          <w:color w:val="000000"/>
        </w:rPr>
        <w:t xml:space="preserve"> </w:t>
      </w:r>
      <w:r>
        <w:rPr>
          <w:rFonts w:ascii="Times New Roman;sans-serif" w:hAnsi="Times New Roman;sans-serif"/>
          <w:b w:val="false"/>
          <w:color w:val="000000"/>
          <w:sz w:val="20"/>
        </w:rPr>
        <w:t>A coal mine in Montana owned by Westmoreland Rosebud Mining, LLC that supplies coal to the Colstrip Units.</w:t>
      </w:r>
    </w:p>
    <w:p>
      <w:pPr>
        <w:pStyle w:val="TextBody"/>
        <w:bidi w:val="0"/>
        <w:spacing w:lineRule="auto" w:line="288" w:before="0" w:after="180"/>
        <w:jc w:val="left"/>
        <w:rPr/>
      </w:pPr>
      <w:r>
        <w:rPr>
          <w:rFonts w:ascii="Times New Roman;sans-serif" w:hAnsi="Times New Roman;sans-serif"/>
          <w:b/>
          <w:i/>
          <w:color w:val="000000"/>
          <w:sz w:val="20"/>
        </w:rPr>
        <w:t xml:space="preserve">RTO. </w:t>
      </w:r>
      <w:r>
        <w:rPr>
          <w:rFonts w:ascii="Times New Roman;sans-serif" w:hAnsi="Times New Roman;sans-serif"/>
          <w:b w:val="false"/>
          <w:color w:val="000000"/>
          <w:sz w:val="20"/>
        </w:rPr>
        <w:t>Regional Transmission Organization.</w:t>
      </w:r>
    </w:p>
    <w:p>
      <w:pPr>
        <w:pStyle w:val="TextBody"/>
        <w:bidi w:val="0"/>
        <w:spacing w:lineRule="auto" w:line="288" w:before="0" w:after="180"/>
        <w:jc w:val="left"/>
        <w:rPr/>
      </w:pPr>
      <w:r>
        <w:rPr>
          <w:rFonts w:ascii="Times New Roman;sans-serif" w:hAnsi="Times New Roman;sans-serif"/>
          <w:b/>
          <w:i/>
          <w:color w:val="000000"/>
          <w:sz w:val="20"/>
        </w:rPr>
        <w:t>Secured ISDAs.</w:t>
      </w:r>
      <w:r>
        <w:rPr>
          <w:color w:val="000000"/>
        </w:rPr>
        <w:t xml:space="preserve"> </w:t>
      </w:r>
      <w:r>
        <w:rPr>
          <w:rFonts w:ascii="Times New Roman;sans-serif" w:hAnsi="Times New Roman;sans-serif"/>
          <w:b w:val="false"/>
          <w:color w:val="000000"/>
          <w:sz w:val="20"/>
        </w:rPr>
        <w:t>Certain bilateral secured International Swaps and Derivatives Association (“ISDA”) agreements and Base Contracts for Sale and Purchase of Natural Gas as published by the North American Energy Standards Board (“NAESB”) of Talen Energy Marketing. Obligations under the Secured ISDAs are secured by a first priority lien and security interest in substantially all of the assets of Talen Energy Supply and the Subsidiary Guarantors.</w:t>
      </w:r>
    </w:p>
    <w:p>
      <w:pPr>
        <w:pStyle w:val="TextBody"/>
        <w:bidi w:val="0"/>
        <w:spacing w:lineRule="auto" w:line="288" w:before="0" w:after="180"/>
        <w:jc w:val="left"/>
        <w:rPr/>
      </w:pPr>
      <w:r>
        <w:rPr>
          <w:rFonts w:ascii="Times New Roman;sans-serif" w:hAnsi="Times New Roman;sans-serif"/>
          <w:b/>
          <w:i/>
          <w:color w:val="000000"/>
          <w:sz w:val="20"/>
        </w:rPr>
        <w:t>Secured Notes.</w:t>
      </w:r>
      <w:r>
        <w:rPr>
          <w:color w:val="000000"/>
        </w:rPr>
        <w:t xml:space="preserve"> </w:t>
      </w:r>
      <w:r>
        <w:rPr>
          <w:rFonts w:ascii="Times New Roman;sans-serif" w:hAnsi="Times New Roman;sans-serif"/>
          <w:b w:val="false"/>
          <w:color w:val="000000"/>
          <w:sz w:val="20"/>
        </w:rPr>
        <w:t>The 8.625% Senior Secured Notes due 2030 issued by Talen Energy Supply. Obligations under the Secured Notes are guaranteed by the Subsidiary Guarantors and secured by a first priority lien and security interest in substantially all of the assets of Talen Energy Supply and the Subsidiary Guarantors.</w:t>
      </w:r>
    </w:p>
    <w:p>
      <w:pPr>
        <w:pStyle w:val="TextBody"/>
        <w:bidi w:val="0"/>
        <w:spacing w:lineRule="auto" w:line="288" w:before="0" w:after="180"/>
        <w:jc w:val="left"/>
        <w:rPr/>
      </w:pPr>
      <w:r>
        <w:rPr>
          <w:rFonts w:ascii="Times New Roman;sans-serif" w:hAnsi="Times New Roman;sans-serif"/>
          <w:b/>
          <w:i/>
          <w:color w:val="000000"/>
          <w:sz w:val="20"/>
        </w:rPr>
        <w:t>Subsidiary Guarantors.</w:t>
      </w:r>
      <w:r>
        <w:rPr>
          <w:color w:val="000000"/>
        </w:rPr>
        <w:t xml:space="preserve"> </w:t>
      </w:r>
      <w:r>
        <w:rPr>
          <w:rFonts w:ascii="Times New Roman;sans-serif" w:hAnsi="Times New Roman;sans-serif"/>
          <w:b w:val="false"/>
          <w:color w:val="000000"/>
          <w:sz w:val="20"/>
        </w:rPr>
        <w:t>The subsidiaries of TES that guarantee: (i) the obligations of TES under the Credit Facilities and the Secured Notes; and (ii) the obligations of Talen Energy Marketing under the Secured ISDAs.</w:t>
      </w:r>
    </w:p>
    <w:p>
      <w:pPr>
        <w:pStyle w:val="TextBody"/>
        <w:bidi w:val="0"/>
        <w:spacing w:lineRule="auto" w:line="288" w:before="0" w:after="180"/>
        <w:jc w:val="left"/>
        <w:rPr/>
      </w:pPr>
      <w:r>
        <w:rPr>
          <w:rFonts w:ascii="Times New Roman;sans-serif" w:hAnsi="Times New Roman;sans-serif"/>
          <w:b/>
          <w:i/>
          <w:color w:val="000000"/>
          <w:sz w:val="20"/>
        </w:rPr>
        <w:t xml:space="preserve">Successor. </w:t>
      </w:r>
      <w:r>
        <w:rPr>
          <w:rFonts w:ascii="Times New Roman;sans-serif" w:hAnsi="Times New Roman;sans-serif"/>
          <w:b w:val="false"/>
          <w:color w:val="000000"/>
          <w:sz w:val="20"/>
        </w:rPr>
        <w:t xml:space="preserve">Relates to the financial position or results of operations of Talen Energy Corporation for periods after Emergence, or May 18, 2023. </w:t>
      </w:r>
    </w:p>
    <w:p>
      <w:pPr>
        <w:pStyle w:val="TextBody"/>
        <w:bidi w:val="0"/>
        <w:spacing w:lineRule="auto" w:line="288" w:before="0" w:after="180"/>
        <w:jc w:val="left"/>
        <w:rPr/>
      </w:pPr>
      <w:r>
        <w:rPr>
          <w:rFonts w:ascii="Times New Roman;sans-serif" w:hAnsi="Times New Roman;sans-serif"/>
          <w:b/>
          <w:i/>
          <w:color w:val="000000"/>
          <w:sz w:val="20"/>
        </w:rPr>
        <w:t xml:space="preserve">Susquehanna. </w:t>
      </w:r>
      <w:r>
        <w:rPr>
          <w:rFonts w:ascii="Times New Roman;sans-serif" w:hAnsi="Times New Roman;sans-serif"/>
          <w:b w:val="false"/>
          <w:color w:val="000000"/>
          <w:sz w:val="20"/>
        </w:rPr>
        <w:t>A nuclear-powered generation facility located near Berwick, Pennsylvania. Talen Energy Supply operates and owns a 90% undivided interest in Susquehanna.</w:t>
      </w:r>
    </w:p>
    <w:p>
      <w:pPr>
        <w:pStyle w:val="TextBody"/>
        <w:bidi w:val="0"/>
        <w:spacing w:lineRule="auto" w:line="288" w:before="0" w:after="180"/>
        <w:jc w:val="left"/>
        <w:rPr/>
      </w:pPr>
      <w:r>
        <w:rPr>
          <w:rFonts w:ascii="Times New Roman;sans-serif" w:hAnsi="Times New Roman;sans-serif"/>
          <w:b/>
          <w:i/>
          <w:color w:val="000000"/>
          <w:sz w:val="20"/>
        </w:rPr>
        <w:t>Talen (or the “Company,” “we,” “us,” or “our”).</w:t>
      </w:r>
      <w:r>
        <w:rPr>
          <w:color w:val="000000"/>
        </w:rPr>
        <w:t xml:space="preserve"> </w:t>
      </w:r>
      <w:r>
        <w:rPr>
          <w:rFonts w:ascii="Times New Roman;sans-serif" w:hAnsi="Times New Roman;sans-serif"/>
          <w:b w:val="false"/>
          <w:color w:val="000000"/>
          <w:sz w:val="20"/>
        </w:rPr>
        <w:t>(i)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pStyle w:val="TextBody"/>
        <w:bidi w:val="0"/>
        <w:spacing w:lineRule="auto" w:line="288" w:before="0" w:after="180"/>
        <w:jc w:val="left"/>
        <w:rPr/>
      </w:pPr>
      <w:r>
        <w:rPr>
          <w:rFonts w:ascii="Times New Roman;sans-serif" w:hAnsi="Times New Roman;sans-serif"/>
          <w:b/>
          <w:i/>
          <w:color w:val="000000"/>
          <w:sz w:val="20"/>
        </w:rPr>
        <w:t xml:space="preserve">Talen Energy Corporation (or “TEC”). </w:t>
      </w:r>
      <w:r>
        <w:rPr>
          <w:rFonts w:ascii="Times New Roman;sans-serif" w:hAnsi="Times New Roman;sans-serif"/>
          <w:b w:val="false"/>
          <w:color w:val="000000"/>
          <w:sz w:val="20"/>
        </w:rPr>
        <w:t>Talen Energy Corporation, the parent company of Talen Energy Supply, and its consolidated subsidiaries.</w:t>
      </w:r>
    </w:p>
    <w:p>
      <w:pPr>
        <w:pStyle w:val="TextBody"/>
        <w:bidi w:val="0"/>
        <w:spacing w:lineRule="auto" w:line="288" w:before="0" w:after="180"/>
        <w:jc w:val="left"/>
        <w:rPr/>
      </w:pPr>
      <w:r>
        <w:rPr>
          <w:rFonts w:ascii="Times New Roman;sans-serif" w:hAnsi="Times New Roman;sans-serif"/>
          <w:b/>
          <w:i/>
          <w:color w:val="000000"/>
          <w:sz w:val="20"/>
        </w:rPr>
        <w:t xml:space="preserve">Talen Energy Marketing. </w:t>
      </w:r>
      <w:r>
        <w:rPr>
          <w:rFonts w:ascii="Times New Roman;sans-serif" w:hAnsi="Times New Roman;sans-serif"/>
          <w:b w:val="false"/>
          <w:color w:val="000000"/>
          <w:sz w:val="20"/>
        </w:rPr>
        <w:t>Talen Energy Marketing, LLC, a direct subsidiary of Talen Energy Supply that provides energy management services to Talen-owned and operated generation facilities and engages in wholesale commodity marketing activities.</w:t>
      </w:r>
    </w:p>
    <w:p>
      <w:pPr>
        <w:pStyle w:val="TextBody"/>
        <w:bidi w:val="0"/>
        <w:spacing w:lineRule="auto" w:line="288" w:before="0" w:after="180"/>
        <w:jc w:val="left"/>
        <w:rPr/>
      </w:pPr>
      <w:r>
        <w:rPr>
          <w:rFonts w:ascii="Times New Roman;sans-serif" w:hAnsi="Times New Roman;sans-serif"/>
          <w:b/>
          <w:i/>
          <w:color w:val="000000"/>
          <w:sz w:val="20"/>
        </w:rPr>
        <w:t xml:space="preserve">Talen Energy Supply (or “TES”). </w:t>
      </w:r>
      <w:r>
        <w:rPr>
          <w:rFonts w:ascii="Times New Roman;sans-serif" w:hAnsi="Times New Roman;sans-serif"/>
          <w:b w:val="false"/>
          <w:color w:val="000000"/>
          <w:sz w:val="20"/>
        </w:rPr>
        <w:t>Talen Energy Supply, LLC, a direct subsidiary of Talen Energy Corporation that, thorough subsidiaries, indirectly holds all of Talen’s assets and operations.</w:t>
      </w:r>
    </w:p>
    <w:p>
      <w:pPr>
        <w:pStyle w:val="TextBody"/>
        <w:bidi w:val="0"/>
        <w:spacing w:lineRule="auto" w:line="288" w:before="0" w:after="180"/>
        <w:jc w:val="left"/>
        <w:rPr/>
      </w:pPr>
      <w:r>
        <w:rPr>
          <w:rFonts w:ascii="Times New Roman;sans-serif" w:hAnsi="Times New Roman;sans-serif"/>
          <w:b/>
          <w:i/>
          <w:color w:val="000000"/>
          <w:sz w:val="20"/>
        </w:rPr>
        <w:t xml:space="preserve">Talen Generation. </w:t>
      </w:r>
      <w:r>
        <w:rPr>
          <w:rFonts w:ascii="Times New Roman;sans-serif" w:hAnsi="Times New Roman;sans-serif"/>
          <w:b w:val="false"/>
          <w:color w:val="000000"/>
          <w:sz w:val="20"/>
        </w:rPr>
        <w:t>Talen Generation, LLC, a direct subsidiary of Talen Energy Supply that, through its subsidiaries, owns and operates generation facilities, and holds interests in other jointly owned, third-party operated generation facilities, in Pennsylvania, New Jersey and Maryland.</w:t>
      </w:r>
    </w:p>
    <w:p>
      <w:pPr>
        <w:pStyle w:val="TextBody"/>
        <w:bidi w:val="0"/>
        <w:spacing w:lineRule="auto" w:line="288" w:before="0" w:after="180"/>
        <w:jc w:val="left"/>
        <w:rPr/>
      </w:pPr>
      <w:r>
        <w:rPr>
          <w:rFonts w:ascii="Times New Roman;sans-serif" w:hAnsi="Times New Roman;sans-serif"/>
          <w:b/>
          <w:i/>
          <w:color w:val="000000"/>
          <w:sz w:val="20"/>
        </w:rPr>
        <w:t xml:space="preserve">Talen Montana. </w:t>
      </w:r>
      <w:r>
        <w:rPr>
          <w:rFonts w:ascii="Times New Roman;sans-serif" w:hAnsi="Times New Roman;sans-serif"/>
          <w:b w:val="false"/>
          <w:color w:val="000000"/>
          <w:sz w:val="20"/>
        </w:rPr>
        <w:t>Talen Montana, LLC, a Talen subsidiary that operates the Colstrip Units and owns an undivided interest in Colstrip Unit 3 and is party to a contractual economic sharing agreement for Colstrip Units 3 and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 xml:space="preserve">TeraWulf. </w:t>
      </w:r>
      <w:r>
        <w:rPr>
          <w:rFonts w:ascii="Times New Roman;sans-serif" w:hAnsi="Times New Roman;sans-serif"/>
          <w:b w:val="false"/>
          <w:color w:val="000000"/>
          <w:sz w:val="20"/>
        </w:rPr>
        <w:t>TeraWulf (Thales) LLC, a wholly owned subsidiary of TeraWulf Inc. and an unaffiliated third party.</w:t>
      </w:r>
    </w:p>
    <w:p>
      <w:pPr>
        <w:pStyle w:val="TextBody"/>
        <w:bidi w:val="0"/>
        <w:spacing w:lineRule="auto" w:line="288" w:before="0" w:after="180"/>
        <w:jc w:val="left"/>
        <w:rPr/>
      </w:pPr>
      <w:r>
        <w:rPr>
          <w:rFonts w:ascii="Times New Roman;sans-serif" w:hAnsi="Times New Roman;sans-serif"/>
          <w:b/>
          <w:i/>
          <w:color w:val="000000"/>
          <w:sz w:val="20"/>
        </w:rPr>
        <w:t>Term Loans.</w:t>
      </w:r>
      <w:r>
        <w:rPr>
          <w:color w:val="000000"/>
        </w:rPr>
        <w:t xml:space="preserve"> </w:t>
      </w:r>
      <w:r>
        <w:rPr>
          <w:rFonts w:ascii="Times New Roman;sans-serif" w:hAnsi="Times New Roman;sans-serif"/>
          <w:b w:val="false"/>
          <w:color w:val="000000"/>
          <w:sz w:val="20"/>
        </w:rPr>
        <w:t>Collectively, the TLB and the TLC.</w:t>
      </w:r>
    </w:p>
    <w:p>
      <w:pPr>
        <w:pStyle w:val="TextBody"/>
        <w:bidi w:val="0"/>
        <w:spacing w:lineRule="auto" w:line="288" w:before="0" w:after="180"/>
        <w:jc w:val="left"/>
        <w:rPr/>
      </w:pPr>
      <w:r>
        <w:rPr>
          <w:rFonts w:ascii="Times New Roman;sans-serif" w:hAnsi="Times New Roman;sans-serif"/>
          <w:b/>
          <w:i/>
          <w:color w:val="000000"/>
          <w:sz w:val="20"/>
        </w:rPr>
        <w:t xml:space="preserve">TERP. </w:t>
      </w:r>
      <w:r>
        <w:rPr>
          <w:rFonts w:ascii="Times New Roman;sans-serif" w:hAnsi="Times New Roman;sans-serif"/>
          <w:b w:val="false"/>
          <w:color w:val="000000"/>
          <w:sz w:val="20"/>
        </w:rPr>
        <w:t>The Talen Energy Retirement Plan, Talen’s principal defined-benefit pension plan.</w:t>
      </w:r>
    </w:p>
    <w:p>
      <w:pPr>
        <w:pStyle w:val="TextBody"/>
        <w:bidi w:val="0"/>
        <w:spacing w:lineRule="auto" w:line="288" w:before="0" w:after="180"/>
        <w:jc w:val="left"/>
        <w:rPr/>
      </w:pPr>
      <w:r>
        <w:rPr>
          <w:rFonts w:ascii="Times New Roman;sans-serif" w:hAnsi="Times New Roman;sans-serif"/>
          <w:b/>
          <w:i/>
          <w:color w:val="000000"/>
          <w:sz w:val="20"/>
        </w:rPr>
        <w:t>TLB.</w:t>
      </w:r>
      <w:r>
        <w:rPr>
          <w:color w:val="000000"/>
        </w:rPr>
        <w:t xml:space="preserve"> </w:t>
      </w:r>
      <w:r>
        <w:rPr>
          <w:rFonts w:ascii="Times New Roman;sans-serif" w:hAnsi="Times New Roman;sans-serif"/>
          <w:b w:val="false"/>
          <w:color w:val="000000"/>
          <w:sz w:val="20"/>
        </w:rPr>
        <w:t>The senior secured term loan B facility in an aggregate principal amount of $580 million (and subsequently increased to $870 million in August 2023) under the Credit Agreement. Obligations under the TLB are guaranteed by the Subsidiary Guarantors and secured by a first priority lien and security interest in substantially all of the assets of TES and the Subsidiary Guarantors.</w:t>
      </w:r>
    </w:p>
    <w:p>
      <w:pPr>
        <w:pStyle w:val="TextBody"/>
        <w:bidi w:val="0"/>
        <w:spacing w:lineRule="auto" w:line="288" w:before="0" w:after="180"/>
        <w:jc w:val="left"/>
        <w:rPr/>
      </w:pPr>
      <w:r>
        <w:rPr>
          <w:rFonts w:ascii="Times New Roman;sans-serif" w:hAnsi="Times New Roman;sans-serif"/>
          <w:b/>
          <w:i/>
          <w:color w:val="000000"/>
          <w:sz w:val="20"/>
        </w:rPr>
        <w:t xml:space="preserve">TLC. </w:t>
      </w:r>
      <w:r>
        <w:rPr>
          <w:rFonts w:ascii="Times New Roman;sans-serif" w:hAnsi="Times New Roman;sans-serif"/>
          <w:b w:val="false"/>
          <w:color w:val="000000"/>
          <w:sz w:val="20"/>
        </w:rPr>
        <w:t>The senior secured term loan C facility in an aggregate principal amount of $470 million under the Credit Agreement, the proceeds of which are available to support the issuance of standby and trade LCs under the TLC LCF via 100% cash collateralization. Obligations under the TLC are guaranteed by the Subsidiary Guarantors and secured by a first priority lien and security interest in substantially all of the assets of TES and the Subsidiary Guarantors.</w:t>
      </w:r>
    </w:p>
    <w:p>
      <w:pPr>
        <w:pStyle w:val="TextBody"/>
        <w:bidi w:val="0"/>
        <w:spacing w:lineRule="auto" w:line="288" w:before="0" w:after="180"/>
        <w:jc w:val="left"/>
        <w:rPr/>
      </w:pPr>
      <w:r>
        <w:rPr>
          <w:rFonts w:ascii="Times New Roman;sans-serif" w:hAnsi="Times New Roman;sans-serif"/>
          <w:b/>
          <w:i/>
          <w:color w:val="000000"/>
          <w:sz w:val="20"/>
        </w:rPr>
        <w:t>TLC LCF.</w:t>
      </w:r>
      <w:r>
        <w:rPr>
          <w:color w:val="000000"/>
        </w:rPr>
        <w:t xml:space="preserve"> </w:t>
      </w:r>
      <w:r>
        <w:rPr>
          <w:rFonts w:ascii="Times New Roman;sans-serif" w:hAnsi="Times New Roman;sans-serif"/>
          <w:b w:val="false"/>
          <w:color w:val="000000"/>
          <w:sz w:val="20"/>
        </w:rPr>
        <w:t>The $470 term letter of credit facility established under the Credit Agreement. The TLC LCF is cash collateralized with the proceeds of the TLC, and commitments thereunder are reduced to the extent that borrowings under the TLC are prepaid.</w:t>
      </w:r>
    </w:p>
    <w:p>
      <w:pPr>
        <w:pStyle w:val="TextBody"/>
        <w:bidi w:val="0"/>
        <w:spacing w:lineRule="auto" w:line="288" w:before="0" w:after="180"/>
        <w:jc w:val="left"/>
        <w:rPr/>
      </w:pPr>
      <w:r>
        <w:rPr>
          <w:rFonts w:ascii="Times New Roman;sans-serif" w:hAnsi="Times New Roman;sans-serif"/>
          <w:b/>
          <w:i/>
          <w:color w:val="000000"/>
          <w:sz w:val="20"/>
        </w:rPr>
        <w:t>WECC.</w:t>
      </w:r>
      <w:r>
        <w:rPr>
          <w:color w:val="000000"/>
        </w:rPr>
        <w:t xml:space="preserve"> </w:t>
      </w:r>
      <w:r>
        <w:rPr>
          <w:rFonts w:ascii="Times New Roman;sans-serif" w:hAnsi="Times New Roman;sans-serif"/>
          <w:b w:val="false"/>
          <w:color w:val="000000"/>
          <w:sz w:val="20"/>
        </w:rPr>
        <w:t>The Western Electricity Coordinating Council, a not-for-profit entity that ensures the reliability of the electricity transmission network and energy market in all or parts of Arizona, California, Idaho, Montana, Nevada, New Mexico, Oregon, South Dakota, Texas, Utah, Washington, the Canadian provinces of Alberta and British Columbia and the northern portion of the Mexican state of Baja California.</w:t>
      </w:r>
    </w:p>
    <w:p>
      <w:pPr>
        <w:pStyle w:val="TextBody"/>
        <w:bidi w:val="0"/>
        <w:spacing w:lineRule="auto" w:line="288" w:before="0" w:after="180"/>
        <w:jc w:val="left"/>
        <w:rPr/>
      </w:pPr>
      <w:r>
        <w:rPr>
          <w:rFonts w:ascii="Times New Roman;sans-serif" w:hAnsi="Times New Roman;sans-serif"/>
          <w:b/>
          <w:i/>
          <w:color w:val="000000"/>
          <w:sz w:val="20"/>
        </w:rPr>
        <w:t xml:space="preserve">Winter Storm Elliott. </w:t>
      </w:r>
      <w:r>
        <w:rPr>
          <w:rFonts w:ascii="Times New Roman;sans-serif" w:hAnsi="Times New Roman;sans-serif"/>
          <w:b w:val="false"/>
          <w:color w:val="000000"/>
          <w:sz w:val="20"/>
        </w:rPr>
        <w:t>An extra-tropical cyclone that occurred in December 2022 that created a storm of snow, rain and wind across the country. The winter cyclone had widespread impacts across the United States and caused PJM to declare a Maximum Generation Emergency Action.</w:t>
      </w:r>
    </w:p>
    <w:p>
      <w:pPr>
        <w:pStyle w:val="TextBody"/>
        <w:bidi w:val="0"/>
        <w:spacing w:lineRule="auto" w:line="288" w:before="0" w:after="180"/>
        <w:jc w:val="left"/>
        <w:rPr/>
      </w:pPr>
      <w:r>
        <w:rPr>
          <w:rFonts w:ascii="Times New Roman;sans-serif" w:hAnsi="Times New Roman;sans-serif"/>
          <w:b/>
          <w:i/>
          <w:color w:val="000000"/>
          <w:sz w:val="20"/>
        </w:rPr>
        <w:t xml:space="preserve">Winter Storm Uri. </w:t>
      </w:r>
      <w:r>
        <w:rPr>
          <w:rFonts w:ascii="Times New Roman;sans-serif" w:hAnsi="Times New Roman;sans-serif"/>
          <w:b w:val="false"/>
          <w:color w:val="000000"/>
          <w:sz w:val="20"/>
        </w:rPr>
        <w:t>A major winter and ice storm that occurred in February 2021 that had widespread impacts across the United States, including systemic energy market disruptions and price volatility throughout ERCOT.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ans-serif" w:hAnsi="Times New Roman;sans-serif"/>
          <w:b/>
          <w:color w:val="000000"/>
          <w:sz w:val="20"/>
        </w:rPr>
      </w:pPr>
      <w:bookmarkStart w:id="15" w:name="iba4783cda89847ebb0ba13ce4a04ebf7_611"/>
      <w:bookmarkEnd w:id="15"/>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97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08"/>
        <w:gridCol w:w="208"/>
        <w:gridCol w:w="213"/>
        <w:gridCol w:w="653"/>
        <w:gridCol w:w="653"/>
        <w:gridCol w:w="6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13,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Terry L. Nutt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Terry L. Nutt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18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Mark “Mac” A. McFarland, certify that: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Talen Energy Corporation (the “registrant”);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b.[Paragraph omitted in accordance with Exchange Act Rules 13a-14(a) and 15d-14(a)];</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684" w:type="dxa"/>
        <w:jc w:val="right"/>
        <w:tblInd w:w="0" w:type="dxa"/>
        <w:tblLayout w:type="fixed"/>
        <w:tblCellMar>
          <w:top w:w="28" w:type="dxa"/>
          <w:left w:w="28" w:type="dxa"/>
          <w:bottom w:w="28" w:type="dxa"/>
          <w:right w:w="28" w:type="dxa"/>
        </w:tblCellMar>
      </w:tblPr>
      <w:tblGrid>
        <w:gridCol w:w="858"/>
        <w:gridCol w:w="755"/>
        <w:gridCol w:w="1071"/>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McFarland</w:t>
            </w:r>
          </w:p>
        </w:tc>
      </w:tr>
      <w:tr>
        <w:trPr/>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“Mac” A. McFarland</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President &amp; Chief Executive Officer</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13, 2024</w:t>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Terry L. Nutt, certify that: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Talen Energy Corporation (the “registrant”);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b.[Paragraph omitted in accordance with Exchange Act Rules 13a-14(a) and 15d-14(a)];</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18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204" w:type="dxa"/>
        <w:jc w:val="right"/>
        <w:tblInd w:w="0" w:type="dxa"/>
        <w:tblLayout w:type="fixed"/>
        <w:tblCellMar>
          <w:top w:w="28" w:type="dxa"/>
          <w:left w:w="28" w:type="dxa"/>
          <w:bottom w:w="28" w:type="dxa"/>
          <w:right w:w="28" w:type="dxa"/>
        </w:tblCellMar>
      </w:tblPr>
      <w:tblGrid>
        <w:gridCol w:w="703"/>
        <w:gridCol w:w="620"/>
        <w:gridCol w:w="881"/>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Terry Nutt</w:t>
            </w:r>
          </w:p>
        </w:tc>
      </w:tr>
      <w:tr>
        <w:trPr/>
        <w:tc>
          <w:tcPr>
            <w:tcW w:w="22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Terry L. Nutt</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13, 2024</w:t>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Talen Energy Corporation (the "Company") for the quarter ended June 30, 2024, as filed with the Securities and Exchange Commission on the date hereof (the "Covered Report"), each of the undersigned officers of the Company, certify, pursuant to 18 U.S.C. Section 1350, as adopted pursuant to Section 906 of the Sarbanes-Oxley Act of 2002, that:</w:t>
      </w:r>
    </w:p>
    <w:p>
      <w:pPr>
        <w:pStyle w:val="TextBody"/>
        <w:bidi w:val="0"/>
        <w:spacing w:lineRule="auto" w:line="256" w:before="0" w:after="18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Covered Report fully complies with the requirements of Section 13(a) or 15(d) of the Securities Exchange Act of 1934, as amended; and</w:t>
      </w:r>
    </w:p>
    <w:p>
      <w:pPr>
        <w:pStyle w:val="TextBody"/>
        <w:bidi w:val="0"/>
        <w:spacing w:lineRule="auto" w:line="256"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Covered Report fairly presents, in all material respects, the financial condition and results of operations of the Company.</w:t>
      </w:r>
    </w:p>
    <w:p>
      <w:pPr>
        <w:pStyle w:val="TextBody"/>
        <w:bidi w:val="0"/>
        <w:spacing w:before="0" w:after="180"/>
        <w:ind w:left="0" w:right="0" w:hanging="270"/>
        <w:jc w:val="left"/>
        <w:rPr/>
      </w:pPr>
      <w:r>
        <w:rPr/>
      </w:r>
    </w:p>
    <w:p>
      <w:pPr>
        <w:pStyle w:val="TextBody"/>
        <w:bidi w:val="0"/>
        <w:spacing w:before="0" w:after="180"/>
        <w:ind w:left="0" w:right="0" w:hanging="270"/>
        <w:jc w:val="left"/>
        <w:rPr/>
      </w:pPr>
      <w:r>
        <w:rPr/>
      </w:r>
    </w:p>
    <w:tbl>
      <w:tblPr>
        <w:tblW w:w="2684" w:type="dxa"/>
        <w:jc w:val="right"/>
        <w:tblInd w:w="0" w:type="dxa"/>
        <w:tblLayout w:type="fixed"/>
        <w:tblCellMar>
          <w:top w:w="28" w:type="dxa"/>
          <w:left w:w="28" w:type="dxa"/>
          <w:bottom w:w="28" w:type="dxa"/>
          <w:right w:w="28" w:type="dxa"/>
        </w:tblCellMar>
      </w:tblPr>
      <w:tblGrid>
        <w:gridCol w:w="858"/>
        <w:gridCol w:w="755"/>
        <w:gridCol w:w="1071"/>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McFarland</w:t>
            </w:r>
          </w:p>
        </w:tc>
      </w:tr>
      <w:tr>
        <w:trPr/>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“Mac” A. McFarland</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President &amp; Chief Executive Officer</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before="0" w:after="180"/>
        <w:jc w:val="right"/>
        <w:rPr/>
      </w:pPr>
      <w:r>
        <w:rPr/>
      </w:r>
    </w:p>
    <w:tbl>
      <w:tblPr>
        <w:tblW w:w="2204" w:type="dxa"/>
        <w:jc w:val="right"/>
        <w:tblInd w:w="0" w:type="dxa"/>
        <w:tblLayout w:type="fixed"/>
        <w:tblCellMar>
          <w:top w:w="28" w:type="dxa"/>
          <w:left w:w="28" w:type="dxa"/>
          <w:bottom w:w="28" w:type="dxa"/>
          <w:right w:w="28" w:type="dxa"/>
        </w:tblCellMar>
      </w:tblPr>
      <w:tblGrid>
        <w:gridCol w:w="703"/>
        <w:gridCol w:w="620"/>
        <w:gridCol w:w="881"/>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Terry Nutt</w:t>
            </w:r>
          </w:p>
        </w:tc>
      </w:tr>
      <w:tr>
        <w:trPr/>
        <w:tc>
          <w:tcPr>
            <w:tcW w:w="22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Terry L. Nutt</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13, 2024</w:t>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furnished with this Report pursuant to Section 906 of the Sarbanes-Oxley Act of 2002 and shall not, except to the extent required by the Sarbanes-Oxley Act of 2002, be deemed “filed” for the purpose of Section 18 of the Securities Exchange Act of 1934, as amended (the “Exchange Act”), or otherwise subject to the liabilities of that Section. This certification shall not be incorporated by reference into any registration statement or other document pursuant to the Securities Act of 1933, as amended, or the Exchange Act.</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2536/000162828024029107/exhibit31-sx1.htm" TargetMode="External"/><Relationship Id="rId3" Type="http://schemas.openxmlformats.org/officeDocument/2006/relationships/hyperlink" Target="https://www.sec.gov/Archives/edgar/data/1622536/000162828024029107/exhibit32-sx1.htm" TargetMode="External"/><Relationship Id="rId4" Type="http://schemas.openxmlformats.org/officeDocument/2006/relationships/hyperlink" Target="https://www.sec.gov/Archives/edgar/data/1622536/000162828024029107/exhibit103-sx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30979</Words>
  <Characters>171003</Characters>
  <CharactersWithSpaces>199886</CharactersWithSpaces>
  <Paragraphs>4214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